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D213" w14:textId="77777777" w:rsidR="00E36014" w:rsidRPr="009E6775" w:rsidRDefault="00E36014" w:rsidP="0081540D">
      <w:pPr>
        <w:rPr>
          <w:rFonts w:ascii="Times New Roman" w:hAnsi="Times New Roman" w:cs="Times New Roman"/>
          <w:b/>
          <w:sz w:val="24"/>
          <w:szCs w:val="24"/>
        </w:rPr>
      </w:pPr>
    </w:p>
    <w:p w14:paraId="2E4EB42B" w14:textId="5182CB32" w:rsidR="000E2606" w:rsidRPr="009E6775" w:rsidRDefault="00E36014" w:rsidP="0081540D">
      <w:pPr>
        <w:rPr>
          <w:rFonts w:ascii="Times New Roman" w:hAnsi="Times New Roman" w:cs="Times New Roman"/>
          <w:b/>
          <w:sz w:val="24"/>
          <w:szCs w:val="24"/>
        </w:rPr>
      </w:pPr>
      <w:r w:rsidRPr="009E6775">
        <w:rPr>
          <w:rFonts w:ascii="Times New Roman" w:hAnsi="Times New Roman" w:cs="Times New Roman"/>
          <w:b/>
          <w:sz w:val="24"/>
          <w:szCs w:val="24"/>
        </w:rPr>
        <w:t xml:space="preserve">In the Shadow of Settlement – </w:t>
      </w:r>
      <w:r w:rsidR="00854922" w:rsidRPr="009E6775">
        <w:rPr>
          <w:rFonts w:ascii="Times New Roman" w:hAnsi="Times New Roman" w:cs="Times New Roman"/>
          <w:b/>
          <w:sz w:val="24"/>
          <w:szCs w:val="24"/>
        </w:rPr>
        <w:t xml:space="preserve">the Israeli Progressive Scholars’ Critical </w:t>
      </w:r>
      <w:r w:rsidR="00F37CCA" w:rsidRPr="009E6775">
        <w:rPr>
          <w:rFonts w:ascii="Times New Roman" w:hAnsi="Times New Roman" w:cs="Times New Roman"/>
          <w:b/>
          <w:sz w:val="24"/>
          <w:szCs w:val="24"/>
        </w:rPr>
        <w:t>Analyses</w:t>
      </w:r>
      <w:r w:rsidR="006F77B0" w:rsidRPr="009E6775">
        <w:rPr>
          <w:rFonts w:ascii="Times New Roman" w:hAnsi="Times New Roman" w:cs="Times New Roman"/>
          <w:b/>
          <w:sz w:val="24"/>
          <w:szCs w:val="24"/>
        </w:rPr>
        <w:t xml:space="preserve"> of </w:t>
      </w:r>
      <w:r w:rsidRPr="009E6775">
        <w:rPr>
          <w:rFonts w:ascii="Times New Roman" w:hAnsi="Times New Roman" w:cs="Times New Roman"/>
          <w:b/>
          <w:sz w:val="24"/>
          <w:szCs w:val="24"/>
        </w:rPr>
        <w:t xml:space="preserve">the </w:t>
      </w:r>
      <w:r w:rsidR="006F77B0" w:rsidRPr="009E6775">
        <w:rPr>
          <w:rFonts w:ascii="Times New Roman" w:hAnsi="Times New Roman" w:cs="Times New Roman"/>
          <w:b/>
          <w:sz w:val="24"/>
          <w:szCs w:val="24"/>
        </w:rPr>
        <w:t>Decision-</w:t>
      </w:r>
      <w:r w:rsidR="00854922" w:rsidRPr="009E6775">
        <w:rPr>
          <w:rFonts w:ascii="Times New Roman" w:hAnsi="Times New Roman" w:cs="Times New Roman"/>
          <w:b/>
          <w:sz w:val="24"/>
          <w:szCs w:val="24"/>
        </w:rPr>
        <w:t>Making</w:t>
      </w:r>
      <w:r w:rsidR="006F77B0" w:rsidRPr="009E6775">
        <w:rPr>
          <w:rFonts w:ascii="Times New Roman" w:hAnsi="Times New Roman" w:cs="Times New Roman"/>
          <w:b/>
          <w:sz w:val="24"/>
          <w:szCs w:val="24"/>
        </w:rPr>
        <w:t xml:space="preserve"> Policies of the </w:t>
      </w:r>
      <w:r w:rsidRPr="009E6775">
        <w:rPr>
          <w:rFonts w:ascii="Times New Roman" w:hAnsi="Times New Roman" w:cs="Times New Roman"/>
          <w:b/>
          <w:sz w:val="24"/>
          <w:szCs w:val="24"/>
        </w:rPr>
        <w:t xml:space="preserve">Israeli Supreme Court </w:t>
      </w:r>
      <w:r w:rsidR="00B40F1D" w:rsidRPr="009E6775">
        <w:rPr>
          <w:rFonts w:ascii="Times New Roman" w:hAnsi="Times New Roman" w:cs="Times New Roman"/>
          <w:b/>
          <w:sz w:val="24"/>
          <w:szCs w:val="24"/>
        </w:rPr>
        <w:t>Sitting</w:t>
      </w:r>
      <w:r w:rsidR="006F77B0" w:rsidRPr="009E6775">
        <w:rPr>
          <w:rFonts w:ascii="Times New Roman" w:hAnsi="Times New Roman" w:cs="Times New Roman"/>
          <w:b/>
          <w:sz w:val="24"/>
          <w:szCs w:val="24"/>
        </w:rPr>
        <w:t xml:space="preserve"> as the High Court of Justice</w:t>
      </w:r>
    </w:p>
    <w:p w14:paraId="7E2D8F35" w14:textId="77777777" w:rsidR="00061148" w:rsidRPr="003F3485" w:rsidRDefault="00061148" w:rsidP="0081540D">
      <w:pPr>
        <w:rPr>
          <w:rFonts w:ascii="Times New Roman" w:hAnsi="Times New Roman" w:cs="Times New Roman"/>
          <w:bCs/>
          <w:sz w:val="24"/>
          <w:szCs w:val="24"/>
        </w:rPr>
      </w:pPr>
      <w:r w:rsidRPr="003F3485">
        <w:rPr>
          <w:rFonts w:ascii="Times New Roman" w:hAnsi="Times New Roman" w:cs="Times New Roman"/>
          <w:bCs/>
          <w:sz w:val="24"/>
          <w:szCs w:val="24"/>
        </w:rPr>
        <w:t>Review Article -The Occupation of Justice (2</w:t>
      </w:r>
      <w:r w:rsidRPr="003F3485">
        <w:rPr>
          <w:rFonts w:ascii="Times New Roman" w:hAnsi="Times New Roman" w:cs="Times New Roman"/>
          <w:bCs/>
          <w:sz w:val="24"/>
          <w:szCs w:val="24"/>
          <w:vertAlign w:val="superscript"/>
        </w:rPr>
        <w:t>nd</w:t>
      </w:r>
      <w:r w:rsidRPr="003F3485">
        <w:rPr>
          <w:rFonts w:ascii="Times New Roman" w:hAnsi="Times New Roman" w:cs="Times New Roman"/>
          <w:bCs/>
          <w:sz w:val="24"/>
          <w:szCs w:val="24"/>
        </w:rPr>
        <w:t xml:space="preserve"> ed.) by David Kretzmer &amp; Yael Ronen [Oxford University Press, Oxford, 2021, 543pp, ISBN 978-0190-696023 (hardback); 978-0190-696047 (epub).</w:t>
      </w:r>
    </w:p>
    <w:p w14:paraId="21BA2BC3" w14:textId="77777777" w:rsidR="00061148" w:rsidRPr="003F3485" w:rsidRDefault="00061148" w:rsidP="0081540D">
      <w:pPr>
        <w:rPr>
          <w:rFonts w:ascii="Times New Roman" w:hAnsi="Times New Roman" w:cs="Times New Roman"/>
          <w:bCs/>
          <w:sz w:val="24"/>
          <w:szCs w:val="24"/>
        </w:rPr>
      </w:pPr>
    </w:p>
    <w:p w14:paraId="1F1ADD0F" w14:textId="6CE64FA5" w:rsidR="00CC258C" w:rsidRPr="003F3485" w:rsidRDefault="00CC258C" w:rsidP="0081540D">
      <w:pPr>
        <w:rPr>
          <w:rFonts w:ascii="Times New Roman" w:hAnsi="Times New Roman" w:cs="Times New Roman"/>
          <w:bCs/>
          <w:sz w:val="24"/>
          <w:szCs w:val="24"/>
        </w:rPr>
      </w:pPr>
    </w:p>
    <w:p w14:paraId="5A8A5A8F" w14:textId="588AAE0A" w:rsidR="00E258EE" w:rsidRPr="003F3485" w:rsidRDefault="004E5F74" w:rsidP="004E5F74">
      <w:pPr>
        <w:ind w:leftChars="2700" w:left="5670"/>
        <w:rPr>
          <w:rFonts w:ascii="Times New Roman" w:hAnsi="Times New Roman" w:cs="Times New Roman"/>
          <w:bCs/>
          <w:sz w:val="24"/>
          <w:szCs w:val="24"/>
        </w:rPr>
      </w:pPr>
      <w:r w:rsidRPr="003F3485">
        <w:rPr>
          <w:rFonts w:ascii="Times New Roman" w:hAnsi="Times New Roman" w:hint="eastAsia"/>
          <w:bCs/>
          <w:sz w:val="24"/>
        </w:rPr>
        <w:t>Y</w:t>
      </w:r>
      <w:r w:rsidRPr="003F3485">
        <w:rPr>
          <w:rFonts w:ascii="Times New Roman" w:hAnsi="Times New Roman"/>
          <w:bCs/>
          <w:sz w:val="24"/>
        </w:rPr>
        <w:t>utaka Arai-Takahashi</w:t>
      </w:r>
      <w:r w:rsidRPr="003F3485">
        <w:rPr>
          <w:rStyle w:val="aa"/>
          <w:bCs/>
          <w:sz w:val="20"/>
          <w:szCs w:val="20"/>
          <w:lang w:val="en-CA"/>
        </w:rPr>
        <w:footnoteReference w:customMarkFollows="1" w:id="1"/>
        <w:t>*</w:t>
      </w:r>
      <w:r w:rsidR="00E258EE" w:rsidRPr="003F3485">
        <w:rPr>
          <w:rFonts w:ascii="Times New Roman" w:hAnsi="Times New Roman" w:cs="Times New Roman"/>
          <w:bCs/>
          <w:sz w:val="24"/>
          <w:szCs w:val="24"/>
        </w:rPr>
        <w:t xml:space="preserve"> </w:t>
      </w:r>
    </w:p>
    <w:p w14:paraId="256ECE1B" w14:textId="4A990E4A" w:rsidR="003062BC" w:rsidRPr="003F3485" w:rsidRDefault="0086067E" w:rsidP="0081540D">
      <w:pPr>
        <w:rPr>
          <w:rFonts w:ascii="Times New Roman" w:hAnsi="Times New Roman" w:cs="Times New Roman"/>
          <w:bCs/>
          <w:sz w:val="24"/>
          <w:szCs w:val="24"/>
        </w:rPr>
      </w:pPr>
      <w:r w:rsidRPr="003F3485">
        <w:rPr>
          <w:rFonts w:ascii="Times New Roman" w:hAnsi="Times New Roman" w:cs="Times New Roman"/>
          <w:bCs/>
          <w:sz w:val="24"/>
          <w:szCs w:val="24"/>
        </w:rPr>
        <w:t xml:space="preserve">Table of Contents </w:t>
      </w:r>
    </w:p>
    <w:p w14:paraId="06F0B6DF" w14:textId="77777777" w:rsidR="0086067E" w:rsidRPr="003F3485" w:rsidRDefault="0086067E" w:rsidP="0081540D">
      <w:pPr>
        <w:rPr>
          <w:rFonts w:ascii="Times New Roman" w:hAnsi="Times New Roman" w:cs="Times New Roman"/>
          <w:bCs/>
          <w:sz w:val="24"/>
          <w:szCs w:val="24"/>
        </w:rPr>
      </w:pPr>
    </w:p>
    <w:p w14:paraId="303821B5" w14:textId="6CB916DE" w:rsidR="003062BC" w:rsidRPr="003F3485" w:rsidRDefault="003062BC" w:rsidP="0081540D">
      <w:pPr>
        <w:pStyle w:val="a3"/>
        <w:numPr>
          <w:ilvl w:val="0"/>
          <w:numId w:val="12"/>
        </w:numPr>
        <w:ind w:leftChars="0"/>
        <w:rPr>
          <w:rFonts w:ascii="Times New Roman" w:hAnsi="Times New Roman" w:cs="Times New Roman"/>
          <w:bCs/>
          <w:sz w:val="24"/>
          <w:szCs w:val="24"/>
        </w:rPr>
      </w:pPr>
      <w:r w:rsidRPr="003F3485">
        <w:rPr>
          <w:rFonts w:ascii="Times New Roman" w:hAnsi="Times New Roman" w:cs="Times New Roman"/>
          <w:bCs/>
          <w:sz w:val="24"/>
          <w:szCs w:val="24"/>
        </w:rPr>
        <w:t>Introduction</w:t>
      </w:r>
    </w:p>
    <w:p w14:paraId="275E8A87" w14:textId="77777777" w:rsidR="007F0292" w:rsidRPr="003F3485" w:rsidRDefault="007F0292" w:rsidP="0081540D">
      <w:pPr>
        <w:rPr>
          <w:rFonts w:ascii="Times New Roman" w:hAnsi="Times New Roman" w:cs="Times New Roman"/>
          <w:bCs/>
          <w:sz w:val="24"/>
          <w:szCs w:val="24"/>
        </w:rPr>
      </w:pPr>
    </w:p>
    <w:p w14:paraId="43ABCC8F" w14:textId="5246055B" w:rsidR="003062BC" w:rsidRPr="003F3485" w:rsidRDefault="003062BC" w:rsidP="0081540D">
      <w:pPr>
        <w:pStyle w:val="a3"/>
        <w:numPr>
          <w:ilvl w:val="0"/>
          <w:numId w:val="12"/>
        </w:numPr>
        <w:ind w:leftChars="0"/>
        <w:rPr>
          <w:rFonts w:ascii="Times New Roman" w:hAnsi="Times New Roman" w:cs="Times New Roman"/>
          <w:bCs/>
          <w:sz w:val="24"/>
          <w:szCs w:val="24"/>
        </w:rPr>
      </w:pPr>
      <w:r w:rsidRPr="003F3485">
        <w:rPr>
          <w:rFonts w:ascii="Times New Roman" w:hAnsi="Times New Roman" w:cs="Times New Roman"/>
          <w:bCs/>
          <w:sz w:val="24"/>
          <w:szCs w:val="24"/>
        </w:rPr>
        <w:t>Applicable Laws</w:t>
      </w:r>
    </w:p>
    <w:p w14:paraId="5BEF199F" w14:textId="5F2A05C0" w:rsidR="003062BC" w:rsidRPr="003F3485" w:rsidRDefault="0087117B" w:rsidP="0081540D">
      <w:pPr>
        <w:pStyle w:val="a3"/>
        <w:numPr>
          <w:ilvl w:val="0"/>
          <w:numId w:val="6"/>
        </w:numPr>
        <w:ind w:leftChars="0"/>
        <w:rPr>
          <w:rFonts w:ascii="Times New Roman" w:hAnsi="Times New Roman" w:cs="Times New Roman"/>
          <w:bCs/>
          <w:sz w:val="24"/>
          <w:szCs w:val="24"/>
        </w:rPr>
      </w:pPr>
      <w:r w:rsidRPr="003F3485">
        <w:rPr>
          <w:rFonts w:ascii="Times New Roman" w:hAnsi="Times New Roman" w:cs="Times New Roman"/>
          <w:bCs/>
          <w:sz w:val="24"/>
          <w:szCs w:val="24"/>
        </w:rPr>
        <w:t>Overview – the Israelis Supreme Court’s Judicial Review of Cases Relating to the Palestine O</w:t>
      </w:r>
      <w:r w:rsidR="007F0292" w:rsidRPr="003F3485">
        <w:rPr>
          <w:rFonts w:ascii="Times New Roman" w:hAnsi="Times New Roman" w:cs="Times New Roman"/>
          <w:bCs/>
          <w:sz w:val="24"/>
          <w:szCs w:val="24"/>
        </w:rPr>
        <w:t xml:space="preserve">ccupied </w:t>
      </w:r>
      <w:r w:rsidRPr="003F3485">
        <w:rPr>
          <w:rFonts w:ascii="Times New Roman" w:hAnsi="Times New Roman" w:cs="Times New Roman"/>
          <w:bCs/>
          <w:sz w:val="24"/>
          <w:szCs w:val="24"/>
        </w:rPr>
        <w:t>T</w:t>
      </w:r>
      <w:r w:rsidR="007F0292" w:rsidRPr="003F3485">
        <w:rPr>
          <w:rFonts w:ascii="Times New Roman" w:hAnsi="Times New Roman" w:cs="Times New Roman"/>
          <w:bCs/>
          <w:sz w:val="24"/>
          <w:szCs w:val="24"/>
        </w:rPr>
        <w:t>erritory</w:t>
      </w:r>
    </w:p>
    <w:p w14:paraId="5EFC70E0" w14:textId="3D01324D" w:rsidR="007F0292" w:rsidRPr="003F3485" w:rsidRDefault="007F0292" w:rsidP="0081540D">
      <w:pPr>
        <w:pStyle w:val="a3"/>
        <w:numPr>
          <w:ilvl w:val="0"/>
          <w:numId w:val="6"/>
        </w:numPr>
        <w:ind w:leftChars="0"/>
        <w:rPr>
          <w:rFonts w:ascii="Times New Roman" w:hAnsi="Times New Roman" w:cs="Times New Roman"/>
          <w:bCs/>
          <w:sz w:val="24"/>
          <w:szCs w:val="24"/>
        </w:rPr>
      </w:pPr>
      <w:r w:rsidRPr="003F3485">
        <w:rPr>
          <w:rFonts w:ascii="Times New Roman" w:hAnsi="Times New Roman" w:cs="Times New Roman"/>
          <w:bCs/>
          <w:sz w:val="24"/>
          <w:szCs w:val="24"/>
        </w:rPr>
        <w:t xml:space="preserve">The </w:t>
      </w:r>
      <w:r w:rsidR="0087117B" w:rsidRPr="003F3485">
        <w:rPr>
          <w:rFonts w:ascii="Times New Roman" w:hAnsi="Times New Roman" w:cs="Times New Roman"/>
          <w:bCs/>
          <w:sz w:val="24"/>
          <w:szCs w:val="24"/>
        </w:rPr>
        <w:t>Impact of the Israelis Public Law and IHRL</w:t>
      </w:r>
    </w:p>
    <w:p w14:paraId="71F375E8" w14:textId="7A44D196" w:rsidR="0087117B" w:rsidRPr="003F3485" w:rsidRDefault="0087117B" w:rsidP="0081540D">
      <w:pPr>
        <w:pStyle w:val="a3"/>
        <w:numPr>
          <w:ilvl w:val="0"/>
          <w:numId w:val="6"/>
        </w:numPr>
        <w:ind w:leftChars="0"/>
        <w:rPr>
          <w:rFonts w:ascii="Times New Roman" w:hAnsi="Times New Roman" w:cs="Times New Roman"/>
          <w:bCs/>
          <w:sz w:val="24"/>
          <w:szCs w:val="24"/>
        </w:rPr>
      </w:pPr>
      <w:r w:rsidRPr="003F3485">
        <w:rPr>
          <w:rFonts w:ascii="Times New Roman" w:hAnsi="Times New Roman" w:cs="Times New Roman" w:hint="eastAsia"/>
          <w:bCs/>
          <w:sz w:val="24"/>
          <w:szCs w:val="24"/>
        </w:rPr>
        <w:t>T</w:t>
      </w:r>
      <w:r w:rsidRPr="003F3485">
        <w:rPr>
          <w:rFonts w:ascii="Times New Roman" w:hAnsi="Times New Roman" w:cs="Times New Roman"/>
          <w:bCs/>
          <w:sz w:val="24"/>
          <w:szCs w:val="24"/>
        </w:rPr>
        <w:t>he Israeli Supreme Court’s Approach to the Law of Occupation – an Overall Assessment</w:t>
      </w:r>
    </w:p>
    <w:p w14:paraId="04218DB4" w14:textId="77777777" w:rsidR="0087117B" w:rsidRPr="003F3485" w:rsidRDefault="0087117B" w:rsidP="0087117B">
      <w:pPr>
        <w:rPr>
          <w:rFonts w:ascii="Times New Roman" w:hAnsi="Times New Roman" w:cs="Times New Roman"/>
          <w:bCs/>
          <w:sz w:val="24"/>
          <w:szCs w:val="24"/>
        </w:rPr>
      </w:pPr>
    </w:p>
    <w:p w14:paraId="41122B0D" w14:textId="77777777" w:rsidR="0087117B" w:rsidRPr="003F3485" w:rsidRDefault="007F0292" w:rsidP="0087117B">
      <w:pPr>
        <w:pStyle w:val="a3"/>
        <w:numPr>
          <w:ilvl w:val="0"/>
          <w:numId w:val="12"/>
        </w:numPr>
        <w:ind w:leftChars="0"/>
        <w:rPr>
          <w:rFonts w:ascii="Times New Roman" w:hAnsi="Times New Roman" w:cs="Times New Roman"/>
          <w:bCs/>
          <w:sz w:val="24"/>
          <w:szCs w:val="24"/>
        </w:rPr>
      </w:pPr>
      <w:r w:rsidRPr="003F3485">
        <w:rPr>
          <w:rFonts w:ascii="Times New Roman" w:hAnsi="Times New Roman" w:cs="Times New Roman"/>
          <w:bCs/>
          <w:sz w:val="24"/>
          <w:szCs w:val="24"/>
        </w:rPr>
        <w:t>Article 43 Hague Regulations</w:t>
      </w:r>
      <w:r w:rsidR="0087117B" w:rsidRPr="003F3485">
        <w:rPr>
          <w:rFonts w:ascii="Times New Roman" w:hAnsi="Times New Roman" w:cs="Times New Roman"/>
          <w:bCs/>
          <w:sz w:val="24"/>
          <w:szCs w:val="24"/>
        </w:rPr>
        <w:t xml:space="preserve"> </w:t>
      </w:r>
    </w:p>
    <w:p w14:paraId="04794C47" w14:textId="1A37DA59" w:rsidR="0087117B" w:rsidRPr="003F3485" w:rsidRDefault="0087117B" w:rsidP="0087117B">
      <w:pPr>
        <w:pStyle w:val="a3"/>
        <w:numPr>
          <w:ilvl w:val="0"/>
          <w:numId w:val="23"/>
        </w:numPr>
        <w:ind w:leftChars="0"/>
        <w:rPr>
          <w:rFonts w:ascii="Times New Roman" w:hAnsi="Times New Roman" w:cs="Times New Roman"/>
          <w:bCs/>
          <w:sz w:val="24"/>
          <w:szCs w:val="24"/>
        </w:rPr>
      </w:pPr>
      <w:r w:rsidRPr="003F3485">
        <w:rPr>
          <w:rFonts w:ascii="Times New Roman" w:hAnsi="Times New Roman" w:cs="Times New Roman" w:hint="eastAsia"/>
          <w:bCs/>
          <w:sz w:val="24"/>
          <w:szCs w:val="24"/>
        </w:rPr>
        <w:t>O</w:t>
      </w:r>
      <w:r w:rsidRPr="003F3485">
        <w:rPr>
          <w:rFonts w:ascii="Times New Roman" w:hAnsi="Times New Roman" w:cs="Times New Roman"/>
          <w:bCs/>
          <w:sz w:val="24"/>
          <w:szCs w:val="24"/>
        </w:rPr>
        <w:t>verview - ‘Battle of Interpretation’</w:t>
      </w:r>
    </w:p>
    <w:p w14:paraId="4370FD02" w14:textId="77777777" w:rsidR="00536996" w:rsidRPr="003F3485" w:rsidRDefault="0087117B" w:rsidP="00536996">
      <w:pPr>
        <w:pStyle w:val="a3"/>
        <w:numPr>
          <w:ilvl w:val="0"/>
          <w:numId w:val="23"/>
        </w:numPr>
        <w:ind w:leftChars="0"/>
        <w:rPr>
          <w:rFonts w:ascii="Times New Roman" w:hAnsi="Times New Roman" w:cs="Times New Roman"/>
          <w:bCs/>
          <w:sz w:val="24"/>
          <w:szCs w:val="24"/>
        </w:rPr>
      </w:pPr>
      <w:r w:rsidRPr="003F3485">
        <w:rPr>
          <w:rFonts w:ascii="Times New Roman" w:hAnsi="Times New Roman" w:cs="Times New Roman" w:hint="eastAsia"/>
          <w:bCs/>
          <w:sz w:val="24"/>
          <w:szCs w:val="24"/>
        </w:rPr>
        <w:t>W</w:t>
      </w:r>
      <w:r w:rsidRPr="003F3485">
        <w:rPr>
          <w:rFonts w:ascii="Times New Roman" w:hAnsi="Times New Roman" w:cs="Times New Roman"/>
          <w:bCs/>
          <w:sz w:val="24"/>
          <w:szCs w:val="24"/>
        </w:rPr>
        <w:t xml:space="preserve">ider Notion of (Military) Necessity </w:t>
      </w:r>
    </w:p>
    <w:p w14:paraId="6F916B52" w14:textId="660601A2" w:rsidR="00536996" w:rsidRPr="003F3485" w:rsidRDefault="00536996" w:rsidP="00536996">
      <w:pPr>
        <w:pStyle w:val="a3"/>
        <w:numPr>
          <w:ilvl w:val="0"/>
          <w:numId w:val="23"/>
        </w:numPr>
        <w:ind w:leftChars="0"/>
        <w:rPr>
          <w:rFonts w:ascii="Times New Roman" w:hAnsi="Times New Roman" w:cs="Times New Roman"/>
          <w:bCs/>
          <w:sz w:val="24"/>
          <w:szCs w:val="24"/>
        </w:rPr>
      </w:pPr>
      <w:r w:rsidRPr="003F3485">
        <w:rPr>
          <w:rFonts w:ascii="Times New Roman" w:hAnsi="Times New Roman" w:cs="Times New Roman"/>
          <w:bCs/>
          <w:sz w:val="24"/>
          <w:szCs w:val="24"/>
        </w:rPr>
        <w:t>Inclusion of Settlers’ Interests as Part of ‘Public Order and (Civil) Safety’ under Article 43 Hague Regulations</w:t>
      </w:r>
    </w:p>
    <w:p w14:paraId="0F7999DE" w14:textId="575BFA34" w:rsidR="00536996" w:rsidRPr="003F3485" w:rsidRDefault="00536996" w:rsidP="00536996">
      <w:pPr>
        <w:pStyle w:val="a3"/>
        <w:numPr>
          <w:ilvl w:val="0"/>
          <w:numId w:val="23"/>
        </w:numPr>
        <w:ind w:leftChars="0"/>
        <w:rPr>
          <w:rFonts w:ascii="Times New Roman" w:hAnsi="Times New Roman" w:cs="Times New Roman"/>
          <w:bCs/>
          <w:sz w:val="24"/>
          <w:szCs w:val="24"/>
        </w:rPr>
      </w:pPr>
      <w:r w:rsidRPr="003F3485">
        <w:rPr>
          <w:rFonts w:ascii="Times New Roman" w:hAnsi="Times New Roman" w:cs="Times New Roman" w:hint="eastAsia"/>
          <w:bCs/>
          <w:sz w:val="24"/>
          <w:szCs w:val="24"/>
        </w:rPr>
        <w:t>T</w:t>
      </w:r>
      <w:r w:rsidRPr="003F3485">
        <w:rPr>
          <w:rFonts w:ascii="Times New Roman" w:hAnsi="Times New Roman" w:cs="Times New Roman"/>
          <w:bCs/>
          <w:sz w:val="24"/>
          <w:szCs w:val="24"/>
        </w:rPr>
        <w:t>he Correlative Reading between the Purpose of Ensuring ‘Public Order and (Civil) Safety’ and the Expanding Parameters of the Necessity Exception to the General Principle of Preserving the Status Quo</w:t>
      </w:r>
    </w:p>
    <w:p w14:paraId="7E9A7D65" w14:textId="44D5690A" w:rsidR="00536996" w:rsidRPr="003F3485" w:rsidRDefault="00536996" w:rsidP="00536996">
      <w:pPr>
        <w:pStyle w:val="a3"/>
        <w:numPr>
          <w:ilvl w:val="0"/>
          <w:numId w:val="23"/>
        </w:numPr>
        <w:ind w:leftChars="0"/>
        <w:rPr>
          <w:rFonts w:ascii="Times New Roman" w:hAnsi="Times New Roman" w:cs="Times New Roman"/>
          <w:bCs/>
          <w:sz w:val="24"/>
          <w:szCs w:val="24"/>
        </w:rPr>
      </w:pPr>
      <w:r w:rsidRPr="003F3485">
        <w:rPr>
          <w:rFonts w:ascii="Times New Roman" w:hAnsi="Times New Roman" w:cs="Times New Roman" w:hint="eastAsia"/>
          <w:bCs/>
          <w:sz w:val="24"/>
          <w:szCs w:val="24"/>
        </w:rPr>
        <w:t>T</w:t>
      </w:r>
      <w:r w:rsidRPr="003F3485">
        <w:rPr>
          <w:rFonts w:ascii="Times New Roman" w:hAnsi="Times New Roman" w:cs="Times New Roman"/>
          <w:bCs/>
          <w:sz w:val="24"/>
          <w:szCs w:val="24"/>
        </w:rPr>
        <w:t>he ‘Dominant Factor’ Test</w:t>
      </w:r>
    </w:p>
    <w:p w14:paraId="6EBA4C28" w14:textId="77777777" w:rsidR="00536996" w:rsidRPr="003F3485" w:rsidRDefault="00536996" w:rsidP="00536996">
      <w:pPr>
        <w:pStyle w:val="a3"/>
        <w:numPr>
          <w:ilvl w:val="0"/>
          <w:numId w:val="23"/>
        </w:numPr>
        <w:ind w:leftChars="0"/>
        <w:rPr>
          <w:rFonts w:ascii="Times New Roman" w:hAnsi="Times New Roman" w:cs="Times New Roman"/>
          <w:bCs/>
          <w:sz w:val="24"/>
          <w:szCs w:val="24"/>
        </w:rPr>
      </w:pPr>
      <w:r w:rsidRPr="003F3485">
        <w:rPr>
          <w:rFonts w:ascii="Times New Roman" w:hAnsi="Times New Roman" w:cs="Times New Roman" w:hint="eastAsia"/>
          <w:bCs/>
          <w:sz w:val="24"/>
          <w:szCs w:val="24"/>
        </w:rPr>
        <w:t>T</w:t>
      </w:r>
      <w:r w:rsidRPr="003F3485">
        <w:rPr>
          <w:rFonts w:ascii="Times New Roman" w:hAnsi="Times New Roman" w:cs="Times New Roman"/>
          <w:bCs/>
          <w:sz w:val="24"/>
          <w:szCs w:val="24"/>
        </w:rPr>
        <w:t>he Approach of Grafting the General Concept of (Military) Necessity onto a Specific Provision</w:t>
      </w:r>
    </w:p>
    <w:p w14:paraId="0E72F101" w14:textId="77777777" w:rsidR="00536996" w:rsidRPr="003F3485" w:rsidRDefault="00536996" w:rsidP="00536996">
      <w:pPr>
        <w:pStyle w:val="a3"/>
        <w:numPr>
          <w:ilvl w:val="0"/>
          <w:numId w:val="12"/>
        </w:numPr>
        <w:ind w:leftChars="0"/>
        <w:rPr>
          <w:rFonts w:ascii="Times New Roman" w:hAnsi="Times New Roman" w:cs="Times New Roman"/>
          <w:bCs/>
          <w:sz w:val="24"/>
          <w:szCs w:val="24"/>
        </w:rPr>
      </w:pPr>
      <w:r w:rsidRPr="003F3485">
        <w:rPr>
          <w:rFonts w:ascii="Times New Roman" w:hAnsi="Times New Roman" w:cs="Times New Roman"/>
          <w:bCs/>
          <w:sz w:val="24"/>
          <w:szCs w:val="24"/>
        </w:rPr>
        <w:lastRenderedPageBreak/>
        <w:t xml:space="preserve">Controversial Interpretations Adduced by the Israeli Supreme Court </w:t>
      </w:r>
    </w:p>
    <w:p w14:paraId="547DCBCA" w14:textId="77777777" w:rsidR="00536996" w:rsidRPr="003F3485" w:rsidRDefault="00536996" w:rsidP="00536996">
      <w:pPr>
        <w:pStyle w:val="a3"/>
        <w:numPr>
          <w:ilvl w:val="0"/>
          <w:numId w:val="7"/>
        </w:numPr>
        <w:ind w:leftChars="0"/>
        <w:rPr>
          <w:rFonts w:ascii="Times New Roman" w:hAnsi="Times New Roman" w:cs="Times New Roman"/>
          <w:bCs/>
          <w:sz w:val="24"/>
          <w:szCs w:val="24"/>
        </w:rPr>
      </w:pPr>
      <w:r w:rsidRPr="003F3485">
        <w:rPr>
          <w:rFonts w:ascii="Times New Roman" w:hAnsi="Times New Roman" w:cs="Times New Roman"/>
          <w:bCs/>
          <w:sz w:val="24"/>
          <w:szCs w:val="24"/>
        </w:rPr>
        <w:t xml:space="preserve">Overview </w:t>
      </w:r>
    </w:p>
    <w:p w14:paraId="22822EC4" w14:textId="77777777" w:rsidR="00536996" w:rsidRPr="003F3485" w:rsidRDefault="00536996" w:rsidP="00536996">
      <w:pPr>
        <w:pStyle w:val="a3"/>
        <w:numPr>
          <w:ilvl w:val="0"/>
          <w:numId w:val="7"/>
        </w:numPr>
        <w:ind w:leftChars="0"/>
        <w:rPr>
          <w:rFonts w:ascii="Times New Roman" w:hAnsi="Times New Roman" w:cs="Times New Roman"/>
          <w:bCs/>
          <w:sz w:val="24"/>
          <w:szCs w:val="24"/>
        </w:rPr>
      </w:pPr>
      <w:r w:rsidRPr="003F3485">
        <w:rPr>
          <w:rFonts w:ascii="Times New Roman" w:hAnsi="Times New Roman" w:cs="Times New Roman"/>
          <w:bCs/>
          <w:sz w:val="24"/>
          <w:szCs w:val="24"/>
        </w:rPr>
        <w:t xml:space="preserve">Settlements, </w:t>
      </w:r>
      <w:proofErr w:type="gramStart"/>
      <w:r w:rsidRPr="003F3485">
        <w:rPr>
          <w:rFonts w:ascii="Times New Roman" w:hAnsi="Times New Roman" w:cs="Times New Roman"/>
          <w:bCs/>
          <w:sz w:val="24"/>
          <w:szCs w:val="24"/>
        </w:rPr>
        <w:t>Settlers</w:t>
      </w:r>
      <w:proofErr w:type="gramEnd"/>
      <w:r w:rsidRPr="003F3485">
        <w:rPr>
          <w:rFonts w:ascii="Times New Roman" w:hAnsi="Times New Roman" w:cs="Times New Roman"/>
          <w:bCs/>
          <w:sz w:val="24"/>
          <w:szCs w:val="24"/>
        </w:rPr>
        <w:t xml:space="preserve"> and Creeping Colonization through Planning Policies in Area A</w:t>
      </w:r>
    </w:p>
    <w:p w14:paraId="64808D61" w14:textId="77777777" w:rsidR="00536996" w:rsidRPr="003F3485" w:rsidRDefault="00536996" w:rsidP="00536996">
      <w:pPr>
        <w:pStyle w:val="a3"/>
        <w:numPr>
          <w:ilvl w:val="0"/>
          <w:numId w:val="7"/>
        </w:numPr>
        <w:ind w:leftChars="0"/>
        <w:rPr>
          <w:rFonts w:ascii="Times New Roman" w:hAnsi="Times New Roman" w:cs="Times New Roman"/>
          <w:bCs/>
          <w:sz w:val="24"/>
          <w:szCs w:val="24"/>
        </w:rPr>
      </w:pPr>
      <w:r w:rsidRPr="003F3485">
        <w:rPr>
          <w:rFonts w:ascii="Times New Roman" w:hAnsi="Times New Roman" w:cs="Times New Roman"/>
          <w:bCs/>
          <w:sz w:val="24"/>
          <w:szCs w:val="24"/>
        </w:rPr>
        <w:t>Deportation</w:t>
      </w:r>
    </w:p>
    <w:p w14:paraId="30D8001F" w14:textId="77777777" w:rsidR="00536996" w:rsidRPr="003F3485" w:rsidRDefault="00536996" w:rsidP="00536996">
      <w:pPr>
        <w:rPr>
          <w:rFonts w:ascii="Times New Roman" w:hAnsi="Times New Roman" w:cs="Times New Roman"/>
          <w:bCs/>
          <w:sz w:val="24"/>
          <w:szCs w:val="24"/>
        </w:rPr>
      </w:pPr>
    </w:p>
    <w:p w14:paraId="55718E3C" w14:textId="072FDE83" w:rsidR="00536996" w:rsidRPr="003F3485" w:rsidRDefault="00536996" w:rsidP="00536996">
      <w:pPr>
        <w:pStyle w:val="a3"/>
        <w:numPr>
          <w:ilvl w:val="0"/>
          <w:numId w:val="12"/>
        </w:numPr>
        <w:ind w:leftChars="0"/>
        <w:rPr>
          <w:rFonts w:ascii="Times New Roman" w:hAnsi="Times New Roman" w:cs="Times New Roman"/>
          <w:bCs/>
          <w:sz w:val="24"/>
          <w:szCs w:val="24"/>
        </w:rPr>
      </w:pPr>
      <w:r w:rsidRPr="003F3485">
        <w:rPr>
          <w:rFonts w:ascii="Times New Roman" w:hAnsi="Times New Roman" w:cs="Times New Roman"/>
          <w:bCs/>
          <w:sz w:val="24"/>
          <w:szCs w:val="24"/>
        </w:rPr>
        <w:t xml:space="preserve">Areas Where the Supreme Court’s Policy </w:t>
      </w:r>
      <w:r w:rsidR="00332A60">
        <w:rPr>
          <w:rFonts w:ascii="Times New Roman" w:hAnsi="Times New Roman" w:cs="Times New Roman"/>
          <w:bCs/>
          <w:sz w:val="24"/>
          <w:szCs w:val="24"/>
        </w:rPr>
        <w:t>Has SHown</w:t>
      </w:r>
      <w:r w:rsidRPr="003F3485">
        <w:rPr>
          <w:rFonts w:ascii="Times New Roman" w:hAnsi="Times New Roman" w:cs="Times New Roman"/>
          <w:bCs/>
          <w:sz w:val="24"/>
          <w:szCs w:val="24"/>
        </w:rPr>
        <w:t xml:space="preserve"> the Mixture of Restrictive Interpretation and Some Progressive Tendencies</w:t>
      </w:r>
    </w:p>
    <w:p w14:paraId="5D8AB1A6" w14:textId="77777777" w:rsidR="00536996" w:rsidRPr="003F3485" w:rsidRDefault="00536996" w:rsidP="00536996">
      <w:pPr>
        <w:pStyle w:val="a3"/>
        <w:numPr>
          <w:ilvl w:val="0"/>
          <w:numId w:val="24"/>
        </w:numPr>
        <w:ind w:leftChars="0"/>
        <w:rPr>
          <w:rFonts w:ascii="Times New Roman" w:hAnsi="Times New Roman" w:cs="Times New Roman"/>
          <w:bCs/>
          <w:sz w:val="24"/>
          <w:szCs w:val="24"/>
        </w:rPr>
      </w:pPr>
      <w:r w:rsidRPr="003F3485">
        <w:rPr>
          <w:rFonts w:ascii="Times New Roman" w:hAnsi="Times New Roman" w:cs="Times New Roman"/>
          <w:bCs/>
          <w:sz w:val="24"/>
          <w:szCs w:val="24"/>
        </w:rPr>
        <w:t>Overview</w:t>
      </w:r>
    </w:p>
    <w:p w14:paraId="7E688FB3" w14:textId="77777777" w:rsidR="00536996" w:rsidRPr="003F3485" w:rsidRDefault="00536996" w:rsidP="00536996">
      <w:pPr>
        <w:pStyle w:val="a3"/>
        <w:numPr>
          <w:ilvl w:val="0"/>
          <w:numId w:val="24"/>
        </w:numPr>
        <w:ind w:leftChars="0"/>
        <w:rPr>
          <w:rFonts w:ascii="Times New Roman" w:hAnsi="Times New Roman" w:cs="Times New Roman"/>
          <w:bCs/>
          <w:sz w:val="24"/>
          <w:szCs w:val="24"/>
        </w:rPr>
      </w:pPr>
      <w:r w:rsidRPr="003F3485">
        <w:rPr>
          <w:rFonts w:ascii="Times New Roman" w:hAnsi="Times New Roman" w:cs="Times New Roman"/>
          <w:bCs/>
          <w:sz w:val="24"/>
          <w:szCs w:val="24"/>
        </w:rPr>
        <w:t>Interrogation Techniques</w:t>
      </w:r>
    </w:p>
    <w:p w14:paraId="0888BA1F" w14:textId="57DC71AE" w:rsidR="00536996" w:rsidRPr="003F3485" w:rsidRDefault="00536996" w:rsidP="00536996">
      <w:pPr>
        <w:pStyle w:val="a3"/>
        <w:numPr>
          <w:ilvl w:val="0"/>
          <w:numId w:val="24"/>
        </w:numPr>
        <w:ind w:leftChars="0"/>
        <w:rPr>
          <w:rFonts w:ascii="Times New Roman" w:hAnsi="Times New Roman" w:cs="Times New Roman"/>
          <w:bCs/>
          <w:sz w:val="24"/>
          <w:szCs w:val="24"/>
        </w:rPr>
      </w:pPr>
      <w:r w:rsidRPr="003F3485">
        <w:rPr>
          <w:rFonts w:ascii="Times New Roman" w:hAnsi="Times New Roman" w:cs="Times New Roman"/>
          <w:bCs/>
          <w:sz w:val="24"/>
          <w:szCs w:val="24"/>
        </w:rPr>
        <w:t>The Security Barrier</w:t>
      </w:r>
    </w:p>
    <w:p w14:paraId="3F0201B1" w14:textId="3D349345" w:rsidR="00850D49" w:rsidRPr="003F3485" w:rsidRDefault="00850D49" w:rsidP="00850D49">
      <w:pPr>
        <w:rPr>
          <w:rFonts w:ascii="Times New Roman" w:hAnsi="Times New Roman" w:cs="Times New Roman"/>
          <w:bCs/>
          <w:sz w:val="24"/>
          <w:szCs w:val="24"/>
        </w:rPr>
      </w:pPr>
    </w:p>
    <w:p w14:paraId="2502A518" w14:textId="5D008477" w:rsidR="00850D49" w:rsidRPr="003F3485" w:rsidRDefault="00850D49" w:rsidP="00850D49">
      <w:pPr>
        <w:pStyle w:val="a3"/>
        <w:numPr>
          <w:ilvl w:val="0"/>
          <w:numId w:val="12"/>
        </w:numPr>
        <w:ind w:leftChars="0"/>
        <w:rPr>
          <w:rFonts w:ascii="Times New Roman" w:hAnsi="Times New Roman" w:cs="Times New Roman"/>
          <w:bCs/>
          <w:sz w:val="24"/>
          <w:szCs w:val="24"/>
        </w:rPr>
      </w:pPr>
      <w:r w:rsidRPr="003F3485">
        <w:rPr>
          <w:rFonts w:ascii="Times New Roman" w:hAnsi="Times New Roman" w:cs="Times New Roman" w:hint="eastAsia"/>
          <w:bCs/>
          <w:sz w:val="24"/>
          <w:szCs w:val="24"/>
        </w:rPr>
        <w:t>P</w:t>
      </w:r>
      <w:r w:rsidRPr="003F3485">
        <w:rPr>
          <w:rFonts w:ascii="Times New Roman" w:hAnsi="Times New Roman" w:cs="Times New Roman"/>
          <w:bCs/>
          <w:sz w:val="24"/>
          <w:szCs w:val="24"/>
        </w:rPr>
        <w:t>rogressive Approaches Disclosed by the Israeli Supreme Court</w:t>
      </w:r>
    </w:p>
    <w:p w14:paraId="288AFB0E" w14:textId="77777777" w:rsidR="00850D49" w:rsidRPr="003F3485" w:rsidRDefault="00850D49" w:rsidP="00850D49">
      <w:pPr>
        <w:pStyle w:val="a3"/>
        <w:numPr>
          <w:ilvl w:val="0"/>
          <w:numId w:val="25"/>
        </w:numPr>
        <w:ind w:leftChars="0"/>
        <w:rPr>
          <w:rFonts w:ascii="Times New Roman" w:hAnsi="Times New Roman" w:cs="Times New Roman"/>
          <w:bCs/>
          <w:sz w:val="24"/>
          <w:szCs w:val="24"/>
        </w:rPr>
      </w:pPr>
      <w:r w:rsidRPr="003F3485">
        <w:rPr>
          <w:rFonts w:ascii="Times New Roman" w:hAnsi="Times New Roman" w:cs="Times New Roman"/>
          <w:bCs/>
          <w:sz w:val="24"/>
          <w:szCs w:val="24"/>
        </w:rPr>
        <w:t>Overview</w:t>
      </w:r>
    </w:p>
    <w:p w14:paraId="65FF3BBA" w14:textId="77777777" w:rsidR="00850D49" w:rsidRPr="003F3485" w:rsidRDefault="00850D49" w:rsidP="00850D49">
      <w:pPr>
        <w:pStyle w:val="a3"/>
        <w:numPr>
          <w:ilvl w:val="0"/>
          <w:numId w:val="25"/>
        </w:numPr>
        <w:ind w:leftChars="0"/>
        <w:rPr>
          <w:rFonts w:ascii="Times New Roman" w:hAnsi="Times New Roman" w:cs="Times New Roman"/>
          <w:bCs/>
          <w:sz w:val="24"/>
          <w:szCs w:val="24"/>
        </w:rPr>
      </w:pPr>
      <w:r w:rsidRPr="003F3485">
        <w:rPr>
          <w:rFonts w:ascii="Times New Roman" w:hAnsi="Times New Roman" w:cs="Times New Roman"/>
          <w:bCs/>
          <w:sz w:val="24"/>
          <w:szCs w:val="24"/>
        </w:rPr>
        <w:t xml:space="preserve">Economic and Social Rights of the Gaza Inhabitants </w:t>
      </w:r>
    </w:p>
    <w:p w14:paraId="5B2A6B30" w14:textId="6C0D70DF" w:rsidR="00850D49" w:rsidRPr="003F3485" w:rsidRDefault="00850D49" w:rsidP="00850D49">
      <w:pPr>
        <w:pStyle w:val="a3"/>
        <w:numPr>
          <w:ilvl w:val="0"/>
          <w:numId w:val="25"/>
        </w:numPr>
        <w:ind w:leftChars="0"/>
        <w:rPr>
          <w:rFonts w:ascii="Times New Roman" w:hAnsi="Times New Roman" w:cs="Times New Roman"/>
          <w:bCs/>
          <w:sz w:val="24"/>
          <w:szCs w:val="24"/>
        </w:rPr>
      </w:pPr>
      <w:r w:rsidRPr="003F3485">
        <w:rPr>
          <w:rFonts w:ascii="Times New Roman" w:hAnsi="Times New Roman" w:cs="Times New Roman"/>
          <w:bCs/>
          <w:sz w:val="24"/>
          <w:szCs w:val="24"/>
        </w:rPr>
        <w:t>Judicial Review of Means and Methods of Active Hostilities</w:t>
      </w:r>
    </w:p>
    <w:p w14:paraId="5AAFFFDD" w14:textId="28EBEE0E" w:rsidR="00850D49" w:rsidRPr="003F3485" w:rsidRDefault="00850D49" w:rsidP="00850D49">
      <w:pPr>
        <w:rPr>
          <w:rFonts w:ascii="Times New Roman" w:hAnsi="Times New Roman" w:cs="Times New Roman"/>
          <w:bCs/>
          <w:sz w:val="24"/>
          <w:szCs w:val="24"/>
        </w:rPr>
      </w:pPr>
    </w:p>
    <w:p w14:paraId="7E185571" w14:textId="5A5F6C2E" w:rsidR="00850D49" w:rsidRPr="003F3485" w:rsidRDefault="00332A60" w:rsidP="00850D49">
      <w:pPr>
        <w:pStyle w:val="a3"/>
        <w:numPr>
          <w:ilvl w:val="0"/>
          <w:numId w:val="12"/>
        </w:numPr>
        <w:ind w:leftChars="0"/>
        <w:rPr>
          <w:rFonts w:ascii="Times New Roman" w:hAnsi="Times New Roman" w:cs="Times New Roman"/>
          <w:bCs/>
          <w:sz w:val="24"/>
          <w:szCs w:val="24"/>
        </w:rPr>
      </w:pPr>
      <w:r>
        <w:rPr>
          <w:rFonts w:ascii="Times New Roman" w:hAnsi="Times New Roman" w:cs="Times New Roman"/>
          <w:bCs/>
          <w:sz w:val="24"/>
          <w:szCs w:val="24"/>
        </w:rPr>
        <w:t xml:space="preserve">A Critique of Certain </w:t>
      </w:r>
      <w:r w:rsidR="00850D49" w:rsidRPr="003F3485">
        <w:rPr>
          <w:rFonts w:ascii="Times New Roman" w:hAnsi="Times New Roman" w:cs="Times New Roman"/>
          <w:bCs/>
          <w:sz w:val="24"/>
          <w:szCs w:val="24"/>
        </w:rPr>
        <w:t>Modalit</w:t>
      </w:r>
      <w:r>
        <w:rPr>
          <w:rFonts w:ascii="Times New Roman" w:hAnsi="Times New Roman" w:cs="Times New Roman"/>
          <w:bCs/>
          <w:sz w:val="24"/>
          <w:szCs w:val="24"/>
        </w:rPr>
        <w:t>ies</w:t>
      </w:r>
      <w:r w:rsidR="00850D49" w:rsidRPr="003F3485">
        <w:rPr>
          <w:rFonts w:ascii="Times New Roman" w:hAnsi="Times New Roman" w:cs="Times New Roman"/>
          <w:bCs/>
          <w:sz w:val="24"/>
          <w:szCs w:val="24"/>
        </w:rPr>
        <w:t xml:space="preserve"> of </w:t>
      </w:r>
      <w:r>
        <w:rPr>
          <w:rFonts w:ascii="Times New Roman" w:hAnsi="Times New Roman" w:cs="Times New Roman"/>
          <w:bCs/>
          <w:sz w:val="24"/>
          <w:szCs w:val="24"/>
        </w:rPr>
        <w:t xml:space="preserve">the </w:t>
      </w:r>
      <w:r w:rsidR="00850D49" w:rsidRPr="003F3485">
        <w:rPr>
          <w:rFonts w:ascii="Times New Roman" w:hAnsi="Times New Roman" w:cs="Times New Roman"/>
          <w:bCs/>
          <w:sz w:val="24"/>
          <w:szCs w:val="24"/>
        </w:rPr>
        <w:t>Proportionality Appraisal</w:t>
      </w:r>
      <w:r w:rsidR="0017554F">
        <w:rPr>
          <w:rFonts w:ascii="Times New Roman" w:hAnsi="Times New Roman" w:cs="Times New Roman"/>
          <w:bCs/>
          <w:sz w:val="24"/>
          <w:szCs w:val="24"/>
        </w:rPr>
        <w:t xml:space="preserve"> </w:t>
      </w:r>
      <w:r w:rsidR="00850D49" w:rsidRPr="003F3485">
        <w:rPr>
          <w:rFonts w:ascii="Times New Roman" w:hAnsi="Times New Roman" w:cs="Times New Roman"/>
          <w:bCs/>
          <w:sz w:val="24"/>
          <w:szCs w:val="24"/>
        </w:rPr>
        <w:t xml:space="preserve">Undertaken by the Israeli Supreme Court </w:t>
      </w:r>
    </w:p>
    <w:p w14:paraId="049CE042" w14:textId="77777777" w:rsidR="00850D49" w:rsidRPr="003F3485" w:rsidRDefault="00850D49" w:rsidP="00850D49">
      <w:pPr>
        <w:rPr>
          <w:rFonts w:ascii="Times New Roman" w:hAnsi="Times New Roman" w:cs="Times New Roman"/>
          <w:bCs/>
          <w:sz w:val="24"/>
          <w:szCs w:val="24"/>
        </w:rPr>
      </w:pPr>
    </w:p>
    <w:p w14:paraId="03C5E75F" w14:textId="7461098C" w:rsidR="005F3023" w:rsidRPr="003F3485" w:rsidRDefault="005F3023" w:rsidP="00850D49">
      <w:pPr>
        <w:pStyle w:val="a3"/>
        <w:numPr>
          <w:ilvl w:val="0"/>
          <w:numId w:val="12"/>
        </w:numPr>
        <w:ind w:leftChars="0"/>
        <w:rPr>
          <w:rFonts w:ascii="Times New Roman" w:hAnsi="Times New Roman" w:cs="Times New Roman"/>
          <w:bCs/>
          <w:sz w:val="24"/>
          <w:szCs w:val="24"/>
        </w:rPr>
      </w:pPr>
      <w:r w:rsidRPr="003F3485">
        <w:rPr>
          <w:rFonts w:ascii="Times New Roman" w:hAnsi="Times New Roman" w:cs="Times New Roman"/>
          <w:bCs/>
          <w:sz w:val="24"/>
          <w:szCs w:val="24"/>
        </w:rPr>
        <w:t>Conclu</w:t>
      </w:r>
      <w:r w:rsidR="00850D49" w:rsidRPr="003F3485">
        <w:rPr>
          <w:rFonts w:ascii="Times New Roman" w:hAnsi="Times New Roman" w:cs="Times New Roman"/>
          <w:bCs/>
          <w:sz w:val="24"/>
          <w:szCs w:val="24"/>
        </w:rPr>
        <w:t>ding Observations</w:t>
      </w:r>
    </w:p>
    <w:p w14:paraId="0336BFA3" w14:textId="1E584851" w:rsidR="005F3023" w:rsidRPr="003F3485" w:rsidRDefault="005F3023" w:rsidP="0081540D">
      <w:pPr>
        <w:rPr>
          <w:rFonts w:ascii="Times New Roman" w:hAnsi="Times New Roman" w:cs="Times New Roman"/>
          <w:bCs/>
          <w:sz w:val="24"/>
          <w:szCs w:val="24"/>
        </w:rPr>
      </w:pPr>
    </w:p>
    <w:p w14:paraId="35B230E3" w14:textId="77777777" w:rsidR="00353D62" w:rsidRPr="009E6775" w:rsidRDefault="00353D62" w:rsidP="0081540D">
      <w:pPr>
        <w:widowControl/>
        <w:rPr>
          <w:rFonts w:ascii="Times New Roman" w:hAnsi="Times New Roman" w:cs="Times New Roman"/>
          <w:b/>
          <w:sz w:val="24"/>
          <w:szCs w:val="24"/>
        </w:rPr>
      </w:pPr>
      <w:r w:rsidRPr="009E6775">
        <w:rPr>
          <w:rFonts w:ascii="Times New Roman" w:hAnsi="Times New Roman" w:cs="Times New Roman"/>
          <w:b/>
          <w:sz w:val="24"/>
          <w:szCs w:val="24"/>
        </w:rPr>
        <w:br w:type="page"/>
      </w:r>
    </w:p>
    <w:p w14:paraId="3646C04F" w14:textId="77777777" w:rsidR="002C4F3F" w:rsidRDefault="000E2606" w:rsidP="002C4F3F">
      <w:pPr>
        <w:pStyle w:val="a3"/>
        <w:numPr>
          <w:ilvl w:val="0"/>
          <w:numId w:val="13"/>
        </w:numPr>
        <w:ind w:leftChars="0"/>
        <w:rPr>
          <w:rFonts w:ascii="Times New Roman" w:hAnsi="Times New Roman" w:cs="Times New Roman"/>
          <w:b/>
          <w:sz w:val="24"/>
          <w:szCs w:val="24"/>
        </w:rPr>
      </w:pPr>
      <w:r w:rsidRPr="009E6775">
        <w:rPr>
          <w:rFonts w:ascii="Times New Roman" w:hAnsi="Times New Roman" w:cs="Times New Roman"/>
          <w:b/>
          <w:sz w:val="24"/>
          <w:szCs w:val="24"/>
        </w:rPr>
        <w:lastRenderedPageBreak/>
        <w:t>Introduction</w:t>
      </w:r>
    </w:p>
    <w:p w14:paraId="4FFC35C0" w14:textId="3B8346FA" w:rsidR="00277334" w:rsidRPr="002C4F3F" w:rsidRDefault="00EB4E47" w:rsidP="002C4F3F">
      <w:pPr>
        <w:rPr>
          <w:rFonts w:ascii="Times New Roman" w:hAnsi="Times New Roman" w:cs="Times New Roman"/>
          <w:b/>
          <w:sz w:val="24"/>
          <w:szCs w:val="24"/>
        </w:rPr>
      </w:pPr>
      <w:r w:rsidRPr="002C4F3F">
        <w:rPr>
          <w:rFonts w:ascii="Times New Roman" w:hAnsi="Times New Roman" w:cs="Times New Roman"/>
          <w:sz w:val="24"/>
          <w:szCs w:val="24"/>
        </w:rPr>
        <w:t xml:space="preserve">This book, </w:t>
      </w:r>
      <w:r w:rsidRPr="002C4F3F">
        <w:rPr>
          <w:rFonts w:ascii="Times New Roman" w:hAnsi="Times New Roman" w:cs="Times New Roman"/>
          <w:bCs/>
          <w:i/>
          <w:iCs/>
          <w:sz w:val="24"/>
          <w:szCs w:val="24"/>
        </w:rPr>
        <w:t>The Occupation of Justice</w:t>
      </w:r>
      <w:r w:rsidR="002C4F3F" w:rsidRPr="002C4F3F">
        <w:rPr>
          <w:rFonts w:ascii="Times New Roman" w:hAnsi="Times New Roman" w:cs="Times New Roman"/>
          <w:bCs/>
          <w:i/>
          <w:iCs/>
          <w:sz w:val="24"/>
          <w:szCs w:val="24"/>
        </w:rPr>
        <w:t xml:space="preserve"> -</w:t>
      </w:r>
      <w:r w:rsidR="002C4F3F" w:rsidRPr="002C4F3F">
        <w:rPr>
          <w:rFonts w:ascii="Verdana" w:hAnsi="Verdana"/>
          <w:b/>
          <w:bCs/>
          <w:sz w:val="31"/>
          <w:szCs w:val="31"/>
        </w:rPr>
        <w:t xml:space="preserve"> </w:t>
      </w:r>
      <w:r w:rsidR="002C4F3F" w:rsidRPr="002C4F3F">
        <w:rPr>
          <w:rFonts w:ascii="Times New Roman" w:hAnsi="Times New Roman" w:cs="Times New Roman"/>
          <w:sz w:val="24"/>
          <w:szCs w:val="24"/>
        </w:rPr>
        <w:t>The Supreme Court of Israel and the Occupied Territories</w:t>
      </w:r>
      <w:r w:rsidRPr="002C4F3F">
        <w:rPr>
          <w:rFonts w:ascii="Times New Roman" w:hAnsi="Times New Roman" w:cs="Times New Roman"/>
          <w:bCs/>
          <w:i/>
          <w:iCs/>
          <w:sz w:val="24"/>
          <w:szCs w:val="24"/>
        </w:rPr>
        <w:t>,</w:t>
      </w:r>
      <w:r w:rsidRPr="002C4F3F">
        <w:rPr>
          <w:rFonts w:ascii="Times New Roman" w:hAnsi="Times New Roman" w:cs="Times New Roman"/>
          <w:bCs/>
          <w:sz w:val="24"/>
          <w:szCs w:val="24"/>
        </w:rPr>
        <w:t xml:space="preserve"> </w:t>
      </w:r>
      <w:r w:rsidRPr="002C4F3F">
        <w:rPr>
          <w:rFonts w:ascii="Times New Roman" w:hAnsi="Times New Roman" w:cs="Times New Roman"/>
          <w:sz w:val="24"/>
          <w:szCs w:val="24"/>
        </w:rPr>
        <w:t xml:space="preserve">written by two distinguished Israeli professors of international law (Prof. David Kretzmer, the emeritus professor at Hebrew University, the former member of the Human Rights Committee; and Prof. Yael Ronen, professor at the Academic Centre for Science and Law), </w:t>
      </w:r>
      <w:r w:rsidRPr="002C4F3F">
        <w:rPr>
          <w:rFonts w:ascii="Times New Roman" w:hAnsi="Times New Roman" w:cs="Times New Roman"/>
          <w:sz w:val="24"/>
          <w:szCs w:val="24"/>
        </w:rPr>
        <w:t xml:space="preserve">aims to </w:t>
      </w:r>
      <w:r w:rsidRPr="002C4F3F">
        <w:rPr>
          <w:rFonts w:ascii="Times New Roman" w:hAnsi="Times New Roman" w:cs="Times New Roman"/>
          <w:sz w:val="24"/>
          <w:szCs w:val="24"/>
        </w:rPr>
        <w:t xml:space="preserve">engage in a thorough assessment of the case-law </w:t>
      </w:r>
      <w:r w:rsidRPr="002C4F3F">
        <w:rPr>
          <w:rFonts w:ascii="Times New Roman" w:hAnsi="Times New Roman" w:cs="Times New Roman"/>
          <w:sz w:val="24"/>
          <w:szCs w:val="24"/>
        </w:rPr>
        <w:t xml:space="preserve">of the </w:t>
      </w:r>
      <w:r w:rsidRPr="002C4F3F">
        <w:rPr>
          <w:rFonts w:ascii="Times New Roman" w:hAnsi="Times New Roman" w:cs="Times New Roman"/>
          <w:sz w:val="24"/>
          <w:szCs w:val="24"/>
        </w:rPr>
        <w:t>Israeli Supreme Court of Justice (hereinafter, the ‘SC’)</w:t>
      </w:r>
      <w:r w:rsidR="007F073B" w:rsidRPr="002C4F3F">
        <w:rPr>
          <w:rFonts w:ascii="Times New Roman" w:hAnsi="Times New Roman" w:cs="Times New Roman"/>
          <w:sz w:val="24"/>
          <w:szCs w:val="24"/>
        </w:rPr>
        <w:t xml:space="preserve"> through</w:t>
      </w:r>
      <w:r w:rsidRPr="002C4F3F">
        <w:rPr>
          <w:rFonts w:ascii="Times New Roman" w:hAnsi="Times New Roman" w:cs="Times New Roman"/>
          <w:sz w:val="24"/>
          <w:szCs w:val="24"/>
        </w:rPr>
        <w:t xml:space="preserve"> the authors’ refreshingly critical </w:t>
      </w:r>
      <w:r w:rsidR="007F073B" w:rsidRPr="002C4F3F">
        <w:rPr>
          <w:rFonts w:ascii="Times New Roman" w:hAnsi="Times New Roman" w:cs="Times New Roman"/>
          <w:sz w:val="24"/>
          <w:szCs w:val="24"/>
        </w:rPr>
        <w:t>lenses</w:t>
      </w:r>
      <w:r w:rsidRPr="002C4F3F">
        <w:rPr>
          <w:rFonts w:ascii="Times New Roman" w:hAnsi="Times New Roman" w:cs="Times New Roman"/>
          <w:sz w:val="24"/>
          <w:szCs w:val="24"/>
        </w:rPr>
        <w:t xml:space="preserve">. </w:t>
      </w:r>
      <w:r w:rsidR="008655FD" w:rsidRPr="002C4F3F">
        <w:rPr>
          <w:rFonts w:ascii="Times New Roman" w:hAnsi="Times New Roman" w:cs="Times New Roman"/>
          <w:sz w:val="24"/>
          <w:szCs w:val="24"/>
        </w:rPr>
        <w:t>The</w:t>
      </w:r>
      <w:r w:rsidR="00345162" w:rsidRPr="002C4F3F">
        <w:rPr>
          <w:rFonts w:ascii="Times New Roman" w:hAnsi="Times New Roman" w:cs="Times New Roman"/>
          <w:sz w:val="24"/>
          <w:szCs w:val="24"/>
        </w:rPr>
        <w:t xml:space="preserve"> </w:t>
      </w:r>
      <w:r w:rsidR="00F57692" w:rsidRPr="002C4F3F">
        <w:rPr>
          <w:rFonts w:ascii="Times New Roman" w:hAnsi="Times New Roman" w:cs="Times New Roman"/>
          <w:sz w:val="24"/>
          <w:szCs w:val="24"/>
        </w:rPr>
        <w:t>SC</w:t>
      </w:r>
      <w:r w:rsidRPr="002C4F3F">
        <w:rPr>
          <w:rFonts w:ascii="Times New Roman" w:hAnsi="Times New Roman" w:cs="Times New Roman"/>
          <w:sz w:val="24"/>
          <w:szCs w:val="24"/>
        </w:rPr>
        <w:t>,</w:t>
      </w:r>
      <w:r w:rsidR="00F37CCA" w:rsidRPr="002C4F3F">
        <w:rPr>
          <w:rFonts w:ascii="Times New Roman" w:hAnsi="Times New Roman" w:cs="Times New Roman"/>
          <w:sz w:val="24"/>
          <w:szCs w:val="24"/>
        </w:rPr>
        <w:t xml:space="preserve"> </w:t>
      </w:r>
      <w:r w:rsidR="008655FD" w:rsidRPr="002C4F3F">
        <w:rPr>
          <w:rFonts w:ascii="Times New Roman" w:hAnsi="Times New Roman" w:cs="Times New Roman"/>
          <w:sz w:val="24"/>
          <w:szCs w:val="24"/>
        </w:rPr>
        <w:t xml:space="preserve">when sitting as the High Court of Justice (hereinafter ‘the HCJ’), </w:t>
      </w:r>
      <w:r w:rsidR="006317F6" w:rsidRPr="002C4F3F">
        <w:rPr>
          <w:rFonts w:ascii="Times New Roman" w:hAnsi="Times New Roman" w:cs="Times New Roman"/>
          <w:sz w:val="24"/>
          <w:szCs w:val="24"/>
        </w:rPr>
        <w:t xml:space="preserve">is distinctive in recognizing </w:t>
      </w:r>
      <w:r w:rsidR="00345162" w:rsidRPr="002C4F3F">
        <w:rPr>
          <w:rFonts w:ascii="Times New Roman" w:hAnsi="Times New Roman" w:cs="Times New Roman"/>
          <w:sz w:val="24"/>
          <w:szCs w:val="24"/>
        </w:rPr>
        <w:t xml:space="preserve">the jurisdiction to receive petitions from inhabitants of </w:t>
      </w:r>
      <w:r w:rsidR="008E0C3A" w:rsidRPr="002C4F3F">
        <w:rPr>
          <w:rFonts w:ascii="Times New Roman" w:hAnsi="Times New Roman" w:cs="Times New Roman"/>
          <w:sz w:val="24"/>
          <w:szCs w:val="24"/>
        </w:rPr>
        <w:t xml:space="preserve">the </w:t>
      </w:r>
      <w:r w:rsidR="00345162" w:rsidRPr="002C4F3F">
        <w:rPr>
          <w:rFonts w:ascii="Times New Roman" w:hAnsi="Times New Roman" w:cs="Times New Roman"/>
          <w:sz w:val="24"/>
          <w:szCs w:val="24"/>
        </w:rPr>
        <w:t>occupied territories contesting measures taken by the occupying authorities</w:t>
      </w:r>
      <w:r w:rsidR="00807118" w:rsidRPr="002C4F3F">
        <w:rPr>
          <w:rFonts w:ascii="Times New Roman" w:hAnsi="Times New Roman" w:cs="Times New Roman"/>
          <w:sz w:val="24"/>
          <w:szCs w:val="24"/>
        </w:rPr>
        <w:t xml:space="preserve"> since the early days of the occupation.</w:t>
      </w:r>
      <w:r w:rsidR="00807118" w:rsidRPr="009E6775">
        <w:rPr>
          <w:rStyle w:val="aa"/>
          <w:rFonts w:ascii="Times New Roman" w:hAnsi="Times New Roman" w:cs="Times New Roman"/>
          <w:sz w:val="24"/>
          <w:szCs w:val="24"/>
        </w:rPr>
        <w:footnoteReference w:id="2"/>
      </w:r>
      <w:r w:rsidR="00807118" w:rsidRPr="002C4F3F">
        <w:rPr>
          <w:rFonts w:ascii="Times New Roman" w:hAnsi="Times New Roman" w:cs="Times New Roman"/>
          <w:sz w:val="24"/>
          <w:szCs w:val="24"/>
        </w:rPr>
        <w:t xml:space="preserve"> </w:t>
      </w:r>
      <w:r w:rsidR="00802B0C" w:rsidRPr="002C4F3F">
        <w:rPr>
          <w:rFonts w:ascii="Times New Roman" w:hAnsi="Times New Roman" w:cs="Times New Roman"/>
          <w:sz w:val="24"/>
          <w:szCs w:val="24"/>
        </w:rPr>
        <w:t xml:space="preserve">The </w:t>
      </w:r>
      <w:r w:rsidR="00A209C7" w:rsidRPr="002C4F3F">
        <w:rPr>
          <w:rFonts w:ascii="Times New Roman" w:hAnsi="Times New Roman" w:cs="Times New Roman"/>
          <w:sz w:val="24"/>
          <w:szCs w:val="24"/>
        </w:rPr>
        <w:t>Israeli government did not contest the juris</w:t>
      </w:r>
      <w:r w:rsidR="00B83623" w:rsidRPr="002C4F3F">
        <w:rPr>
          <w:rFonts w:ascii="Times New Roman" w:hAnsi="Times New Roman" w:cs="Times New Roman"/>
          <w:sz w:val="24"/>
          <w:szCs w:val="24"/>
        </w:rPr>
        <w:t>di</w:t>
      </w:r>
      <w:r w:rsidR="00A209C7" w:rsidRPr="002C4F3F">
        <w:rPr>
          <w:rFonts w:ascii="Times New Roman" w:hAnsi="Times New Roman" w:cs="Times New Roman"/>
          <w:sz w:val="24"/>
          <w:szCs w:val="24"/>
        </w:rPr>
        <w:t>ction as a matte</w:t>
      </w:r>
      <w:r w:rsidR="00B83623" w:rsidRPr="002C4F3F">
        <w:rPr>
          <w:rFonts w:ascii="Times New Roman" w:hAnsi="Times New Roman" w:cs="Times New Roman"/>
          <w:sz w:val="24"/>
          <w:szCs w:val="24"/>
        </w:rPr>
        <w:t xml:space="preserve">r </w:t>
      </w:r>
      <w:r w:rsidR="00A209C7" w:rsidRPr="002C4F3F">
        <w:rPr>
          <w:rFonts w:ascii="Times New Roman" w:hAnsi="Times New Roman" w:cs="Times New Roman"/>
          <w:sz w:val="24"/>
          <w:szCs w:val="24"/>
        </w:rPr>
        <w:t>of policy</w:t>
      </w:r>
      <w:r w:rsidR="006F77B0" w:rsidRPr="002C4F3F">
        <w:rPr>
          <w:rFonts w:ascii="Times New Roman" w:hAnsi="Times New Roman" w:cs="Times New Roman"/>
          <w:sz w:val="24"/>
          <w:szCs w:val="24"/>
        </w:rPr>
        <w:t>.</w:t>
      </w:r>
      <w:r w:rsidR="00A209C7" w:rsidRPr="009E6775">
        <w:rPr>
          <w:rStyle w:val="aa"/>
          <w:rFonts w:ascii="Times New Roman" w:hAnsi="Times New Roman" w:cs="Times New Roman"/>
          <w:sz w:val="24"/>
          <w:szCs w:val="24"/>
        </w:rPr>
        <w:footnoteReference w:id="3"/>
      </w:r>
      <w:r w:rsidR="00A209C7" w:rsidRPr="002C4F3F">
        <w:rPr>
          <w:rFonts w:ascii="Times New Roman" w:hAnsi="Times New Roman" w:cs="Times New Roman"/>
          <w:sz w:val="24"/>
          <w:szCs w:val="24"/>
        </w:rPr>
        <w:t xml:space="preserve"> </w:t>
      </w:r>
      <w:r w:rsidR="009C5F29" w:rsidRPr="002C4F3F">
        <w:rPr>
          <w:rFonts w:ascii="Times New Roman" w:hAnsi="Times New Roman" w:cs="Times New Roman"/>
          <w:sz w:val="24"/>
          <w:szCs w:val="24"/>
        </w:rPr>
        <w:t xml:space="preserve">To its credit, </w:t>
      </w:r>
      <w:r w:rsidR="00802B0C" w:rsidRPr="002C4F3F">
        <w:rPr>
          <w:rFonts w:ascii="Times New Roman" w:hAnsi="Times New Roman" w:cs="Times New Roman"/>
          <w:sz w:val="24"/>
          <w:szCs w:val="24"/>
        </w:rPr>
        <w:t xml:space="preserve">the </w:t>
      </w:r>
      <w:r w:rsidR="00C14A36" w:rsidRPr="002C4F3F">
        <w:rPr>
          <w:rFonts w:ascii="Times New Roman" w:hAnsi="Times New Roman" w:cs="Times New Roman"/>
          <w:sz w:val="24"/>
          <w:szCs w:val="24"/>
        </w:rPr>
        <w:t>SC</w:t>
      </w:r>
      <w:r w:rsidR="00802B0C" w:rsidRPr="002C4F3F">
        <w:rPr>
          <w:rFonts w:ascii="Times New Roman" w:hAnsi="Times New Roman" w:cs="Times New Roman"/>
          <w:sz w:val="24"/>
          <w:szCs w:val="24"/>
        </w:rPr>
        <w:t xml:space="preserve"> </w:t>
      </w:r>
      <w:r w:rsidR="00B51BB0" w:rsidRPr="002C4F3F">
        <w:rPr>
          <w:rFonts w:ascii="Times New Roman" w:hAnsi="Times New Roman" w:cs="Times New Roman"/>
          <w:sz w:val="24"/>
          <w:szCs w:val="24"/>
        </w:rPr>
        <w:t>has consistently</w:t>
      </w:r>
      <w:r w:rsidR="00F37CCA" w:rsidRPr="002C4F3F">
        <w:rPr>
          <w:rFonts w:ascii="Times New Roman" w:hAnsi="Times New Roman" w:cs="Times New Roman"/>
          <w:sz w:val="24"/>
          <w:szCs w:val="24"/>
        </w:rPr>
        <w:t xml:space="preserve"> </w:t>
      </w:r>
      <w:r w:rsidR="00B51BB0" w:rsidRPr="002C4F3F">
        <w:rPr>
          <w:rFonts w:ascii="Times New Roman" w:hAnsi="Times New Roman" w:cs="Times New Roman"/>
          <w:sz w:val="24"/>
          <w:szCs w:val="24"/>
        </w:rPr>
        <w:t>asserted its power of review</w:t>
      </w:r>
      <w:r w:rsidR="00802B0C" w:rsidRPr="002C4F3F">
        <w:rPr>
          <w:rFonts w:ascii="Times New Roman" w:hAnsi="Times New Roman" w:cs="Times New Roman"/>
          <w:sz w:val="24"/>
          <w:szCs w:val="24"/>
        </w:rPr>
        <w:t xml:space="preserve">ing </w:t>
      </w:r>
      <w:r w:rsidR="00B51BB0" w:rsidRPr="002C4F3F">
        <w:rPr>
          <w:rFonts w:ascii="Times New Roman" w:hAnsi="Times New Roman" w:cs="Times New Roman"/>
          <w:sz w:val="24"/>
          <w:szCs w:val="24"/>
        </w:rPr>
        <w:t xml:space="preserve">acts of the military commanders in </w:t>
      </w:r>
      <w:r w:rsidR="00F37CCA" w:rsidRPr="002C4F3F">
        <w:rPr>
          <w:rFonts w:ascii="Times New Roman" w:hAnsi="Times New Roman" w:cs="Times New Roman"/>
          <w:sz w:val="24"/>
          <w:szCs w:val="24"/>
        </w:rPr>
        <w:t xml:space="preserve">the </w:t>
      </w:r>
      <w:r w:rsidR="00C14A36" w:rsidRPr="002C4F3F">
        <w:rPr>
          <w:rFonts w:ascii="Times New Roman" w:hAnsi="Times New Roman" w:cs="Times New Roman"/>
          <w:sz w:val="24"/>
          <w:szCs w:val="24"/>
        </w:rPr>
        <w:t>Palestine</w:t>
      </w:r>
      <w:r w:rsidR="00F37CCA" w:rsidRPr="002C4F3F">
        <w:rPr>
          <w:rFonts w:ascii="Times New Roman" w:hAnsi="Times New Roman" w:cs="Times New Roman"/>
          <w:sz w:val="24"/>
          <w:szCs w:val="24"/>
        </w:rPr>
        <w:t xml:space="preserve"> </w:t>
      </w:r>
      <w:r w:rsidR="00B51BB0" w:rsidRPr="002C4F3F">
        <w:rPr>
          <w:rFonts w:ascii="Times New Roman" w:hAnsi="Times New Roman" w:cs="Times New Roman"/>
          <w:sz w:val="24"/>
          <w:szCs w:val="24"/>
        </w:rPr>
        <w:t>occupied territories</w:t>
      </w:r>
      <w:r w:rsidR="00802B0C" w:rsidRPr="002C4F3F">
        <w:rPr>
          <w:rFonts w:ascii="Times New Roman" w:hAnsi="Times New Roman" w:cs="Times New Roman"/>
          <w:sz w:val="24"/>
          <w:szCs w:val="24"/>
        </w:rPr>
        <w:t>.</w:t>
      </w:r>
      <w:r w:rsidR="000E2606" w:rsidRPr="009E6775">
        <w:rPr>
          <w:rStyle w:val="aa"/>
          <w:rFonts w:ascii="Times New Roman" w:hAnsi="Times New Roman" w:cs="Times New Roman"/>
          <w:sz w:val="24"/>
          <w:szCs w:val="24"/>
        </w:rPr>
        <w:footnoteReference w:id="4"/>
      </w:r>
      <w:r w:rsidR="008655FD" w:rsidRPr="002C4F3F">
        <w:rPr>
          <w:rFonts w:ascii="Times New Roman" w:hAnsi="Times New Roman" w:cs="Times New Roman"/>
          <w:sz w:val="24"/>
          <w:szCs w:val="24"/>
        </w:rPr>
        <w:t xml:space="preserve"> Further</w:t>
      </w:r>
      <w:r w:rsidR="00B51BB0" w:rsidRPr="002C4F3F">
        <w:rPr>
          <w:rFonts w:ascii="Times New Roman" w:hAnsi="Times New Roman" w:cs="Times New Roman"/>
          <w:sz w:val="24"/>
          <w:szCs w:val="24"/>
        </w:rPr>
        <w:t xml:space="preserve">, since the adoption of the </w:t>
      </w:r>
      <w:r w:rsidR="007B5355" w:rsidRPr="002C4F3F">
        <w:rPr>
          <w:rFonts w:ascii="Times New Roman" w:hAnsi="Times New Roman" w:cs="Times New Roman"/>
          <w:sz w:val="24"/>
          <w:szCs w:val="24"/>
        </w:rPr>
        <w:t xml:space="preserve">two </w:t>
      </w:r>
      <w:r w:rsidR="00B51BB0" w:rsidRPr="002C4F3F">
        <w:rPr>
          <w:rFonts w:ascii="Times New Roman" w:hAnsi="Times New Roman" w:cs="Times New Roman"/>
          <w:sz w:val="24"/>
          <w:szCs w:val="24"/>
        </w:rPr>
        <w:t xml:space="preserve">Israeli Basic Laws in 1992, the </w:t>
      </w:r>
      <w:r w:rsidR="00F57692" w:rsidRPr="002C4F3F">
        <w:rPr>
          <w:rFonts w:ascii="Times New Roman" w:hAnsi="Times New Roman" w:cs="Times New Roman"/>
          <w:sz w:val="24"/>
          <w:szCs w:val="24"/>
        </w:rPr>
        <w:t>SC</w:t>
      </w:r>
      <w:r w:rsidR="00B51BB0" w:rsidRPr="002C4F3F">
        <w:rPr>
          <w:rFonts w:ascii="Times New Roman" w:hAnsi="Times New Roman" w:cs="Times New Roman"/>
          <w:sz w:val="24"/>
          <w:szCs w:val="24"/>
        </w:rPr>
        <w:t xml:space="preserve"> has recognized its</w:t>
      </w:r>
      <w:r w:rsidR="00345162" w:rsidRPr="002C4F3F">
        <w:rPr>
          <w:rFonts w:ascii="Times New Roman" w:hAnsi="Times New Roman" w:cs="Times New Roman"/>
          <w:sz w:val="24"/>
          <w:szCs w:val="24"/>
        </w:rPr>
        <w:t xml:space="preserve"> power to carry out judicial review </w:t>
      </w:r>
      <w:r w:rsidR="00B51BB0" w:rsidRPr="002C4F3F">
        <w:rPr>
          <w:rFonts w:ascii="Times New Roman" w:hAnsi="Times New Roman" w:cs="Times New Roman"/>
          <w:sz w:val="24"/>
          <w:szCs w:val="24"/>
        </w:rPr>
        <w:t xml:space="preserve">even </w:t>
      </w:r>
      <w:r w:rsidR="00DD30B6" w:rsidRPr="002C4F3F">
        <w:rPr>
          <w:rFonts w:ascii="Times New Roman" w:hAnsi="Times New Roman" w:cs="Times New Roman"/>
          <w:sz w:val="24"/>
          <w:szCs w:val="24"/>
        </w:rPr>
        <w:t xml:space="preserve">of </w:t>
      </w:r>
      <w:r w:rsidR="00B51BB0" w:rsidRPr="002C4F3F">
        <w:rPr>
          <w:rFonts w:ascii="Times New Roman" w:hAnsi="Times New Roman" w:cs="Times New Roman"/>
          <w:sz w:val="24"/>
          <w:szCs w:val="24"/>
        </w:rPr>
        <w:t xml:space="preserve">the Knesset laws affecting occupied territories </w:t>
      </w:r>
      <w:proofErr w:type="gramStart"/>
      <w:r w:rsidR="00B51BB0" w:rsidRPr="002C4F3F">
        <w:rPr>
          <w:rFonts w:ascii="Times New Roman" w:hAnsi="Times New Roman" w:cs="Times New Roman"/>
          <w:sz w:val="24"/>
          <w:szCs w:val="24"/>
        </w:rPr>
        <w:t>in light of</w:t>
      </w:r>
      <w:proofErr w:type="gramEnd"/>
      <w:r w:rsidR="00B51BB0" w:rsidRPr="002C4F3F">
        <w:rPr>
          <w:rFonts w:ascii="Times New Roman" w:hAnsi="Times New Roman" w:cs="Times New Roman"/>
          <w:sz w:val="24"/>
          <w:szCs w:val="24"/>
        </w:rPr>
        <w:t xml:space="preserve"> the basic laws</w:t>
      </w:r>
      <w:r w:rsidR="00345162" w:rsidRPr="002C4F3F">
        <w:rPr>
          <w:rFonts w:ascii="Times New Roman" w:hAnsi="Times New Roman" w:cs="Times New Roman"/>
          <w:sz w:val="24"/>
          <w:szCs w:val="24"/>
        </w:rPr>
        <w:t xml:space="preserve">. </w:t>
      </w:r>
    </w:p>
    <w:p w14:paraId="33C05E7C" w14:textId="77777777" w:rsidR="00277334" w:rsidRPr="009E6775" w:rsidRDefault="00277334" w:rsidP="0081540D">
      <w:pPr>
        <w:rPr>
          <w:rFonts w:ascii="Times New Roman" w:hAnsi="Times New Roman" w:cs="Times New Roman"/>
          <w:sz w:val="24"/>
          <w:szCs w:val="24"/>
        </w:rPr>
      </w:pPr>
    </w:p>
    <w:p w14:paraId="5D35D6B3" w14:textId="640571B2" w:rsidR="00F57692" w:rsidRPr="009E6775" w:rsidRDefault="00277334" w:rsidP="0081540D">
      <w:pPr>
        <w:rPr>
          <w:rFonts w:ascii="Times New Roman" w:hAnsi="Times New Roman" w:cs="Times New Roman"/>
          <w:sz w:val="24"/>
          <w:szCs w:val="24"/>
        </w:rPr>
      </w:pPr>
      <w:r w:rsidRPr="009E6775">
        <w:rPr>
          <w:rFonts w:ascii="Times New Roman" w:hAnsi="Times New Roman" w:cs="Times New Roman"/>
          <w:sz w:val="24"/>
          <w:szCs w:val="24"/>
        </w:rPr>
        <w:t xml:space="preserve">When equipped with such distinct power of judicial review, the </w:t>
      </w:r>
      <w:r w:rsidR="009A3FA9" w:rsidRPr="009E6775">
        <w:rPr>
          <w:rFonts w:ascii="Times New Roman" w:hAnsi="Times New Roman" w:cs="Times New Roman"/>
          <w:sz w:val="24"/>
          <w:szCs w:val="24"/>
        </w:rPr>
        <w:t xml:space="preserve">most pertinent question is </w:t>
      </w:r>
      <w:r w:rsidRPr="009E6775">
        <w:rPr>
          <w:rFonts w:ascii="Times New Roman" w:hAnsi="Times New Roman" w:cs="Times New Roman"/>
          <w:sz w:val="24"/>
          <w:szCs w:val="24"/>
        </w:rPr>
        <w:t xml:space="preserve">what role the </w:t>
      </w:r>
      <w:r w:rsidR="00F57692" w:rsidRPr="009E6775">
        <w:rPr>
          <w:rFonts w:ascii="Times New Roman" w:hAnsi="Times New Roman" w:cs="Times New Roman"/>
          <w:sz w:val="24"/>
          <w:szCs w:val="24"/>
        </w:rPr>
        <w:t>SC’s</w:t>
      </w:r>
      <w:r w:rsidRPr="009E6775">
        <w:rPr>
          <w:rFonts w:ascii="Times New Roman" w:hAnsi="Times New Roman" w:cs="Times New Roman"/>
          <w:sz w:val="24"/>
          <w:szCs w:val="24"/>
        </w:rPr>
        <w:t xml:space="preserve"> </w:t>
      </w:r>
      <w:r w:rsidR="00782BCD" w:rsidRPr="009E6775">
        <w:rPr>
          <w:rFonts w:ascii="Times New Roman" w:hAnsi="Times New Roman" w:cs="Times New Roman"/>
          <w:sz w:val="24"/>
          <w:szCs w:val="24"/>
        </w:rPr>
        <w:t xml:space="preserve">supervision </w:t>
      </w:r>
      <w:r w:rsidR="009A3FA9" w:rsidRPr="009E6775">
        <w:rPr>
          <w:rFonts w:ascii="Times New Roman" w:hAnsi="Times New Roman" w:cs="Times New Roman"/>
          <w:sz w:val="24"/>
          <w:szCs w:val="24"/>
        </w:rPr>
        <w:t xml:space="preserve">has </w:t>
      </w:r>
      <w:r w:rsidRPr="009E6775">
        <w:rPr>
          <w:rFonts w:ascii="Times New Roman" w:hAnsi="Times New Roman" w:cs="Times New Roman"/>
          <w:sz w:val="24"/>
          <w:szCs w:val="24"/>
        </w:rPr>
        <w:t>played in relation to the Palestinians’ rights derived from international humanitarian law (IHL)</w:t>
      </w:r>
      <w:r w:rsidR="00275465" w:rsidRPr="009E6775">
        <w:rPr>
          <w:rFonts w:ascii="Times New Roman" w:hAnsi="Times New Roman" w:cs="Times New Roman"/>
          <w:sz w:val="24"/>
          <w:szCs w:val="24"/>
        </w:rPr>
        <w:t xml:space="preserve"> </w:t>
      </w:r>
      <w:r w:rsidRPr="009E6775">
        <w:rPr>
          <w:rFonts w:ascii="Times New Roman" w:hAnsi="Times New Roman" w:cs="Times New Roman"/>
          <w:sz w:val="24"/>
          <w:szCs w:val="24"/>
        </w:rPr>
        <w:t>and international human rights law (IHRL)</w:t>
      </w:r>
      <w:r w:rsidR="009C5F29" w:rsidRPr="009E6775">
        <w:rPr>
          <w:rFonts w:ascii="Times New Roman" w:hAnsi="Times New Roman" w:cs="Times New Roman"/>
          <w:sz w:val="24"/>
          <w:szCs w:val="24"/>
        </w:rPr>
        <w:t>.</w:t>
      </w:r>
      <w:r w:rsidRPr="009E6775">
        <w:rPr>
          <w:rFonts w:ascii="Times New Roman" w:hAnsi="Times New Roman" w:cs="Times New Roman"/>
          <w:sz w:val="24"/>
          <w:szCs w:val="24"/>
        </w:rPr>
        <w:t xml:space="preserve"> </w:t>
      </w:r>
      <w:r w:rsidR="009A3FA9" w:rsidRPr="009E6775">
        <w:rPr>
          <w:rFonts w:ascii="Times New Roman" w:hAnsi="Times New Roman" w:cs="Times New Roman"/>
          <w:sz w:val="24"/>
          <w:szCs w:val="24"/>
        </w:rPr>
        <w:t xml:space="preserve">Confronted with the </w:t>
      </w:r>
      <w:r w:rsidR="00782BCD" w:rsidRPr="009E6775">
        <w:rPr>
          <w:rFonts w:ascii="Times New Roman" w:hAnsi="Times New Roman" w:cs="Times New Roman"/>
          <w:sz w:val="24"/>
          <w:szCs w:val="24"/>
        </w:rPr>
        <w:t>hard</w:t>
      </w:r>
      <w:r w:rsidR="009A3FA9" w:rsidRPr="009E6775">
        <w:rPr>
          <w:rFonts w:ascii="Times New Roman" w:hAnsi="Times New Roman" w:cs="Times New Roman"/>
          <w:sz w:val="24"/>
          <w:szCs w:val="24"/>
        </w:rPr>
        <w:t xml:space="preserve"> reality of </w:t>
      </w:r>
      <w:r w:rsidR="009C5F29" w:rsidRPr="009E6775">
        <w:rPr>
          <w:rFonts w:ascii="Times New Roman" w:hAnsi="Times New Roman" w:cs="Times New Roman"/>
          <w:sz w:val="24"/>
          <w:szCs w:val="24"/>
        </w:rPr>
        <w:t>the</w:t>
      </w:r>
      <w:r w:rsidR="009A3FA9" w:rsidRPr="009E6775">
        <w:rPr>
          <w:rFonts w:ascii="Times New Roman" w:hAnsi="Times New Roman" w:cs="Times New Roman"/>
          <w:sz w:val="24"/>
          <w:szCs w:val="24"/>
        </w:rPr>
        <w:t xml:space="preserve"> prolonged regime of military occupation, the </w:t>
      </w:r>
      <w:r w:rsidR="009C5F29" w:rsidRPr="009E6775">
        <w:rPr>
          <w:rFonts w:ascii="Times New Roman" w:hAnsi="Times New Roman" w:cs="Times New Roman"/>
          <w:sz w:val="24"/>
          <w:szCs w:val="24"/>
        </w:rPr>
        <w:t xml:space="preserve">expectation that </w:t>
      </w:r>
      <w:r w:rsidR="00E3608E" w:rsidRPr="009E6775">
        <w:rPr>
          <w:rFonts w:ascii="Times New Roman" w:hAnsi="Times New Roman" w:cs="Times New Roman"/>
          <w:sz w:val="24"/>
          <w:szCs w:val="24"/>
        </w:rPr>
        <w:t xml:space="preserve">Israel’s </w:t>
      </w:r>
      <w:r w:rsidR="009C5F29" w:rsidRPr="009E6775">
        <w:rPr>
          <w:rFonts w:ascii="Times New Roman" w:hAnsi="Times New Roman" w:cs="Times New Roman"/>
          <w:sz w:val="24"/>
          <w:szCs w:val="24"/>
        </w:rPr>
        <w:t xml:space="preserve">bastion of the rule of law should play a pivotal role in implementing the rights of Palestinians in the occupied territories </w:t>
      </w:r>
      <w:r w:rsidR="00D01762" w:rsidRPr="009E6775">
        <w:rPr>
          <w:rFonts w:ascii="Times New Roman" w:hAnsi="Times New Roman" w:cs="Times New Roman"/>
          <w:sz w:val="24"/>
          <w:szCs w:val="24"/>
        </w:rPr>
        <w:t>is</w:t>
      </w:r>
      <w:r w:rsidR="009A3FA9" w:rsidRPr="009E6775">
        <w:rPr>
          <w:rFonts w:ascii="Times New Roman" w:hAnsi="Times New Roman" w:cs="Times New Roman"/>
          <w:sz w:val="24"/>
          <w:szCs w:val="24"/>
        </w:rPr>
        <w:t xml:space="preserve"> all the</w:t>
      </w:r>
      <w:r w:rsidR="009C5F29" w:rsidRPr="009E6775">
        <w:rPr>
          <w:rFonts w:ascii="Times New Roman" w:hAnsi="Times New Roman" w:cs="Times New Roman"/>
          <w:sz w:val="24"/>
          <w:szCs w:val="24"/>
        </w:rPr>
        <w:t xml:space="preserve"> higher</w:t>
      </w:r>
      <w:r w:rsidR="009A3FA9" w:rsidRPr="009E6775">
        <w:rPr>
          <w:rFonts w:ascii="Times New Roman" w:hAnsi="Times New Roman" w:cs="Times New Roman"/>
          <w:sz w:val="24"/>
          <w:szCs w:val="24"/>
        </w:rPr>
        <w:t xml:space="preserve">. </w:t>
      </w:r>
    </w:p>
    <w:p w14:paraId="3A770ED4" w14:textId="7DEB176F" w:rsidR="00A660BC" w:rsidRPr="009E6775" w:rsidRDefault="00A660BC" w:rsidP="0081540D">
      <w:pPr>
        <w:rPr>
          <w:rFonts w:ascii="Times New Roman" w:hAnsi="Times New Roman" w:cs="Times New Roman"/>
          <w:sz w:val="24"/>
          <w:szCs w:val="24"/>
        </w:rPr>
      </w:pPr>
    </w:p>
    <w:p w14:paraId="72640BA5" w14:textId="5121BD2A" w:rsidR="00030B23" w:rsidRPr="009E6775" w:rsidRDefault="00030B23" w:rsidP="0081540D">
      <w:pPr>
        <w:rPr>
          <w:rFonts w:ascii="Times New Roman" w:hAnsi="Times New Roman" w:cs="Times New Roman"/>
          <w:sz w:val="24"/>
          <w:szCs w:val="24"/>
        </w:rPr>
      </w:pPr>
      <w:r w:rsidRPr="009E6775">
        <w:rPr>
          <w:rFonts w:ascii="Times New Roman" w:hAnsi="Times New Roman" w:cs="Times New Roman"/>
          <w:sz w:val="24"/>
          <w:szCs w:val="24"/>
        </w:rPr>
        <w:t xml:space="preserve">From the outset, </w:t>
      </w:r>
      <w:proofErr w:type="gramStart"/>
      <w:r w:rsidRPr="009E6775">
        <w:rPr>
          <w:rFonts w:ascii="Times New Roman" w:hAnsi="Times New Roman" w:cs="Times New Roman"/>
          <w:sz w:val="24"/>
          <w:szCs w:val="24"/>
        </w:rPr>
        <w:t>it is clear that Kretzmer</w:t>
      </w:r>
      <w:r w:rsidR="00FE714E" w:rsidRPr="009E6775">
        <w:rPr>
          <w:rFonts w:ascii="Times New Roman" w:hAnsi="Times New Roman" w:cs="Times New Roman"/>
          <w:sz w:val="24"/>
          <w:szCs w:val="24"/>
        </w:rPr>
        <w:t>’s</w:t>
      </w:r>
      <w:proofErr w:type="gramEnd"/>
      <w:r w:rsidR="00FE714E"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and Ronen’ critical analyses are purported to corroborate their core thesis that </w:t>
      </w:r>
      <w:r w:rsidR="00FE714E" w:rsidRPr="009E6775">
        <w:rPr>
          <w:rFonts w:ascii="Times New Roman" w:hAnsi="Times New Roman" w:cs="Times New Roman"/>
          <w:sz w:val="24"/>
          <w:szCs w:val="24"/>
        </w:rPr>
        <w:t xml:space="preserve">through its controversial interpretations of IHL </w:t>
      </w:r>
      <w:r w:rsidR="00274BD6" w:rsidRPr="009E6775">
        <w:rPr>
          <w:rFonts w:ascii="Times New Roman" w:hAnsi="Times New Roman" w:cs="Times New Roman"/>
          <w:sz w:val="24"/>
          <w:szCs w:val="24"/>
        </w:rPr>
        <w:t xml:space="preserve">the SC </w:t>
      </w:r>
      <w:r w:rsidRPr="009E6775">
        <w:rPr>
          <w:rFonts w:ascii="Times New Roman" w:hAnsi="Times New Roman" w:cs="Times New Roman"/>
          <w:sz w:val="24"/>
          <w:szCs w:val="24"/>
        </w:rPr>
        <w:t xml:space="preserve">has given implicit endorsement, if not express imprimatur, to controversial policies pursued by the right-wing government in breach of international law. They provide a scathing critique that the cumulative effect of the SC’s ‘pro-government’ interpretations over years </w:t>
      </w:r>
      <w:r w:rsidR="00FE714E" w:rsidRPr="009E6775">
        <w:rPr>
          <w:rFonts w:ascii="Times New Roman" w:hAnsi="Times New Roman" w:cs="Times New Roman"/>
          <w:sz w:val="24"/>
          <w:szCs w:val="24"/>
        </w:rPr>
        <w:t>makes the SC even</w:t>
      </w:r>
      <w:r w:rsidRPr="009E6775">
        <w:rPr>
          <w:rFonts w:ascii="Times New Roman" w:hAnsi="Times New Roman" w:cs="Times New Roman"/>
          <w:sz w:val="24"/>
          <w:szCs w:val="24"/>
        </w:rPr>
        <w:t xml:space="preserve"> ‘complicit’ in creating a ‘settler colonial regime’</w:t>
      </w:r>
      <w:r w:rsidR="00FE714E" w:rsidRPr="009E6775">
        <w:rPr>
          <w:rFonts w:ascii="Times New Roman" w:hAnsi="Times New Roman" w:cs="Times New Roman"/>
          <w:sz w:val="24"/>
          <w:szCs w:val="24"/>
        </w:rPr>
        <w:t>,</w:t>
      </w:r>
      <w:r w:rsidRPr="009E6775">
        <w:rPr>
          <w:rStyle w:val="aa"/>
          <w:rFonts w:ascii="Times New Roman" w:hAnsi="Times New Roman" w:cs="Times New Roman"/>
          <w:sz w:val="24"/>
          <w:szCs w:val="24"/>
        </w:rPr>
        <w:footnoteReference w:id="5"/>
      </w:r>
      <w:r w:rsidRPr="009E6775">
        <w:rPr>
          <w:rFonts w:ascii="Times New Roman" w:hAnsi="Times New Roman" w:cs="Times New Roman"/>
          <w:sz w:val="24"/>
          <w:szCs w:val="24"/>
        </w:rPr>
        <w:t xml:space="preserve"> </w:t>
      </w:r>
      <w:r w:rsidR="00FE714E" w:rsidRPr="009E6775">
        <w:rPr>
          <w:rFonts w:ascii="Times New Roman" w:hAnsi="Times New Roman" w:cs="Times New Roman"/>
          <w:sz w:val="24"/>
          <w:szCs w:val="24"/>
        </w:rPr>
        <w:t>which</w:t>
      </w:r>
      <w:r w:rsidRPr="009E6775">
        <w:rPr>
          <w:rFonts w:ascii="Times New Roman" w:hAnsi="Times New Roman" w:cs="Times New Roman"/>
          <w:sz w:val="24"/>
          <w:szCs w:val="24"/>
        </w:rPr>
        <w:t xml:space="preserve"> constitutes a fundamental obstacle to the peace process. </w:t>
      </w:r>
    </w:p>
    <w:p w14:paraId="3EEF0372" w14:textId="77777777" w:rsidR="00030B23" w:rsidRPr="009E6775" w:rsidRDefault="00030B23" w:rsidP="0081540D">
      <w:pPr>
        <w:rPr>
          <w:rFonts w:ascii="Times New Roman" w:hAnsi="Times New Roman" w:cs="Times New Roman"/>
          <w:sz w:val="24"/>
          <w:szCs w:val="24"/>
        </w:rPr>
      </w:pPr>
    </w:p>
    <w:p w14:paraId="59650FE8" w14:textId="1998370E" w:rsidR="00F840F5" w:rsidRPr="009E6775" w:rsidRDefault="005D662C" w:rsidP="0081540D">
      <w:pPr>
        <w:rPr>
          <w:rFonts w:ascii="Times New Roman" w:hAnsi="Times New Roman" w:cs="Times New Roman"/>
          <w:sz w:val="24"/>
          <w:szCs w:val="24"/>
        </w:rPr>
      </w:pPr>
      <w:r w:rsidRPr="009E6775">
        <w:rPr>
          <w:rFonts w:ascii="Times New Roman" w:hAnsi="Times New Roman" w:cs="Times New Roman"/>
          <w:sz w:val="24"/>
          <w:szCs w:val="24"/>
        </w:rPr>
        <w:t xml:space="preserve">While engagingly closely with Kretzmer’s and Ronen’s book, </w:t>
      </w:r>
      <w:r w:rsidR="00C529A6" w:rsidRPr="009E6775">
        <w:rPr>
          <w:rFonts w:ascii="Times New Roman" w:hAnsi="Times New Roman" w:cs="Times New Roman"/>
          <w:sz w:val="24"/>
          <w:szCs w:val="24"/>
        </w:rPr>
        <w:t>the main body of this</w:t>
      </w:r>
      <w:r w:rsidR="00030B23" w:rsidRPr="009E6775">
        <w:rPr>
          <w:rFonts w:ascii="Times New Roman" w:hAnsi="Times New Roman" w:cs="Times New Roman"/>
          <w:sz w:val="24"/>
          <w:szCs w:val="24"/>
        </w:rPr>
        <w:t xml:space="preserve"> paper </w:t>
      </w:r>
      <w:r w:rsidR="002533AC" w:rsidRPr="009E6775">
        <w:rPr>
          <w:rFonts w:ascii="Times New Roman" w:hAnsi="Times New Roman" w:cs="Times New Roman"/>
          <w:sz w:val="24"/>
          <w:szCs w:val="24"/>
        </w:rPr>
        <w:t>dissects</w:t>
      </w:r>
      <w:r w:rsidR="00F840F5"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the SC’s judicial policies through </w:t>
      </w:r>
      <w:r w:rsidR="00E032D1">
        <w:rPr>
          <w:rFonts w:ascii="Times New Roman" w:hAnsi="Times New Roman" w:cs="Times New Roman"/>
          <w:sz w:val="24"/>
          <w:szCs w:val="24"/>
        </w:rPr>
        <w:t>this author’s own analytical prisms by focusing on six issues</w:t>
      </w:r>
      <w:r w:rsidR="00F840F5"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the </w:t>
      </w:r>
      <w:r w:rsidR="00F840F5" w:rsidRPr="009E6775">
        <w:rPr>
          <w:rFonts w:ascii="Times New Roman" w:hAnsi="Times New Roman" w:cs="Times New Roman"/>
          <w:sz w:val="24"/>
          <w:szCs w:val="24"/>
        </w:rPr>
        <w:t>applicable la</w:t>
      </w:r>
      <w:r w:rsidR="00E032D1">
        <w:rPr>
          <w:rFonts w:ascii="Times New Roman" w:hAnsi="Times New Roman" w:cs="Times New Roman"/>
          <w:sz w:val="24"/>
          <w:szCs w:val="24"/>
        </w:rPr>
        <w:t>ws overall</w:t>
      </w:r>
      <w:r w:rsidR="0031541D">
        <w:rPr>
          <w:rFonts w:ascii="Times New Roman" w:hAnsi="Times New Roman" w:cs="Times New Roman"/>
          <w:sz w:val="24"/>
          <w:szCs w:val="24"/>
        </w:rPr>
        <w:t>;</w:t>
      </w:r>
      <w:r w:rsidR="00E032D1">
        <w:rPr>
          <w:rFonts w:ascii="Times New Roman" w:hAnsi="Times New Roman" w:cs="Times New Roman"/>
          <w:sz w:val="24"/>
          <w:szCs w:val="24"/>
        </w:rPr>
        <w:t xml:space="preserve"> Article 43 Hague Regulations</w:t>
      </w:r>
      <w:r w:rsidR="0031541D">
        <w:rPr>
          <w:rFonts w:ascii="Times New Roman" w:hAnsi="Times New Roman" w:cs="Times New Roman"/>
          <w:sz w:val="24"/>
          <w:szCs w:val="24"/>
        </w:rPr>
        <w:t>;</w:t>
      </w:r>
      <w:r w:rsidR="00E032D1">
        <w:rPr>
          <w:rFonts w:ascii="Times New Roman" w:hAnsi="Times New Roman" w:cs="Times New Roman"/>
          <w:sz w:val="24"/>
          <w:szCs w:val="24"/>
        </w:rPr>
        <w:t xml:space="preserve"> </w:t>
      </w:r>
      <w:r w:rsidR="0031541D">
        <w:rPr>
          <w:rFonts w:ascii="Times New Roman" w:hAnsi="Times New Roman" w:cs="Times New Roman"/>
          <w:sz w:val="24"/>
          <w:szCs w:val="24"/>
        </w:rPr>
        <w:t xml:space="preserve">the SC’s </w:t>
      </w:r>
      <w:r w:rsidR="00E032D1">
        <w:rPr>
          <w:rFonts w:ascii="Times New Roman" w:hAnsi="Times New Roman" w:cs="Times New Roman"/>
          <w:sz w:val="24"/>
          <w:szCs w:val="24"/>
        </w:rPr>
        <w:t>controversial interpretations of IHL; the areas where the SC has shown the mixture of restrictive interpretation and some progressive features</w:t>
      </w:r>
      <w:r w:rsidR="0031541D">
        <w:rPr>
          <w:rFonts w:ascii="Times New Roman" w:hAnsi="Times New Roman" w:cs="Times New Roman"/>
          <w:sz w:val="24"/>
          <w:szCs w:val="24"/>
        </w:rPr>
        <w:t xml:space="preserve"> in relation to IHL;</w:t>
      </w:r>
      <w:r w:rsidR="00E032D1">
        <w:rPr>
          <w:rFonts w:ascii="Times New Roman" w:hAnsi="Times New Roman" w:cs="Times New Roman"/>
          <w:sz w:val="24"/>
          <w:szCs w:val="24"/>
        </w:rPr>
        <w:t xml:space="preserve"> progressive approaches to IHL and IHRL</w:t>
      </w:r>
      <w:r w:rsidR="0031541D">
        <w:rPr>
          <w:rFonts w:ascii="Times New Roman" w:hAnsi="Times New Roman" w:cs="Times New Roman"/>
          <w:sz w:val="24"/>
          <w:szCs w:val="24"/>
        </w:rPr>
        <w:t>;</w:t>
      </w:r>
      <w:r w:rsidR="00E032D1">
        <w:rPr>
          <w:rFonts w:ascii="Times New Roman" w:hAnsi="Times New Roman" w:cs="Times New Roman"/>
          <w:sz w:val="24"/>
          <w:szCs w:val="24"/>
        </w:rPr>
        <w:t xml:space="preserve"> and the critique of certain modalities of the SC’s proportionality appraisals</w:t>
      </w:r>
      <w:r w:rsidR="00F840F5" w:rsidRPr="009E6775">
        <w:rPr>
          <w:rFonts w:ascii="Times New Roman" w:hAnsi="Times New Roman" w:cs="Times New Roman"/>
          <w:sz w:val="24"/>
          <w:szCs w:val="24"/>
        </w:rPr>
        <w:t xml:space="preserve">. </w:t>
      </w:r>
      <w:r w:rsidR="00C529A6" w:rsidRPr="009E6775">
        <w:rPr>
          <w:rFonts w:ascii="Times New Roman" w:hAnsi="Times New Roman" w:cs="Times New Roman"/>
          <w:sz w:val="24"/>
          <w:szCs w:val="24"/>
        </w:rPr>
        <w:t xml:space="preserve">These </w:t>
      </w:r>
      <w:r w:rsidR="00E032D1">
        <w:rPr>
          <w:rFonts w:ascii="Times New Roman" w:hAnsi="Times New Roman" w:cs="Times New Roman"/>
          <w:sz w:val="24"/>
          <w:szCs w:val="24"/>
        </w:rPr>
        <w:t xml:space="preserve">issues </w:t>
      </w:r>
      <w:r w:rsidR="00C529A6" w:rsidRPr="009E6775">
        <w:rPr>
          <w:rFonts w:ascii="Times New Roman" w:hAnsi="Times New Roman" w:cs="Times New Roman"/>
          <w:sz w:val="24"/>
          <w:szCs w:val="24"/>
        </w:rPr>
        <w:t xml:space="preserve">are addressed in </w:t>
      </w:r>
      <w:r w:rsidR="00F840F5" w:rsidRPr="009E6775">
        <w:rPr>
          <w:rFonts w:ascii="Times New Roman" w:hAnsi="Times New Roman" w:cs="Times New Roman"/>
          <w:sz w:val="24"/>
          <w:szCs w:val="24"/>
        </w:rPr>
        <w:t>Section</w:t>
      </w:r>
      <w:r w:rsidR="00C529A6" w:rsidRPr="009E6775">
        <w:rPr>
          <w:rFonts w:ascii="Times New Roman" w:hAnsi="Times New Roman" w:cs="Times New Roman"/>
          <w:sz w:val="24"/>
          <w:szCs w:val="24"/>
        </w:rPr>
        <w:t xml:space="preserve">s </w:t>
      </w:r>
      <w:r w:rsidR="00581084">
        <w:rPr>
          <w:rFonts w:ascii="Times New Roman" w:hAnsi="Times New Roman" w:cs="Times New Roman"/>
          <w:sz w:val="24"/>
          <w:szCs w:val="24"/>
        </w:rPr>
        <w:t>II</w:t>
      </w:r>
      <w:r w:rsidR="00E032D1">
        <w:rPr>
          <w:rFonts w:ascii="Times New Roman" w:hAnsi="Times New Roman" w:cs="Times New Roman"/>
          <w:sz w:val="24"/>
          <w:szCs w:val="24"/>
        </w:rPr>
        <w:t xml:space="preserve"> to </w:t>
      </w:r>
      <w:r w:rsidR="00581084">
        <w:rPr>
          <w:rFonts w:ascii="Times New Roman" w:hAnsi="Times New Roman" w:cs="Times New Roman"/>
          <w:sz w:val="24"/>
          <w:szCs w:val="24"/>
        </w:rPr>
        <w:t>VII</w:t>
      </w:r>
      <w:r w:rsidR="00E032D1">
        <w:rPr>
          <w:rFonts w:ascii="Times New Roman" w:hAnsi="Times New Roman" w:cs="Times New Roman"/>
          <w:sz w:val="24"/>
          <w:szCs w:val="24"/>
        </w:rPr>
        <w:t xml:space="preserve"> </w:t>
      </w:r>
      <w:r w:rsidR="00C529A6" w:rsidRPr="009E6775">
        <w:rPr>
          <w:rFonts w:ascii="Times New Roman" w:hAnsi="Times New Roman" w:cs="Times New Roman"/>
          <w:sz w:val="24"/>
          <w:szCs w:val="24"/>
        </w:rPr>
        <w:t xml:space="preserve">respectively. Finally, Section </w:t>
      </w:r>
      <w:r w:rsidR="00581084">
        <w:rPr>
          <w:rFonts w:ascii="Times New Roman" w:hAnsi="Times New Roman" w:cs="Times New Roman"/>
          <w:sz w:val="24"/>
          <w:szCs w:val="24"/>
        </w:rPr>
        <w:t>VIII</w:t>
      </w:r>
      <w:r w:rsidR="00C529A6" w:rsidRPr="009E6775">
        <w:rPr>
          <w:rFonts w:ascii="Times New Roman" w:hAnsi="Times New Roman" w:cs="Times New Roman"/>
          <w:sz w:val="24"/>
          <w:szCs w:val="24"/>
        </w:rPr>
        <w:t xml:space="preserve"> </w:t>
      </w:r>
      <w:r w:rsidR="00B226EA" w:rsidRPr="009E6775">
        <w:rPr>
          <w:rFonts w:ascii="Times New Roman" w:hAnsi="Times New Roman" w:cs="Times New Roman"/>
          <w:sz w:val="24"/>
          <w:szCs w:val="24"/>
        </w:rPr>
        <w:t>furnishes concluding appraisals.</w:t>
      </w:r>
    </w:p>
    <w:p w14:paraId="174A9D10" w14:textId="77777777" w:rsidR="00F840F5" w:rsidRPr="009E6775" w:rsidRDefault="00F840F5" w:rsidP="0081540D">
      <w:pPr>
        <w:rPr>
          <w:rStyle w:val="af1"/>
          <w:rFonts w:ascii="Times New Roman" w:hAnsi="Times New Roman" w:cs="Times New Roman"/>
          <w:sz w:val="24"/>
          <w:szCs w:val="24"/>
        </w:rPr>
      </w:pPr>
    </w:p>
    <w:p w14:paraId="5751A2DB" w14:textId="1EB9CF1F" w:rsidR="00353D62" w:rsidRPr="009E6775" w:rsidRDefault="00353D62" w:rsidP="0081540D">
      <w:pPr>
        <w:pStyle w:val="a3"/>
        <w:numPr>
          <w:ilvl w:val="0"/>
          <w:numId w:val="13"/>
        </w:numPr>
        <w:ind w:leftChars="0"/>
        <w:rPr>
          <w:rFonts w:ascii="Times New Roman" w:hAnsi="Times New Roman" w:cs="Times New Roman"/>
          <w:b/>
          <w:sz w:val="24"/>
          <w:szCs w:val="24"/>
        </w:rPr>
      </w:pPr>
      <w:r w:rsidRPr="009E6775">
        <w:rPr>
          <w:rFonts w:ascii="Times New Roman" w:hAnsi="Times New Roman" w:cs="Times New Roman"/>
          <w:b/>
          <w:sz w:val="24"/>
          <w:szCs w:val="24"/>
        </w:rPr>
        <w:t>Applicable Laws</w:t>
      </w:r>
    </w:p>
    <w:p w14:paraId="314953AF" w14:textId="449A0B1D" w:rsidR="005C3317" w:rsidRPr="009E6775" w:rsidRDefault="00F57692" w:rsidP="0081540D">
      <w:pPr>
        <w:pStyle w:val="a3"/>
        <w:numPr>
          <w:ilvl w:val="0"/>
          <w:numId w:val="14"/>
        </w:numPr>
        <w:ind w:leftChars="0"/>
        <w:rPr>
          <w:rFonts w:ascii="Times New Roman" w:hAnsi="Times New Roman" w:cs="Times New Roman"/>
          <w:sz w:val="24"/>
          <w:szCs w:val="24"/>
        </w:rPr>
      </w:pPr>
      <w:r w:rsidRPr="009E6775">
        <w:rPr>
          <w:rFonts w:ascii="Times New Roman" w:hAnsi="Times New Roman" w:cs="Times New Roman"/>
          <w:b/>
          <w:bCs/>
          <w:sz w:val="24"/>
          <w:szCs w:val="24"/>
        </w:rPr>
        <w:t>Overview – the Israeli Supreme Court’s Judicial Review of Cases Relating to the Palestine Occupied Territorie</w:t>
      </w:r>
      <w:r w:rsidR="005C3317" w:rsidRPr="009E6775">
        <w:rPr>
          <w:rFonts w:ascii="Times New Roman" w:hAnsi="Times New Roman" w:cs="Times New Roman"/>
          <w:b/>
          <w:bCs/>
          <w:sz w:val="24"/>
          <w:szCs w:val="24"/>
        </w:rPr>
        <w:t>s</w:t>
      </w:r>
    </w:p>
    <w:p w14:paraId="20A94508" w14:textId="5EDBDCF9" w:rsidR="00B84BA2" w:rsidRPr="009E6775" w:rsidRDefault="00150171" w:rsidP="0081540D">
      <w:pPr>
        <w:rPr>
          <w:rFonts w:ascii="Times New Roman" w:hAnsi="Times New Roman" w:cs="Times New Roman"/>
          <w:sz w:val="24"/>
          <w:szCs w:val="24"/>
        </w:rPr>
      </w:pPr>
      <w:r w:rsidRPr="009E6775">
        <w:rPr>
          <w:rFonts w:ascii="Times New Roman" w:hAnsi="Times New Roman" w:cs="Times New Roman"/>
          <w:sz w:val="24"/>
          <w:szCs w:val="24"/>
        </w:rPr>
        <w:t xml:space="preserve">As </w:t>
      </w:r>
      <w:r w:rsidR="00A660BC" w:rsidRPr="009E6775">
        <w:rPr>
          <w:rFonts w:ascii="Times New Roman" w:hAnsi="Times New Roman" w:cs="Times New Roman"/>
          <w:sz w:val="24"/>
          <w:szCs w:val="24"/>
        </w:rPr>
        <w:t>Kretzmer and Ronen</w:t>
      </w:r>
      <w:r w:rsidRPr="009E6775">
        <w:rPr>
          <w:rFonts w:ascii="Times New Roman" w:hAnsi="Times New Roman" w:cs="Times New Roman"/>
          <w:sz w:val="24"/>
          <w:szCs w:val="24"/>
        </w:rPr>
        <w:t xml:space="preserve"> write, when Israel took control of the </w:t>
      </w:r>
      <w:r w:rsidR="0091533E" w:rsidRPr="009E6775">
        <w:rPr>
          <w:rFonts w:ascii="Times New Roman" w:hAnsi="Times New Roman" w:cs="Times New Roman"/>
          <w:sz w:val="24"/>
          <w:szCs w:val="24"/>
        </w:rPr>
        <w:t>West Bank</w:t>
      </w:r>
      <w:r w:rsidRPr="009E6775">
        <w:rPr>
          <w:rFonts w:ascii="Times New Roman" w:hAnsi="Times New Roman" w:cs="Times New Roman"/>
          <w:sz w:val="24"/>
          <w:szCs w:val="24"/>
        </w:rPr>
        <w:t xml:space="preserve"> and </w:t>
      </w:r>
      <w:r w:rsidR="0091533E" w:rsidRPr="009E6775">
        <w:rPr>
          <w:rFonts w:ascii="Times New Roman" w:hAnsi="Times New Roman" w:cs="Times New Roman"/>
          <w:sz w:val="24"/>
          <w:szCs w:val="24"/>
        </w:rPr>
        <w:t xml:space="preserve">the </w:t>
      </w:r>
      <w:r w:rsidRPr="009E6775">
        <w:rPr>
          <w:rFonts w:ascii="Times New Roman" w:hAnsi="Times New Roman" w:cs="Times New Roman"/>
          <w:sz w:val="24"/>
          <w:szCs w:val="24"/>
        </w:rPr>
        <w:t>Gaza</w:t>
      </w:r>
      <w:r w:rsidR="0091533E" w:rsidRPr="009E6775">
        <w:rPr>
          <w:rFonts w:ascii="Times New Roman" w:hAnsi="Times New Roman" w:cs="Times New Roman"/>
          <w:sz w:val="24"/>
          <w:szCs w:val="24"/>
        </w:rPr>
        <w:t xml:space="preserve"> Strip</w:t>
      </w:r>
      <w:r w:rsidR="0090521B" w:rsidRPr="009E6775">
        <w:rPr>
          <w:rFonts w:ascii="Times New Roman" w:hAnsi="Times New Roman" w:cs="Times New Roman"/>
          <w:sz w:val="24"/>
          <w:szCs w:val="24"/>
        </w:rPr>
        <w:t>,</w:t>
      </w:r>
      <w:r w:rsidRPr="009E6775">
        <w:rPr>
          <w:rFonts w:ascii="Times New Roman" w:hAnsi="Times New Roman" w:cs="Times New Roman"/>
          <w:sz w:val="24"/>
          <w:szCs w:val="24"/>
        </w:rPr>
        <w:t xml:space="preserve"> there was no precedent </w:t>
      </w:r>
      <w:r w:rsidR="00F57692" w:rsidRPr="009E6775">
        <w:rPr>
          <w:rFonts w:ascii="Times New Roman" w:hAnsi="Times New Roman" w:cs="Times New Roman"/>
          <w:sz w:val="24"/>
          <w:szCs w:val="24"/>
        </w:rPr>
        <w:t xml:space="preserve">of the occupying power’s </w:t>
      </w:r>
      <w:r w:rsidRPr="009E6775">
        <w:rPr>
          <w:rFonts w:ascii="Times New Roman" w:hAnsi="Times New Roman" w:cs="Times New Roman"/>
          <w:sz w:val="24"/>
          <w:szCs w:val="24"/>
        </w:rPr>
        <w:t xml:space="preserve">domestic courts </w:t>
      </w:r>
      <w:r w:rsidR="00F57692" w:rsidRPr="009E6775">
        <w:rPr>
          <w:rFonts w:ascii="Times New Roman" w:hAnsi="Times New Roman" w:cs="Times New Roman"/>
          <w:sz w:val="24"/>
          <w:szCs w:val="24"/>
        </w:rPr>
        <w:t xml:space="preserve">reviewing </w:t>
      </w:r>
      <w:r w:rsidRPr="009E6775">
        <w:rPr>
          <w:rFonts w:ascii="Times New Roman" w:hAnsi="Times New Roman" w:cs="Times New Roman"/>
          <w:sz w:val="24"/>
          <w:szCs w:val="24"/>
        </w:rPr>
        <w:t xml:space="preserve">measures </w:t>
      </w:r>
      <w:r w:rsidR="00F57692" w:rsidRPr="009E6775">
        <w:rPr>
          <w:rFonts w:ascii="Times New Roman" w:hAnsi="Times New Roman" w:cs="Times New Roman"/>
          <w:sz w:val="24"/>
          <w:szCs w:val="24"/>
        </w:rPr>
        <w:t xml:space="preserve">taken by its </w:t>
      </w:r>
      <w:r w:rsidRPr="009E6775">
        <w:rPr>
          <w:rFonts w:ascii="Times New Roman" w:hAnsi="Times New Roman" w:cs="Times New Roman"/>
          <w:sz w:val="24"/>
          <w:szCs w:val="24"/>
        </w:rPr>
        <w:t xml:space="preserve">military </w:t>
      </w:r>
      <w:r w:rsidR="009661B6" w:rsidRPr="009E6775">
        <w:rPr>
          <w:rFonts w:ascii="Times New Roman" w:hAnsi="Times New Roman" w:cs="Times New Roman"/>
          <w:sz w:val="24"/>
          <w:szCs w:val="24"/>
        </w:rPr>
        <w:t>forces</w:t>
      </w:r>
      <w:r w:rsidRPr="009E6775">
        <w:rPr>
          <w:rFonts w:ascii="Times New Roman" w:hAnsi="Times New Roman" w:cs="Times New Roman"/>
          <w:sz w:val="24"/>
          <w:szCs w:val="24"/>
        </w:rPr>
        <w:t xml:space="preserve"> in the occupied territory</w:t>
      </w:r>
      <w:r w:rsidR="004B259D" w:rsidRPr="009E6775">
        <w:rPr>
          <w:rFonts w:ascii="Times New Roman" w:hAnsi="Times New Roman" w:cs="Times New Roman"/>
          <w:sz w:val="24"/>
          <w:szCs w:val="24"/>
        </w:rPr>
        <w:t>.</w:t>
      </w:r>
      <w:r w:rsidR="004B259D" w:rsidRPr="009E6775">
        <w:rPr>
          <w:rStyle w:val="aa"/>
          <w:rFonts w:ascii="Times New Roman" w:hAnsi="Times New Roman" w:cs="Times New Roman"/>
          <w:sz w:val="24"/>
          <w:szCs w:val="24"/>
        </w:rPr>
        <w:footnoteReference w:id="6"/>
      </w:r>
      <w:r w:rsidR="009661B6" w:rsidRPr="009E6775">
        <w:rPr>
          <w:rFonts w:ascii="Times New Roman" w:hAnsi="Times New Roman" w:cs="Times New Roman"/>
          <w:sz w:val="24"/>
          <w:szCs w:val="24"/>
        </w:rPr>
        <w:t xml:space="preserve"> </w:t>
      </w:r>
      <w:r w:rsidR="00790FB0" w:rsidRPr="009E6775">
        <w:rPr>
          <w:rFonts w:ascii="Times New Roman" w:hAnsi="Times New Roman" w:cs="Times New Roman"/>
          <w:sz w:val="24"/>
          <w:szCs w:val="24"/>
        </w:rPr>
        <w:t xml:space="preserve">The </w:t>
      </w:r>
      <w:r w:rsidR="003749E0" w:rsidRPr="009E6775">
        <w:rPr>
          <w:rFonts w:ascii="Times New Roman" w:hAnsi="Times New Roman" w:cs="Times New Roman"/>
          <w:sz w:val="24"/>
          <w:szCs w:val="24"/>
        </w:rPr>
        <w:t xml:space="preserve">history of the </w:t>
      </w:r>
      <w:r w:rsidR="00F57692" w:rsidRPr="009E6775">
        <w:rPr>
          <w:rFonts w:ascii="Times New Roman" w:hAnsi="Times New Roman" w:cs="Times New Roman"/>
          <w:sz w:val="24"/>
          <w:szCs w:val="24"/>
        </w:rPr>
        <w:t>SC</w:t>
      </w:r>
      <w:r w:rsidR="003749E0" w:rsidRPr="009E6775">
        <w:rPr>
          <w:rFonts w:ascii="Times New Roman" w:hAnsi="Times New Roman" w:cs="Times New Roman"/>
          <w:sz w:val="24"/>
          <w:szCs w:val="24"/>
        </w:rPr>
        <w:t xml:space="preserve"> </w:t>
      </w:r>
      <w:r w:rsidR="00B631A4" w:rsidRPr="009E6775">
        <w:rPr>
          <w:rFonts w:ascii="Times New Roman" w:hAnsi="Times New Roman" w:cs="Times New Roman"/>
          <w:sz w:val="24"/>
          <w:szCs w:val="24"/>
        </w:rPr>
        <w:t>second-guessing</w:t>
      </w:r>
      <w:r w:rsidR="004B259D" w:rsidRPr="009E6775">
        <w:rPr>
          <w:rFonts w:ascii="Times New Roman" w:hAnsi="Times New Roman" w:cs="Times New Roman"/>
          <w:sz w:val="24"/>
          <w:szCs w:val="24"/>
        </w:rPr>
        <w:t xml:space="preserve"> the occupying authority’s measures </w:t>
      </w:r>
      <w:r w:rsidR="003749E0" w:rsidRPr="009E6775">
        <w:rPr>
          <w:rFonts w:ascii="Times New Roman" w:hAnsi="Times New Roman" w:cs="Times New Roman"/>
          <w:sz w:val="24"/>
          <w:szCs w:val="24"/>
        </w:rPr>
        <w:t>is nearly as old as</w:t>
      </w:r>
      <w:r w:rsidR="004B259D" w:rsidRPr="009E6775">
        <w:rPr>
          <w:rFonts w:ascii="Times New Roman" w:hAnsi="Times New Roman" w:cs="Times New Roman"/>
          <w:sz w:val="24"/>
          <w:szCs w:val="24"/>
        </w:rPr>
        <w:t xml:space="preserve"> the Israeli occupation.</w:t>
      </w:r>
      <w:r w:rsidR="000020A2" w:rsidRPr="009E6775">
        <w:rPr>
          <w:rStyle w:val="aa"/>
          <w:rFonts w:ascii="Times New Roman" w:hAnsi="Times New Roman" w:cs="Times New Roman"/>
          <w:sz w:val="24"/>
          <w:szCs w:val="24"/>
        </w:rPr>
        <w:footnoteReference w:id="7"/>
      </w:r>
      <w:r w:rsidR="00790FB0" w:rsidRPr="009E6775">
        <w:rPr>
          <w:rFonts w:ascii="Times New Roman" w:hAnsi="Times New Roman" w:cs="Times New Roman"/>
          <w:sz w:val="24"/>
          <w:szCs w:val="24"/>
        </w:rPr>
        <w:t xml:space="preserve"> In </w:t>
      </w:r>
      <w:r w:rsidR="009661B6" w:rsidRPr="009E6775">
        <w:rPr>
          <w:rFonts w:ascii="Times New Roman" w:hAnsi="Times New Roman" w:cs="Times New Roman"/>
          <w:i/>
          <w:iCs/>
          <w:sz w:val="24"/>
          <w:szCs w:val="24"/>
        </w:rPr>
        <w:t xml:space="preserve">Christian Society </w:t>
      </w:r>
      <w:r w:rsidR="009661B6" w:rsidRPr="009E6775">
        <w:rPr>
          <w:rFonts w:ascii="Times New Roman" w:hAnsi="Times New Roman" w:cs="Times New Roman"/>
          <w:sz w:val="24"/>
          <w:szCs w:val="24"/>
        </w:rPr>
        <w:t>(1972),</w:t>
      </w:r>
      <w:r w:rsidR="00596F17" w:rsidRPr="009E6775">
        <w:rPr>
          <w:rStyle w:val="aa"/>
          <w:rFonts w:ascii="Times New Roman" w:hAnsi="Times New Roman" w:cs="Times New Roman"/>
          <w:sz w:val="24"/>
          <w:szCs w:val="24"/>
        </w:rPr>
        <w:footnoteReference w:id="8"/>
      </w:r>
      <w:r w:rsidR="009661B6" w:rsidRPr="009E6775">
        <w:rPr>
          <w:rFonts w:ascii="Times New Roman" w:hAnsi="Times New Roman" w:cs="Times New Roman"/>
          <w:sz w:val="24"/>
          <w:szCs w:val="24"/>
        </w:rPr>
        <w:t xml:space="preserve"> </w:t>
      </w:r>
      <w:r w:rsidR="005A3A12" w:rsidRPr="009E6775">
        <w:rPr>
          <w:rFonts w:ascii="Times New Roman" w:hAnsi="Times New Roman" w:cs="Times New Roman"/>
          <w:sz w:val="24"/>
          <w:szCs w:val="24"/>
        </w:rPr>
        <w:t>which concerned the challenge against the commander’s authority to change the local law relating to arbitration for labour disputes of Palestinian civilians</w:t>
      </w:r>
      <w:r w:rsidR="00924553" w:rsidRPr="009E6775">
        <w:rPr>
          <w:rFonts w:ascii="Times New Roman" w:hAnsi="Times New Roman" w:cs="Times New Roman"/>
          <w:sz w:val="24"/>
          <w:szCs w:val="24"/>
        </w:rPr>
        <w:t>,</w:t>
      </w:r>
      <w:r w:rsidR="005A3A12" w:rsidRPr="009E6775">
        <w:rPr>
          <w:rFonts w:ascii="Times New Roman" w:hAnsi="Times New Roman" w:cs="Times New Roman"/>
          <w:sz w:val="24"/>
          <w:szCs w:val="24"/>
        </w:rPr>
        <w:t xml:space="preserve"> </w:t>
      </w:r>
      <w:r w:rsidR="009661B6" w:rsidRPr="009E6775">
        <w:rPr>
          <w:rFonts w:ascii="Times New Roman" w:hAnsi="Times New Roman" w:cs="Times New Roman"/>
          <w:sz w:val="24"/>
          <w:szCs w:val="24"/>
        </w:rPr>
        <w:t xml:space="preserve">the </w:t>
      </w:r>
      <w:r w:rsidR="00F57692" w:rsidRPr="009E6775">
        <w:rPr>
          <w:rFonts w:ascii="Times New Roman" w:hAnsi="Times New Roman" w:cs="Times New Roman"/>
          <w:sz w:val="24"/>
          <w:szCs w:val="24"/>
        </w:rPr>
        <w:t>SC</w:t>
      </w:r>
      <w:r w:rsidR="009661B6" w:rsidRPr="009E6775">
        <w:rPr>
          <w:rFonts w:ascii="Times New Roman" w:hAnsi="Times New Roman" w:cs="Times New Roman"/>
          <w:sz w:val="24"/>
          <w:szCs w:val="24"/>
        </w:rPr>
        <w:t xml:space="preserve"> did not </w:t>
      </w:r>
      <w:r w:rsidR="000F0FEE" w:rsidRPr="009E6775">
        <w:rPr>
          <w:rFonts w:ascii="Times New Roman" w:hAnsi="Times New Roman" w:cs="Times New Roman"/>
          <w:sz w:val="24"/>
          <w:szCs w:val="24"/>
        </w:rPr>
        <w:t xml:space="preserve">even </w:t>
      </w:r>
      <w:r w:rsidR="009661B6" w:rsidRPr="009E6775">
        <w:rPr>
          <w:rFonts w:ascii="Times New Roman" w:hAnsi="Times New Roman" w:cs="Times New Roman"/>
          <w:sz w:val="24"/>
          <w:szCs w:val="24"/>
        </w:rPr>
        <w:t>bother to address the question of jurisdiction</w:t>
      </w:r>
      <w:r w:rsidR="00E3068A" w:rsidRPr="009E6775">
        <w:rPr>
          <w:rFonts w:ascii="Times New Roman" w:hAnsi="Times New Roman" w:cs="Times New Roman"/>
          <w:sz w:val="24"/>
          <w:szCs w:val="24"/>
        </w:rPr>
        <w:t xml:space="preserve">. While taking for granted its competence to adjudicate on petitions which were raised by foreigners (Palestinians) contesting acts committed beyond Israel’s sovereign territory, the </w:t>
      </w:r>
      <w:r w:rsidR="00DD51AF" w:rsidRPr="009E6775">
        <w:rPr>
          <w:rFonts w:ascii="Times New Roman" w:hAnsi="Times New Roman" w:cs="Times New Roman"/>
          <w:sz w:val="24"/>
          <w:szCs w:val="24"/>
        </w:rPr>
        <w:t>SC</w:t>
      </w:r>
      <w:r w:rsidR="00E3068A" w:rsidRPr="009E6775">
        <w:rPr>
          <w:rFonts w:ascii="Times New Roman" w:hAnsi="Times New Roman" w:cs="Times New Roman"/>
          <w:sz w:val="24"/>
          <w:szCs w:val="24"/>
        </w:rPr>
        <w:t xml:space="preserve"> </w:t>
      </w:r>
      <w:r w:rsidR="003749E0" w:rsidRPr="009E6775">
        <w:rPr>
          <w:rFonts w:ascii="Times New Roman" w:hAnsi="Times New Roman" w:cs="Times New Roman"/>
          <w:sz w:val="24"/>
          <w:szCs w:val="24"/>
        </w:rPr>
        <w:t>examine</w:t>
      </w:r>
      <w:r w:rsidR="00B84BA2" w:rsidRPr="009E6775">
        <w:rPr>
          <w:rFonts w:ascii="Times New Roman" w:hAnsi="Times New Roman" w:cs="Times New Roman"/>
          <w:sz w:val="24"/>
          <w:szCs w:val="24"/>
        </w:rPr>
        <w:t>d</w:t>
      </w:r>
      <w:r w:rsidR="003749E0" w:rsidRPr="009E6775">
        <w:rPr>
          <w:rFonts w:ascii="Times New Roman" w:hAnsi="Times New Roman" w:cs="Times New Roman"/>
          <w:sz w:val="24"/>
          <w:szCs w:val="24"/>
        </w:rPr>
        <w:t xml:space="preserve"> </w:t>
      </w:r>
      <w:r w:rsidR="009661B6" w:rsidRPr="009E6775">
        <w:rPr>
          <w:rFonts w:ascii="Times New Roman" w:hAnsi="Times New Roman" w:cs="Times New Roman"/>
          <w:sz w:val="24"/>
          <w:szCs w:val="24"/>
        </w:rPr>
        <w:t>the merits of the petition</w:t>
      </w:r>
      <w:r w:rsidR="00950852" w:rsidRPr="009E6775">
        <w:rPr>
          <w:rFonts w:ascii="Times New Roman" w:hAnsi="Times New Roman" w:cs="Times New Roman"/>
          <w:sz w:val="24"/>
          <w:szCs w:val="24"/>
        </w:rPr>
        <w:t xml:space="preserve">. </w:t>
      </w:r>
    </w:p>
    <w:p w14:paraId="1F95B8FF" w14:textId="77777777" w:rsidR="00F82C23" w:rsidRPr="009E6775" w:rsidRDefault="00F82C23" w:rsidP="0081540D">
      <w:pPr>
        <w:rPr>
          <w:rFonts w:ascii="Times New Roman" w:hAnsi="Times New Roman" w:cs="Times New Roman"/>
          <w:sz w:val="24"/>
          <w:szCs w:val="24"/>
        </w:rPr>
      </w:pPr>
    </w:p>
    <w:p w14:paraId="06B34E1A" w14:textId="37A598FF" w:rsidR="00227D6D" w:rsidRPr="009E6775" w:rsidRDefault="00325D6C" w:rsidP="0081540D">
      <w:pPr>
        <w:pStyle w:val="a3"/>
        <w:numPr>
          <w:ilvl w:val="0"/>
          <w:numId w:val="14"/>
        </w:numPr>
        <w:ind w:leftChars="0"/>
        <w:rPr>
          <w:rFonts w:ascii="Times New Roman" w:hAnsi="Times New Roman" w:cs="Times New Roman"/>
          <w:b/>
          <w:bCs/>
          <w:sz w:val="24"/>
          <w:szCs w:val="24"/>
        </w:rPr>
      </w:pPr>
      <w:r w:rsidRPr="009E6775">
        <w:rPr>
          <w:rFonts w:ascii="Times New Roman" w:hAnsi="Times New Roman" w:cs="Times New Roman"/>
          <w:b/>
          <w:bCs/>
          <w:sz w:val="24"/>
          <w:szCs w:val="24"/>
        </w:rPr>
        <w:t xml:space="preserve">The Impact of the Israeli </w:t>
      </w:r>
      <w:r w:rsidR="00B53485" w:rsidRPr="009E6775">
        <w:rPr>
          <w:rFonts w:ascii="Times New Roman" w:hAnsi="Times New Roman" w:cs="Times New Roman"/>
          <w:b/>
          <w:bCs/>
          <w:sz w:val="24"/>
          <w:szCs w:val="24"/>
        </w:rPr>
        <w:t>Public Law</w:t>
      </w:r>
      <w:r w:rsidRPr="009E6775">
        <w:rPr>
          <w:rFonts w:ascii="Times New Roman" w:hAnsi="Times New Roman" w:cs="Times New Roman"/>
          <w:b/>
          <w:bCs/>
          <w:sz w:val="24"/>
          <w:szCs w:val="24"/>
        </w:rPr>
        <w:t xml:space="preserve"> and IHRL</w:t>
      </w:r>
    </w:p>
    <w:p w14:paraId="0B48E0CE" w14:textId="449DD4AA" w:rsidR="00325D6C" w:rsidRPr="009E6775" w:rsidRDefault="00325D6C" w:rsidP="0081540D">
      <w:pPr>
        <w:rPr>
          <w:rFonts w:ascii="Times New Roman" w:hAnsi="Times New Roman" w:cs="Times New Roman"/>
          <w:sz w:val="24"/>
          <w:szCs w:val="24"/>
        </w:rPr>
      </w:pPr>
      <w:r w:rsidRPr="009E6775">
        <w:rPr>
          <w:rFonts w:ascii="Times New Roman" w:hAnsi="Times New Roman" w:cs="Times New Roman"/>
          <w:sz w:val="24"/>
          <w:szCs w:val="24"/>
        </w:rPr>
        <w:t xml:space="preserve">Since 1992, Israel has been possessed with two constitutional laws on fundamental rights:  Basic Law:  Human Dignity and liberty; and Basic Law:  Freedom of Vocation. </w:t>
      </w:r>
      <w:r w:rsidR="008172E6" w:rsidRPr="009E6775">
        <w:rPr>
          <w:rFonts w:ascii="Times New Roman" w:hAnsi="Times New Roman" w:cs="Times New Roman"/>
          <w:sz w:val="24"/>
          <w:szCs w:val="24"/>
        </w:rPr>
        <w:t>According to</w:t>
      </w:r>
      <w:r w:rsidRPr="009E6775">
        <w:rPr>
          <w:rFonts w:ascii="Times New Roman" w:hAnsi="Times New Roman" w:cs="Times New Roman"/>
          <w:sz w:val="24"/>
          <w:szCs w:val="24"/>
        </w:rPr>
        <w:t xml:space="preserve"> Kretzmer and Ronen</w:t>
      </w:r>
      <w:r w:rsidR="008172E6" w:rsidRPr="009E6775">
        <w:rPr>
          <w:rFonts w:ascii="Times New Roman" w:hAnsi="Times New Roman" w:cs="Times New Roman"/>
          <w:sz w:val="24"/>
          <w:szCs w:val="24"/>
        </w:rPr>
        <w:t>,</w:t>
      </w:r>
      <w:r w:rsidRPr="009E6775">
        <w:rPr>
          <w:rStyle w:val="aa"/>
          <w:rFonts w:ascii="Times New Roman" w:hAnsi="Times New Roman" w:cs="Times New Roman"/>
          <w:sz w:val="24"/>
          <w:szCs w:val="24"/>
        </w:rPr>
        <w:footnoteReference w:id="9"/>
      </w:r>
      <w:r w:rsidRPr="009E6775">
        <w:rPr>
          <w:rFonts w:ascii="Times New Roman" w:hAnsi="Times New Roman" w:cs="Times New Roman"/>
          <w:sz w:val="24"/>
          <w:szCs w:val="24"/>
        </w:rPr>
        <w:t xml:space="preserve"> the </w:t>
      </w:r>
      <w:r w:rsidR="008172E6" w:rsidRPr="009E6775">
        <w:rPr>
          <w:rFonts w:ascii="Times New Roman" w:hAnsi="Times New Roman" w:cs="Times New Roman"/>
          <w:sz w:val="24"/>
          <w:szCs w:val="24"/>
        </w:rPr>
        <w:t>SC</w:t>
      </w:r>
      <w:r w:rsidR="00FA236E" w:rsidRPr="009E6775">
        <w:rPr>
          <w:rFonts w:ascii="Times New Roman" w:hAnsi="Times New Roman" w:cs="Times New Roman"/>
          <w:sz w:val="24"/>
          <w:szCs w:val="24"/>
        </w:rPr>
        <w:t xml:space="preserve">’s policy </w:t>
      </w:r>
      <w:r w:rsidRPr="009E6775">
        <w:rPr>
          <w:rFonts w:ascii="Times New Roman" w:hAnsi="Times New Roman" w:cs="Times New Roman"/>
          <w:sz w:val="24"/>
          <w:szCs w:val="24"/>
        </w:rPr>
        <w:t xml:space="preserve">since 1990s, </w:t>
      </w:r>
      <w:r w:rsidR="00FA236E" w:rsidRPr="009E6775">
        <w:rPr>
          <w:rFonts w:ascii="Times New Roman" w:hAnsi="Times New Roman" w:cs="Times New Roman"/>
          <w:sz w:val="24"/>
          <w:szCs w:val="24"/>
        </w:rPr>
        <w:t xml:space="preserve">albeit erratically, shows </w:t>
      </w:r>
      <w:r w:rsidRPr="009E6775">
        <w:rPr>
          <w:rFonts w:ascii="Times New Roman" w:hAnsi="Times New Roman" w:cs="Times New Roman"/>
          <w:sz w:val="24"/>
          <w:szCs w:val="24"/>
        </w:rPr>
        <w:t xml:space="preserve">the applicability of the Israeli constitutional law to all persons in the West Bank (Jewish </w:t>
      </w:r>
      <w:r w:rsidRPr="009E6775">
        <w:rPr>
          <w:rFonts w:ascii="Times New Roman" w:hAnsi="Times New Roman" w:cs="Times New Roman"/>
          <w:sz w:val="24"/>
          <w:szCs w:val="24"/>
        </w:rPr>
        <w:lastRenderedPageBreak/>
        <w:t>and Arabs).</w:t>
      </w:r>
      <w:r w:rsidRPr="009E6775">
        <w:rPr>
          <w:rStyle w:val="aa"/>
          <w:rFonts w:ascii="Times New Roman" w:hAnsi="Times New Roman" w:cs="Times New Roman"/>
          <w:sz w:val="24"/>
          <w:szCs w:val="24"/>
        </w:rPr>
        <w:footnoteReference w:id="10"/>
      </w:r>
      <w:r w:rsidRPr="009E6775">
        <w:rPr>
          <w:rFonts w:ascii="Times New Roman" w:hAnsi="Times New Roman" w:cs="Times New Roman"/>
          <w:sz w:val="24"/>
          <w:szCs w:val="24"/>
        </w:rPr>
        <w:t xml:space="preserve"> While the seed for such extraterritorial application of the constitutional law was </w:t>
      </w:r>
      <w:r w:rsidR="00541E5D" w:rsidRPr="009E6775">
        <w:rPr>
          <w:rFonts w:ascii="Times New Roman" w:hAnsi="Times New Roman" w:cs="Times New Roman"/>
          <w:sz w:val="24"/>
          <w:szCs w:val="24"/>
        </w:rPr>
        <w:t>sown</w:t>
      </w:r>
      <w:r w:rsidRPr="009E6775">
        <w:rPr>
          <w:rFonts w:ascii="Times New Roman" w:hAnsi="Times New Roman" w:cs="Times New Roman"/>
          <w:sz w:val="24"/>
          <w:szCs w:val="24"/>
        </w:rPr>
        <w:t xml:space="preserve"> already in Justice Cheshin’s view in </w:t>
      </w:r>
      <w:r w:rsidRPr="009E6775">
        <w:rPr>
          <w:rFonts w:ascii="Times New Roman" w:hAnsi="Times New Roman" w:cs="Times New Roman"/>
          <w:i/>
          <w:iCs/>
          <w:sz w:val="24"/>
          <w:szCs w:val="24"/>
        </w:rPr>
        <w:t>Al-‘Amarin</w:t>
      </w:r>
      <w:r w:rsidRPr="009E6775">
        <w:rPr>
          <w:rFonts w:ascii="Times New Roman" w:hAnsi="Times New Roman" w:cs="Times New Roman"/>
          <w:sz w:val="24"/>
          <w:szCs w:val="24"/>
        </w:rPr>
        <w:t xml:space="preserve"> (1992),</w:t>
      </w:r>
      <w:r w:rsidRPr="009E6775">
        <w:rPr>
          <w:rStyle w:val="aa"/>
          <w:rFonts w:ascii="Times New Roman" w:hAnsi="Times New Roman" w:cs="Times New Roman"/>
          <w:sz w:val="24"/>
          <w:szCs w:val="24"/>
        </w:rPr>
        <w:footnoteReference w:id="11"/>
      </w:r>
      <w:r w:rsidRPr="009E6775">
        <w:rPr>
          <w:rFonts w:ascii="Times New Roman" w:hAnsi="Times New Roman" w:cs="Times New Roman"/>
          <w:sz w:val="24"/>
          <w:szCs w:val="24"/>
        </w:rPr>
        <w:t xml:space="preserve"> the landmark appeared in </w:t>
      </w:r>
      <w:r w:rsidRPr="009E6775">
        <w:rPr>
          <w:rFonts w:ascii="Times New Roman" w:hAnsi="Times New Roman" w:cs="Times New Roman"/>
          <w:i/>
          <w:iCs/>
          <w:sz w:val="24"/>
          <w:szCs w:val="24"/>
        </w:rPr>
        <w:t>Haas</w:t>
      </w:r>
      <w:r w:rsidRPr="009E6775">
        <w:rPr>
          <w:rFonts w:ascii="Times New Roman" w:hAnsi="Times New Roman" w:cs="Times New Roman"/>
          <w:sz w:val="24"/>
          <w:szCs w:val="24"/>
        </w:rPr>
        <w:t xml:space="preserve"> (2004)</w:t>
      </w:r>
      <w:r w:rsidRPr="009E6775">
        <w:rPr>
          <w:rStyle w:val="aa"/>
          <w:rFonts w:ascii="Times New Roman" w:hAnsi="Times New Roman" w:cs="Times New Roman"/>
          <w:sz w:val="24"/>
          <w:szCs w:val="24"/>
        </w:rPr>
        <w:footnoteReference w:id="12"/>
      </w:r>
      <w:r w:rsidRPr="009E6775">
        <w:rPr>
          <w:rFonts w:ascii="Times New Roman" w:hAnsi="Times New Roman" w:cs="Times New Roman"/>
          <w:sz w:val="24"/>
          <w:szCs w:val="24"/>
        </w:rPr>
        <w:t xml:space="preserve"> and </w:t>
      </w:r>
      <w:r w:rsidRPr="009E6775">
        <w:rPr>
          <w:rFonts w:ascii="Times New Roman" w:hAnsi="Times New Roman" w:cs="Times New Roman"/>
          <w:i/>
          <w:iCs/>
          <w:sz w:val="24"/>
          <w:szCs w:val="24"/>
        </w:rPr>
        <w:t>Bethlehem</w:t>
      </w:r>
      <w:r w:rsidRPr="009E6775">
        <w:rPr>
          <w:rFonts w:ascii="Times New Roman" w:hAnsi="Times New Roman" w:cs="Times New Roman"/>
          <w:sz w:val="24"/>
          <w:szCs w:val="24"/>
        </w:rPr>
        <w:t xml:space="preserve"> (2005).</w:t>
      </w:r>
      <w:r w:rsidRPr="009E6775">
        <w:rPr>
          <w:rStyle w:val="aa"/>
          <w:rFonts w:ascii="Times New Roman" w:hAnsi="Times New Roman" w:cs="Times New Roman"/>
          <w:sz w:val="24"/>
          <w:szCs w:val="24"/>
        </w:rPr>
        <w:footnoteReference w:id="13"/>
      </w:r>
      <w:r w:rsidRPr="009E6775">
        <w:rPr>
          <w:rFonts w:ascii="Times New Roman" w:hAnsi="Times New Roman" w:cs="Times New Roman"/>
          <w:sz w:val="24"/>
          <w:szCs w:val="24"/>
        </w:rPr>
        <w:t xml:space="preserve"> Kretzmer and Ronen</w:t>
      </w:r>
      <w:r w:rsidRPr="009E6775">
        <w:rPr>
          <w:rStyle w:val="aa"/>
          <w:rFonts w:ascii="Times New Roman" w:hAnsi="Times New Roman" w:cs="Times New Roman"/>
          <w:sz w:val="24"/>
          <w:szCs w:val="24"/>
        </w:rPr>
        <w:footnoteReference w:id="14"/>
      </w:r>
      <w:r w:rsidRPr="009E6775">
        <w:rPr>
          <w:rFonts w:ascii="Times New Roman" w:hAnsi="Times New Roman" w:cs="Times New Roman"/>
          <w:sz w:val="24"/>
          <w:szCs w:val="24"/>
        </w:rPr>
        <w:t xml:space="preserve"> explain that such extraterritorial operationalization of the Israeli constitutional law </w:t>
      </w:r>
      <w:r w:rsidR="00C841B5" w:rsidRPr="009E6775">
        <w:rPr>
          <w:rFonts w:ascii="Times New Roman" w:hAnsi="Times New Roman" w:cs="Times New Roman"/>
          <w:sz w:val="24"/>
          <w:szCs w:val="24"/>
        </w:rPr>
        <w:t>for</w:t>
      </w:r>
      <w:r w:rsidRPr="009E6775">
        <w:rPr>
          <w:rFonts w:ascii="Times New Roman" w:hAnsi="Times New Roman" w:cs="Times New Roman"/>
          <w:sz w:val="24"/>
          <w:szCs w:val="24"/>
        </w:rPr>
        <w:t xml:space="preserve"> the Palestinians in the occupied territories has been triggered by the need to address a wave of orders for punitive house demolitions in East Jerusalem,</w:t>
      </w:r>
      <w:r w:rsidRPr="009E6775">
        <w:rPr>
          <w:rStyle w:val="aa"/>
          <w:rFonts w:ascii="Times New Roman" w:hAnsi="Times New Roman" w:cs="Times New Roman"/>
          <w:sz w:val="24"/>
          <w:szCs w:val="24"/>
        </w:rPr>
        <w:footnoteReference w:id="15"/>
      </w:r>
      <w:r w:rsidRPr="009E6775">
        <w:rPr>
          <w:rFonts w:ascii="Times New Roman" w:hAnsi="Times New Roman" w:cs="Times New Roman"/>
          <w:sz w:val="24"/>
          <w:szCs w:val="24"/>
        </w:rPr>
        <w:t xml:space="preserve"> the area which is unilaterally annexed into Israel’s sovereign territory under Israeli law.</w:t>
      </w:r>
      <w:r w:rsidRPr="009E6775">
        <w:rPr>
          <w:rStyle w:val="aa"/>
          <w:rFonts w:ascii="Times New Roman" w:hAnsi="Times New Roman" w:cs="Times New Roman"/>
          <w:sz w:val="24"/>
          <w:szCs w:val="24"/>
        </w:rPr>
        <w:footnoteReference w:id="16"/>
      </w:r>
      <w:r w:rsidRPr="009E6775">
        <w:rPr>
          <w:rFonts w:ascii="Times New Roman" w:hAnsi="Times New Roman" w:cs="Times New Roman"/>
          <w:sz w:val="24"/>
          <w:szCs w:val="24"/>
        </w:rPr>
        <w:t xml:space="preserve"> These East Jerusalem cases are considered to precipitate the applicability of the Basic Law to similar punitive house demolitions in the West Bank.</w:t>
      </w:r>
      <w:r w:rsidRPr="009E6775">
        <w:rPr>
          <w:rStyle w:val="aa"/>
          <w:rFonts w:ascii="Times New Roman" w:hAnsi="Times New Roman" w:cs="Times New Roman"/>
          <w:sz w:val="24"/>
          <w:szCs w:val="24"/>
        </w:rPr>
        <w:footnoteReference w:id="17"/>
      </w:r>
      <w:r w:rsidRPr="009E6775">
        <w:rPr>
          <w:rFonts w:ascii="Times New Roman" w:hAnsi="Times New Roman" w:cs="Times New Roman"/>
          <w:sz w:val="24"/>
          <w:szCs w:val="24"/>
        </w:rPr>
        <w:t xml:space="preserve"> One crucial question remains:  whether the Basic Law applies to the military commander’s conduct in the occupied territories, and if so, on what basis.</w:t>
      </w:r>
      <w:r w:rsidRPr="009E6775">
        <w:rPr>
          <w:rStyle w:val="aa"/>
          <w:rFonts w:ascii="Times New Roman" w:hAnsi="Times New Roman" w:cs="Times New Roman"/>
          <w:sz w:val="24"/>
          <w:szCs w:val="24"/>
        </w:rPr>
        <w:footnoteReference w:id="18"/>
      </w:r>
      <w:r w:rsidRPr="009E6775">
        <w:rPr>
          <w:rFonts w:ascii="Times New Roman" w:hAnsi="Times New Roman" w:cs="Times New Roman"/>
          <w:sz w:val="24"/>
          <w:szCs w:val="24"/>
        </w:rPr>
        <w:t xml:space="preserve"> Further, one ought to be circumspect about </w:t>
      </w:r>
      <w:r w:rsidRPr="009E6775">
        <w:rPr>
          <w:rFonts w:ascii="Times New Roman" w:hAnsi="Times New Roman" w:cs="Times New Roman"/>
          <w:color w:val="201F1E"/>
          <w:sz w:val="24"/>
          <w:szCs w:val="24"/>
          <w:shd w:val="clear" w:color="auto" w:fill="FFFFFF"/>
        </w:rPr>
        <w:t>extrapolating any general inferences from the cases that are still in flux. It is suggested that</w:t>
      </w:r>
      <w:r w:rsidRPr="009E6775">
        <w:rPr>
          <w:rFonts w:ascii="Times New Roman" w:hAnsi="Times New Roman" w:cs="Times New Roman"/>
          <w:sz w:val="24"/>
          <w:szCs w:val="24"/>
        </w:rPr>
        <w:t xml:space="preserve"> since t</w:t>
      </w:r>
      <w:r w:rsidRPr="009E6775">
        <w:rPr>
          <w:rFonts w:ascii="Times New Roman" w:hAnsi="Times New Roman" w:cs="Times New Roman"/>
          <w:color w:val="201F1E"/>
          <w:sz w:val="24"/>
          <w:szCs w:val="24"/>
          <w:shd w:val="clear" w:color="auto" w:fill="FFFFFF"/>
        </w:rPr>
        <w:t xml:space="preserve">he </w:t>
      </w:r>
      <w:r w:rsidR="00FA236E" w:rsidRPr="009E6775">
        <w:rPr>
          <w:rFonts w:ascii="Times New Roman" w:hAnsi="Times New Roman" w:cs="Times New Roman"/>
          <w:color w:val="201F1E"/>
          <w:sz w:val="24"/>
          <w:szCs w:val="24"/>
          <w:shd w:val="clear" w:color="auto" w:fill="FFFFFF"/>
        </w:rPr>
        <w:t>SC’s</w:t>
      </w:r>
      <w:r w:rsidRPr="009E6775">
        <w:rPr>
          <w:rFonts w:ascii="Times New Roman" w:hAnsi="Times New Roman" w:cs="Times New Roman"/>
          <w:color w:val="201F1E"/>
          <w:sz w:val="24"/>
          <w:szCs w:val="24"/>
          <w:shd w:val="clear" w:color="auto" w:fill="FFFFFF"/>
        </w:rPr>
        <w:t xml:space="preserve"> references have been couched in vague terms, it</w:t>
      </w:r>
      <w:r w:rsidR="007D7E74" w:rsidRPr="009E6775">
        <w:rPr>
          <w:rFonts w:ascii="Times New Roman" w:hAnsi="Times New Roman" w:cs="Times New Roman"/>
          <w:color w:val="201F1E"/>
          <w:sz w:val="24"/>
          <w:szCs w:val="24"/>
          <w:shd w:val="clear" w:color="auto" w:fill="FFFFFF"/>
        </w:rPr>
        <w:t>s evolving case-law</w:t>
      </w:r>
      <w:r w:rsidRPr="009E6775">
        <w:rPr>
          <w:rFonts w:ascii="Times New Roman" w:hAnsi="Times New Roman" w:cs="Times New Roman"/>
          <w:color w:val="201F1E"/>
          <w:sz w:val="24"/>
          <w:szCs w:val="24"/>
          <w:shd w:val="clear" w:color="auto" w:fill="FFFFFF"/>
        </w:rPr>
        <w:t xml:space="preserve"> needs to be </w:t>
      </w:r>
      <w:r w:rsidR="007D7E74" w:rsidRPr="009E6775">
        <w:rPr>
          <w:rFonts w:ascii="Times New Roman" w:hAnsi="Times New Roman" w:cs="Times New Roman"/>
          <w:color w:val="201F1E"/>
          <w:sz w:val="24"/>
          <w:szCs w:val="24"/>
          <w:shd w:val="clear" w:color="auto" w:fill="FFFFFF"/>
        </w:rPr>
        <w:t xml:space="preserve">carefully </w:t>
      </w:r>
      <w:r w:rsidR="007F355C" w:rsidRPr="009E6775">
        <w:rPr>
          <w:rFonts w:ascii="Times New Roman" w:hAnsi="Times New Roman" w:cs="Times New Roman"/>
          <w:color w:val="201F1E"/>
          <w:sz w:val="24"/>
          <w:szCs w:val="24"/>
          <w:shd w:val="clear" w:color="auto" w:fill="FFFFFF"/>
        </w:rPr>
        <w:t>dissected</w:t>
      </w:r>
      <w:r w:rsidR="007D7E74" w:rsidRPr="009E6775">
        <w:rPr>
          <w:rFonts w:ascii="Times New Roman" w:hAnsi="Times New Roman" w:cs="Times New Roman"/>
          <w:color w:val="201F1E"/>
          <w:sz w:val="24"/>
          <w:szCs w:val="24"/>
          <w:shd w:val="clear" w:color="auto" w:fill="FFFFFF"/>
        </w:rPr>
        <w:t xml:space="preserve"> to </w:t>
      </w:r>
      <w:r w:rsidR="007F355C" w:rsidRPr="009E6775">
        <w:rPr>
          <w:rFonts w:ascii="Times New Roman" w:hAnsi="Times New Roman" w:cs="Times New Roman"/>
          <w:color w:val="201F1E"/>
          <w:sz w:val="24"/>
          <w:szCs w:val="24"/>
          <w:shd w:val="clear" w:color="auto" w:fill="FFFFFF"/>
        </w:rPr>
        <w:t>verify</w:t>
      </w:r>
      <w:r w:rsidRPr="009E6775">
        <w:rPr>
          <w:rFonts w:ascii="Times New Roman" w:hAnsi="Times New Roman" w:cs="Times New Roman"/>
          <w:color w:val="201F1E"/>
          <w:sz w:val="24"/>
          <w:szCs w:val="24"/>
          <w:shd w:val="clear" w:color="auto" w:fill="FFFFFF"/>
        </w:rPr>
        <w:t xml:space="preserve"> if it speaks of constitutional law, IHRL or even human rights aspect of IHL.</w:t>
      </w:r>
      <w:r w:rsidRPr="009E6775">
        <w:rPr>
          <w:rStyle w:val="aa"/>
          <w:rFonts w:ascii="Times New Roman" w:hAnsi="Times New Roman" w:cs="Times New Roman"/>
          <w:color w:val="201F1E"/>
          <w:sz w:val="24"/>
          <w:szCs w:val="24"/>
          <w:shd w:val="clear" w:color="auto" w:fill="FFFFFF"/>
        </w:rPr>
        <w:footnoteReference w:id="19"/>
      </w:r>
    </w:p>
    <w:p w14:paraId="05E4F8C2" w14:textId="77777777" w:rsidR="00325D6C" w:rsidRPr="009E6775" w:rsidRDefault="00325D6C" w:rsidP="0081540D">
      <w:pPr>
        <w:rPr>
          <w:rFonts w:ascii="Times New Roman" w:hAnsi="Times New Roman" w:cs="Times New Roman"/>
          <w:sz w:val="24"/>
          <w:szCs w:val="24"/>
        </w:rPr>
      </w:pPr>
    </w:p>
    <w:p w14:paraId="3C27ED9D" w14:textId="002DEB3A" w:rsidR="00325D6C" w:rsidRPr="009E6775" w:rsidRDefault="00325D6C" w:rsidP="0081540D">
      <w:pPr>
        <w:rPr>
          <w:rFonts w:ascii="Times New Roman" w:hAnsi="Times New Roman" w:cs="Times New Roman"/>
          <w:sz w:val="24"/>
          <w:szCs w:val="24"/>
        </w:rPr>
      </w:pPr>
      <w:r w:rsidRPr="009E6775">
        <w:rPr>
          <w:rFonts w:ascii="Times New Roman" w:hAnsi="Times New Roman" w:cs="Times New Roman"/>
          <w:sz w:val="24"/>
          <w:szCs w:val="24"/>
        </w:rPr>
        <w:t xml:space="preserve">In other cases, the </w:t>
      </w:r>
      <w:r w:rsidR="00270534" w:rsidRPr="009E6775">
        <w:rPr>
          <w:rFonts w:ascii="Times New Roman" w:hAnsi="Times New Roman" w:cs="Times New Roman"/>
          <w:sz w:val="24"/>
          <w:szCs w:val="24"/>
        </w:rPr>
        <w:t>SC</w:t>
      </w:r>
      <w:r w:rsidRPr="009E6775">
        <w:rPr>
          <w:rFonts w:ascii="Times New Roman" w:hAnsi="Times New Roman" w:cs="Times New Roman"/>
          <w:sz w:val="24"/>
          <w:szCs w:val="24"/>
        </w:rPr>
        <w:t xml:space="preserve"> has countenance</w:t>
      </w:r>
      <w:r w:rsidR="007F355C" w:rsidRPr="009E6775">
        <w:rPr>
          <w:rFonts w:ascii="Times New Roman" w:hAnsi="Times New Roman" w:cs="Times New Roman"/>
          <w:sz w:val="24"/>
          <w:szCs w:val="24"/>
        </w:rPr>
        <w:t>d</w:t>
      </w:r>
      <w:r w:rsidRPr="009E6775">
        <w:rPr>
          <w:rFonts w:ascii="Times New Roman" w:hAnsi="Times New Roman" w:cs="Times New Roman"/>
          <w:sz w:val="24"/>
          <w:szCs w:val="24"/>
        </w:rPr>
        <w:t xml:space="preserve"> the notion that in the occupied territories, different legal regimes apply to the Israeli settlers and the Palestinians. In </w:t>
      </w:r>
      <w:r w:rsidRPr="009E6775">
        <w:rPr>
          <w:rFonts w:ascii="Times New Roman" w:hAnsi="Times New Roman" w:cs="Times New Roman"/>
          <w:i/>
          <w:iCs/>
          <w:sz w:val="24"/>
          <w:szCs w:val="24"/>
        </w:rPr>
        <w:t>Gaza Coast Council</w:t>
      </w:r>
      <w:r w:rsidRPr="009E6775">
        <w:rPr>
          <w:rFonts w:ascii="Times New Roman" w:hAnsi="Times New Roman" w:cs="Times New Roman"/>
          <w:sz w:val="24"/>
          <w:szCs w:val="24"/>
        </w:rPr>
        <w:t>,</w:t>
      </w:r>
      <w:r w:rsidRPr="009E6775">
        <w:rPr>
          <w:rStyle w:val="aa"/>
          <w:rFonts w:ascii="Times New Roman" w:hAnsi="Times New Roman" w:cs="Times New Roman"/>
          <w:sz w:val="24"/>
          <w:szCs w:val="24"/>
        </w:rPr>
        <w:footnoteReference w:id="20"/>
      </w:r>
      <w:r w:rsidRPr="009E6775">
        <w:rPr>
          <w:rFonts w:ascii="Times New Roman" w:hAnsi="Times New Roman" w:cs="Times New Roman"/>
          <w:sz w:val="24"/>
          <w:szCs w:val="24"/>
        </w:rPr>
        <w:t xml:space="preserve"> the Israelis in the occupied territory were found to enjoy the constitutional safeguards, subject, however, to the limits imposed by the law of occupation. In </w:t>
      </w:r>
      <w:r w:rsidRPr="009E6775">
        <w:rPr>
          <w:rFonts w:ascii="Times New Roman" w:hAnsi="Times New Roman" w:cs="Times New Roman"/>
          <w:i/>
          <w:iCs/>
          <w:sz w:val="24"/>
          <w:szCs w:val="24"/>
        </w:rPr>
        <w:t xml:space="preserve">Mara’abe </w:t>
      </w:r>
      <w:r w:rsidRPr="009E6775">
        <w:rPr>
          <w:rFonts w:ascii="Times New Roman" w:hAnsi="Times New Roman" w:cs="Times New Roman"/>
          <w:sz w:val="24"/>
          <w:szCs w:val="24"/>
        </w:rPr>
        <w:t>(2005),</w:t>
      </w:r>
      <w:r w:rsidRPr="009E6775">
        <w:rPr>
          <w:rStyle w:val="aa"/>
          <w:rFonts w:ascii="Times New Roman" w:hAnsi="Times New Roman" w:cs="Times New Roman"/>
          <w:sz w:val="24"/>
          <w:szCs w:val="24"/>
        </w:rPr>
        <w:footnoteReference w:id="21"/>
      </w:r>
      <w:r w:rsidRPr="009E6775">
        <w:rPr>
          <w:rFonts w:ascii="Times New Roman" w:hAnsi="Times New Roman" w:cs="Times New Roman"/>
          <w:sz w:val="24"/>
          <w:szCs w:val="24"/>
        </w:rPr>
        <w:t xml:space="preserve"> the </w:t>
      </w:r>
      <w:r w:rsidR="00270534" w:rsidRPr="009E6775">
        <w:rPr>
          <w:rFonts w:ascii="Times New Roman" w:hAnsi="Times New Roman" w:cs="Times New Roman"/>
          <w:sz w:val="24"/>
          <w:szCs w:val="24"/>
        </w:rPr>
        <w:t>SC</w:t>
      </w:r>
      <w:r w:rsidRPr="009E6775">
        <w:rPr>
          <w:rFonts w:ascii="Times New Roman" w:hAnsi="Times New Roman" w:cs="Times New Roman"/>
          <w:sz w:val="24"/>
          <w:szCs w:val="24"/>
        </w:rPr>
        <w:t xml:space="preserve"> ruled that the discretion of the commander had to be guided not only by two countervailing interests of the security considerations and the rights of the Palestinian population. It held that the commander could reckon also with the rights and security of </w:t>
      </w:r>
      <w:r w:rsidRPr="009E6775">
        <w:rPr>
          <w:rFonts w:ascii="Times New Roman" w:hAnsi="Times New Roman" w:cs="Times New Roman"/>
          <w:sz w:val="24"/>
          <w:szCs w:val="24"/>
        </w:rPr>
        <w:lastRenderedPageBreak/>
        <w:t>the Israeli settlers as the third factor.</w:t>
      </w:r>
      <w:r w:rsidRPr="009E6775">
        <w:rPr>
          <w:rStyle w:val="aa"/>
          <w:rFonts w:ascii="Times New Roman" w:hAnsi="Times New Roman" w:cs="Times New Roman"/>
          <w:sz w:val="24"/>
          <w:szCs w:val="24"/>
        </w:rPr>
        <w:footnoteReference w:id="22"/>
      </w:r>
      <w:r w:rsidRPr="009E6775">
        <w:rPr>
          <w:rFonts w:ascii="Times New Roman" w:hAnsi="Times New Roman" w:cs="Times New Roman"/>
          <w:sz w:val="24"/>
          <w:szCs w:val="24"/>
        </w:rPr>
        <w:t xml:space="preserve"> Hence, </w:t>
      </w:r>
      <w:r w:rsidRPr="009E6775">
        <w:rPr>
          <w:rFonts w:ascii="Times New Roman" w:hAnsi="Times New Roman" w:cs="Times New Roman"/>
          <w:i/>
          <w:iCs/>
          <w:sz w:val="24"/>
          <w:szCs w:val="24"/>
        </w:rPr>
        <w:t>Mara’abe</w:t>
      </w:r>
      <w:r w:rsidRPr="009E6775">
        <w:rPr>
          <w:rFonts w:ascii="Times New Roman" w:hAnsi="Times New Roman" w:cs="Times New Roman"/>
          <w:sz w:val="24"/>
          <w:szCs w:val="24"/>
        </w:rPr>
        <w:t xml:space="preserve"> suggests that the legal regimes applicable to Israelis and Palestinians are different,</w:t>
      </w:r>
      <w:r w:rsidRPr="009E6775">
        <w:rPr>
          <w:rStyle w:val="aa"/>
          <w:rFonts w:ascii="Times New Roman" w:hAnsi="Times New Roman" w:cs="Times New Roman"/>
          <w:sz w:val="24"/>
          <w:szCs w:val="24"/>
        </w:rPr>
        <w:footnoteReference w:id="23"/>
      </w:r>
      <w:r w:rsidRPr="009E6775">
        <w:rPr>
          <w:rFonts w:ascii="Times New Roman" w:hAnsi="Times New Roman" w:cs="Times New Roman"/>
          <w:sz w:val="24"/>
          <w:szCs w:val="24"/>
        </w:rPr>
        <w:t xml:space="preserve"> an approach that has been confirmed later in </w:t>
      </w:r>
      <w:r w:rsidRPr="009E6775">
        <w:rPr>
          <w:rFonts w:ascii="Times New Roman" w:hAnsi="Times New Roman" w:cs="Times New Roman"/>
          <w:i/>
          <w:iCs/>
          <w:sz w:val="24"/>
          <w:szCs w:val="24"/>
        </w:rPr>
        <w:t xml:space="preserve">Al-Ram </w:t>
      </w:r>
      <w:r w:rsidRPr="009E6775">
        <w:rPr>
          <w:rFonts w:ascii="Times New Roman" w:hAnsi="Times New Roman" w:cs="Times New Roman"/>
          <w:sz w:val="24"/>
          <w:szCs w:val="24"/>
        </w:rPr>
        <w:t>(2006).</w:t>
      </w:r>
      <w:r w:rsidRPr="009E6775">
        <w:rPr>
          <w:rStyle w:val="aa"/>
          <w:rFonts w:ascii="Times New Roman" w:hAnsi="Times New Roman" w:cs="Times New Roman"/>
          <w:i/>
          <w:iCs/>
          <w:sz w:val="24"/>
          <w:szCs w:val="24"/>
        </w:rPr>
        <w:footnoteReference w:id="24"/>
      </w:r>
    </w:p>
    <w:p w14:paraId="62D37048" w14:textId="77777777" w:rsidR="00325D6C" w:rsidRPr="009E6775" w:rsidRDefault="00325D6C" w:rsidP="0081540D">
      <w:pPr>
        <w:rPr>
          <w:rFonts w:ascii="Times New Roman" w:hAnsi="Times New Roman" w:cs="Times New Roman"/>
          <w:sz w:val="24"/>
          <w:szCs w:val="24"/>
        </w:rPr>
      </w:pPr>
    </w:p>
    <w:p w14:paraId="64876899" w14:textId="39500013" w:rsidR="00325D6C" w:rsidRPr="009E6775" w:rsidRDefault="00175377" w:rsidP="0081540D">
      <w:pPr>
        <w:rPr>
          <w:rFonts w:ascii="Times New Roman" w:hAnsi="Times New Roman" w:cs="Times New Roman"/>
          <w:sz w:val="24"/>
          <w:szCs w:val="24"/>
        </w:rPr>
      </w:pPr>
      <w:r w:rsidRPr="009E6775">
        <w:rPr>
          <w:rFonts w:ascii="Times New Roman" w:hAnsi="Times New Roman" w:cs="Times New Roman"/>
          <w:sz w:val="24"/>
          <w:szCs w:val="24"/>
        </w:rPr>
        <w:t xml:space="preserve">With </w:t>
      </w:r>
      <w:r w:rsidR="00325D6C" w:rsidRPr="009E6775">
        <w:rPr>
          <w:rFonts w:ascii="Times New Roman" w:hAnsi="Times New Roman" w:cs="Times New Roman"/>
          <w:sz w:val="24"/>
          <w:szCs w:val="24"/>
        </w:rPr>
        <w:t xml:space="preserve">respect to the relationship between the Israeli constitutional law and international law, Kretzmer’s and Ronen’s analyses reveal the </w:t>
      </w:r>
      <w:r w:rsidR="00270534" w:rsidRPr="009E6775">
        <w:rPr>
          <w:rFonts w:ascii="Times New Roman" w:hAnsi="Times New Roman" w:cs="Times New Roman"/>
          <w:sz w:val="24"/>
          <w:szCs w:val="24"/>
        </w:rPr>
        <w:t>SC’s</w:t>
      </w:r>
      <w:r w:rsidR="00325D6C" w:rsidRPr="009E6775">
        <w:rPr>
          <w:rFonts w:ascii="Times New Roman" w:hAnsi="Times New Roman" w:cs="Times New Roman"/>
          <w:sz w:val="24"/>
          <w:szCs w:val="24"/>
        </w:rPr>
        <w:t xml:space="preserve"> propensity to give precedence to the Israeli constitutional rights over the Palestinians’ rights derived from the law of occupation.</w:t>
      </w:r>
      <w:r w:rsidR="00325D6C" w:rsidRPr="009E6775">
        <w:rPr>
          <w:rStyle w:val="aa"/>
          <w:rFonts w:ascii="Times New Roman" w:hAnsi="Times New Roman" w:cs="Times New Roman"/>
          <w:sz w:val="24"/>
          <w:szCs w:val="24"/>
        </w:rPr>
        <w:footnoteReference w:id="25"/>
      </w:r>
      <w:r w:rsidR="00325D6C" w:rsidRPr="009E6775">
        <w:rPr>
          <w:rFonts w:ascii="Times New Roman" w:hAnsi="Times New Roman" w:cs="Times New Roman"/>
          <w:sz w:val="24"/>
          <w:szCs w:val="24"/>
        </w:rPr>
        <w:t xml:space="preserve"> This is said to be the case even though in some cases as in </w:t>
      </w:r>
      <w:r w:rsidR="00325D6C" w:rsidRPr="009E6775">
        <w:rPr>
          <w:rFonts w:ascii="Times New Roman" w:hAnsi="Times New Roman" w:cs="Times New Roman"/>
          <w:i/>
          <w:iCs/>
          <w:sz w:val="24"/>
          <w:szCs w:val="24"/>
        </w:rPr>
        <w:t>Mara’abe</w:t>
      </w:r>
      <w:r w:rsidR="00325D6C" w:rsidRPr="009E6775">
        <w:rPr>
          <w:rStyle w:val="aa"/>
          <w:rFonts w:ascii="Times New Roman" w:hAnsi="Times New Roman" w:cs="Times New Roman"/>
          <w:sz w:val="24"/>
          <w:szCs w:val="24"/>
        </w:rPr>
        <w:footnoteReference w:id="26"/>
      </w:r>
      <w:r w:rsidR="00325D6C" w:rsidRPr="009E6775">
        <w:rPr>
          <w:rFonts w:ascii="Times New Roman" w:hAnsi="Times New Roman" w:cs="Times New Roman"/>
          <w:sz w:val="24"/>
          <w:szCs w:val="24"/>
        </w:rPr>
        <w:t xml:space="preserve"> the rights of Israelis have been constrained by the law of belligerent occupation. In </w:t>
      </w:r>
      <w:r w:rsidR="00325D6C" w:rsidRPr="009E6775">
        <w:rPr>
          <w:rFonts w:ascii="Times New Roman" w:hAnsi="Times New Roman" w:cs="Times New Roman"/>
          <w:i/>
          <w:iCs/>
          <w:sz w:val="24"/>
          <w:szCs w:val="24"/>
        </w:rPr>
        <w:t>Bethlehem</w:t>
      </w:r>
      <w:r w:rsidR="00325D6C" w:rsidRPr="009E6775">
        <w:rPr>
          <w:rFonts w:ascii="Times New Roman" w:hAnsi="Times New Roman" w:cs="Times New Roman"/>
          <w:sz w:val="24"/>
          <w:szCs w:val="24"/>
        </w:rPr>
        <w:t xml:space="preserve"> (2005),</w:t>
      </w:r>
      <w:r w:rsidR="00325D6C" w:rsidRPr="009E6775">
        <w:rPr>
          <w:rStyle w:val="aa"/>
          <w:rFonts w:ascii="Times New Roman" w:hAnsi="Times New Roman" w:cs="Times New Roman"/>
          <w:sz w:val="24"/>
          <w:szCs w:val="24"/>
        </w:rPr>
        <w:footnoteReference w:id="27"/>
      </w:r>
      <w:r w:rsidR="00325D6C" w:rsidRPr="009E6775">
        <w:rPr>
          <w:rFonts w:ascii="Times New Roman" w:hAnsi="Times New Roman" w:cs="Times New Roman"/>
          <w:sz w:val="24"/>
          <w:szCs w:val="24"/>
        </w:rPr>
        <w:t xml:space="preserve"> the right to worship and </w:t>
      </w:r>
      <w:r w:rsidR="00270534" w:rsidRPr="009E6775">
        <w:rPr>
          <w:rFonts w:ascii="Times New Roman" w:hAnsi="Times New Roman" w:cs="Times New Roman"/>
          <w:sz w:val="24"/>
          <w:szCs w:val="24"/>
        </w:rPr>
        <w:t xml:space="preserve">the </w:t>
      </w:r>
      <w:r w:rsidR="00325D6C" w:rsidRPr="009E6775">
        <w:rPr>
          <w:rFonts w:ascii="Times New Roman" w:hAnsi="Times New Roman" w:cs="Times New Roman"/>
          <w:sz w:val="24"/>
          <w:szCs w:val="24"/>
        </w:rPr>
        <w:t xml:space="preserve">free movement </w:t>
      </w:r>
      <w:r w:rsidR="00270534" w:rsidRPr="009E6775">
        <w:rPr>
          <w:rFonts w:ascii="Times New Roman" w:hAnsi="Times New Roman" w:cs="Times New Roman"/>
          <w:sz w:val="24"/>
          <w:szCs w:val="24"/>
        </w:rPr>
        <w:t>of</w:t>
      </w:r>
      <w:r w:rsidR="00325D6C" w:rsidRPr="009E6775">
        <w:rPr>
          <w:rFonts w:ascii="Times New Roman" w:hAnsi="Times New Roman" w:cs="Times New Roman"/>
          <w:sz w:val="24"/>
          <w:szCs w:val="24"/>
        </w:rPr>
        <w:t xml:space="preserve"> the Israelis from Jerusalem </w:t>
      </w:r>
      <w:r w:rsidR="00270534" w:rsidRPr="009E6775">
        <w:rPr>
          <w:rFonts w:ascii="Times New Roman" w:hAnsi="Times New Roman" w:cs="Times New Roman"/>
          <w:sz w:val="24"/>
          <w:szCs w:val="24"/>
        </w:rPr>
        <w:t xml:space="preserve">were favoured </w:t>
      </w:r>
      <w:r w:rsidR="00325D6C" w:rsidRPr="009E6775">
        <w:rPr>
          <w:rFonts w:ascii="Times New Roman" w:hAnsi="Times New Roman" w:cs="Times New Roman"/>
          <w:sz w:val="24"/>
          <w:szCs w:val="24"/>
        </w:rPr>
        <w:t xml:space="preserve">over </w:t>
      </w:r>
      <w:r w:rsidR="000A5FB5" w:rsidRPr="009E6775">
        <w:rPr>
          <w:rFonts w:ascii="Times New Roman" w:hAnsi="Times New Roman" w:cs="Times New Roman"/>
          <w:sz w:val="24"/>
          <w:szCs w:val="24"/>
        </w:rPr>
        <w:t xml:space="preserve">the </w:t>
      </w:r>
      <w:r w:rsidR="00325D6C" w:rsidRPr="009E6775">
        <w:rPr>
          <w:rFonts w:ascii="Times New Roman" w:hAnsi="Times New Roman" w:cs="Times New Roman"/>
          <w:sz w:val="24"/>
          <w:szCs w:val="24"/>
        </w:rPr>
        <w:t xml:space="preserve">IHL-based property rights of the West Bank Palestinians. In </w:t>
      </w:r>
      <w:r w:rsidR="00325D6C" w:rsidRPr="009E6775">
        <w:rPr>
          <w:rFonts w:ascii="Times New Roman" w:hAnsi="Times New Roman" w:cs="Times New Roman"/>
          <w:i/>
          <w:iCs/>
          <w:sz w:val="24"/>
          <w:szCs w:val="24"/>
        </w:rPr>
        <w:t xml:space="preserve">Abu Daher </w:t>
      </w:r>
      <w:r w:rsidR="00325D6C" w:rsidRPr="009E6775">
        <w:rPr>
          <w:rFonts w:ascii="Times New Roman" w:hAnsi="Times New Roman" w:cs="Times New Roman"/>
          <w:sz w:val="24"/>
          <w:szCs w:val="24"/>
        </w:rPr>
        <w:t>(2005),</w:t>
      </w:r>
      <w:r w:rsidR="00325D6C" w:rsidRPr="009E6775">
        <w:rPr>
          <w:rStyle w:val="aa"/>
          <w:rFonts w:ascii="Times New Roman" w:hAnsi="Times New Roman" w:cs="Times New Roman"/>
          <w:sz w:val="24"/>
          <w:szCs w:val="24"/>
        </w:rPr>
        <w:footnoteReference w:id="28"/>
      </w:r>
      <w:r w:rsidR="00325D6C" w:rsidRPr="009E6775">
        <w:rPr>
          <w:rFonts w:ascii="Times New Roman" w:hAnsi="Times New Roman" w:cs="Times New Roman"/>
          <w:sz w:val="24"/>
          <w:szCs w:val="24"/>
        </w:rPr>
        <w:t xml:space="preserve"> the security concern of an incumbent Israeli minister was found to overweigh the Palestinian landowner’s property right. </w:t>
      </w:r>
      <w:r w:rsidR="000A5FB5" w:rsidRPr="009E6775">
        <w:rPr>
          <w:rFonts w:ascii="Times New Roman" w:hAnsi="Times New Roman" w:cs="Times New Roman"/>
          <w:sz w:val="24"/>
          <w:szCs w:val="24"/>
        </w:rPr>
        <w:t xml:space="preserve">Those </w:t>
      </w:r>
      <w:r w:rsidR="00325D6C" w:rsidRPr="009E6775">
        <w:rPr>
          <w:rFonts w:ascii="Times New Roman" w:hAnsi="Times New Roman" w:cs="Times New Roman"/>
          <w:sz w:val="24"/>
          <w:szCs w:val="24"/>
        </w:rPr>
        <w:t xml:space="preserve">judgments </w:t>
      </w:r>
      <w:r w:rsidR="000A5FB5" w:rsidRPr="009E6775">
        <w:rPr>
          <w:rFonts w:ascii="Times New Roman" w:hAnsi="Times New Roman" w:cs="Times New Roman"/>
          <w:sz w:val="24"/>
          <w:szCs w:val="24"/>
        </w:rPr>
        <w:t>unveil</w:t>
      </w:r>
      <w:r w:rsidR="00325D6C" w:rsidRPr="009E6775">
        <w:rPr>
          <w:rFonts w:ascii="Times New Roman" w:hAnsi="Times New Roman" w:cs="Times New Roman"/>
          <w:sz w:val="24"/>
          <w:szCs w:val="24"/>
        </w:rPr>
        <w:t xml:space="preserve"> how the application of the constitutional law </w:t>
      </w:r>
      <w:r w:rsidR="000A5FB5" w:rsidRPr="009E6775">
        <w:rPr>
          <w:rFonts w:ascii="Times New Roman" w:hAnsi="Times New Roman" w:cs="Times New Roman"/>
          <w:sz w:val="24"/>
          <w:szCs w:val="24"/>
        </w:rPr>
        <w:t>may result</w:t>
      </w:r>
      <w:r w:rsidR="00325D6C" w:rsidRPr="009E6775">
        <w:rPr>
          <w:rFonts w:ascii="Times New Roman" w:hAnsi="Times New Roman" w:cs="Times New Roman"/>
          <w:sz w:val="24"/>
          <w:szCs w:val="24"/>
        </w:rPr>
        <w:t xml:space="preserve"> in </w:t>
      </w:r>
      <w:r w:rsidR="000A5FB5" w:rsidRPr="009E6775">
        <w:rPr>
          <w:rFonts w:ascii="Times New Roman" w:hAnsi="Times New Roman" w:cs="Times New Roman"/>
          <w:sz w:val="24"/>
          <w:szCs w:val="24"/>
        </w:rPr>
        <w:t xml:space="preserve">relinquishing </w:t>
      </w:r>
      <w:r w:rsidR="00325D6C" w:rsidRPr="009E6775">
        <w:rPr>
          <w:rFonts w:ascii="Times New Roman" w:hAnsi="Times New Roman" w:cs="Times New Roman"/>
          <w:sz w:val="24"/>
          <w:szCs w:val="24"/>
        </w:rPr>
        <w:t xml:space="preserve">the law of occupation as the primary analytical framework. </w:t>
      </w:r>
    </w:p>
    <w:p w14:paraId="39C4ABBF" w14:textId="77777777" w:rsidR="00325D6C" w:rsidRPr="009E6775" w:rsidRDefault="00325D6C" w:rsidP="0081540D">
      <w:pPr>
        <w:rPr>
          <w:rFonts w:ascii="Times New Roman" w:hAnsi="Times New Roman" w:cs="Times New Roman"/>
          <w:sz w:val="24"/>
          <w:szCs w:val="24"/>
          <w:lang w:val="en-US"/>
        </w:rPr>
      </w:pPr>
    </w:p>
    <w:p w14:paraId="48FD8305" w14:textId="621776E6" w:rsidR="00325D6C" w:rsidRPr="009E6775" w:rsidRDefault="000A5FB5" w:rsidP="0081540D">
      <w:pPr>
        <w:rPr>
          <w:rFonts w:ascii="Times New Roman" w:hAnsi="Times New Roman" w:cs="Times New Roman"/>
          <w:sz w:val="24"/>
          <w:szCs w:val="24"/>
        </w:rPr>
      </w:pPr>
      <w:r w:rsidRPr="009E6775">
        <w:rPr>
          <w:rFonts w:ascii="Times New Roman" w:hAnsi="Times New Roman" w:cs="Times New Roman"/>
          <w:sz w:val="24"/>
          <w:szCs w:val="24"/>
        </w:rPr>
        <w:t xml:space="preserve">In other cases, however, the constitutional law safeguards did serve to reinforce the claims of the Palestinians in occupied territories. </w:t>
      </w:r>
      <w:r w:rsidR="00325D6C" w:rsidRPr="009E6775">
        <w:rPr>
          <w:rFonts w:ascii="Times New Roman" w:hAnsi="Times New Roman" w:cs="Times New Roman"/>
          <w:sz w:val="24"/>
          <w:szCs w:val="24"/>
        </w:rPr>
        <w:t xml:space="preserve">In </w:t>
      </w:r>
      <w:r w:rsidR="00325D6C" w:rsidRPr="009E6775">
        <w:rPr>
          <w:rFonts w:ascii="Times New Roman" w:hAnsi="Times New Roman" w:cs="Times New Roman"/>
          <w:i/>
          <w:iCs/>
          <w:sz w:val="24"/>
          <w:szCs w:val="24"/>
        </w:rPr>
        <w:t xml:space="preserve">Settlement Regularisation </w:t>
      </w:r>
      <w:r w:rsidR="00325D6C" w:rsidRPr="009E6775">
        <w:rPr>
          <w:rFonts w:ascii="Times New Roman" w:hAnsi="Times New Roman" w:cs="Times New Roman"/>
          <w:sz w:val="24"/>
          <w:szCs w:val="24"/>
        </w:rPr>
        <w:t>(2020),</w:t>
      </w:r>
      <w:r w:rsidR="00325D6C" w:rsidRPr="009E6775">
        <w:rPr>
          <w:rStyle w:val="aa"/>
          <w:rFonts w:ascii="Times New Roman" w:hAnsi="Times New Roman" w:cs="Times New Roman"/>
          <w:sz w:val="24"/>
          <w:szCs w:val="24"/>
        </w:rPr>
        <w:footnoteReference w:id="29"/>
      </w:r>
      <w:r w:rsidR="00325D6C" w:rsidRPr="009E6775">
        <w:rPr>
          <w:rFonts w:ascii="Times New Roman" w:hAnsi="Times New Roman" w:cs="Times New Roman"/>
          <w:sz w:val="24"/>
          <w:szCs w:val="24"/>
        </w:rPr>
        <w:t xml:space="preserve"> the Court invalidated a highly controversial law, the Law for the Regularisation of Settlement in Judea and Samaria, as unconstitutional. This law obligated the commander to take private land </w:t>
      </w:r>
      <w:r w:rsidR="00142AE5" w:rsidRPr="009E6775">
        <w:rPr>
          <w:rFonts w:ascii="Times New Roman" w:hAnsi="Times New Roman" w:cs="Times New Roman"/>
          <w:sz w:val="24"/>
          <w:szCs w:val="24"/>
        </w:rPr>
        <w:t>of</w:t>
      </w:r>
      <w:r w:rsidR="00325D6C" w:rsidRPr="009E6775">
        <w:rPr>
          <w:rFonts w:ascii="Times New Roman" w:hAnsi="Times New Roman" w:cs="Times New Roman"/>
          <w:sz w:val="24"/>
          <w:szCs w:val="24"/>
        </w:rPr>
        <w:t xml:space="preserve"> occupied territories on which illegal settler construction was erected in ‘good faith’ or ‘with state consent’. The commander was supposed to declare land on which an outpost had been built as public property if no one had rights in the land concerned. The </w:t>
      </w:r>
      <w:r w:rsidR="00270534" w:rsidRPr="009E6775">
        <w:rPr>
          <w:rFonts w:ascii="Times New Roman" w:hAnsi="Times New Roman" w:cs="Times New Roman"/>
          <w:sz w:val="24"/>
          <w:szCs w:val="24"/>
        </w:rPr>
        <w:t>SC</w:t>
      </w:r>
      <w:r w:rsidR="00325D6C" w:rsidRPr="009E6775">
        <w:rPr>
          <w:rFonts w:ascii="Times New Roman" w:hAnsi="Times New Roman" w:cs="Times New Roman"/>
          <w:sz w:val="24"/>
          <w:szCs w:val="24"/>
        </w:rPr>
        <w:t xml:space="preserve"> found violations of two fundamental rights (the right to property; the right to equality of Palestinians in the West Bank,) and the failure to meet the demands of the limitation clauses in the Basic Law (Basic Law:  Human Dignity and Liberty).</w:t>
      </w:r>
      <w:r w:rsidR="00325D6C" w:rsidRPr="009E6775">
        <w:rPr>
          <w:rStyle w:val="aa"/>
          <w:rFonts w:ascii="Times New Roman" w:hAnsi="Times New Roman" w:cs="Times New Roman"/>
          <w:sz w:val="24"/>
          <w:szCs w:val="24"/>
        </w:rPr>
        <w:footnoteReference w:id="30"/>
      </w:r>
      <w:r w:rsidR="00325D6C" w:rsidRPr="009E6775">
        <w:rPr>
          <w:rFonts w:ascii="Times New Roman" w:hAnsi="Times New Roman" w:cs="Times New Roman"/>
          <w:sz w:val="24"/>
          <w:szCs w:val="24"/>
        </w:rPr>
        <w:t xml:space="preserve"> </w:t>
      </w:r>
    </w:p>
    <w:p w14:paraId="38245354" w14:textId="3BA30287" w:rsidR="00325D6C" w:rsidRPr="009E6775" w:rsidRDefault="00325D6C" w:rsidP="0081540D">
      <w:pPr>
        <w:rPr>
          <w:rFonts w:ascii="Times New Roman" w:hAnsi="Times New Roman" w:cs="Times New Roman"/>
          <w:sz w:val="24"/>
          <w:szCs w:val="24"/>
        </w:rPr>
      </w:pPr>
    </w:p>
    <w:p w14:paraId="08C9C3F7" w14:textId="6CFA521E" w:rsidR="007635C1" w:rsidRPr="009E6775" w:rsidRDefault="003D0823" w:rsidP="0081540D">
      <w:pPr>
        <w:rPr>
          <w:rFonts w:ascii="Times New Roman" w:hAnsi="Times New Roman" w:cs="Times New Roman"/>
          <w:sz w:val="24"/>
          <w:szCs w:val="24"/>
        </w:rPr>
      </w:pPr>
      <w:r w:rsidRPr="009E6775">
        <w:rPr>
          <w:rFonts w:ascii="Times New Roman" w:hAnsi="Times New Roman" w:cs="Times New Roman"/>
          <w:sz w:val="24"/>
          <w:szCs w:val="24"/>
        </w:rPr>
        <w:t xml:space="preserve">Turning to Israeli administrative law, in </w:t>
      </w:r>
      <w:r w:rsidR="007635C1" w:rsidRPr="009E6775">
        <w:rPr>
          <w:rFonts w:ascii="Times New Roman" w:hAnsi="Times New Roman" w:cs="Times New Roman"/>
          <w:sz w:val="24"/>
          <w:szCs w:val="24"/>
        </w:rPr>
        <w:t>view of Israel’s sophisticated principles of administrative law, one may ask if these have galvanized the SC to strengthen its standard of reviewing issues relating to the occupying authority’s security power.</w:t>
      </w:r>
      <w:r w:rsidR="007635C1" w:rsidRPr="009E6775">
        <w:rPr>
          <w:rStyle w:val="aa"/>
          <w:rFonts w:ascii="Times New Roman" w:hAnsi="Times New Roman" w:cs="Times New Roman"/>
          <w:sz w:val="24"/>
          <w:szCs w:val="24"/>
        </w:rPr>
        <w:footnoteReference w:id="31"/>
      </w:r>
      <w:r w:rsidR="007635C1" w:rsidRPr="009E6775">
        <w:rPr>
          <w:rFonts w:ascii="Times New Roman" w:hAnsi="Times New Roman" w:cs="Times New Roman"/>
          <w:sz w:val="24"/>
          <w:szCs w:val="24"/>
        </w:rPr>
        <w:t xml:space="preserve"> However, according to Kretzmer and Ronen, there is a considerable limit to their potential benefit for the occupied Palestinian population. Reliance on the administrative law principles has given the SC a peg on which to hang its holding that the presumption of legality of the administrative act should gain upper hand over specific rights derived from the law of occupation.</w:t>
      </w:r>
      <w:r w:rsidR="007635C1" w:rsidRPr="009E6775">
        <w:rPr>
          <w:rStyle w:val="aa"/>
          <w:rFonts w:ascii="Times New Roman" w:hAnsi="Times New Roman" w:cs="Times New Roman"/>
          <w:sz w:val="24"/>
          <w:szCs w:val="24"/>
        </w:rPr>
        <w:footnoteReference w:id="32"/>
      </w:r>
      <w:r w:rsidR="007635C1" w:rsidRPr="009E6775">
        <w:rPr>
          <w:rFonts w:ascii="Times New Roman" w:hAnsi="Times New Roman" w:cs="Times New Roman"/>
          <w:sz w:val="24"/>
          <w:szCs w:val="24"/>
        </w:rPr>
        <w:t xml:space="preserve"> Under the Israeli public law (as with many other common law countries), the judiciary starts with presuming the legality of measures taken by the administrative organs in deference to the legitimacy of latter’s authority. Kretzmer and Ronen argue that this has resulted in the tendency to relinquish the law of occupation to ‘a secondary standing’.</w:t>
      </w:r>
      <w:r w:rsidR="007635C1" w:rsidRPr="009E6775">
        <w:rPr>
          <w:rStyle w:val="aa"/>
          <w:rFonts w:ascii="Times New Roman" w:hAnsi="Times New Roman" w:cs="Times New Roman"/>
          <w:sz w:val="24"/>
          <w:szCs w:val="24"/>
        </w:rPr>
        <w:footnoteReference w:id="33"/>
      </w:r>
    </w:p>
    <w:p w14:paraId="3F6FA0CA" w14:textId="77777777" w:rsidR="007635C1" w:rsidRPr="009E6775" w:rsidRDefault="007635C1" w:rsidP="0081540D">
      <w:pPr>
        <w:rPr>
          <w:rFonts w:ascii="Times New Roman" w:hAnsi="Times New Roman" w:cs="Times New Roman"/>
          <w:sz w:val="24"/>
          <w:szCs w:val="24"/>
        </w:rPr>
      </w:pPr>
    </w:p>
    <w:p w14:paraId="387838DB" w14:textId="0588BC60" w:rsidR="007635C1" w:rsidRPr="009E6775" w:rsidRDefault="007635C1" w:rsidP="0081540D">
      <w:pPr>
        <w:rPr>
          <w:rFonts w:ascii="Times New Roman" w:hAnsi="Times New Roman" w:cs="Times New Roman"/>
          <w:sz w:val="24"/>
          <w:szCs w:val="24"/>
        </w:rPr>
      </w:pPr>
      <w:r w:rsidRPr="009E6775">
        <w:rPr>
          <w:rFonts w:ascii="Times New Roman" w:hAnsi="Times New Roman" w:cs="Times New Roman"/>
          <w:sz w:val="24"/>
          <w:szCs w:val="24"/>
        </w:rPr>
        <w:t>Further, there is a problem of the decontextualized way in which public law doctrines have been operationalised.</w:t>
      </w:r>
      <w:r w:rsidRPr="009E6775">
        <w:rPr>
          <w:rStyle w:val="aa"/>
          <w:rFonts w:ascii="Times New Roman" w:hAnsi="Times New Roman" w:cs="Times New Roman"/>
          <w:sz w:val="24"/>
          <w:szCs w:val="24"/>
        </w:rPr>
        <w:footnoteReference w:id="34"/>
      </w:r>
      <w:r w:rsidRPr="009E6775">
        <w:rPr>
          <w:rFonts w:ascii="Times New Roman" w:hAnsi="Times New Roman" w:cs="Times New Roman"/>
          <w:sz w:val="24"/>
          <w:szCs w:val="24"/>
        </w:rPr>
        <w:t xml:space="preserve"> A</w:t>
      </w:r>
      <w:r w:rsidR="00F938EC" w:rsidRPr="009E6775">
        <w:rPr>
          <w:rFonts w:ascii="Times New Roman" w:hAnsi="Times New Roman" w:cs="Times New Roman"/>
          <w:sz w:val="24"/>
          <w:szCs w:val="24"/>
        </w:rPr>
        <w:t xml:space="preserve">ccording to </w:t>
      </w:r>
      <w:r w:rsidRPr="009E6775">
        <w:rPr>
          <w:rFonts w:ascii="Times New Roman" w:hAnsi="Times New Roman" w:cs="Times New Roman"/>
          <w:sz w:val="24"/>
          <w:szCs w:val="24"/>
        </w:rPr>
        <w:t>Kretzmer and Ronen, whenever the Israeli public law principles or doctrines are applied to petitions from Palestinians in the occupied territories, the judgments fail to take adequately into account that belligerent occupation is characterized by the inherent power disparity and the lack of political accountability of the authorities toward the Palestinian population.</w:t>
      </w:r>
      <w:r w:rsidRPr="009E6775">
        <w:rPr>
          <w:rStyle w:val="aa"/>
          <w:rFonts w:ascii="Times New Roman" w:hAnsi="Times New Roman" w:cs="Times New Roman"/>
          <w:sz w:val="24"/>
          <w:szCs w:val="24"/>
        </w:rPr>
        <w:footnoteReference w:id="35"/>
      </w:r>
      <w:r w:rsidRPr="009E6775">
        <w:rPr>
          <w:rFonts w:ascii="Times New Roman" w:hAnsi="Times New Roman" w:cs="Times New Roman"/>
          <w:sz w:val="24"/>
          <w:szCs w:val="24"/>
        </w:rPr>
        <w:t xml:space="preserve"> </w:t>
      </w:r>
      <w:r w:rsidR="000E5AF9" w:rsidRPr="009E6775">
        <w:rPr>
          <w:rFonts w:ascii="Times New Roman" w:hAnsi="Times New Roman" w:cs="Times New Roman"/>
          <w:sz w:val="24"/>
          <w:szCs w:val="24"/>
        </w:rPr>
        <w:t xml:space="preserve">One does not need to </w:t>
      </w:r>
      <w:r w:rsidRPr="009E6775">
        <w:rPr>
          <w:rFonts w:ascii="Times New Roman" w:hAnsi="Times New Roman" w:cs="Times New Roman"/>
          <w:sz w:val="24"/>
          <w:szCs w:val="24"/>
        </w:rPr>
        <w:t>rely on Critical Legal Studies or postcolonial theory</w:t>
      </w:r>
      <w:r w:rsidR="000E5AF9" w:rsidRPr="009E6775">
        <w:rPr>
          <w:rFonts w:ascii="Times New Roman" w:hAnsi="Times New Roman" w:cs="Times New Roman"/>
          <w:sz w:val="24"/>
          <w:szCs w:val="24"/>
        </w:rPr>
        <w:t xml:space="preserve"> to grasp </w:t>
      </w:r>
      <w:r w:rsidRPr="009E6775">
        <w:rPr>
          <w:rFonts w:ascii="Times New Roman" w:hAnsi="Times New Roman" w:cs="Times New Roman"/>
          <w:sz w:val="24"/>
          <w:szCs w:val="24"/>
        </w:rPr>
        <w:t xml:space="preserve">that the law of occupation </w:t>
      </w:r>
      <w:r w:rsidR="000E5AF9" w:rsidRPr="009E6775">
        <w:rPr>
          <w:rFonts w:ascii="Times New Roman" w:hAnsi="Times New Roman" w:cs="Times New Roman"/>
          <w:sz w:val="24"/>
          <w:szCs w:val="24"/>
        </w:rPr>
        <w:t xml:space="preserve">epitomises </w:t>
      </w:r>
      <w:r w:rsidRPr="009E6775">
        <w:rPr>
          <w:rFonts w:ascii="Times New Roman" w:hAnsi="Times New Roman" w:cs="Times New Roman"/>
          <w:sz w:val="24"/>
          <w:szCs w:val="24"/>
        </w:rPr>
        <w:t>how closely the sheer naked power and the process of law-making and application are intertwined with each other.</w:t>
      </w:r>
    </w:p>
    <w:p w14:paraId="77A4CFEE" w14:textId="527786A9" w:rsidR="007635C1" w:rsidRPr="009E6775" w:rsidRDefault="007635C1" w:rsidP="0081540D">
      <w:pPr>
        <w:rPr>
          <w:rFonts w:ascii="Times New Roman" w:hAnsi="Times New Roman" w:cs="Times New Roman"/>
          <w:sz w:val="24"/>
          <w:szCs w:val="24"/>
        </w:rPr>
      </w:pPr>
    </w:p>
    <w:p w14:paraId="30EAD4DF" w14:textId="77777777" w:rsidR="000E5AF9" w:rsidRPr="009E6775" w:rsidRDefault="00B12B9E" w:rsidP="0081540D">
      <w:pPr>
        <w:tabs>
          <w:tab w:val="left" w:pos="5954"/>
        </w:tabs>
        <w:rPr>
          <w:rFonts w:ascii="Times New Roman" w:hAnsi="Times New Roman" w:cs="Times New Roman"/>
          <w:sz w:val="24"/>
          <w:szCs w:val="24"/>
        </w:rPr>
      </w:pPr>
      <w:r w:rsidRPr="009E6775">
        <w:rPr>
          <w:rFonts w:ascii="Times New Roman" w:hAnsi="Times New Roman" w:cs="Times New Roman"/>
          <w:sz w:val="24"/>
          <w:szCs w:val="24"/>
        </w:rPr>
        <w:t xml:space="preserve">As regards implications of IHRL for the occupied territories, Kretzmer and Ronen contend that while having never explicitly found IHRL treaties to be </w:t>
      </w:r>
      <w:r w:rsidRPr="009E6775">
        <w:rPr>
          <w:rFonts w:ascii="Times New Roman" w:hAnsi="Times New Roman" w:cs="Times New Roman"/>
          <w:i/>
          <w:iCs/>
          <w:sz w:val="24"/>
          <w:szCs w:val="24"/>
        </w:rPr>
        <w:t xml:space="preserve">de jure </w:t>
      </w:r>
      <w:r w:rsidRPr="009E6775">
        <w:rPr>
          <w:rFonts w:ascii="Times New Roman" w:hAnsi="Times New Roman" w:cs="Times New Roman"/>
          <w:sz w:val="24"/>
          <w:szCs w:val="24"/>
        </w:rPr>
        <w:t>applicable, the SC has favoured the application of (some provisions of) IHRL treaties in different ways.</w:t>
      </w:r>
      <w:r w:rsidRPr="009E6775">
        <w:rPr>
          <w:rStyle w:val="aa"/>
          <w:rFonts w:ascii="Times New Roman" w:hAnsi="Times New Roman" w:cs="Times New Roman"/>
          <w:sz w:val="24"/>
          <w:szCs w:val="24"/>
        </w:rPr>
        <w:footnoteReference w:id="36"/>
      </w:r>
      <w:r w:rsidRPr="009E6775">
        <w:rPr>
          <w:rFonts w:ascii="Times New Roman" w:hAnsi="Times New Roman" w:cs="Times New Roman"/>
          <w:sz w:val="24"/>
          <w:szCs w:val="24"/>
        </w:rPr>
        <w:t xml:space="preserve"> Their analyses reveal the SC’s three salient approaches that allow IHRL to be infiltrated into its judicial review:  (i) the approach of viewing IHRL as already reflecting customary law; (ii) the approach of applying IHRL </w:t>
      </w:r>
      <w:r w:rsidRPr="009E6775">
        <w:rPr>
          <w:rFonts w:ascii="Times New Roman" w:hAnsi="Times New Roman" w:cs="Times New Roman"/>
          <w:i/>
          <w:iCs/>
          <w:sz w:val="24"/>
          <w:szCs w:val="24"/>
        </w:rPr>
        <w:t>arguendo</w:t>
      </w:r>
      <w:r w:rsidRPr="009E6775">
        <w:rPr>
          <w:rFonts w:ascii="Times New Roman" w:hAnsi="Times New Roman" w:cs="Times New Roman"/>
          <w:sz w:val="24"/>
          <w:szCs w:val="24"/>
        </w:rPr>
        <w:t xml:space="preserve">, according to which even when the </w:t>
      </w:r>
      <w:r w:rsidRPr="009E6775">
        <w:rPr>
          <w:rFonts w:ascii="Times New Roman" w:hAnsi="Times New Roman" w:cs="Times New Roman"/>
          <w:i/>
          <w:iCs/>
          <w:sz w:val="24"/>
          <w:szCs w:val="24"/>
        </w:rPr>
        <w:t xml:space="preserve">de jure </w:t>
      </w:r>
      <w:r w:rsidRPr="009E6775">
        <w:rPr>
          <w:rFonts w:ascii="Times New Roman" w:hAnsi="Times New Roman" w:cs="Times New Roman"/>
          <w:sz w:val="24"/>
          <w:szCs w:val="24"/>
        </w:rPr>
        <w:t xml:space="preserve">applicability of (treaty-based) IHRL rules is rejected, those </w:t>
      </w:r>
      <w:r w:rsidRPr="009E6775">
        <w:rPr>
          <w:rFonts w:ascii="Times New Roman" w:hAnsi="Times New Roman" w:cs="Times New Roman"/>
          <w:sz w:val="24"/>
          <w:szCs w:val="24"/>
        </w:rPr>
        <w:lastRenderedPageBreak/>
        <w:t xml:space="preserve">rules are invoked as the guiding principles for the occupying authorities; and (iii) the approach of assuming human rights law as already established in the case-law. Despite the merit of such approaches, it may be asked why the SC has hesitated to recognize openly the applicability of the IHRL treaties to which Israel is a party to the occupied territories. Indeed, such a straight-forward approach is the one that the ICJ followed in </w:t>
      </w:r>
      <w:r w:rsidRPr="009E6775">
        <w:rPr>
          <w:rFonts w:ascii="Times New Roman" w:hAnsi="Times New Roman" w:cs="Times New Roman"/>
          <w:i/>
          <w:iCs/>
          <w:sz w:val="24"/>
          <w:szCs w:val="24"/>
        </w:rPr>
        <w:t>Wall</w:t>
      </w:r>
      <w:r w:rsidRPr="009E6775">
        <w:rPr>
          <w:rFonts w:ascii="Times New Roman" w:hAnsi="Times New Roman" w:cs="Times New Roman"/>
          <w:sz w:val="24"/>
          <w:szCs w:val="24"/>
        </w:rPr>
        <w:t xml:space="preserve"> Advisory Opinion.</w:t>
      </w:r>
      <w:r w:rsidRPr="009E6775">
        <w:rPr>
          <w:rStyle w:val="aa"/>
          <w:rFonts w:ascii="Times New Roman" w:hAnsi="Times New Roman" w:cs="Times New Roman"/>
          <w:sz w:val="24"/>
          <w:szCs w:val="24"/>
        </w:rPr>
        <w:footnoteReference w:id="37"/>
      </w:r>
      <w:r w:rsidRPr="009E6775">
        <w:rPr>
          <w:rFonts w:ascii="Times New Roman" w:hAnsi="Times New Roman" w:cs="Times New Roman"/>
          <w:sz w:val="24"/>
          <w:szCs w:val="24"/>
        </w:rPr>
        <w:t xml:space="preserve"> As Kretzmer and Ronen explain, it seems that those judicial approaches constitute the SC’s tactics to evade the question of the </w:t>
      </w:r>
      <w:r w:rsidRPr="009E6775">
        <w:rPr>
          <w:rFonts w:ascii="Times New Roman" w:hAnsi="Times New Roman" w:cs="Times New Roman"/>
          <w:i/>
          <w:iCs/>
          <w:sz w:val="24"/>
          <w:szCs w:val="24"/>
        </w:rPr>
        <w:t xml:space="preserve">de jure </w:t>
      </w:r>
      <w:r w:rsidRPr="009E6775">
        <w:rPr>
          <w:rFonts w:ascii="Times New Roman" w:hAnsi="Times New Roman" w:cs="Times New Roman"/>
          <w:sz w:val="24"/>
          <w:szCs w:val="24"/>
        </w:rPr>
        <w:t>applicability of IHRL treaties in occupied territories.</w:t>
      </w:r>
      <w:r w:rsidRPr="009E6775">
        <w:rPr>
          <w:rStyle w:val="aa"/>
          <w:rFonts w:ascii="Times New Roman" w:hAnsi="Times New Roman" w:cs="Times New Roman"/>
          <w:sz w:val="24"/>
          <w:szCs w:val="24"/>
        </w:rPr>
        <w:footnoteReference w:id="38"/>
      </w:r>
      <w:r w:rsidRPr="009E6775">
        <w:rPr>
          <w:rFonts w:ascii="Times New Roman" w:hAnsi="Times New Roman" w:cs="Times New Roman"/>
          <w:sz w:val="24"/>
          <w:szCs w:val="24"/>
        </w:rPr>
        <w:t xml:space="preserve"> </w:t>
      </w:r>
    </w:p>
    <w:p w14:paraId="4E75E63F" w14:textId="77777777" w:rsidR="00B12B9E" w:rsidRPr="009E6775" w:rsidRDefault="00B12B9E" w:rsidP="0081540D">
      <w:pPr>
        <w:rPr>
          <w:rFonts w:ascii="Times New Roman" w:hAnsi="Times New Roman" w:cs="Times New Roman"/>
          <w:sz w:val="24"/>
          <w:szCs w:val="24"/>
        </w:rPr>
      </w:pPr>
    </w:p>
    <w:p w14:paraId="14DE5C2C" w14:textId="6981C68D" w:rsidR="00353D62" w:rsidRPr="009E6775" w:rsidRDefault="00142AE5" w:rsidP="0081540D">
      <w:pPr>
        <w:pStyle w:val="a3"/>
        <w:numPr>
          <w:ilvl w:val="0"/>
          <w:numId w:val="14"/>
        </w:numPr>
        <w:ind w:leftChars="0"/>
        <w:rPr>
          <w:rFonts w:ascii="Times New Roman" w:hAnsi="Times New Roman" w:cs="Times New Roman"/>
          <w:b/>
          <w:sz w:val="24"/>
          <w:szCs w:val="24"/>
        </w:rPr>
      </w:pPr>
      <w:r w:rsidRPr="009E6775">
        <w:rPr>
          <w:rFonts w:ascii="Times New Roman" w:hAnsi="Times New Roman" w:cs="Times New Roman"/>
          <w:b/>
          <w:sz w:val="24"/>
          <w:szCs w:val="24"/>
        </w:rPr>
        <w:t>The</w:t>
      </w:r>
      <w:r w:rsidR="00353D62" w:rsidRPr="009E6775">
        <w:rPr>
          <w:rFonts w:ascii="Times New Roman" w:hAnsi="Times New Roman" w:cs="Times New Roman"/>
          <w:b/>
          <w:sz w:val="24"/>
          <w:szCs w:val="24"/>
        </w:rPr>
        <w:t xml:space="preserve"> </w:t>
      </w:r>
      <w:r w:rsidR="00270534" w:rsidRPr="009E6775">
        <w:rPr>
          <w:rFonts w:ascii="Times New Roman" w:hAnsi="Times New Roman" w:cs="Times New Roman"/>
          <w:b/>
          <w:sz w:val="24"/>
          <w:szCs w:val="24"/>
        </w:rPr>
        <w:t>Israeli Supreme Court’s Approach to the Law of Occupation</w:t>
      </w:r>
      <w:r w:rsidRPr="009E6775">
        <w:rPr>
          <w:rFonts w:ascii="Times New Roman" w:hAnsi="Times New Roman" w:cs="Times New Roman"/>
          <w:b/>
          <w:sz w:val="24"/>
          <w:szCs w:val="24"/>
        </w:rPr>
        <w:t xml:space="preserve"> - An Overall Assessment</w:t>
      </w:r>
    </w:p>
    <w:p w14:paraId="2CE228FF" w14:textId="7110230B" w:rsidR="00B71714" w:rsidRPr="009E6775" w:rsidRDefault="00F73144" w:rsidP="0081540D">
      <w:pPr>
        <w:rPr>
          <w:rFonts w:ascii="Times New Roman" w:hAnsi="Times New Roman" w:cs="Times New Roman"/>
          <w:sz w:val="24"/>
          <w:szCs w:val="24"/>
        </w:rPr>
      </w:pPr>
      <w:r w:rsidRPr="009E6775">
        <w:rPr>
          <w:rFonts w:ascii="Times New Roman" w:hAnsi="Times New Roman" w:cs="Times New Roman"/>
          <w:sz w:val="24"/>
          <w:szCs w:val="24"/>
        </w:rPr>
        <w:t xml:space="preserve">The </w:t>
      </w:r>
      <w:r w:rsidR="007555E6" w:rsidRPr="009E6775">
        <w:rPr>
          <w:rFonts w:ascii="Times New Roman" w:hAnsi="Times New Roman" w:cs="Times New Roman"/>
          <w:sz w:val="24"/>
          <w:szCs w:val="24"/>
        </w:rPr>
        <w:t>Israeli government</w:t>
      </w:r>
      <w:r w:rsidR="003A4EC4" w:rsidRPr="009E6775">
        <w:rPr>
          <w:rFonts w:ascii="Times New Roman" w:hAnsi="Times New Roman" w:cs="Times New Roman"/>
          <w:sz w:val="24"/>
          <w:szCs w:val="24"/>
        </w:rPr>
        <w:t>’s earlier position</w:t>
      </w:r>
      <w:r w:rsidR="00D81EBD" w:rsidRPr="009E6775">
        <w:rPr>
          <w:rFonts w:ascii="Times New Roman" w:hAnsi="Times New Roman" w:cs="Times New Roman"/>
          <w:sz w:val="24"/>
          <w:szCs w:val="24"/>
        </w:rPr>
        <w:t xml:space="preserve"> </w:t>
      </w:r>
      <w:r w:rsidR="003A4EC4" w:rsidRPr="009E6775">
        <w:rPr>
          <w:rFonts w:ascii="Times New Roman" w:hAnsi="Times New Roman" w:cs="Times New Roman"/>
          <w:sz w:val="24"/>
          <w:szCs w:val="24"/>
        </w:rPr>
        <w:t xml:space="preserve">was </w:t>
      </w:r>
      <w:r w:rsidR="00B71714" w:rsidRPr="009E6775">
        <w:rPr>
          <w:rFonts w:ascii="Times New Roman" w:hAnsi="Times New Roman" w:cs="Times New Roman"/>
          <w:sz w:val="24"/>
          <w:szCs w:val="24"/>
        </w:rPr>
        <w:t xml:space="preserve">that since neither </w:t>
      </w:r>
      <w:r w:rsidR="00CA60C7" w:rsidRPr="009E6775">
        <w:rPr>
          <w:rFonts w:ascii="Times New Roman" w:hAnsi="Times New Roman" w:cs="Times New Roman"/>
          <w:sz w:val="24"/>
          <w:szCs w:val="24"/>
        </w:rPr>
        <w:t xml:space="preserve">the West Bank </w:t>
      </w:r>
      <w:r w:rsidR="00B71714" w:rsidRPr="009E6775">
        <w:rPr>
          <w:rFonts w:ascii="Times New Roman" w:hAnsi="Times New Roman" w:cs="Times New Roman"/>
          <w:sz w:val="24"/>
          <w:szCs w:val="24"/>
        </w:rPr>
        <w:t xml:space="preserve">nor </w:t>
      </w:r>
      <w:r w:rsidR="00CA60C7" w:rsidRPr="009E6775">
        <w:rPr>
          <w:rFonts w:ascii="Times New Roman" w:hAnsi="Times New Roman" w:cs="Times New Roman"/>
          <w:sz w:val="24"/>
          <w:szCs w:val="24"/>
        </w:rPr>
        <w:t xml:space="preserve">the </w:t>
      </w:r>
      <w:r w:rsidR="00B71714" w:rsidRPr="009E6775">
        <w:rPr>
          <w:rFonts w:ascii="Times New Roman" w:hAnsi="Times New Roman" w:cs="Times New Roman"/>
          <w:sz w:val="24"/>
          <w:szCs w:val="24"/>
        </w:rPr>
        <w:t>Gaza</w:t>
      </w:r>
      <w:r w:rsidR="00CA60C7" w:rsidRPr="009E6775">
        <w:rPr>
          <w:rFonts w:ascii="Times New Roman" w:hAnsi="Times New Roman" w:cs="Times New Roman"/>
          <w:sz w:val="24"/>
          <w:szCs w:val="24"/>
        </w:rPr>
        <w:t xml:space="preserve"> Strip</w:t>
      </w:r>
      <w:r w:rsidR="00B71714" w:rsidRPr="009E6775">
        <w:rPr>
          <w:rFonts w:ascii="Times New Roman" w:hAnsi="Times New Roman" w:cs="Times New Roman"/>
          <w:sz w:val="24"/>
          <w:szCs w:val="24"/>
        </w:rPr>
        <w:t xml:space="preserve"> was under the sovereignty of any ‘High Contracting Party’ when occupied by Israel in 1967, this was not an occupied territory within the meaning of Article 2 common to </w:t>
      </w:r>
      <w:r w:rsidR="00D81EBD" w:rsidRPr="009E6775">
        <w:rPr>
          <w:rFonts w:ascii="Times New Roman" w:hAnsi="Times New Roman" w:cs="Times New Roman"/>
          <w:sz w:val="24"/>
          <w:szCs w:val="24"/>
        </w:rPr>
        <w:t>the Geneva Conventions</w:t>
      </w:r>
      <w:r w:rsidR="00A27696" w:rsidRPr="009E6775">
        <w:rPr>
          <w:rFonts w:ascii="Times New Roman" w:hAnsi="Times New Roman" w:cs="Times New Roman"/>
          <w:sz w:val="24"/>
          <w:szCs w:val="24"/>
        </w:rPr>
        <w:t xml:space="preserve"> (GCs)</w:t>
      </w:r>
      <w:r w:rsidR="00B71714" w:rsidRPr="009E6775">
        <w:rPr>
          <w:rFonts w:ascii="Times New Roman" w:hAnsi="Times New Roman" w:cs="Times New Roman"/>
          <w:sz w:val="24"/>
          <w:szCs w:val="24"/>
        </w:rPr>
        <w:t>, but an ‘administered territory’.</w:t>
      </w:r>
      <w:r w:rsidR="00F9790F" w:rsidRPr="009E6775">
        <w:rPr>
          <w:rStyle w:val="aa"/>
          <w:rFonts w:ascii="Times New Roman" w:hAnsi="Times New Roman" w:cs="Times New Roman"/>
          <w:sz w:val="24"/>
          <w:szCs w:val="24"/>
        </w:rPr>
        <w:footnoteReference w:id="39"/>
      </w:r>
      <w:r w:rsidR="00710B09" w:rsidRPr="009E6775">
        <w:rPr>
          <w:rFonts w:ascii="Times New Roman" w:hAnsi="Times New Roman" w:cs="Times New Roman"/>
          <w:sz w:val="24"/>
          <w:szCs w:val="24"/>
        </w:rPr>
        <w:t xml:space="preserve"> </w:t>
      </w:r>
      <w:r w:rsidR="003A4EC4" w:rsidRPr="009E6775">
        <w:rPr>
          <w:rFonts w:ascii="Times New Roman" w:hAnsi="Times New Roman" w:cs="Times New Roman"/>
          <w:sz w:val="24"/>
          <w:szCs w:val="24"/>
        </w:rPr>
        <w:t xml:space="preserve">When the text of </w:t>
      </w:r>
      <w:r w:rsidR="006317F6" w:rsidRPr="009E6775">
        <w:rPr>
          <w:rFonts w:ascii="Times New Roman" w:hAnsi="Times New Roman" w:cs="Times New Roman"/>
          <w:sz w:val="24"/>
          <w:szCs w:val="24"/>
        </w:rPr>
        <w:t xml:space="preserve">common </w:t>
      </w:r>
      <w:r w:rsidR="003A4EC4" w:rsidRPr="009E6775">
        <w:rPr>
          <w:rFonts w:ascii="Times New Roman" w:hAnsi="Times New Roman" w:cs="Times New Roman"/>
          <w:sz w:val="24"/>
          <w:szCs w:val="24"/>
        </w:rPr>
        <w:t xml:space="preserve">Article 2(2) GCs was read </w:t>
      </w:r>
      <w:r w:rsidR="001D0C5E" w:rsidRPr="009E6775">
        <w:rPr>
          <w:rFonts w:ascii="Times New Roman" w:hAnsi="Times New Roman" w:cs="Times New Roman"/>
          <w:sz w:val="24"/>
          <w:szCs w:val="24"/>
        </w:rPr>
        <w:t>‘disjunctively’,</w:t>
      </w:r>
      <w:r w:rsidR="001D0C5E" w:rsidRPr="009E6775">
        <w:rPr>
          <w:rStyle w:val="aa"/>
          <w:rFonts w:ascii="Times New Roman" w:hAnsi="Times New Roman" w:cs="Times New Roman"/>
          <w:sz w:val="24"/>
          <w:szCs w:val="24"/>
        </w:rPr>
        <w:footnoteReference w:id="40"/>
      </w:r>
      <w:r w:rsidR="003A4EC4" w:rsidRPr="009E6775">
        <w:rPr>
          <w:rFonts w:ascii="Times New Roman" w:hAnsi="Times New Roman" w:cs="Times New Roman"/>
          <w:sz w:val="24"/>
          <w:szCs w:val="24"/>
        </w:rPr>
        <w:t xml:space="preserve"> t</w:t>
      </w:r>
      <w:r w:rsidR="00710B09" w:rsidRPr="009E6775">
        <w:rPr>
          <w:rFonts w:ascii="Times New Roman" w:hAnsi="Times New Roman" w:cs="Times New Roman"/>
          <w:sz w:val="24"/>
          <w:szCs w:val="24"/>
        </w:rPr>
        <w:t xml:space="preserve">his </w:t>
      </w:r>
      <w:r w:rsidR="003A4EC4" w:rsidRPr="009E6775">
        <w:rPr>
          <w:rFonts w:ascii="Times New Roman" w:hAnsi="Times New Roman" w:cs="Times New Roman"/>
          <w:sz w:val="24"/>
          <w:szCs w:val="24"/>
        </w:rPr>
        <w:t>interpretation</w:t>
      </w:r>
      <w:r w:rsidR="00ED0EE9" w:rsidRPr="009E6775">
        <w:rPr>
          <w:rFonts w:ascii="Times New Roman" w:hAnsi="Times New Roman" w:cs="Times New Roman"/>
          <w:sz w:val="24"/>
          <w:szCs w:val="24"/>
        </w:rPr>
        <w:t xml:space="preserve"> </w:t>
      </w:r>
      <w:r w:rsidR="001D0C5E" w:rsidRPr="009E6775">
        <w:rPr>
          <w:rFonts w:ascii="Times New Roman" w:hAnsi="Times New Roman" w:cs="Times New Roman"/>
          <w:sz w:val="24"/>
          <w:szCs w:val="24"/>
        </w:rPr>
        <w:t>might appear</w:t>
      </w:r>
      <w:r w:rsidR="00ED0EE9" w:rsidRPr="009E6775">
        <w:rPr>
          <w:rFonts w:ascii="Times New Roman" w:hAnsi="Times New Roman" w:cs="Times New Roman"/>
          <w:sz w:val="24"/>
          <w:szCs w:val="24"/>
        </w:rPr>
        <w:t xml:space="preserve"> </w:t>
      </w:r>
      <w:r w:rsidR="00CA60C7" w:rsidRPr="009E6775">
        <w:rPr>
          <w:rFonts w:ascii="Times New Roman" w:hAnsi="Times New Roman" w:cs="Times New Roman"/>
          <w:i/>
          <w:iCs/>
          <w:sz w:val="24"/>
          <w:szCs w:val="24"/>
        </w:rPr>
        <w:t>prima facie</w:t>
      </w:r>
      <w:r w:rsidR="00CA60C7" w:rsidRPr="009E6775">
        <w:rPr>
          <w:rFonts w:ascii="Times New Roman" w:hAnsi="Times New Roman" w:cs="Times New Roman"/>
          <w:sz w:val="24"/>
          <w:szCs w:val="24"/>
        </w:rPr>
        <w:t xml:space="preserve"> </w:t>
      </w:r>
      <w:r w:rsidR="00ED0EE9" w:rsidRPr="009E6775">
        <w:rPr>
          <w:rFonts w:ascii="Times New Roman" w:hAnsi="Times New Roman" w:cs="Times New Roman"/>
          <w:sz w:val="24"/>
          <w:szCs w:val="24"/>
        </w:rPr>
        <w:t>credible</w:t>
      </w:r>
      <w:r w:rsidR="00710B09" w:rsidRPr="009E6775">
        <w:rPr>
          <w:rFonts w:ascii="Times New Roman" w:hAnsi="Times New Roman" w:cs="Times New Roman"/>
          <w:sz w:val="24"/>
          <w:szCs w:val="24"/>
        </w:rPr>
        <w:t xml:space="preserve">. Yet, once this provision is </w:t>
      </w:r>
      <w:r w:rsidR="00CA60C7" w:rsidRPr="009E6775">
        <w:rPr>
          <w:rFonts w:ascii="Times New Roman" w:hAnsi="Times New Roman" w:cs="Times New Roman"/>
          <w:sz w:val="24"/>
          <w:szCs w:val="24"/>
        </w:rPr>
        <w:t>construed</w:t>
      </w:r>
      <w:r w:rsidR="00710B09" w:rsidRPr="009E6775">
        <w:rPr>
          <w:rFonts w:ascii="Times New Roman" w:hAnsi="Times New Roman" w:cs="Times New Roman"/>
          <w:sz w:val="24"/>
          <w:szCs w:val="24"/>
        </w:rPr>
        <w:t xml:space="preserve"> together with the first paragraph</w:t>
      </w:r>
      <w:r w:rsidR="003A4EC4" w:rsidRPr="009E6775">
        <w:rPr>
          <w:rFonts w:ascii="Times New Roman" w:hAnsi="Times New Roman" w:cs="Times New Roman"/>
          <w:sz w:val="24"/>
          <w:szCs w:val="24"/>
        </w:rPr>
        <w:t xml:space="preserve">, </w:t>
      </w:r>
      <w:r w:rsidR="00710B09" w:rsidRPr="009E6775">
        <w:rPr>
          <w:rFonts w:ascii="Times New Roman" w:hAnsi="Times New Roman" w:cs="Times New Roman"/>
          <w:sz w:val="24"/>
          <w:szCs w:val="24"/>
        </w:rPr>
        <w:t xml:space="preserve">it </w:t>
      </w:r>
      <w:r w:rsidR="00F83CE2" w:rsidRPr="009E6775">
        <w:rPr>
          <w:rFonts w:ascii="Times New Roman" w:hAnsi="Times New Roman" w:cs="Times New Roman"/>
          <w:sz w:val="24"/>
          <w:szCs w:val="24"/>
        </w:rPr>
        <w:t>becomes</w:t>
      </w:r>
      <w:r w:rsidR="00710B09" w:rsidRPr="009E6775">
        <w:rPr>
          <w:rFonts w:ascii="Times New Roman" w:hAnsi="Times New Roman" w:cs="Times New Roman"/>
          <w:sz w:val="24"/>
          <w:szCs w:val="24"/>
        </w:rPr>
        <w:t xml:space="preserve"> clear that </w:t>
      </w:r>
      <w:r w:rsidR="00321837" w:rsidRPr="009E6775">
        <w:rPr>
          <w:rFonts w:ascii="Times New Roman" w:hAnsi="Times New Roman" w:cs="Times New Roman"/>
          <w:sz w:val="24"/>
          <w:szCs w:val="24"/>
        </w:rPr>
        <w:t xml:space="preserve">the second paragraph deals with </w:t>
      </w:r>
      <w:r w:rsidR="00ED0EE9" w:rsidRPr="009E6775">
        <w:rPr>
          <w:rFonts w:ascii="Times New Roman" w:hAnsi="Times New Roman" w:cs="Times New Roman"/>
          <w:sz w:val="24"/>
          <w:szCs w:val="24"/>
        </w:rPr>
        <w:t xml:space="preserve">the </w:t>
      </w:r>
      <w:r w:rsidR="00321837" w:rsidRPr="009E6775">
        <w:rPr>
          <w:rFonts w:ascii="Times New Roman" w:hAnsi="Times New Roman" w:cs="Times New Roman"/>
          <w:sz w:val="24"/>
          <w:szCs w:val="24"/>
        </w:rPr>
        <w:t xml:space="preserve">specific </w:t>
      </w:r>
      <w:r w:rsidR="00ED0EE9" w:rsidRPr="009E6775">
        <w:rPr>
          <w:rFonts w:ascii="Times New Roman" w:hAnsi="Times New Roman" w:cs="Times New Roman"/>
          <w:sz w:val="24"/>
          <w:szCs w:val="24"/>
        </w:rPr>
        <w:t>circumstances</w:t>
      </w:r>
      <w:r w:rsidR="00321837" w:rsidRPr="009E6775">
        <w:rPr>
          <w:rFonts w:ascii="Times New Roman" w:hAnsi="Times New Roman" w:cs="Times New Roman"/>
          <w:sz w:val="24"/>
          <w:szCs w:val="24"/>
        </w:rPr>
        <w:t xml:space="preserve"> of occupation </w:t>
      </w:r>
      <w:r w:rsidR="00ED0EE9" w:rsidRPr="009E6775">
        <w:rPr>
          <w:rFonts w:ascii="Times New Roman" w:hAnsi="Times New Roman" w:cs="Times New Roman"/>
          <w:sz w:val="24"/>
          <w:szCs w:val="24"/>
        </w:rPr>
        <w:t>where an occupying power</w:t>
      </w:r>
      <w:r w:rsidR="00321837" w:rsidRPr="009E6775">
        <w:rPr>
          <w:rFonts w:ascii="Times New Roman" w:hAnsi="Times New Roman" w:cs="Times New Roman"/>
          <w:sz w:val="24"/>
          <w:szCs w:val="24"/>
        </w:rPr>
        <w:t xml:space="preserve"> is not met </w:t>
      </w:r>
      <w:r w:rsidR="00ED0EE9" w:rsidRPr="009E6775">
        <w:rPr>
          <w:rFonts w:ascii="Times New Roman" w:hAnsi="Times New Roman" w:cs="Times New Roman"/>
          <w:sz w:val="24"/>
          <w:szCs w:val="24"/>
        </w:rPr>
        <w:t>with</w:t>
      </w:r>
      <w:r w:rsidR="00321837" w:rsidRPr="009E6775">
        <w:rPr>
          <w:rFonts w:ascii="Times New Roman" w:hAnsi="Times New Roman" w:cs="Times New Roman"/>
          <w:sz w:val="24"/>
          <w:szCs w:val="24"/>
        </w:rPr>
        <w:t xml:space="preserve"> any armed resistance</w:t>
      </w:r>
      <w:r w:rsidR="00ED0EE9" w:rsidRPr="009E6775">
        <w:rPr>
          <w:rFonts w:ascii="Times New Roman" w:hAnsi="Times New Roman" w:cs="Times New Roman"/>
          <w:sz w:val="24"/>
          <w:szCs w:val="24"/>
        </w:rPr>
        <w:t xml:space="preserve"> of the local population. Indeed, this construction</w:t>
      </w:r>
      <w:r w:rsidR="00CA60C7" w:rsidRPr="009E6775">
        <w:rPr>
          <w:rFonts w:ascii="Times New Roman" w:hAnsi="Times New Roman" w:cs="Times New Roman"/>
          <w:sz w:val="24"/>
          <w:szCs w:val="24"/>
        </w:rPr>
        <w:t>, which</w:t>
      </w:r>
      <w:r w:rsidR="00ED0EE9" w:rsidRPr="009E6775">
        <w:rPr>
          <w:rFonts w:ascii="Times New Roman" w:hAnsi="Times New Roman" w:cs="Times New Roman"/>
          <w:sz w:val="24"/>
          <w:szCs w:val="24"/>
        </w:rPr>
        <w:t xml:space="preserve"> is bolstered by the </w:t>
      </w:r>
      <w:r w:rsidR="00ED0EE9" w:rsidRPr="009E6775">
        <w:rPr>
          <w:rFonts w:ascii="Times New Roman" w:hAnsi="Times New Roman" w:cs="Times New Roman"/>
          <w:i/>
          <w:iCs/>
          <w:sz w:val="24"/>
          <w:szCs w:val="24"/>
        </w:rPr>
        <w:t>travaux preparatoires</w:t>
      </w:r>
      <w:r w:rsidR="00CA60C7" w:rsidRPr="009E6775">
        <w:rPr>
          <w:rFonts w:ascii="Times New Roman" w:hAnsi="Times New Roman" w:cs="Times New Roman"/>
          <w:i/>
          <w:iCs/>
          <w:sz w:val="24"/>
          <w:szCs w:val="24"/>
        </w:rPr>
        <w:t>,</w:t>
      </w:r>
      <w:r w:rsidR="00ED0EE9" w:rsidRPr="009E6775">
        <w:rPr>
          <w:rStyle w:val="aa"/>
          <w:rFonts w:ascii="Times New Roman" w:hAnsi="Times New Roman" w:cs="Times New Roman"/>
          <w:sz w:val="24"/>
          <w:szCs w:val="24"/>
        </w:rPr>
        <w:footnoteReference w:id="41"/>
      </w:r>
      <w:r w:rsidR="001D0C5E" w:rsidRPr="009E6775">
        <w:rPr>
          <w:rFonts w:ascii="Times New Roman" w:hAnsi="Times New Roman" w:cs="Times New Roman"/>
          <w:i/>
          <w:iCs/>
          <w:sz w:val="24"/>
          <w:szCs w:val="24"/>
        </w:rPr>
        <w:t xml:space="preserve"> </w:t>
      </w:r>
      <w:r w:rsidR="00CA60C7" w:rsidRPr="009E6775">
        <w:rPr>
          <w:rFonts w:ascii="Times New Roman" w:hAnsi="Times New Roman" w:cs="Times New Roman"/>
          <w:sz w:val="24"/>
          <w:szCs w:val="24"/>
        </w:rPr>
        <w:t>was confirmed</w:t>
      </w:r>
      <w:r w:rsidR="001D0C5E" w:rsidRPr="009E6775">
        <w:rPr>
          <w:rFonts w:ascii="Times New Roman" w:hAnsi="Times New Roman" w:cs="Times New Roman"/>
          <w:sz w:val="24"/>
          <w:szCs w:val="24"/>
        </w:rPr>
        <w:t xml:space="preserve"> by the </w:t>
      </w:r>
      <w:r w:rsidR="00CA60C7" w:rsidRPr="009E6775">
        <w:rPr>
          <w:rFonts w:ascii="Times New Roman" w:hAnsi="Times New Roman" w:cs="Times New Roman"/>
          <w:sz w:val="24"/>
          <w:szCs w:val="24"/>
        </w:rPr>
        <w:t>International Court of Justice (</w:t>
      </w:r>
      <w:r w:rsidR="001D0C5E" w:rsidRPr="009E6775">
        <w:rPr>
          <w:rFonts w:ascii="Times New Roman" w:hAnsi="Times New Roman" w:cs="Times New Roman"/>
          <w:sz w:val="24"/>
          <w:szCs w:val="24"/>
        </w:rPr>
        <w:t>ICJ</w:t>
      </w:r>
      <w:r w:rsidR="00CA60C7" w:rsidRPr="009E6775">
        <w:rPr>
          <w:rFonts w:ascii="Times New Roman" w:hAnsi="Times New Roman" w:cs="Times New Roman"/>
          <w:sz w:val="24"/>
          <w:szCs w:val="24"/>
        </w:rPr>
        <w:t>)</w:t>
      </w:r>
      <w:r w:rsidR="001D0C5E" w:rsidRPr="009E6775">
        <w:rPr>
          <w:rFonts w:ascii="Times New Roman" w:hAnsi="Times New Roman" w:cs="Times New Roman"/>
          <w:sz w:val="24"/>
          <w:szCs w:val="24"/>
        </w:rPr>
        <w:t xml:space="preserve"> in </w:t>
      </w:r>
      <w:r w:rsidR="001D0C5E" w:rsidRPr="009E6775">
        <w:rPr>
          <w:rFonts w:ascii="Times New Roman" w:hAnsi="Times New Roman" w:cs="Times New Roman"/>
          <w:i/>
          <w:iCs/>
          <w:sz w:val="24"/>
          <w:szCs w:val="24"/>
        </w:rPr>
        <w:t>Wall</w:t>
      </w:r>
      <w:r w:rsidR="001D0C5E" w:rsidRPr="009E6775">
        <w:rPr>
          <w:rFonts w:ascii="Times New Roman" w:hAnsi="Times New Roman" w:cs="Times New Roman"/>
          <w:sz w:val="24"/>
          <w:szCs w:val="24"/>
        </w:rPr>
        <w:t xml:space="preserve"> Advisory Opinion.</w:t>
      </w:r>
      <w:r w:rsidR="001D0C5E" w:rsidRPr="009E6775">
        <w:rPr>
          <w:rStyle w:val="aa"/>
          <w:rFonts w:ascii="Times New Roman" w:hAnsi="Times New Roman" w:cs="Times New Roman"/>
          <w:sz w:val="24"/>
          <w:szCs w:val="24"/>
        </w:rPr>
        <w:footnoteReference w:id="42"/>
      </w:r>
    </w:p>
    <w:p w14:paraId="5DE16FE8" w14:textId="77777777" w:rsidR="002B5BFD" w:rsidRPr="009E6775" w:rsidRDefault="002B5BFD" w:rsidP="0081540D">
      <w:pPr>
        <w:rPr>
          <w:rFonts w:ascii="Times New Roman" w:hAnsi="Times New Roman" w:cs="Times New Roman"/>
          <w:sz w:val="24"/>
          <w:szCs w:val="24"/>
        </w:rPr>
      </w:pPr>
    </w:p>
    <w:p w14:paraId="2F8F5087" w14:textId="431633AC" w:rsidR="002B5BFD" w:rsidRPr="009E6775" w:rsidRDefault="00451CB2" w:rsidP="0081540D">
      <w:pPr>
        <w:rPr>
          <w:rFonts w:ascii="Times New Roman" w:hAnsi="Times New Roman" w:cs="Times New Roman"/>
          <w:sz w:val="24"/>
          <w:szCs w:val="24"/>
        </w:rPr>
      </w:pPr>
      <w:r w:rsidRPr="009E6775">
        <w:rPr>
          <w:rFonts w:ascii="Times New Roman" w:hAnsi="Times New Roman" w:cs="Times New Roman"/>
          <w:sz w:val="24"/>
          <w:szCs w:val="24"/>
        </w:rPr>
        <w:t>Any legal concern over the</w:t>
      </w:r>
      <w:r w:rsidR="002B5BFD" w:rsidRPr="009E6775">
        <w:rPr>
          <w:rFonts w:ascii="Times New Roman" w:hAnsi="Times New Roman" w:cs="Times New Roman"/>
          <w:sz w:val="24"/>
          <w:szCs w:val="24"/>
        </w:rPr>
        <w:t xml:space="preserve"> government’s refusal to treat the West Bank and the Gaza (prior to the withdrawal of the Israeli Defence Forces) as the occupied territory is, however, </w:t>
      </w:r>
      <w:r w:rsidRPr="009E6775">
        <w:rPr>
          <w:rFonts w:ascii="Times New Roman" w:hAnsi="Times New Roman" w:cs="Times New Roman"/>
          <w:sz w:val="24"/>
          <w:szCs w:val="24"/>
        </w:rPr>
        <w:t xml:space="preserve">dispelled by the SC’s principled stance from its earlier case-law. </w:t>
      </w:r>
      <w:r w:rsidR="002B5BFD" w:rsidRPr="009E6775">
        <w:rPr>
          <w:rFonts w:ascii="Times New Roman" w:hAnsi="Times New Roman" w:cs="Times New Roman"/>
          <w:sz w:val="24"/>
          <w:szCs w:val="24"/>
        </w:rPr>
        <w:t xml:space="preserve">As seen from its reasoning in </w:t>
      </w:r>
      <w:r w:rsidR="002B5BFD" w:rsidRPr="009E6775">
        <w:rPr>
          <w:rFonts w:ascii="Times New Roman" w:hAnsi="Times New Roman" w:cs="Times New Roman"/>
          <w:i/>
          <w:iCs/>
          <w:sz w:val="24"/>
          <w:szCs w:val="24"/>
        </w:rPr>
        <w:t>Electricity Co (No 2)</w:t>
      </w:r>
      <w:r w:rsidR="002B5BFD" w:rsidRPr="009E6775">
        <w:rPr>
          <w:rFonts w:ascii="Times New Roman" w:hAnsi="Times New Roman" w:cs="Times New Roman"/>
          <w:sz w:val="24"/>
          <w:szCs w:val="24"/>
        </w:rPr>
        <w:t xml:space="preserve"> (1981),</w:t>
      </w:r>
      <w:r w:rsidR="002B5BFD" w:rsidRPr="009E6775">
        <w:rPr>
          <w:rStyle w:val="aa"/>
          <w:rFonts w:ascii="Times New Roman" w:hAnsi="Times New Roman" w:cs="Times New Roman"/>
          <w:sz w:val="24"/>
          <w:szCs w:val="24"/>
        </w:rPr>
        <w:footnoteReference w:id="43"/>
      </w:r>
      <w:r w:rsidR="002B5BFD" w:rsidRPr="009E6775">
        <w:rPr>
          <w:rFonts w:ascii="Times New Roman" w:hAnsi="Times New Roman" w:cs="Times New Roman"/>
          <w:sz w:val="24"/>
          <w:szCs w:val="24"/>
        </w:rPr>
        <w:t xml:space="preserve"> the </w:t>
      </w:r>
      <w:r w:rsidRPr="009E6775">
        <w:rPr>
          <w:rFonts w:ascii="Times New Roman" w:hAnsi="Times New Roman" w:cs="Times New Roman"/>
          <w:sz w:val="24"/>
          <w:szCs w:val="24"/>
        </w:rPr>
        <w:t>SC</w:t>
      </w:r>
      <w:r w:rsidR="002B5BFD" w:rsidRPr="009E6775">
        <w:rPr>
          <w:rFonts w:ascii="Times New Roman" w:hAnsi="Times New Roman" w:cs="Times New Roman"/>
          <w:sz w:val="24"/>
          <w:szCs w:val="24"/>
        </w:rPr>
        <w:t xml:space="preserve"> made plain that the legal regime </w:t>
      </w:r>
      <w:r w:rsidR="002B5BFD" w:rsidRPr="009E6775">
        <w:rPr>
          <w:rFonts w:ascii="Times New Roman" w:hAnsi="Times New Roman" w:cs="Times New Roman"/>
          <w:sz w:val="24"/>
          <w:szCs w:val="24"/>
        </w:rPr>
        <w:lastRenderedPageBreak/>
        <w:t>in the West Bank was the one of belligerent occupation subject to customary international law.</w:t>
      </w:r>
      <w:r w:rsidR="002B5BFD" w:rsidRPr="009E6775">
        <w:rPr>
          <w:rStyle w:val="aa"/>
          <w:rFonts w:ascii="Times New Roman" w:hAnsi="Times New Roman" w:cs="Times New Roman"/>
          <w:sz w:val="24"/>
          <w:szCs w:val="24"/>
        </w:rPr>
        <w:footnoteReference w:id="44"/>
      </w:r>
      <w:r w:rsidR="002B5BFD"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In </w:t>
      </w:r>
      <w:r w:rsidR="002B5BFD" w:rsidRPr="009E6775">
        <w:rPr>
          <w:rFonts w:ascii="Times New Roman" w:hAnsi="Times New Roman" w:cs="Times New Roman"/>
          <w:i/>
          <w:iCs/>
          <w:sz w:val="24"/>
          <w:szCs w:val="24"/>
        </w:rPr>
        <w:t>Jamait Askan</w:t>
      </w:r>
      <w:r w:rsidR="002B5BFD" w:rsidRPr="009E6775">
        <w:rPr>
          <w:rFonts w:ascii="Times New Roman" w:hAnsi="Times New Roman" w:cs="Times New Roman"/>
          <w:sz w:val="24"/>
          <w:szCs w:val="24"/>
        </w:rPr>
        <w:t xml:space="preserve">, the </w:t>
      </w:r>
      <w:r w:rsidRPr="009E6775">
        <w:rPr>
          <w:rFonts w:ascii="Times New Roman" w:hAnsi="Times New Roman" w:cs="Times New Roman"/>
          <w:sz w:val="24"/>
          <w:szCs w:val="24"/>
        </w:rPr>
        <w:t>SC</w:t>
      </w:r>
      <w:r w:rsidR="002B5BFD" w:rsidRPr="009E6775">
        <w:rPr>
          <w:rFonts w:ascii="Times New Roman" w:hAnsi="Times New Roman" w:cs="Times New Roman"/>
          <w:sz w:val="24"/>
          <w:szCs w:val="24"/>
        </w:rPr>
        <w:t xml:space="preserve"> (</w:t>
      </w:r>
      <w:r w:rsidR="002B5BFD" w:rsidRPr="009E6775">
        <w:rPr>
          <w:rFonts w:ascii="Times New Roman" w:hAnsi="Times New Roman" w:cs="Times New Roman"/>
          <w:i/>
          <w:iCs/>
          <w:sz w:val="24"/>
          <w:szCs w:val="24"/>
        </w:rPr>
        <w:t>per</w:t>
      </w:r>
      <w:r w:rsidR="002B5BFD" w:rsidRPr="009E6775">
        <w:rPr>
          <w:rFonts w:ascii="Times New Roman" w:hAnsi="Times New Roman" w:cs="Times New Roman"/>
          <w:sz w:val="24"/>
          <w:szCs w:val="24"/>
        </w:rPr>
        <w:t xml:space="preserve"> Justice Barak) </w:t>
      </w:r>
      <w:r w:rsidRPr="009E6775">
        <w:rPr>
          <w:rFonts w:ascii="Times New Roman" w:hAnsi="Times New Roman" w:cs="Times New Roman"/>
          <w:sz w:val="24"/>
          <w:szCs w:val="24"/>
        </w:rPr>
        <w:t xml:space="preserve">confirmed this precedent, </w:t>
      </w:r>
      <w:r w:rsidR="002B5BFD" w:rsidRPr="009E6775">
        <w:rPr>
          <w:rFonts w:ascii="Times New Roman" w:hAnsi="Times New Roman" w:cs="Times New Roman"/>
          <w:sz w:val="24"/>
          <w:szCs w:val="24"/>
        </w:rPr>
        <w:t>expressly recognis</w:t>
      </w:r>
      <w:r w:rsidRPr="009E6775">
        <w:rPr>
          <w:rFonts w:ascii="Times New Roman" w:hAnsi="Times New Roman" w:cs="Times New Roman"/>
          <w:sz w:val="24"/>
          <w:szCs w:val="24"/>
        </w:rPr>
        <w:t xml:space="preserve">ing the applicability of the law of occupation to </w:t>
      </w:r>
      <w:r w:rsidR="002B5BFD" w:rsidRPr="009E6775">
        <w:rPr>
          <w:rFonts w:ascii="Times New Roman" w:hAnsi="Times New Roman" w:cs="Times New Roman"/>
          <w:sz w:val="24"/>
          <w:szCs w:val="24"/>
        </w:rPr>
        <w:t>the West Bank.</w:t>
      </w:r>
      <w:r w:rsidR="002B5BFD" w:rsidRPr="009E6775">
        <w:rPr>
          <w:rStyle w:val="aa"/>
          <w:rFonts w:ascii="Times New Roman" w:hAnsi="Times New Roman" w:cs="Times New Roman"/>
          <w:sz w:val="24"/>
          <w:szCs w:val="24"/>
        </w:rPr>
        <w:footnoteReference w:id="45"/>
      </w:r>
      <w:r w:rsidR="002B5BFD" w:rsidRPr="009E6775">
        <w:rPr>
          <w:rFonts w:ascii="Times New Roman" w:hAnsi="Times New Roman" w:cs="Times New Roman"/>
          <w:sz w:val="24"/>
          <w:szCs w:val="24"/>
        </w:rPr>
        <w:t xml:space="preserve"> </w:t>
      </w:r>
    </w:p>
    <w:p w14:paraId="7C7950BB" w14:textId="551B0188" w:rsidR="00C63F35" w:rsidRPr="009E6775" w:rsidRDefault="00C63F35" w:rsidP="0081540D">
      <w:pPr>
        <w:rPr>
          <w:rFonts w:ascii="Times New Roman" w:hAnsi="Times New Roman" w:cs="Times New Roman"/>
          <w:sz w:val="24"/>
          <w:szCs w:val="24"/>
        </w:rPr>
      </w:pPr>
    </w:p>
    <w:p w14:paraId="68C872BE" w14:textId="1CA6246E" w:rsidR="00CA60C7" w:rsidRPr="009E6775" w:rsidRDefault="00AF29F8" w:rsidP="0081540D">
      <w:pPr>
        <w:rPr>
          <w:rFonts w:ascii="Times New Roman" w:hAnsi="Times New Roman" w:cs="Times New Roman"/>
          <w:sz w:val="24"/>
          <w:szCs w:val="24"/>
        </w:rPr>
      </w:pPr>
      <w:r w:rsidRPr="009E6775">
        <w:rPr>
          <w:rFonts w:ascii="Times New Roman" w:hAnsi="Times New Roman" w:cs="Times New Roman"/>
          <w:sz w:val="24"/>
          <w:szCs w:val="24"/>
        </w:rPr>
        <w:t xml:space="preserve">When it comes to the relationship between international law and domestic law, </w:t>
      </w:r>
      <w:r w:rsidR="00C63F35" w:rsidRPr="009E6775">
        <w:rPr>
          <w:rFonts w:ascii="Times New Roman" w:hAnsi="Times New Roman" w:cs="Times New Roman"/>
          <w:sz w:val="24"/>
          <w:szCs w:val="24"/>
        </w:rPr>
        <w:t>Israel</w:t>
      </w:r>
      <w:r w:rsidR="003A4EC4" w:rsidRPr="009E6775">
        <w:rPr>
          <w:rFonts w:ascii="Times New Roman" w:hAnsi="Times New Roman" w:cs="Times New Roman"/>
          <w:sz w:val="24"/>
          <w:szCs w:val="24"/>
        </w:rPr>
        <w:t xml:space="preserve">, </w:t>
      </w:r>
      <w:r w:rsidR="00D81EBD" w:rsidRPr="009E6775">
        <w:rPr>
          <w:rFonts w:ascii="Times New Roman" w:hAnsi="Times New Roman" w:cs="Times New Roman"/>
          <w:sz w:val="24"/>
          <w:szCs w:val="24"/>
        </w:rPr>
        <w:t>a common law country</w:t>
      </w:r>
      <w:r w:rsidRPr="009E6775">
        <w:rPr>
          <w:rFonts w:ascii="Times New Roman" w:hAnsi="Times New Roman" w:cs="Times New Roman"/>
          <w:sz w:val="24"/>
          <w:szCs w:val="24"/>
        </w:rPr>
        <w:t xml:space="preserve">, </w:t>
      </w:r>
      <w:r w:rsidR="003A4EC4" w:rsidRPr="009E6775">
        <w:rPr>
          <w:rFonts w:ascii="Times New Roman" w:hAnsi="Times New Roman" w:cs="Times New Roman"/>
          <w:sz w:val="24"/>
          <w:szCs w:val="24"/>
        </w:rPr>
        <w:t>takes</w:t>
      </w:r>
      <w:r w:rsidRPr="009E6775">
        <w:rPr>
          <w:rFonts w:ascii="Times New Roman" w:hAnsi="Times New Roman" w:cs="Times New Roman"/>
          <w:sz w:val="24"/>
          <w:szCs w:val="24"/>
        </w:rPr>
        <w:t xml:space="preserve"> </w:t>
      </w:r>
      <w:r w:rsidR="00C63F35" w:rsidRPr="009E6775">
        <w:rPr>
          <w:rFonts w:ascii="Times New Roman" w:hAnsi="Times New Roman" w:cs="Times New Roman"/>
          <w:sz w:val="24"/>
          <w:szCs w:val="24"/>
        </w:rPr>
        <w:t xml:space="preserve">a dualist position. On </w:t>
      </w:r>
      <w:r w:rsidR="00877E0C" w:rsidRPr="009E6775">
        <w:rPr>
          <w:rFonts w:ascii="Times New Roman" w:hAnsi="Times New Roman" w:cs="Times New Roman"/>
          <w:sz w:val="24"/>
          <w:szCs w:val="24"/>
        </w:rPr>
        <w:t xml:space="preserve">one </w:t>
      </w:r>
      <w:r w:rsidR="00C63F35" w:rsidRPr="009E6775">
        <w:rPr>
          <w:rFonts w:ascii="Times New Roman" w:hAnsi="Times New Roman" w:cs="Times New Roman"/>
          <w:sz w:val="24"/>
          <w:szCs w:val="24"/>
        </w:rPr>
        <w:t xml:space="preserve">hand, customary </w:t>
      </w:r>
      <w:r w:rsidR="001D0C5E" w:rsidRPr="009E6775">
        <w:rPr>
          <w:rFonts w:ascii="Times New Roman" w:hAnsi="Times New Roman" w:cs="Times New Roman"/>
          <w:sz w:val="24"/>
          <w:szCs w:val="24"/>
        </w:rPr>
        <w:t>international law</w:t>
      </w:r>
      <w:r w:rsidR="00C63F35" w:rsidRPr="009E6775">
        <w:rPr>
          <w:rFonts w:ascii="Times New Roman" w:hAnsi="Times New Roman" w:cs="Times New Roman"/>
          <w:sz w:val="24"/>
          <w:szCs w:val="24"/>
        </w:rPr>
        <w:t xml:space="preserve"> is considered the law of the land. </w:t>
      </w:r>
      <w:r w:rsidR="00877E0C" w:rsidRPr="009E6775">
        <w:rPr>
          <w:rFonts w:ascii="Times New Roman" w:hAnsi="Times New Roman" w:cs="Times New Roman"/>
          <w:sz w:val="24"/>
          <w:szCs w:val="24"/>
        </w:rPr>
        <w:t xml:space="preserve">On the other hand, </w:t>
      </w:r>
      <w:r w:rsidR="000E5AF9" w:rsidRPr="009E6775">
        <w:rPr>
          <w:rFonts w:ascii="Times New Roman" w:hAnsi="Times New Roman" w:cs="Times New Roman"/>
          <w:sz w:val="24"/>
          <w:szCs w:val="24"/>
        </w:rPr>
        <w:t xml:space="preserve">as for treaties, </w:t>
      </w:r>
      <w:r w:rsidR="00877E0C" w:rsidRPr="009E6775">
        <w:rPr>
          <w:rFonts w:ascii="Times New Roman" w:hAnsi="Times New Roman" w:cs="Times New Roman"/>
          <w:sz w:val="24"/>
          <w:szCs w:val="24"/>
        </w:rPr>
        <w:t xml:space="preserve">the </w:t>
      </w:r>
      <w:r w:rsidR="00C95520" w:rsidRPr="009E6775">
        <w:rPr>
          <w:rFonts w:ascii="Times New Roman" w:hAnsi="Times New Roman" w:cs="Times New Roman"/>
          <w:sz w:val="24"/>
          <w:szCs w:val="24"/>
        </w:rPr>
        <w:t>SC</w:t>
      </w:r>
      <w:r w:rsidR="00877E0C" w:rsidRPr="009E6775">
        <w:rPr>
          <w:rFonts w:ascii="Times New Roman" w:hAnsi="Times New Roman" w:cs="Times New Roman"/>
          <w:sz w:val="24"/>
          <w:szCs w:val="24"/>
        </w:rPr>
        <w:t xml:space="preserve"> has held that it is a well-established principle that </w:t>
      </w:r>
      <w:r w:rsidR="00A27696" w:rsidRPr="009E6775">
        <w:rPr>
          <w:rFonts w:ascii="Times New Roman" w:hAnsi="Times New Roman" w:cs="Times New Roman"/>
          <w:sz w:val="24"/>
          <w:szCs w:val="24"/>
        </w:rPr>
        <w:t xml:space="preserve">the </w:t>
      </w:r>
      <w:r w:rsidR="00877E0C" w:rsidRPr="009E6775">
        <w:rPr>
          <w:rFonts w:ascii="Times New Roman" w:hAnsi="Times New Roman" w:cs="Times New Roman"/>
          <w:sz w:val="24"/>
          <w:szCs w:val="24"/>
        </w:rPr>
        <w:t xml:space="preserve">local statutes </w:t>
      </w:r>
      <w:r w:rsidR="00336C5C" w:rsidRPr="009E6775">
        <w:rPr>
          <w:rFonts w:ascii="Times New Roman" w:hAnsi="Times New Roman" w:cs="Times New Roman"/>
          <w:sz w:val="24"/>
          <w:szCs w:val="24"/>
        </w:rPr>
        <w:t xml:space="preserve">ought to be read </w:t>
      </w:r>
      <w:r w:rsidR="00877E0C" w:rsidRPr="009E6775">
        <w:rPr>
          <w:rFonts w:ascii="Times New Roman" w:hAnsi="Times New Roman" w:cs="Times New Roman"/>
          <w:sz w:val="24"/>
          <w:szCs w:val="24"/>
        </w:rPr>
        <w:t xml:space="preserve">in conformity to the </w:t>
      </w:r>
      <w:r w:rsidR="000E5AF9" w:rsidRPr="009E6775">
        <w:rPr>
          <w:rFonts w:ascii="Times New Roman" w:hAnsi="Times New Roman" w:cs="Times New Roman"/>
          <w:sz w:val="24"/>
          <w:szCs w:val="24"/>
        </w:rPr>
        <w:t>conventions</w:t>
      </w:r>
      <w:r w:rsidR="00877E0C" w:rsidRPr="009E6775">
        <w:rPr>
          <w:rFonts w:ascii="Times New Roman" w:hAnsi="Times New Roman" w:cs="Times New Roman"/>
          <w:sz w:val="24"/>
          <w:szCs w:val="24"/>
        </w:rPr>
        <w:t xml:space="preserve"> </w:t>
      </w:r>
      <w:r w:rsidR="00D81EBD" w:rsidRPr="009E6775">
        <w:rPr>
          <w:rFonts w:ascii="Times New Roman" w:hAnsi="Times New Roman" w:cs="Times New Roman"/>
          <w:sz w:val="24"/>
          <w:szCs w:val="24"/>
        </w:rPr>
        <w:t>ratified by</w:t>
      </w:r>
      <w:r w:rsidR="00877E0C" w:rsidRPr="009E6775">
        <w:rPr>
          <w:rFonts w:ascii="Times New Roman" w:hAnsi="Times New Roman" w:cs="Times New Roman"/>
          <w:sz w:val="24"/>
          <w:szCs w:val="24"/>
        </w:rPr>
        <w:t xml:space="preserve"> the government.</w:t>
      </w:r>
      <w:r w:rsidR="00877E0C" w:rsidRPr="009E6775">
        <w:rPr>
          <w:rStyle w:val="aa"/>
          <w:rFonts w:ascii="Times New Roman" w:hAnsi="Times New Roman" w:cs="Times New Roman"/>
          <w:sz w:val="24"/>
          <w:szCs w:val="24"/>
        </w:rPr>
        <w:footnoteReference w:id="46"/>
      </w:r>
      <w:r w:rsidR="00877E0C" w:rsidRPr="009E6775">
        <w:rPr>
          <w:rFonts w:ascii="Times New Roman" w:hAnsi="Times New Roman" w:cs="Times New Roman"/>
          <w:sz w:val="24"/>
          <w:szCs w:val="24"/>
        </w:rPr>
        <w:t xml:space="preserve"> </w:t>
      </w:r>
      <w:r w:rsidR="00336C5C" w:rsidRPr="009E6775">
        <w:rPr>
          <w:rFonts w:ascii="Times New Roman" w:hAnsi="Times New Roman" w:cs="Times New Roman"/>
          <w:sz w:val="24"/>
          <w:szCs w:val="24"/>
        </w:rPr>
        <w:t>Kretzmer and Ronen argue that this</w:t>
      </w:r>
      <w:r w:rsidR="00F05D81" w:rsidRPr="009E6775">
        <w:rPr>
          <w:rFonts w:ascii="Times New Roman" w:hAnsi="Times New Roman" w:cs="Times New Roman"/>
          <w:sz w:val="24"/>
          <w:szCs w:val="24"/>
        </w:rPr>
        <w:t xml:space="preserve"> </w:t>
      </w:r>
      <w:r w:rsidR="00336C5C" w:rsidRPr="009E6775">
        <w:rPr>
          <w:rFonts w:ascii="Times New Roman" w:hAnsi="Times New Roman" w:cs="Times New Roman"/>
          <w:sz w:val="24"/>
          <w:szCs w:val="24"/>
        </w:rPr>
        <w:t xml:space="preserve">principle is, however, undermined when it comes to the SC’s approaches </w:t>
      </w:r>
      <w:r w:rsidR="00F05D81" w:rsidRPr="009E6775">
        <w:rPr>
          <w:rFonts w:ascii="Times New Roman" w:hAnsi="Times New Roman" w:cs="Times New Roman"/>
          <w:sz w:val="24"/>
          <w:szCs w:val="24"/>
        </w:rPr>
        <w:t>to the Interim Agreement (or the Oslo Accords)</w:t>
      </w:r>
      <w:r w:rsidR="00F66261" w:rsidRPr="009E6775">
        <w:rPr>
          <w:rFonts w:ascii="Times New Roman" w:hAnsi="Times New Roman" w:cs="Times New Roman"/>
          <w:sz w:val="24"/>
          <w:szCs w:val="24"/>
        </w:rPr>
        <w:t>,</w:t>
      </w:r>
      <w:r w:rsidR="00F66261" w:rsidRPr="009E6775">
        <w:rPr>
          <w:rStyle w:val="aa"/>
          <w:rFonts w:ascii="Times New Roman" w:hAnsi="Times New Roman" w:cs="Times New Roman"/>
          <w:sz w:val="24"/>
          <w:szCs w:val="24"/>
        </w:rPr>
        <w:footnoteReference w:id="47"/>
      </w:r>
      <w:r w:rsidR="00F66261" w:rsidRPr="009E6775">
        <w:rPr>
          <w:rFonts w:ascii="Times New Roman" w:hAnsi="Times New Roman" w:cs="Times New Roman"/>
          <w:sz w:val="24"/>
          <w:szCs w:val="24"/>
        </w:rPr>
        <w:t xml:space="preserve"> and that these can be taken as signalling the SC’s reversal of its precedent establishing the presumption of compatibility of domestic laws with international law.</w:t>
      </w:r>
      <w:r w:rsidR="00F66261" w:rsidRPr="009E6775">
        <w:rPr>
          <w:rStyle w:val="aa"/>
          <w:rFonts w:ascii="Times New Roman" w:hAnsi="Times New Roman" w:cs="Times New Roman"/>
          <w:sz w:val="24"/>
          <w:szCs w:val="24"/>
        </w:rPr>
        <w:footnoteReference w:id="48"/>
      </w:r>
      <w:r w:rsidR="00F66261" w:rsidRPr="009E6775">
        <w:rPr>
          <w:rFonts w:ascii="Times New Roman" w:hAnsi="Times New Roman" w:cs="Times New Roman"/>
          <w:sz w:val="24"/>
          <w:szCs w:val="24"/>
        </w:rPr>
        <w:t xml:space="preserve"> Their </w:t>
      </w:r>
      <w:r w:rsidR="00336C5C" w:rsidRPr="009E6775">
        <w:rPr>
          <w:rFonts w:ascii="Times New Roman" w:hAnsi="Times New Roman" w:cs="Times New Roman"/>
          <w:sz w:val="24"/>
          <w:szCs w:val="24"/>
        </w:rPr>
        <w:t>argument rests on the assumption that the Interim Agreement constitutes</w:t>
      </w:r>
      <w:r w:rsidR="00F05D81" w:rsidRPr="009E6775">
        <w:rPr>
          <w:rFonts w:ascii="Times New Roman" w:hAnsi="Times New Roman" w:cs="Times New Roman"/>
          <w:sz w:val="24"/>
          <w:szCs w:val="24"/>
        </w:rPr>
        <w:t xml:space="preserve"> a treaty</w:t>
      </w:r>
      <w:r w:rsidR="00336C5C" w:rsidRPr="009E6775">
        <w:rPr>
          <w:rFonts w:ascii="Times New Roman" w:hAnsi="Times New Roman" w:cs="Times New Roman"/>
          <w:sz w:val="24"/>
          <w:szCs w:val="24"/>
        </w:rPr>
        <w:t xml:space="preserve"> within the meaning of the Vienna Convention on the Law of Treaties</w:t>
      </w:r>
      <w:r w:rsidR="00F66261" w:rsidRPr="009E6775">
        <w:rPr>
          <w:rFonts w:ascii="Times New Roman" w:hAnsi="Times New Roman" w:cs="Times New Roman"/>
          <w:sz w:val="24"/>
          <w:szCs w:val="24"/>
        </w:rPr>
        <w:t>.</w:t>
      </w:r>
      <w:r w:rsidR="00F05D81" w:rsidRPr="009E6775">
        <w:rPr>
          <w:rStyle w:val="aa"/>
          <w:rFonts w:ascii="Times New Roman" w:hAnsi="Times New Roman" w:cs="Times New Roman"/>
          <w:sz w:val="24"/>
          <w:szCs w:val="24"/>
        </w:rPr>
        <w:footnoteReference w:id="49"/>
      </w:r>
      <w:r w:rsidR="00336C5C" w:rsidRPr="009E6775">
        <w:rPr>
          <w:rFonts w:ascii="Times New Roman" w:hAnsi="Times New Roman" w:cs="Times New Roman"/>
          <w:sz w:val="24"/>
          <w:szCs w:val="24"/>
        </w:rPr>
        <w:t xml:space="preserve"> </w:t>
      </w:r>
      <w:r w:rsidR="00F66261" w:rsidRPr="009E6775">
        <w:rPr>
          <w:rFonts w:ascii="Times New Roman" w:hAnsi="Times New Roman" w:cs="Times New Roman"/>
          <w:sz w:val="24"/>
          <w:szCs w:val="24"/>
        </w:rPr>
        <w:t>By comparison, it</w:t>
      </w:r>
      <w:r w:rsidR="00336C5C" w:rsidRPr="009E6775">
        <w:rPr>
          <w:rFonts w:ascii="Times New Roman" w:hAnsi="Times New Roman" w:cs="Times New Roman"/>
          <w:sz w:val="24"/>
          <w:szCs w:val="24"/>
        </w:rPr>
        <w:t xml:space="preserve"> is </w:t>
      </w:r>
      <w:r w:rsidR="00401F6F" w:rsidRPr="009E6775">
        <w:rPr>
          <w:rFonts w:ascii="Times New Roman" w:hAnsi="Times New Roman" w:cs="Times New Roman"/>
          <w:sz w:val="24"/>
          <w:szCs w:val="24"/>
        </w:rPr>
        <w:t>plausible</w:t>
      </w:r>
      <w:r w:rsidR="00336C5C" w:rsidRPr="009E6775">
        <w:rPr>
          <w:rFonts w:ascii="Times New Roman" w:hAnsi="Times New Roman" w:cs="Times New Roman"/>
          <w:sz w:val="24"/>
          <w:szCs w:val="24"/>
        </w:rPr>
        <w:t xml:space="preserve"> that the SC has proceeded on the premise that this should instead be characterised as a </w:t>
      </w:r>
      <w:r w:rsidR="00336C5C" w:rsidRPr="009E6775">
        <w:rPr>
          <w:rFonts w:ascii="Times New Roman" w:hAnsi="Times New Roman" w:cs="Times New Roman"/>
          <w:i/>
          <w:iCs/>
          <w:sz w:val="24"/>
          <w:szCs w:val="24"/>
        </w:rPr>
        <w:t xml:space="preserve">sui generis </w:t>
      </w:r>
      <w:r w:rsidR="000E5AF9" w:rsidRPr="009E6775">
        <w:rPr>
          <w:rFonts w:ascii="Times New Roman" w:hAnsi="Times New Roman" w:cs="Times New Roman"/>
          <w:sz w:val="24"/>
          <w:szCs w:val="24"/>
        </w:rPr>
        <w:t>instrument</w:t>
      </w:r>
      <w:r w:rsidR="00336C5C" w:rsidRPr="009E6775">
        <w:rPr>
          <w:rFonts w:ascii="Times New Roman" w:hAnsi="Times New Roman" w:cs="Times New Roman"/>
          <w:sz w:val="24"/>
          <w:szCs w:val="24"/>
        </w:rPr>
        <w:t>.</w:t>
      </w:r>
      <w:r w:rsidR="00F05D81" w:rsidRPr="009E6775">
        <w:rPr>
          <w:rFonts w:ascii="Times New Roman" w:hAnsi="Times New Roman" w:cs="Times New Roman"/>
          <w:sz w:val="24"/>
          <w:szCs w:val="24"/>
        </w:rPr>
        <w:t xml:space="preserve"> </w:t>
      </w:r>
      <w:r w:rsidR="00336C5C" w:rsidRPr="009E6775">
        <w:rPr>
          <w:rFonts w:ascii="Times New Roman" w:hAnsi="Times New Roman" w:cs="Times New Roman"/>
          <w:sz w:val="24"/>
          <w:szCs w:val="24"/>
        </w:rPr>
        <w:t xml:space="preserve">Irrespective, </w:t>
      </w:r>
      <w:r w:rsidR="00F05D81" w:rsidRPr="009E6775">
        <w:rPr>
          <w:rFonts w:ascii="Times New Roman" w:hAnsi="Times New Roman" w:cs="Times New Roman"/>
          <w:sz w:val="24"/>
          <w:szCs w:val="24"/>
        </w:rPr>
        <w:t>Kretzmer</w:t>
      </w:r>
      <w:r w:rsidR="00F66261" w:rsidRPr="009E6775">
        <w:rPr>
          <w:rFonts w:ascii="Times New Roman" w:hAnsi="Times New Roman" w:cs="Times New Roman"/>
          <w:sz w:val="24"/>
          <w:szCs w:val="24"/>
        </w:rPr>
        <w:t>’s</w:t>
      </w:r>
      <w:r w:rsidR="00F05D81" w:rsidRPr="009E6775">
        <w:rPr>
          <w:rFonts w:ascii="Times New Roman" w:hAnsi="Times New Roman" w:cs="Times New Roman"/>
          <w:sz w:val="24"/>
          <w:szCs w:val="24"/>
        </w:rPr>
        <w:t xml:space="preserve"> and Ronen</w:t>
      </w:r>
      <w:r w:rsidR="00F66261" w:rsidRPr="009E6775">
        <w:rPr>
          <w:rFonts w:ascii="Times New Roman" w:hAnsi="Times New Roman" w:cs="Times New Roman"/>
          <w:sz w:val="24"/>
          <w:szCs w:val="24"/>
        </w:rPr>
        <w:t>’s book reveals that crudely</w:t>
      </w:r>
      <w:r w:rsidR="00336C5C" w:rsidRPr="009E6775">
        <w:rPr>
          <w:rFonts w:ascii="Times New Roman" w:hAnsi="Times New Roman" w:cs="Times New Roman"/>
          <w:sz w:val="24"/>
          <w:szCs w:val="24"/>
        </w:rPr>
        <w:t xml:space="preserve"> </w:t>
      </w:r>
      <w:r w:rsidR="00F66261" w:rsidRPr="009E6775">
        <w:rPr>
          <w:rFonts w:ascii="Times New Roman" w:hAnsi="Times New Roman" w:cs="Times New Roman"/>
          <w:sz w:val="24"/>
          <w:szCs w:val="24"/>
        </w:rPr>
        <w:t>put,</w:t>
      </w:r>
      <w:r w:rsidR="00336C5C" w:rsidRPr="009E6775">
        <w:rPr>
          <w:rFonts w:ascii="Times New Roman" w:hAnsi="Times New Roman" w:cs="Times New Roman"/>
          <w:sz w:val="24"/>
          <w:szCs w:val="24"/>
        </w:rPr>
        <w:t xml:space="preserve"> </w:t>
      </w:r>
      <w:r w:rsidR="00F05D81" w:rsidRPr="009E6775">
        <w:rPr>
          <w:rFonts w:ascii="Times New Roman" w:hAnsi="Times New Roman" w:cs="Times New Roman"/>
          <w:sz w:val="24"/>
          <w:szCs w:val="24"/>
        </w:rPr>
        <w:t>three patterns</w:t>
      </w:r>
      <w:r w:rsidR="00295903" w:rsidRPr="009E6775">
        <w:rPr>
          <w:rFonts w:ascii="Times New Roman" w:hAnsi="Times New Roman" w:cs="Times New Roman"/>
          <w:sz w:val="24"/>
          <w:szCs w:val="24"/>
        </w:rPr>
        <w:t xml:space="preserve"> </w:t>
      </w:r>
      <w:r w:rsidR="00F66261" w:rsidRPr="009E6775">
        <w:rPr>
          <w:rFonts w:ascii="Times New Roman" w:hAnsi="Times New Roman" w:cs="Times New Roman"/>
          <w:sz w:val="24"/>
          <w:szCs w:val="24"/>
        </w:rPr>
        <w:t>can be identified with respect to the</w:t>
      </w:r>
      <w:r w:rsidR="00295903" w:rsidRPr="009E6775">
        <w:rPr>
          <w:rFonts w:ascii="Times New Roman" w:hAnsi="Times New Roman" w:cs="Times New Roman"/>
          <w:sz w:val="24"/>
          <w:szCs w:val="24"/>
        </w:rPr>
        <w:t xml:space="preserve"> SC’s </w:t>
      </w:r>
      <w:r w:rsidR="00F938EC" w:rsidRPr="009E6775">
        <w:rPr>
          <w:rFonts w:ascii="Times New Roman" w:hAnsi="Times New Roman" w:cs="Times New Roman"/>
          <w:sz w:val="24"/>
          <w:szCs w:val="24"/>
        </w:rPr>
        <w:t>approach to the Oslo Accords</w:t>
      </w:r>
      <w:r w:rsidR="00295903" w:rsidRPr="009E6775">
        <w:rPr>
          <w:rFonts w:ascii="Times New Roman" w:hAnsi="Times New Roman" w:cs="Times New Roman"/>
          <w:sz w:val="24"/>
          <w:szCs w:val="24"/>
        </w:rPr>
        <w:t>.</w:t>
      </w:r>
      <w:r w:rsidR="00F05D81" w:rsidRPr="009E6775">
        <w:rPr>
          <w:rFonts w:ascii="Times New Roman" w:hAnsi="Times New Roman" w:cs="Times New Roman"/>
          <w:sz w:val="24"/>
          <w:szCs w:val="24"/>
        </w:rPr>
        <w:t xml:space="preserve"> First, in some cases, </w:t>
      </w:r>
      <w:r w:rsidR="000E5AF9" w:rsidRPr="009E6775">
        <w:rPr>
          <w:rFonts w:ascii="Times New Roman" w:hAnsi="Times New Roman" w:cs="Times New Roman"/>
          <w:sz w:val="24"/>
          <w:szCs w:val="24"/>
        </w:rPr>
        <w:t>the</w:t>
      </w:r>
      <w:r w:rsidR="00F05D81" w:rsidRPr="009E6775">
        <w:rPr>
          <w:rFonts w:ascii="Times New Roman" w:hAnsi="Times New Roman" w:cs="Times New Roman"/>
          <w:sz w:val="24"/>
          <w:szCs w:val="24"/>
        </w:rPr>
        <w:t xml:space="preserve"> political question doctrine has </w:t>
      </w:r>
      <w:r w:rsidR="00C2799C" w:rsidRPr="009E6775">
        <w:rPr>
          <w:rFonts w:ascii="Times New Roman" w:hAnsi="Times New Roman" w:cs="Times New Roman"/>
          <w:sz w:val="24"/>
          <w:szCs w:val="24"/>
        </w:rPr>
        <w:t>been invoked</w:t>
      </w:r>
      <w:r w:rsidR="00F05D81" w:rsidRPr="009E6775">
        <w:rPr>
          <w:rFonts w:ascii="Times New Roman" w:hAnsi="Times New Roman" w:cs="Times New Roman"/>
          <w:sz w:val="24"/>
          <w:szCs w:val="24"/>
        </w:rPr>
        <w:t xml:space="preserve"> to justify SC’s non-intervention in matters arising from the Interim Agreements.</w:t>
      </w:r>
      <w:r w:rsidR="00F05D81" w:rsidRPr="009E6775">
        <w:rPr>
          <w:rStyle w:val="aa"/>
          <w:rFonts w:ascii="Times New Roman" w:hAnsi="Times New Roman" w:cs="Times New Roman"/>
          <w:sz w:val="24"/>
          <w:szCs w:val="24"/>
        </w:rPr>
        <w:footnoteReference w:id="50"/>
      </w:r>
      <w:r w:rsidR="00F05D81" w:rsidRPr="009E6775">
        <w:rPr>
          <w:rFonts w:ascii="Times New Roman" w:hAnsi="Times New Roman" w:cs="Times New Roman"/>
          <w:sz w:val="24"/>
          <w:szCs w:val="24"/>
        </w:rPr>
        <w:t xml:space="preserve"> Second, in some other areas,</w:t>
      </w:r>
      <w:r w:rsidR="00F05D81" w:rsidRPr="009E6775">
        <w:rPr>
          <w:rStyle w:val="aa"/>
          <w:rFonts w:ascii="Times New Roman" w:hAnsi="Times New Roman" w:cs="Times New Roman"/>
          <w:sz w:val="24"/>
          <w:szCs w:val="24"/>
        </w:rPr>
        <w:footnoteReference w:id="51"/>
      </w:r>
      <w:r w:rsidR="00F05D81" w:rsidRPr="009E6775">
        <w:rPr>
          <w:rFonts w:ascii="Times New Roman" w:hAnsi="Times New Roman" w:cs="Times New Roman"/>
          <w:sz w:val="24"/>
          <w:szCs w:val="24"/>
        </w:rPr>
        <w:t xml:space="preserve"> the SC, even rejecting the petition, has ensured the authorities to accommodate the petitioners’ requests as much as possible.</w:t>
      </w:r>
      <w:r w:rsidR="00F05D81" w:rsidRPr="009E6775">
        <w:rPr>
          <w:rStyle w:val="aa"/>
          <w:rFonts w:ascii="Times New Roman" w:hAnsi="Times New Roman" w:cs="Times New Roman"/>
          <w:sz w:val="24"/>
          <w:szCs w:val="24"/>
        </w:rPr>
        <w:footnoteReference w:id="52"/>
      </w:r>
      <w:r w:rsidR="00F05D81" w:rsidRPr="009E6775">
        <w:rPr>
          <w:rFonts w:ascii="Times New Roman" w:hAnsi="Times New Roman" w:cs="Times New Roman"/>
          <w:sz w:val="24"/>
          <w:szCs w:val="24"/>
        </w:rPr>
        <w:t xml:space="preserve"> Third, still other cases are marked by a more controversial approach of privileging the local laws over the Interim Agreement. In </w:t>
      </w:r>
      <w:r w:rsidR="00F05D81" w:rsidRPr="009E6775">
        <w:rPr>
          <w:rFonts w:ascii="Times New Roman" w:hAnsi="Times New Roman" w:cs="Times New Roman"/>
          <w:i/>
          <w:iCs/>
          <w:sz w:val="24"/>
          <w:szCs w:val="24"/>
        </w:rPr>
        <w:t>Qawasmi</w:t>
      </w:r>
      <w:r w:rsidR="00F05D81" w:rsidRPr="009E6775">
        <w:rPr>
          <w:rStyle w:val="aa"/>
          <w:rFonts w:ascii="Times New Roman" w:hAnsi="Times New Roman" w:cs="Times New Roman"/>
          <w:i/>
          <w:iCs/>
          <w:sz w:val="24"/>
          <w:szCs w:val="24"/>
        </w:rPr>
        <w:footnoteReference w:id="53"/>
      </w:r>
      <w:r w:rsidR="00F05D81" w:rsidRPr="009E6775">
        <w:rPr>
          <w:rFonts w:ascii="Times New Roman" w:hAnsi="Times New Roman" w:cs="Times New Roman"/>
          <w:sz w:val="24"/>
          <w:szCs w:val="24"/>
        </w:rPr>
        <w:t xml:space="preserve"> and other cases,</w:t>
      </w:r>
      <w:r w:rsidR="00F05D81" w:rsidRPr="009E6775">
        <w:rPr>
          <w:rStyle w:val="aa"/>
          <w:rFonts w:ascii="Times New Roman" w:hAnsi="Times New Roman" w:cs="Times New Roman"/>
          <w:sz w:val="24"/>
          <w:szCs w:val="24"/>
        </w:rPr>
        <w:footnoteReference w:id="54"/>
      </w:r>
      <w:r w:rsidR="00F05D81" w:rsidRPr="009E6775">
        <w:rPr>
          <w:rFonts w:ascii="Times New Roman" w:hAnsi="Times New Roman" w:cs="Times New Roman"/>
          <w:sz w:val="24"/>
          <w:szCs w:val="24"/>
        </w:rPr>
        <w:t xml:space="preserve"> this third approach was applied to legitimize such harsh treatment as punitive demolition </w:t>
      </w:r>
      <w:r w:rsidR="00F05D81" w:rsidRPr="009E6775">
        <w:rPr>
          <w:rFonts w:ascii="Times New Roman" w:hAnsi="Times New Roman" w:cs="Times New Roman"/>
          <w:sz w:val="24"/>
          <w:szCs w:val="24"/>
        </w:rPr>
        <w:lastRenderedPageBreak/>
        <w:t>of houses done even in Area A, where the security matters were supposed to be transferred in full to the Palestinian authorities.</w:t>
      </w:r>
      <w:r w:rsidR="00F05D81" w:rsidRPr="009E6775">
        <w:rPr>
          <w:rStyle w:val="aa"/>
          <w:rFonts w:ascii="Times New Roman" w:hAnsi="Times New Roman" w:cs="Times New Roman"/>
          <w:sz w:val="24"/>
          <w:szCs w:val="24"/>
        </w:rPr>
        <w:footnoteReference w:id="55"/>
      </w:r>
      <w:r w:rsidR="00F05D81" w:rsidRPr="009E6775">
        <w:rPr>
          <w:rFonts w:ascii="Times New Roman" w:hAnsi="Times New Roman" w:cs="Times New Roman"/>
          <w:sz w:val="24"/>
          <w:szCs w:val="24"/>
        </w:rPr>
        <w:t xml:space="preserve"> </w:t>
      </w:r>
    </w:p>
    <w:p w14:paraId="15A1068F" w14:textId="77777777" w:rsidR="00270534" w:rsidRPr="009E6775" w:rsidRDefault="00270534" w:rsidP="0081540D">
      <w:pPr>
        <w:rPr>
          <w:rFonts w:ascii="Times New Roman" w:hAnsi="Times New Roman" w:cs="Times New Roman"/>
          <w:sz w:val="24"/>
          <w:szCs w:val="24"/>
        </w:rPr>
      </w:pPr>
    </w:p>
    <w:p w14:paraId="5E5E28A2" w14:textId="39418DA1" w:rsidR="00D3554D" w:rsidRPr="009E6775" w:rsidRDefault="00270534" w:rsidP="0081540D">
      <w:pPr>
        <w:tabs>
          <w:tab w:val="left" w:pos="2127"/>
        </w:tabs>
        <w:rPr>
          <w:rFonts w:ascii="Times New Roman" w:hAnsi="Times New Roman" w:cs="Times New Roman"/>
          <w:sz w:val="24"/>
          <w:szCs w:val="24"/>
        </w:rPr>
      </w:pPr>
      <w:r w:rsidRPr="009E6775">
        <w:rPr>
          <w:rFonts w:ascii="Times New Roman" w:hAnsi="Times New Roman" w:cs="Times New Roman"/>
          <w:sz w:val="24"/>
          <w:szCs w:val="24"/>
        </w:rPr>
        <w:t xml:space="preserve">Once the applicability of customary international law to the West Bank and the Gaza Strip </w:t>
      </w:r>
      <w:r w:rsidR="000B4C1A" w:rsidRPr="009E6775">
        <w:rPr>
          <w:rFonts w:ascii="Times New Roman" w:hAnsi="Times New Roman" w:cs="Times New Roman"/>
          <w:sz w:val="24"/>
          <w:szCs w:val="24"/>
        </w:rPr>
        <w:t>was</w:t>
      </w:r>
      <w:r w:rsidRPr="009E6775">
        <w:rPr>
          <w:rFonts w:ascii="Times New Roman" w:hAnsi="Times New Roman" w:cs="Times New Roman"/>
          <w:sz w:val="24"/>
          <w:szCs w:val="24"/>
        </w:rPr>
        <w:t xml:space="preserve"> confirmed, </w:t>
      </w:r>
      <w:r w:rsidR="000B4C1A" w:rsidRPr="009E6775">
        <w:rPr>
          <w:rFonts w:ascii="Times New Roman" w:hAnsi="Times New Roman" w:cs="Times New Roman"/>
          <w:sz w:val="24"/>
          <w:szCs w:val="24"/>
        </w:rPr>
        <w:t xml:space="preserve">the focus of </w:t>
      </w:r>
      <w:r w:rsidRPr="009E6775">
        <w:rPr>
          <w:rFonts w:ascii="Times New Roman" w:hAnsi="Times New Roman" w:cs="Times New Roman"/>
          <w:sz w:val="24"/>
          <w:szCs w:val="24"/>
        </w:rPr>
        <w:t xml:space="preserve">the SC </w:t>
      </w:r>
      <w:r w:rsidR="000B4C1A" w:rsidRPr="009E6775">
        <w:rPr>
          <w:rFonts w:ascii="Times New Roman" w:hAnsi="Times New Roman" w:cs="Times New Roman"/>
          <w:sz w:val="24"/>
          <w:szCs w:val="24"/>
        </w:rPr>
        <w:t xml:space="preserve">turned on </w:t>
      </w:r>
      <w:r w:rsidRPr="009E6775">
        <w:rPr>
          <w:rFonts w:ascii="Times New Roman" w:hAnsi="Times New Roman" w:cs="Times New Roman"/>
          <w:sz w:val="24"/>
          <w:szCs w:val="24"/>
        </w:rPr>
        <w:t xml:space="preserve">whether specific </w:t>
      </w:r>
      <w:r w:rsidR="00FE4F72" w:rsidRPr="009E6775">
        <w:rPr>
          <w:rFonts w:ascii="Times New Roman" w:hAnsi="Times New Roman" w:cs="Times New Roman"/>
          <w:sz w:val="24"/>
          <w:szCs w:val="24"/>
        </w:rPr>
        <w:t xml:space="preserve">provisions of </w:t>
      </w:r>
      <w:r w:rsidR="000B4C1A" w:rsidRPr="009E6775">
        <w:rPr>
          <w:rFonts w:ascii="Times New Roman" w:hAnsi="Times New Roman" w:cs="Times New Roman"/>
          <w:sz w:val="24"/>
          <w:szCs w:val="24"/>
        </w:rPr>
        <w:t xml:space="preserve">GCV </w:t>
      </w:r>
      <w:r w:rsidR="00367F0E" w:rsidRPr="009E6775">
        <w:rPr>
          <w:rFonts w:ascii="Times New Roman" w:hAnsi="Times New Roman" w:cs="Times New Roman"/>
          <w:sz w:val="24"/>
          <w:szCs w:val="24"/>
        </w:rPr>
        <w:t>were reflective of</w:t>
      </w:r>
      <w:r w:rsidR="0029625E" w:rsidRPr="009E6775">
        <w:rPr>
          <w:rFonts w:ascii="Times New Roman" w:hAnsi="Times New Roman" w:cs="Times New Roman"/>
          <w:sz w:val="24"/>
          <w:szCs w:val="24"/>
        </w:rPr>
        <w:t xml:space="preserve"> customary law. In </w:t>
      </w:r>
      <w:r w:rsidR="00F519F5" w:rsidRPr="009E6775">
        <w:rPr>
          <w:rFonts w:ascii="Times New Roman" w:hAnsi="Times New Roman" w:cs="Times New Roman"/>
          <w:i/>
          <w:iCs/>
          <w:sz w:val="24"/>
          <w:szCs w:val="24"/>
        </w:rPr>
        <w:t>Qawasmi</w:t>
      </w:r>
      <w:r w:rsidR="00F519F5" w:rsidRPr="009E6775">
        <w:rPr>
          <w:rFonts w:ascii="Times New Roman" w:hAnsi="Times New Roman" w:cs="Times New Roman"/>
          <w:sz w:val="24"/>
          <w:szCs w:val="24"/>
        </w:rPr>
        <w:t xml:space="preserve"> </w:t>
      </w:r>
      <w:r w:rsidR="0029625E" w:rsidRPr="009E6775">
        <w:rPr>
          <w:rFonts w:ascii="Times New Roman" w:hAnsi="Times New Roman" w:cs="Times New Roman"/>
          <w:i/>
          <w:iCs/>
          <w:sz w:val="24"/>
          <w:szCs w:val="24"/>
        </w:rPr>
        <w:t>(No 2)</w:t>
      </w:r>
      <w:r w:rsidR="0029625E" w:rsidRPr="009E6775">
        <w:rPr>
          <w:rFonts w:ascii="Times New Roman" w:hAnsi="Times New Roman" w:cs="Times New Roman"/>
          <w:sz w:val="24"/>
          <w:szCs w:val="24"/>
        </w:rPr>
        <w:t xml:space="preserve"> (1980),</w:t>
      </w:r>
      <w:r w:rsidR="001D0C5E" w:rsidRPr="009E6775">
        <w:rPr>
          <w:rStyle w:val="aa"/>
          <w:rFonts w:ascii="Times New Roman" w:hAnsi="Times New Roman" w:cs="Times New Roman"/>
          <w:sz w:val="24"/>
          <w:szCs w:val="24"/>
        </w:rPr>
        <w:footnoteReference w:id="56"/>
      </w:r>
      <w:r w:rsidR="0029625E" w:rsidRPr="009E6775">
        <w:rPr>
          <w:rFonts w:ascii="Times New Roman" w:hAnsi="Times New Roman" w:cs="Times New Roman"/>
          <w:sz w:val="24"/>
          <w:szCs w:val="24"/>
        </w:rPr>
        <w:t xml:space="preserve"> the </w:t>
      </w:r>
      <w:r w:rsidR="008E4C69" w:rsidRPr="009E6775">
        <w:rPr>
          <w:rFonts w:ascii="Times New Roman" w:hAnsi="Times New Roman" w:cs="Times New Roman"/>
          <w:sz w:val="24"/>
          <w:szCs w:val="24"/>
        </w:rPr>
        <w:t xml:space="preserve">majority rejected customary law status of Article 49(1) GC IV. </w:t>
      </w:r>
      <w:r w:rsidR="00B10F5A" w:rsidRPr="009E6775">
        <w:rPr>
          <w:rFonts w:ascii="Times New Roman" w:hAnsi="Times New Roman" w:cs="Times New Roman"/>
          <w:sz w:val="24"/>
          <w:szCs w:val="24"/>
        </w:rPr>
        <w:t>Any potentially serious ramification of the</w:t>
      </w:r>
      <w:r w:rsidR="00617CC0" w:rsidRPr="009E6775">
        <w:rPr>
          <w:rFonts w:ascii="Times New Roman" w:hAnsi="Times New Roman" w:cs="Times New Roman"/>
          <w:sz w:val="24"/>
          <w:szCs w:val="24"/>
        </w:rPr>
        <w:t xml:space="preserve"> non-application </w:t>
      </w:r>
      <w:r w:rsidR="00617CC0" w:rsidRPr="009E6775">
        <w:rPr>
          <w:rFonts w:ascii="Times New Roman" w:hAnsi="Times New Roman" w:cs="Times New Roman"/>
          <w:i/>
          <w:iCs/>
          <w:sz w:val="24"/>
          <w:szCs w:val="24"/>
        </w:rPr>
        <w:t xml:space="preserve">de jure </w:t>
      </w:r>
      <w:r w:rsidR="00617CC0" w:rsidRPr="009E6775">
        <w:rPr>
          <w:rFonts w:ascii="Times New Roman" w:hAnsi="Times New Roman" w:cs="Times New Roman"/>
          <w:sz w:val="24"/>
          <w:szCs w:val="24"/>
        </w:rPr>
        <w:t>of the Geneva Conventions</w:t>
      </w:r>
      <w:r w:rsidR="008E4C69" w:rsidRPr="009E6775">
        <w:rPr>
          <w:rFonts w:ascii="Times New Roman" w:hAnsi="Times New Roman" w:cs="Times New Roman"/>
          <w:sz w:val="24"/>
          <w:szCs w:val="24"/>
        </w:rPr>
        <w:t xml:space="preserve"> was mitigated by the</w:t>
      </w:r>
      <w:r w:rsidR="00F73144" w:rsidRPr="009E6775">
        <w:rPr>
          <w:rFonts w:ascii="Times New Roman" w:hAnsi="Times New Roman" w:cs="Times New Roman"/>
          <w:sz w:val="24"/>
          <w:szCs w:val="24"/>
        </w:rPr>
        <w:t xml:space="preserve"> Israeli government’s</w:t>
      </w:r>
      <w:r w:rsidR="008E4C69" w:rsidRPr="009E6775">
        <w:rPr>
          <w:rFonts w:ascii="Times New Roman" w:hAnsi="Times New Roman" w:cs="Times New Roman"/>
          <w:sz w:val="24"/>
          <w:szCs w:val="24"/>
        </w:rPr>
        <w:t xml:space="preserve"> </w:t>
      </w:r>
      <w:r w:rsidR="00FE4F72" w:rsidRPr="009E6775">
        <w:rPr>
          <w:rFonts w:ascii="Times New Roman" w:hAnsi="Times New Roman" w:cs="Times New Roman"/>
          <w:sz w:val="24"/>
          <w:szCs w:val="24"/>
        </w:rPr>
        <w:t>pledge to</w:t>
      </w:r>
      <w:r w:rsidR="00AF29F8" w:rsidRPr="009E6775">
        <w:rPr>
          <w:rFonts w:ascii="Times New Roman" w:hAnsi="Times New Roman" w:cs="Times New Roman"/>
          <w:sz w:val="24"/>
          <w:szCs w:val="24"/>
        </w:rPr>
        <w:t xml:space="preserve"> act </w:t>
      </w:r>
      <w:r w:rsidR="008E4C69" w:rsidRPr="009E6775">
        <w:rPr>
          <w:rFonts w:ascii="Times New Roman" w:hAnsi="Times New Roman" w:cs="Times New Roman"/>
          <w:sz w:val="24"/>
          <w:szCs w:val="24"/>
        </w:rPr>
        <w:t xml:space="preserve">in accordance with </w:t>
      </w:r>
      <w:r w:rsidR="000B4C1A" w:rsidRPr="009E6775">
        <w:rPr>
          <w:rFonts w:ascii="Times New Roman" w:hAnsi="Times New Roman" w:cs="Times New Roman"/>
          <w:sz w:val="24"/>
          <w:szCs w:val="24"/>
        </w:rPr>
        <w:t xml:space="preserve">their </w:t>
      </w:r>
      <w:r w:rsidR="008E4C69" w:rsidRPr="009E6775">
        <w:rPr>
          <w:rFonts w:ascii="Times New Roman" w:hAnsi="Times New Roman" w:cs="Times New Roman"/>
          <w:sz w:val="24"/>
          <w:szCs w:val="24"/>
        </w:rPr>
        <w:t>humanitarian provisions</w:t>
      </w:r>
      <w:r w:rsidR="007D7ADF" w:rsidRPr="009E6775">
        <w:rPr>
          <w:rFonts w:ascii="Times New Roman" w:hAnsi="Times New Roman" w:cs="Times New Roman"/>
          <w:sz w:val="24"/>
          <w:szCs w:val="24"/>
        </w:rPr>
        <w:t>.</w:t>
      </w:r>
      <w:r w:rsidR="008E4C69" w:rsidRPr="009E6775">
        <w:rPr>
          <w:rFonts w:ascii="Times New Roman" w:hAnsi="Times New Roman" w:cs="Times New Roman"/>
          <w:sz w:val="24"/>
          <w:szCs w:val="24"/>
        </w:rPr>
        <w:t xml:space="preserve"> </w:t>
      </w:r>
      <w:r w:rsidR="00D81EBD" w:rsidRPr="009E6775">
        <w:rPr>
          <w:rFonts w:ascii="Times New Roman" w:hAnsi="Times New Roman" w:cs="Times New Roman"/>
          <w:sz w:val="24"/>
          <w:szCs w:val="24"/>
        </w:rPr>
        <w:t xml:space="preserve">While </w:t>
      </w:r>
      <w:r w:rsidR="008A50B8" w:rsidRPr="009E6775">
        <w:rPr>
          <w:rFonts w:ascii="Times New Roman" w:hAnsi="Times New Roman" w:cs="Times New Roman"/>
          <w:sz w:val="24"/>
          <w:szCs w:val="24"/>
        </w:rPr>
        <w:t>satisfied with such commitment</w:t>
      </w:r>
      <w:r w:rsidR="00D3554D" w:rsidRPr="009E6775">
        <w:rPr>
          <w:rFonts w:ascii="Times New Roman" w:hAnsi="Times New Roman" w:cs="Times New Roman"/>
          <w:sz w:val="24"/>
          <w:szCs w:val="24"/>
        </w:rPr>
        <w:t>,</w:t>
      </w:r>
      <w:r w:rsidR="00D3554D" w:rsidRPr="009E6775">
        <w:rPr>
          <w:rStyle w:val="aa"/>
          <w:rFonts w:ascii="Times New Roman" w:hAnsi="Times New Roman" w:cs="Times New Roman"/>
          <w:sz w:val="24"/>
          <w:szCs w:val="24"/>
        </w:rPr>
        <w:footnoteReference w:id="57"/>
      </w:r>
      <w:r w:rsidR="00D3554D" w:rsidRPr="009E6775">
        <w:rPr>
          <w:rFonts w:ascii="Times New Roman" w:hAnsi="Times New Roman" w:cs="Times New Roman"/>
          <w:sz w:val="24"/>
          <w:szCs w:val="24"/>
        </w:rPr>
        <w:t xml:space="preserve"> </w:t>
      </w:r>
      <w:r w:rsidR="009B021F" w:rsidRPr="009E6775">
        <w:rPr>
          <w:rFonts w:ascii="Times New Roman" w:hAnsi="Times New Roman" w:cs="Times New Roman"/>
          <w:sz w:val="24"/>
          <w:szCs w:val="24"/>
        </w:rPr>
        <w:t xml:space="preserve">the </w:t>
      </w:r>
      <w:r w:rsidR="000B4C1A" w:rsidRPr="009E6775">
        <w:rPr>
          <w:rFonts w:ascii="Times New Roman" w:hAnsi="Times New Roman" w:cs="Times New Roman"/>
          <w:sz w:val="24"/>
          <w:szCs w:val="24"/>
        </w:rPr>
        <w:t>SC</w:t>
      </w:r>
      <w:r w:rsidR="009B021F" w:rsidRPr="009E6775">
        <w:rPr>
          <w:rFonts w:ascii="Times New Roman" w:hAnsi="Times New Roman" w:cs="Times New Roman"/>
          <w:sz w:val="24"/>
          <w:szCs w:val="24"/>
        </w:rPr>
        <w:t xml:space="preserve"> </w:t>
      </w:r>
      <w:r w:rsidR="00367F0E" w:rsidRPr="009E6775">
        <w:rPr>
          <w:rFonts w:ascii="Times New Roman" w:hAnsi="Times New Roman" w:cs="Times New Roman"/>
          <w:sz w:val="24"/>
          <w:szCs w:val="24"/>
        </w:rPr>
        <w:t>evaded</w:t>
      </w:r>
      <w:r w:rsidR="009B021F" w:rsidRPr="009E6775">
        <w:rPr>
          <w:rFonts w:ascii="Times New Roman" w:hAnsi="Times New Roman" w:cs="Times New Roman"/>
          <w:sz w:val="24"/>
          <w:szCs w:val="24"/>
        </w:rPr>
        <w:t xml:space="preserve"> </w:t>
      </w:r>
      <w:r w:rsidR="00367F0E" w:rsidRPr="009E6775">
        <w:rPr>
          <w:rFonts w:ascii="Times New Roman" w:hAnsi="Times New Roman" w:cs="Times New Roman"/>
          <w:sz w:val="24"/>
          <w:szCs w:val="24"/>
        </w:rPr>
        <w:t xml:space="preserve">the key </w:t>
      </w:r>
      <w:r w:rsidR="008A50B8" w:rsidRPr="009E6775">
        <w:rPr>
          <w:rFonts w:ascii="Times New Roman" w:hAnsi="Times New Roman" w:cs="Times New Roman"/>
          <w:sz w:val="24"/>
          <w:szCs w:val="24"/>
        </w:rPr>
        <w:t xml:space="preserve">question of the customary law </w:t>
      </w:r>
      <w:r w:rsidR="001B2C77" w:rsidRPr="009E6775">
        <w:rPr>
          <w:rFonts w:ascii="Times New Roman" w:hAnsi="Times New Roman" w:cs="Times New Roman"/>
          <w:sz w:val="24"/>
          <w:szCs w:val="24"/>
        </w:rPr>
        <w:t>nature</w:t>
      </w:r>
      <w:r w:rsidR="008A50B8" w:rsidRPr="009E6775">
        <w:rPr>
          <w:rFonts w:ascii="Times New Roman" w:hAnsi="Times New Roman" w:cs="Times New Roman"/>
          <w:sz w:val="24"/>
          <w:szCs w:val="24"/>
        </w:rPr>
        <w:t xml:space="preserve"> of the </w:t>
      </w:r>
      <w:r w:rsidR="007D7ADF" w:rsidRPr="009E6775">
        <w:rPr>
          <w:rFonts w:ascii="Times New Roman" w:hAnsi="Times New Roman" w:cs="Times New Roman"/>
          <w:sz w:val="24"/>
          <w:szCs w:val="24"/>
        </w:rPr>
        <w:t xml:space="preserve">GC IV </w:t>
      </w:r>
      <w:r w:rsidR="008A50B8" w:rsidRPr="009E6775">
        <w:rPr>
          <w:rFonts w:ascii="Times New Roman" w:hAnsi="Times New Roman" w:cs="Times New Roman"/>
          <w:sz w:val="24"/>
          <w:szCs w:val="24"/>
        </w:rPr>
        <w:t>(and the extent to which its provisions have attained such status).</w:t>
      </w:r>
      <w:r w:rsidR="00D3554D" w:rsidRPr="009E6775">
        <w:rPr>
          <w:rStyle w:val="aa"/>
          <w:rFonts w:ascii="Times New Roman" w:hAnsi="Times New Roman" w:cs="Times New Roman"/>
          <w:sz w:val="24"/>
          <w:szCs w:val="24"/>
        </w:rPr>
        <w:footnoteReference w:id="58"/>
      </w:r>
    </w:p>
    <w:p w14:paraId="66F9ABA5" w14:textId="77777777" w:rsidR="00A82BA7" w:rsidRPr="009E6775" w:rsidRDefault="00A82BA7" w:rsidP="0081540D">
      <w:pPr>
        <w:rPr>
          <w:rFonts w:ascii="Times New Roman" w:hAnsi="Times New Roman" w:cs="Times New Roman"/>
          <w:sz w:val="24"/>
          <w:szCs w:val="24"/>
        </w:rPr>
      </w:pPr>
    </w:p>
    <w:p w14:paraId="5DD87C2F" w14:textId="5B643E19" w:rsidR="00317B8C" w:rsidRPr="009E6775" w:rsidRDefault="00F73144" w:rsidP="0081540D">
      <w:pPr>
        <w:rPr>
          <w:rFonts w:ascii="Times New Roman" w:hAnsi="Times New Roman" w:cs="Times New Roman"/>
          <w:sz w:val="24"/>
          <w:szCs w:val="24"/>
        </w:rPr>
      </w:pPr>
      <w:r w:rsidRPr="009E6775">
        <w:rPr>
          <w:rFonts w:ascii="Times New Roman" w:hAnsi="Times New Roman" w:cs="Times New Roman"/>
          <w:sz w:val="24"/>
          <w:szCs w:val="24"/>
        </w:rPr>
        <w:t xml:space="preserve">The trouble </w:t>
      </w:r>
      <w:r w:rsidR="009045F4" w:rsidRPr="009E6775">
        <w:rPr>
          <w:rFonts w:ascii="Times New Roman" w:hAnsi="Times New Roman" w:cs="Times New Roman"/>
          <w:sz w:val="24"/>
          <w:szCs w:val="24"/>
        </w:rPr>
        <w:t xml:space="preserve">arises </w:t>
      </w:r>
      <w:r w:rsidRPr="009E6775">
        <w:rPr>
          <w:rFonts w:ascii="Times New Roman" w:hAnsi="Times New Roman" w:cs="Times New Roman"/>
          <w:sz w:val="24"/>
          <w:szCs w:val="24"/>
        </w:rPr>
        <w:t xml:space="preserve">in relation to </w:t>
      </w:r>
      <w:r w:rsidR="00B10F5A" w:rsidRPr="009E6775">
        <w:rPr>
          <w:rFonts w:ascii="Times New Roman" w:hAnsi="Times New Roman" w:cs="Times New Roman"/>
          <w:sz w:val="24"/>
          <w:szCs w:val="24"/>
        </w:rPr>
        <w:t xml:space="preserve">the </w:t>
      </w:r>
      <w:r w:rsidR="001B2C77" w:rsidRPr="009E6775">
        <w:rPr>
          <w:rFonts w:ascii="Times New Roman" w:hAnsi="Times New Roman" w:cs="Times New Roman"/>
          <w:sz w:val="24"/>
          <w:szCs w:val="24"/>
        </w:rPr>
        <w:t xml:space="preserve">SC’s </w:t>
      </w:r>
      <w:r w:rsidR="00B10F5A" w:rsidRPr="009E6775">
        <w:rPr>
          <w:rFonts w:ascii="Times New Roman" w:hAnsi="Times New Roman" w:cs="Times New Roman"/>
          <w:sz w:val="24"/>
          <w:szCs w:val="24"/>
        </w:rPr>
        <w:t xml:space="preserve">interpretation of </w:t>
      </w:r>
      <w:r w:rsidR="008912BA" w:rsidRPr="009E6775">
        <w:rPr>
          <w:rFonts w:ascii="Times New Roman" w:hAnsi="Times New Roman" w:cs="Times New Roman"/>
          <w:sz w:val="24"/>
          <w:szCs w:val="24"/>
        </w:rPr>
        <w:t xml:space="preserve">customary law equivalents of some GCIV rules </w:t>
      </w:r>
      <w:r w:rsidR="00FE4F72" w:rsidRPr="009E6775">
        <w:rPr>
          <w:rFonts w:ascii="Times New Roman" w:hAnsi="Times New Roman" w:cs="Times New Roman"/>
          <w:sz w:val="24"/>
          <w:szCs w:val="24"/>
        </w:rPr>
        <w:t xml:space="preserve">which </w:t>
      </w:r>
      <w:r w:rsidR="00B41155" w:rsidRPr="009E6775">
        <w:rPr>
          <w:rFonts w:ascii="Times New Roman" w:hAnsi="Times New Roman" w:cs="Times New Roman"/>
          <w:sz w:val="24"/>
          <w:szCs w:val="24"/>
        </w:rPr>
        <w:t xml:space="preserve">are directly germane </w:t>
      </w:r>
      <w:r w:rsidR="00FE4F72" w:rsidRPr="009E6775">
        <w:rPr>
          <w:rFonts w:ascii="Times New Roman" w:hAnsi="Times New Roman" w:cs="Times New Roman"/>
          <w:sz w:val="24"/>
          <w:szCs w:val="24"/>
        </w:rPr>
        <w:t>to the occupied territories</w:t>
      </w:r>
      <w:r w:rsidR="008912BA" w:rsidRPr="009E6775">
        <w:rPr>
          <w:rFonts w:ascii="Times New Roman" w:hAnsi="Times New Roman" w:cs="Times New Roman"/>
          <w:sz w:val="24"/>
          <w:szCs w:val="24"/>
        </w:rPr>
        <w:t xml:space="preserve">. This is especially true of </w:t>
      </w:r>
      <w:r w:rsidR="0040145F" w:rsidRPr="009E6775">
        <w:rPr>
          <w:rFonts w:ascii="Times New Roman" w:hAnsi="Times New Roman" w:cs="Times New Roman"/>
          <w:sz w:val="24"/>
          <w:szCs w:val="24"/>
        </w:rPr>
        <w:t>Article</w:t>
      </w:r>
      <w:r w:rsidR="002467FE" w:rsidRPr="009E6775">
        <w:rPr>
          <w:rFonts w:ascii="Times New Roman" w:hAnsi="Times New Roman" w:cs="Times New Roman"/>
          <w:sz w:val="24"/>
          <w:szCs w:val="24"/>
        </w:rPr>
        <w:t>s</w:t>
      </w:r>
      <w:r w:rsidR="0040145F" w:rsidRPr="009E6775">
        <w:rPr>
          <w:rFonts w:ascii="Times New Roman" w:hAnsi="Times New Roman" w:cs="Times New Roman"/>
          <w:sz w:val="24"/>
          <w:szCs w:val="24"/>
        </w:rPr>
        <w:t xml:space="preserve"> 49</w:t>
      </w:r>
      <w:r w:rsidR="00F946D0" w:rsidRPr="009E6775">
        <w:rPr>
          <w:rFonts w:ascii="Times New Roman" w:hAnsi="Times New Roman" w:cs="Times New Roman"/>
          <w:sz w:val="24"/>
          <w:szCs w:val="24"/>
        </w:rPr>
        <w:t xml:space="preserve"> </w:t>
      </w:r>
      <w:r w:rsidR="002467FE" w:rsidRPr="009E6775">
        <w:rPr>
          <w:rFonts w:ascii="Times New Roman" w:hAnsi="Times New Roman" w:cs="Times New Roman"/>
          <w:sz w:val="24"/>
          <w:szCs w:val="24"/>
        </w:rPr>
        <w:t xml:space="preserve">and 76 </w:t>
      </w:r>
      <w:r w:rsidR="00F946D0" w:rsidRPr="009E6775">
        <w:rPr>
          <w:rFonts w:ascii="Times New Roman" w:hAnsi="Times New Roman" w:cs="Times New Roman"/>
          <w:sz w:val="24"/>
          <w:szCs w:val="24"/>
        </w:rPr>
        <w:t>GC IV</w:t>
      </w:r>
      <w:r w:rsidR="0040145F" w:rsidRPr="009E6775">
        <w:rPr>
          <w:rFonts w:ascii="Times New Roman" w:hAnsi="Times New Roman" w:cs="Times New Roman"/>
          <w:sz w:val="24"/>
          <w:szCs w:val="24"/>
        </w:rPr>
        <w:t xml:space="preserve"> relating to</w:t>
      </w:r>
      <w:r w:rsidR="002467FE" w:rsidRPr="009E6775">
        <w:rPr>
          <w:rFonts w:ascii="Times New Roman" w:hAnsi="Times New Roman" w:cs="Times New Roman"/>
          <w:sz w:val="24"/>
          <w:szCs w:val="24"/>
        </w:rPr>
        <w:t xml:space="preserve"> administrative detention, </w:t>
      </w:r>
      <w:proofErr w:type="gramStart"/>
      <w:r w:rsidR="0040145F" w:rsidRPr="009E6775">
        <w:rPr>
          <w:rFonts w:ascii="Times New Roman" w:hAnsi="Times New Roman" w:cs="Times New Roman"/>
          <w:sz w:val="24"/>
          <w:szCs w:val="24"/>
        </w:rPr>
        <w:t>deportation</w:t>
      </w:r>
      <w:proofErr w:type="gramEnd"/>
      <w:r w:rsidR="0040145F" w:rsidRPr="009E6775">
        <w:rPr>
          <w:rFonts w:ascii="Times New Roman" w:hAnsi="Times New Roman" w:cs="Times New Roman"/>
          <w:sz w:val="24"/>
          <w:szCs w:val="24"/>
        </w:rPr>
        <w:t xml:space="preserve"> and settlements</w:t>
      </w:r>
      <w:r w:rsidR="001A0681" w:rsidRPr="009E6775">
        <w:rPr>
          <w:rFonts w:ascii="Times New Roman" w:hAnsi="Times New Roman" w:cs="Times New Roman"/>
          <w:sz w:val="24"/>
          <w:szCs w:val="24"/>
        </w:rPr>
        <w:t xml:space="preserve">. </w:t>
      </w:r>
      <w:r w:rsidR="002467FE" w:rsidRPr="009E6775">
        <w:rPr>
          <w:rFonts w:ascii="Times New Roman" w:hAnsi="Times New Roman" w:cs="Times New Roman"/>
          <w:sz w:val="24"/>
          <w:szCs w:val="24"/>
        </w:rPr>
        <w:t xml:space="preserve">Here, the </w:t>
      </w:r>
      <w:r w:rsidR="00B41155" w:rsidRPr="009E6775">
        <w:rPr>
          <w:rFonts w:ascii="Times New Roman" w:hAnsi="Times New Roman" w:cs="Times New Roman"/>
          <w:sz w:val="24"/>
          <w:szCs w:val="24"/>
        </w:rPr>
        <w:t>SC</w:t>
      </w:r>
      <w:r w:rsidR="00090DB4" w:rsidRPr="009E6775">
        <w:rPr>
          <w:rFonts w:ascii="Times New Roman" w:hAnsi="Times New Roman" w:cs="Times New Roman"/>
          <w:sz w:val="24"/>
          <w:szCs w:val="24"/>
        </w:rPr>
        <w:t xml:space="preserve"> </w:t>
      </w:r>
      <w:r w:rsidR="000E5AF9" w:rsidRPr="009E6775">
        <w:rPr>
          <w:rFonts w:ascii="Times New Roman" w:hAnsi="Times New Roman" w:cs="Times New Roman"/>
          <w:sz w:val="24"/>
          <w:szCs w:val="24"/>
        </w:rPr>
        <w:t xml:space="preserve">read </w:t>
      </w:r>
      <w:r w:rsidR="002467FE" w:rsidRPr="009E6775">
        <w:rPr>
          <w:rFonts w:ascii="Times New Roman" w:hAnsi="Times New Roman" w:cs="Times New Roman"/>
          <w:sz w:val="24"/>
          <w:szCs w:val="24"/>
        </w:rPr>
        <w:t>the straight textual meaning</w:t>
      </w:r>
      <w:r w:rsidR="000E5AF9" w:rsidRPr="009E6775">
        <w:rPr>
          <w:rFonts w:ascii="Times New Roman" w:hAnsi="Times New Roman" w:cs="Times New Roman"/>
          <w:sz w:val="24"/>
          <w:szCs w:val="24"/>
        </w:rPr>
        <w:t xml:space="preserve"> very narrowly</w:t>
      </w:r>
      <w:r w:rsidR="00090DB4" w:rsidRPr="009E6775">
        <w:rPr>
          <w:rStyle w:val="aa"/>
          <w:rFonts w:ascii="Times New Roman" w:hAnsi="Times New Roman" w:cs="Times New Roman"/>
          <w:sz w:val="24"/>
          <w:szCs w:val="24"/>
        </w:rPr>
        <w:footnoteReference w:id="59"/>
      </w:r>
      <w:r w:rsidR="00B41155" w:rsidRPr="009E6775">
        <w:rPr>
          <w:rFonts w:ascii="Times New Roman" w:hAnsi="Times New Roman" w:cs="Times New Roman"/>
          <w:sz w:val="24"/>
          <w:szCs w:val="24"/>
        </w:rPr>
        <w:t xml:space="preserve"> </w:t>
      </w:r>
      <w:r w:rsidR="008A1E97" w:rsidRPr="009E6775">
        <w:rPr>
          <w:rFonts w:ascii="Times New Roman" w:hAnsi="Times New Roman" w:cs="Times New Roman"/>
          <w:sz w:val="24"/>
          <w:szCs w:val="24"/>
        </w:rPr>
        <w:t>to endorse</w:t>
      </w:r>
      <w:r w:rsidR="002467FE" w:rsidRPr="009E6775">
        <w:rPr>
          <w:rFonts w:ascii="Times New Roman" w:hAnsi="Times New Roman" w:cs="Times New Roman"/>
          <w:sz w:val="24"/>
          <w:szCs w:val="24"/>
        </w:rPr>
        <w:t xml:space="preserve"> the occupying authorities’ impugned measures. </w:t>
      </w:r>
      <w:r w:rsidR="007C77D3" w:rsidRPr="009E6775">
        <w:rPr>
          <w:rFonts w:ascii="Times New Roman" w:hAnsi="Times New Roman" w:cs="Times New Roman"/>
          <w:sz w:val="24"/>
          <w:szCs w:val="24"/>
        </w:rPr>
        <w:t xml:space="preserve">Two patterns </w:t>
      </w:r>
      <w:r w:rsidR="002467FE" w:rsidRPr="009E6775">
        <w:rPr>
          <w:rFonts w:ascii="Times New Roman" w:hAnsi="Times New Roman" w:cs="Times New Roman"/>
          <w:sz w:val="24"/>
          <w:szCs w:val="24"/>
        </w:rPr>
        <w:t>may be identified</w:t>
      </w:r>
      <w:r w:rsidR="000E5AF9" w:rsidRPr="009E6775">
        <w:rPr>
          <w:rFonts w:ascii="Times New Roman" w:hAnsi="Times New Roman" w:cs="Times New Roman"/>
          <w:sz w:val="24"/>
          <w:szCs w:val="24"/>
        </w:rPr>
        <w:t xml:space="preserve"> in this light</w:t>
      </w:r>
      <w:r w:rsidR="002467FE" w:rsidRPr="009E6775">
        <w:rPr>
          <w:rFonts w:ascii="Times New Roman" w:hAnsi="Times New Roman" w:cs="Times New Roman"/>
          <w:sz w:val="24"/>
          <w:szCs w:val="24"/>
        </w:rPr>
        <w:t xml:space="preserve">. </w:t>
      </w:r>
      <w:r w:rsidR="00317B8C" w:rsidRPr="009E6775">
        <w:rPr>
          <w:rFonts w:ascii="Times New Roman" w:hAnsi="Times New Roman" w:cs="Times New Roman"/>
          <w:sz w:val="24"/>
          <w:szCs w:val="24"/>
        </w:rPr>
        <w:t xml:space="preserve">First, </w:t>
      </w:r>
      <w:r w:rsidR="008A1E97" w:rsidRPr="009E6775">
        <w:rPr>
          <w:rFonts w:ascii="Times New Roman" w:hAnsi="Times New Roman" w:cs="Times New Roman"/>
          <w:sz w:val="24"/>
          <w:szCs w:val="24"/>
        </w:rPr>
        <w:t xml:space="preserve">what Kretzmer and Ronen label as </w:t>
      </w:r>
      <w:r w:rsidR="00317B8C" w:rsidRPr="009E6775">
        <w:rPr>
          <w:rFonts w:ascii="Times New Roman" w:hAnsi="Times New Roman" w:cs="Times New Roman"/>
          <w:sz w:val="24"/>
          <w:szCs w:val="24"/>
        </w:rPr>
        <w:t>‘a highly formalistic semantic theory’</w:t>
      </w:r>
      <w:r w:rsidR="00317B8C" w:rsidRPr="009E6775">
        <w:rPr>
          <w:rStyle w:val="aa"/>
          <w:rFonts w:ascii="Times New Roman" w:hAnsi="Times New Roman" w:cs="Times New Roman"/>
          <w:sz w:val="24"/>
          <w:szCs w:val="24"/>
        </w:rPr>
        <w:footnoteReference w:id="60"/>
      </w:r>
      <w:r w:rsidR="00317B8C" w:rsidRPr="009E6775">
        <w:rPr>
          <w:rFonts w:ascii="Times New Roman" w:hAnsi="Times New Roman" w:cs="Times New Roman"/>
          <w:sz w:val="24"/>
          <w:szCs w:val="24"/>
        </w:rPr>
        <w:t xml:space="preserve"> </w:t>
      </w:r>
      <w:r w:rsidR="009E609E" w:rsidRPr="009E6775">
        <w:rPr>
          <w:rFonts w:ascii="Times New Roman" w:hAnsi="Times New Roman" w:cs="Times New Roman"/>
          <w:sz w:val="24"/>
          <w:szCs w:val="24"/>
        </w:rPr>
        <w:t xml:space="preserve">operates when construing </w:t>
      </w:r>
      <w:r w:rsidR="00317B8C" w:rsidRPr="009E6775">
        <w:rPr>
          <w:rFonts w:ascii="Times New Roman" w:hAnsi="Times New Roman" w:cs="Times New Roman"/>
          <w:sz w:val="24"/>
          <w:szCs w:val="24"/>
        </w:rPr>
        <w:t xml:space="preserve">Article 49(1) GC IV </w:t>
      </w:r>
      <w:r w:rsidR="009E609E" w:rsidRPr="009E6775">
        <w:rPr>
          <w:rFonts w:ascii="Times New Roman" w:hAnsi="Times New Roman" w:cs="Times New Roman"/>
          <w:sz w:val="24"/>
          <w:szCs w:val="24"/>
        </w:rPr>
        <w:t>to</w:t>
      </w:r>
      <w:r w:rsidR="00317B8C" w:rsidRPr="009E6775">
        <w:rPr>
          <w:rFonts w:ascii="Times New Roman" w:hAnsi="Times New Roman" w:cs="Times New Roman"/>
          <w:sz w:val="24"/>
          <w:szCs w:val="24"/>
        </w:rPr>
        <w:t xml:space="preserve"> justify</w:t>
      </w:r>
      <w:r w:rsidR="009E609E" w:rsidRPr="009E6775">
        <w:rPr>
          <w:rFonts w:ascii="Times New Roman" w:hAnsi="Times New Roman" w:cs="Times New Roman"/>
          <w:sz w:val="24"/>
          <w:szCs w:val="24"/>
        </w:rPr>
        <w:t xml:space="preserve"> the measure of</w:t>
      </w:r>
      <w:r w:rsidR="00317B8C" w:rsidRPr="009E6775">
        <w:rPr>
          <w:rFonts w:ascii="Times New Roman" w:hAnsi="Times New Roman" w:cs="Times New Roman"/>
          <w:sz w:val="24"/>
          <w:szCs w:val="24"/>
        </w:rPr>
        <w:t xml:space="preserve"> holding administrative detainees in Israel, that is, outside occupied territories. The </w:t>
      </w:r>
      <w:r w:rsidR="00B41155" w:rsidRPr="009E6775">
        <w:rPr>
          <w:rFonts w:ascii="Times New Roman" w:hAnsi="Times New Roman" w:cs="Times New Roman"/>
          <w:sz w:val="24"/>
          <w:szCs w:val="24"/>
        </w:rPr>
        <w:t>SC</w:t>
      </w:r>
      <w:r w:rsidR="008A1E97" w:rsidRPr="009E6775">
        <w:rPr>
          <w:rFonts w:ascii="Times New Roman" w:hAnsi="Times New Roman" w:cs="Times New Roman"/>
          <w:sz w:val="24"/>
          <w:szCs w:val="24"/>
        </w:rPr>
        <w:t>’s rationale is</w:t>
      </w:r>
      <w:r w:rsidR="007C77D3" w:rsidRPr="009E6775">
        <w:rPr>
          <w:rFonts w:ascii="Times New Roman" w:hAnsi="Times New Roman" w:cs="Times New Roman"/>
          <w:sz w:val="24"/>
          <w:szCs w:val="24"/>
        </w:rPr>
        <w:t xml:space="preserve"> </w:t>
      </w:r>
      <w:r w:rsidR="00317B8C" w:rsidRPr="009E6775">
        <w:rPr>
          <w:rFonts w:ascii="Times New Roman" w:hAnsi="Times New Roman" w:cs="Times New Roman"/>
          <w:sz w:val="24"/>
          <w:szCs w:val="24"/>
        </w:rPr>
        <w:t xml:space="preserve">that the requirement to detain persons in the occupied territories is </w:t>
      </w:r>
      <w:r w:rsidR="007C77D3" w:rsidRPr="009E6775">
        <w:rPr>
          <w:rFonts w:ascii="Times New Roman" w:hAnsi="Times New Roman" w:cs="Times New Roman"/>
          <w:sz w:val="24"/>
          <w:szCs w:val="24"/>
        </w:rPr>
        <w:t>confined only</w:t>
      </w:r>
      <w:r w:rsidR="00317B8C" w:rsidRPr="009E6775">
        <w:rPr>
          <w:rFonts w:ascii="Times New Roman" w:hAnsi="Times New Roman" w:cs="Times New Roman"/>
          <w:sz w:val="24"/>
          <w:szCs w:val="24"/>
        </w:rPr>
        <w:t xml:space="preserve"> to the accused and convicted under Article 76 GCIV. </w:t>
      </w:r>
      <w:r w:rsidR="00C15C72" w:rsidRPr="009E6775">
        <w:rPr>
          <w:rFonts w:ascii="Times New Roman" w:hAnsi="Times New Roman" w:cs="Times New Roman"/>
          <w:sz w:val="24"/>
          <w:szCs w:val="24"/>
        </w:rPr>
        <w:t>However, it can be countered that</w:t>
      </w:r>
      <w:r w:rsidR="00317B8C" w:rsidRPr="009E6775">
        <w:rPr>
          <w:rFonts w:ascii="Times New Roman" w:hAnsi="Times New Roman" w:cs="Times New Roman"/>
          <w:sz w:val="24"/>
          <w:szCs w:val="24"/>
        </w:rPr>
        <w:t xml:space="preserve"> since the administrative detainees are not criminally charged, this should provide all the more reason for their internment in the occupied territories closer to their family members.</w:t>
      </w:r>
      <w:r w:rsidR="00317B8C" w:rsidRPr="009E6775">
        <w:rPr>
          <w:rStyle w:val="aa"/>
          <w:rFonts w:ascii="Times New Roman" w:hAnsi="Times New Roman" w:cs="Times New Roman"/>
          <w:sz w:val="24"/>
          <w:szCs w:val="24"/>
        </w:rPr>
        <w:footnoteReference w:id="61"/>
      </w:r>
      <w:r w:rsidR="00317B8C" w:rsidRPr="009E6775">
        <w:rPr>
          <w:rFonts w:ascii="Times New Roman" w:hAnsi="Times New Roman" w:cs="Times New Roman"/>
          <w:sz w:val="24"/>
          <w:szCs w:val="24"/>
        </w:rPr>
        <w:t xml:space="preserve"> Second</w:t>
      </w:r>
      <w:r w:rsidR="002467FE" w:rsidRPr="009E6775">
        <w:rPr>
          <w:rFonts w:ascii="Times New Roman" w:hAnsi="Times New Roman" w:cs="Times New Roman"/>
          <w:sz w:val="24"/>
          <w:szCs w:val="24"/>
        </w:rPr>
        <w:t xml:space="preserve">, </w:t>
      </w:r>
      <w:r w:rsidR="00317B8C" w:rsidRPr="009E6775">
        <w:rPr>
          <w:rFonts w:ascii="Times New Roman" w:hAnsi="Times New Roman" w:cs="Times New Roman"/>
          <w:sz w:val="24"/>
          <w:szCs w:val="24"/>
        </w:rPr>
        <w:t xml:space="preserve">the </w:t>
      </w:r>
      <w:r w:rsidR="00B41155" w:rsidRPr="009E6775">
        <w:rPr>
          <w:rFonts w:ascii="Times New Roman" w:hAnsi="Times New Roman" w:cs="Times New Roman"/>
          <w:sz w:val="24"/>
          <w:szCs w:val="24"/>
        </w:rPr>
        <w:t>SC’s</w:t>
      </w:r>
      <w:r w:rsidR="00317B8C" w:rsidRPr="009E6775">
        <w:rPr>
          <w:rFonts w:ascii="Times New Roman" w:hAnsi="Times New Roman" w:cs="Times New Roman"/>
          <w:sz w:val="24"/>
          <w:szCs w:val="24"/>
        </w:rPr>
        <w:t xml:space="preserve"> interpretive technique </w:t>
      </w:r>
      <w:r w:rsidR="007C77D3" w:rsidRPr="009E6775">
        <w:rPr>
          <w:rFonts w:ascii="Times New Roman" w:hAnsi="Times New Roman" w:cs="Times New Roman"/>
          <w:sz w:val="24"/>
          <w:szCs w:val="24"/>
        </w:rPr>
        <w:t>may</w:t>
      </w:r>
      <w:r w:rsidR="00317B8C" w:rsidRPr="009E6775">
        <w:rPr>
          <w:rFonts w:ascii="Times New Roman" w:hAnsi="Times New Roman" w:cs="Times New Roman"/>
          <w:sz w:val="24"/>
          <w:szCs w:val="24"/>
        </w:rPr>
        <w:t xml:space="preserve"> be seen as going beyond </w:t>
      </w:r>
      <w:r w:rsidR="009E609E" w:rsidRPr="009E6775">
        <w:rPr>
          <w:rFonts w:ascii="Times New Roman" w:hAnsi="Times New Roman" w:cs="Times New Roman"/>
          <w:sz w:val="24"/>
          <w:szCs w:val="24"/>
        </w:rPr>
        <w:t xml:space="preserve">even </w:t>
      </w:r>
      <w:r w:rsidR="008D2D26" w:rsidRPr="009E6775">
        <w:rPr>
          <w:rFonts w:ascii="Times New Roman" w:hAnsi="Times New Roman" w:cs="Times New Roman"/>
          <w:sz w:val="24"/>
          <w:szCs w:val="24"/>
        </w:rPr>
        <w:t xml:space="preserve">the </w:t>
      </w:r>
      <w:r w:rsidR="00317B8C" w:rsidRPr="009E6775">
        <w:rPr>
          <w:rFonts w:ascii="Times New Roman" w:hAnsi="Times New Roman" w:cs="Times New Roman"/>
          <w:sz w:val="24"/>
          <w:szCs w:val="24"/>
        </w:rPr>
        <w:t>formalistic</w:t>
      </w:r>
      <w:r w:rsidR="008D2D26" w:rsidRPr="009E6775">
        <w:rPr>
          <w:rFonts w:ascii="Times New Roman" w:hAnsi="Times New Roman" w:cs="Times New Roman"/>
          <w:sz w:val="24"/>
          <w:szCs w:val="24"/>
        </w:rPr>
        <w:t xml:space="preserve"> construction</w:t>
      </w:r>
      <w:r w:rsidR="00317B8C" w:rsidRPr="009E6775">
        <w:rPr>
          <w:rStyle w:val="aa"/>
          <w:rFonts w:ascii="Times New Roman" w:hAnsi="Times New Roman" w:cs="Times New Roman"/>
          <w:sz w:val="24"/>
          <w:szCs w:val="24"/>
        </w:rPr>
        <w:footnoteReference w:id="62"/>
      </w:r>
      <w:r w:rsidR="00317B8C" w:rsidRPr="009E6775">
        <w:rPr>
          <w:rFonts w:ascii="Times New Roman" w:hAnsi="Times New Roman" w:cs="Times New Roman"/>
          <w:sz w:val="24"/>
          <w:szCs w:val="24"/>
        </w:rPr>
        <w:t xml:space="preserve"> </w:t>
      </w:r>
      <w:r w:rsidR="008D2D26" w:rsidRPr="009E6775">
        <w:rPr>
          <w:rFonts w:ascii="Times New Roman" w:hAnsi="Times New Roman" w:cs="Times New Roman"/>
          <w:sz w:val="24"/>
          <w:szCs w:val="24"/>
        </w:rPr>
        <w:t xml:space="preserve">and </w:t>
      </w:r>
      <w:r w:rsidR="00B61745" w:rsidRPr="009E6775">
        <w:rPr>
          <w:rFonts w:ascii="Times New Roman" w:hAnsi="Times New Roman" w:cs="Times New Roman"/>
          <w:sz w:val="24"/>
          <w:szCs w:val="24"/>
        </w:rPr>
        <w:t xml:space="preserve">tantamount to </w:t>
      </w:r>
      <w:r w:rsidR="008D2D26" w:rsidRPr="009E6775">
        <w:rPr>
          <w:rFonts w:ascii="Times New Roman" w:hAnsi="Times New Roman" w:cs="Times New Roman"/>
          <w:sz w:val="24"/>
          <w:szCs w:val="24"/>
        </w:rPr>
        <w:t>a</w:t>
      </w:r>
      <w:r w:rsidR="00317B8C" w:rsidRPr="009E6775">
        <w:rPr>
          <w:rFonts w:ascii="Times New Roman" w:hAnsi="Times New Roman" w:cs="Times New Roman"/>
          <w:sz w:val="24"/>
          <w:szCs w:val="24"/>
        </w:rPr>
        <w:t xml:space="preserve"> ‘restrictive interpretation’.</w:t>
      </w:r>
      <w:r w:rsidR="00317B8C" w:rsidRPr="009E6775">
        <w:rPr>
          <w:rStyle w:val="aa"/>
          <w:rFonts w:ascii="Times New Roman" w:hAnsi="Times New Roman" w:cs="Times New Roman"/>
          <w:sz w:val="24"/>
          <w:szCs w:val="24"/>
        </w:rPr>
        <w:footnoteReference w:id="63"/>
      </w:r>
      <w:r w:rsidR="00317B8C" w:rsidRPr="009E6775">
        <w:rPr>
          <w:rFonts w:ascii="Times New Roman" w:hAnsi="Times New Roman" w:cs="Times New Roman"/>
          <w:sz w:val="24"/>
          <w:szCs w:val="24"/>
        </w:rPr>
        <w:t xml:space="preserve"> </w:t>
      </w:r>
      <w:r w:rsidR="008900AC" w:rsidRPr="009E6775">
        <w:rPr>
          <w:rFonts w:ascii="Times New Roman" w:hAnsi="Times New Roman" w:cs="Times New Roman"/>
          <w:sz w:val="24"/>
          <w:szCs w:val="24"/>
        </w:rPr>
        <w:t xml:space="preserve">For instance, </w:t>
      </w:r>
      <w:r w:rsidR="00317B8C" w:rsidRPr="009E6775">
        <w:rPr>
          <w:rFonts w:ascii="Times New Roman" w:hAnsi="Times New Roman" w:cs="Times New Roman"/>
          <w:sz w:val="24"/>
          <w:szCs w:val="24"/>
        </w:rPr>
        <w:t>in</w:t>
      </w:r>
      <w:r w:rsidR="00D033C3" w:rsidRPr="009E6775">
        <w:rPr>
          <w:rFonts w:ascii="Times New Roman" w:hAnsi="Times New Roman" w:cs="Times New Roman"/>
          <w:sz w:val="24"/>
          <w:szCs w:val="24"/>
        </w:rPr>
        <w:t xml:space="preserve"> </w:t>
      </w:r>
      <w:r w:rsidR="00090ED2" w:rsidRPr="009E6775">
        <w:rPr>
          <w:rFonts w:ascii="Times New Roman" w:hAnsi="Times New Roman" w:cs="Times New Roman"/>
          <w:i/>
          <w:iCs/>
          <w:sz w:val="24"/>
          <w:szCs w:val="24"/>
        </w:rPr>
        <w:t>Abed Al-‘Afou</w:t>
      </w:r>
      <w:r w:rsidR="008E4EBC" w:rsidRPr="009E6775">
        <w:rPr>
          <w:rStyle w:val="aa"/>
          <w:rFonts w:ascii="Times New Roman" w:hAnsi="Times New Roman" w:cs="Times New Roman"/>
          <w:sz w:val="24"/>
          <w:szCs w:val="24"/>
        </w:rPr>
        <w:footnoteReference w:id="64"/>
      </w:r>
      <w:r w:rsidR="00090ED2" w:rsidRPr="009E6775">
        <w:rPr>
          <w:rFonts w:ascii="Times New Roman" w:hAnsi="Times New Roman" w:cs="Times New Roman"/>
          <w:sz w:val="24"/>
          <w:szCs w:val="24"/>
        </w:rPr>
        <w:t xml:space="preserve"> </w:t>
      </w:r>
      <w:r w:rsidR="00317B8C" w:rsidRPr="009E6775">
        <w:rPr>
          <w:rFonts w:ascii="Times New Roman" w:hAnsi="Times New Roman" w:cs="Times New Roman"/>
          <w:sz w:val="24"/>
          <w:szCs w:val="24"/>
        </w:rPr>
        <w:t>t</w:t>
      </w:r>
      <w:r w:rsidR="00D033C3" w:rsidRPr="009E6775">
        <w:rPr>
          <w:rFonts w:ascii="Times New Roman" w:hAnsi="Times New Roman" w:cs="Times New Roman"/>
          <w:sz w:val="24"/>
          <w:szCs w:val="24"/>
        </w:rPr>
        <w:t xml:space="preserve">he </w:t>
      </w:r>
      <w:r w:rsidR="008900AC" w:rsidRPr="009E6775">
        <w:rPr>
          <w:rFonts w:ascii="Times New Roman" w:hAnsi="Times New Roman" w:cs="Times New Roman"/>
          <w:sz w:val="24"/>
          <w:szCs w:val="24"/>
        </w:rPr>
        <w:t>SC</w:t>
      </w:r>
      <w:r w:rsidR="00D033C3" w:rsidRPr="009E6775">
        <w:rPr>
          <w:rFonts w:ascii="Times New Roman" w:hAnsi="Times New Roman" w:cs="Times New Roman"/>
          <w:sz w:val="24"/>
          <w:szCs w:val="24"/>
        </w:rPr>
        <w:t xml:space="preserve"> </w:t>
      </w:r>
      <w:r w:rsidR="008900AC" w:rsidRPr="009E6775">
        <w:rPr>
          <w:rFonts w:ascii="Times New Roman" w:hAnsi="Times New Roman" w:cs="Times New Roman"/>
          <w:sz w:val="24"/>
          <w:szCs w:val="24"/>
        </w:rPr>
        <w:t>ruled</w:t>
      </w:r>
      <w:r w:rsidR="00D033C3" w:rsidRPr="009E6775">
        <w:rPr>
          <w:rFonts w:ascii="Times New Roman" w:hAnsi="Times New Roman" w:cs="Times New Roman"/>
          <w:sz w:val="24"/>
          <w:szCs w:val="24"/>
        </w:rPr>
        <w:t xml:space="preserve"> that </w:t>
      </w:r>
      <w:r w:rsidR="00A76252" w:rsidRPr="009E6775">
        <w:rPr>
          <w:rFonts w:ascii="Times New Roman" w:hAnsi="Times New Roman" w:cs="Times New Roman"/>
          <w:sz w:val="24"/>
          <w:szCs w:val="24"/>
        </w:rPr>
        <w:t xml:space="preserve">the </w:t>
      </w:r>
      <w:r w:rsidR="00090ED2" w:rsidRPr="009E6775">
        <w:rPr>
          <w:rFonts w:ascii="Times New Roman" w:hAnsi="Times New Roman" w:cs="Times New Roman"/>
          <w:sz w:val="24"/>
          <w:szCs w:val="24"/>
        </w:rPr>
        <w:t xml:space="preserve">prohibition of deportation under </w:t>
      </w:r>
      <w:r w:rsidR="00A76252" w:rsidRPr="009E6775">
        <w:rPr>
          <w:rFonts w:ascii="Times New Roman" w:hAnsi="Times New Roman" w:cs="Times New Roman"/>
          <w:sz w:val="24"/>
          <w:szCs w:val="24"/>
        </w:rPr>
        <w:t>Article 49</w:t>
      </w:r>
      <w:r w:rsidR="00660707" w:rsidRPr="009E6775">
        <w:rPr>
          <w:rFonts w:ascii="Times New Roman" w:hAnsi="Times New Roman" w:cs="Times New Roman"/>
          <w:sz w:val="24"/>
          <w:szCs w:val="24"/>
        </w:rPr>
        <w:t>(1)</w:t>
      </w:r>
      <w:r w:rsidR="00A76252" w:rsidRPr="009E6775">
        <w:rPr>
          <w:rFonts w:ascii="Times New Roman" w:hAnsi="Times New Roman" w:cs="Times New Roman"/>
          <w:sz w:val="24"/>
          <w:szCs w:val="24"/>
        </w:rPr>
        <w:t xml:space="preserve"> GCIV </w:t>
      </w:r>
      <w:r w:rsidR="008900AC" w:rsidRPr="009E6775">
        <w:rPr>
          <w:rFonts w:ascii="Times New Roman" w:hAnsi="Times New Roman" w:cs="Times New Roman"/>
          <w:sz w:val="24"/>
          <w:szCs w:val="24"/>
        </w:rPr>
        <w:t xml:space="preserve">and </w:t>
      </w:r>
      <w:r w:rsidR="008900AC" w:rsidRPr="009E6775">
        <w:rPr>
          <w:rFonts w:ascii="Times New Roman" w:hAnsi="Times New Roman" w:cs="Times New Roman"/>
          <w:sz w:val="24"/>
          <w:szCs w:val="24"/>
        </w:rPr>
        <w:lastRenderedPageBreak/>
        <w:t xml:space="preserve">its customary law counterpart </w:t>
      </w:r>
      <w:r w:rsidR="00343387" w:rsidRPr="009E6775">
        <w:rPr>
          <w:rFonts w:ascii="Times New Roman" w:hAnsi="Times New Roman" w:cs="Times New Roman"/>
          <w:sz w:val="24"/>
          <w:szCs w:val="24"/>
        </w:rPr>
        <w:t>were</w:t>
      </w:r>
      <w:r w:rsidR="00D033C3" w:rsidRPr="009E6775">
        <w:rPr>
          <w:rFonts w:ascii="Times New Roman" w:hAnsi="Times New Roman" w:cs="Times New Roman"/>
          <w:sz w:val="24"/>
          <w:szCs w:val="24"/>
        </w:rPr>
        <w:t xml:space="preserve"> limited </w:t>
      </w:r>
      <w:r w:rsidR="00090ED2" w:rsidRPr="009E6775">
        <w:rPr>
          <w:rFonts w:ascii="Times New Roman" w:hAnsi="Times New Roman" w:cs="Times New Roman"/>
          <w:sz w:val="24"/>
          <w:szCs w:val="24"/>
        </w:rPr>
        <w:t xml:space="preserve">only to </w:t>
      </w:r>
      <w:r w:rsidR="008912BA" w:rsidRPr="009E6775">
        <w:rPr>
          <w:rFonts w:ascii="Times New Roman" w:hAnsi="Times New Roman" w:cs="Times New Roman"/>
          <w:sz w:val="24"/>
          <w:szCs w:val="24"/>
        </w:rPr>
        <w:t>a</w:t>
      </w:r>
      <w:r w:rsidR="00317B8C" w:rsidRPr="009E6775">
        <w:rPr>
          <w:rFonts w:ascii="Times New Roman" w:hAnsi="Times New Roman" w:cs="Times New Roman"/>
          <w:sz w:val="24"/>
          <w:szCs w:val="24"/>
        </w:rPr>
        <w:t xml:space="preserve">n extremely </w:t>
      </w:r>
      <w:r w:rsidR="008912BA" w:rsidRPr="009E6775">
        <w:rPr>
          <w:rFonts w:ascii="Times New Roman" w:hAnsi="Times New Roman" w:cs="Times New Roman"/>
          <w:sz w:val="24"/>
          <w:szCs w:val="24"/>
        </w:rPr>
        <w:t>narrow form of deportation</w:t>
      </w:r>
      <w:r w:rsidR="008900AC" w:rsidRPr="009E6775">
        <w:rPr>
          <w:rFonts w:ascii="Times New Roman" w:hAnsi="Times New Roman" w:cs="Times New Roman"/>
          <w:sz w:val="24"/>
          <w:szCs w:val="24"/>
        </w:rPr>
        <w:t xml:space="preserve">, namely, the </w:t>
      </w:r>
      <w:r w:rsidR="00090ED2" w:rsidRPr="009E6775">
        <w:rPr>
          <w:rFonts w:ascii="Times New Roman" w:hAnsi="Times New Roman" w:cs="Times New Roman"/>
          <w:sz w:val="24"/>
          <w:szCs w:val="24"/>
        </w:rPr>
        <w:t xml:space="preserve">mass </w:t>
      </w:r>
      <w:r w:rsidR="00A64599" w:rsidRPr="009E6775">
        <w:rPr>
          <w:rFonts w:ascii="Times New Roman" w:hAnsi="Times New Roman" w:cs="Times New Roman"/>
          <w:sz w:val="24"/>
          <w:szCs w:val="24"/>
        </w:rPr>
        <w:t xml:space="preserve">and systematic </w:t>
      </w:r>
      <w:r w:rsidR="00090ED2" w:rsidRPr="009E6775">
        <w:rPr>
          <w:rFonts w:ascii="Times New Roman" w:hAnsi="Times New Roman" w:cs="Times New Roman"/>
          <w:sz w:val="24"/>
          <w:szCs w:val="24"/>
        </w:rPr>
        <w:t>deportation of the kind carried out by Nazi Germany</w:t>
      </w:r>
      <w:r w:rsidR="00284C8D" w:rsidRPr="009E6775">
        <w:rPr>
          <w:rFonts w:ascii="Times New Roman" w:hAnsi="Times New Roman" w:cs="Times New Roman"/>
          <w:sz w:val="24"/>
          <w:szCs w:val="24"/>
        </w:rPr>
        <w:t>.</w:t>
      </w:r>
      <w:r w:rsidR="00835020" w:rsidRPr="009E6775">
        <w:rPr>
          <w:rStyle w:val="aa"/>
          <w:rFonts w:ascii="Times New Roman" w:hAnsi="Times New Roman" w:cs="Times New Roman"/>
          <w:sz w:val="24"/>
          <w:szCs w:val="24"/>
        </w:rPr>
        <w:footnoteReference w:id="65"/>
      </w:r>
      <w:r w:rsidR="00090ED2" w:rsidRPr="009E6775">
        <w:rPr>
          <w:rFonts w:ascii="Times New Roman" w:hAnsi="Times New Roman" w:cs="Times New Roman"/>
          <w:sz w:val="24"/>
          <w:szCs w:val="24"/>
        </w:rPr>
        <w:t xml:space="preserve"> </w:t>
      </w:r>
      <w:r w:rsidR="00284C8D" w:rsidRPr="009E6775">
        <w:rPr>
          <w:rFonts w:ascii="Times New Roman" w:hAnsi="Times New Roman" w:cs="Times New Roman"/>
          <w:sz w:val="24"/>
          <w:szCs w:val="24"/>
        </w:rPr>
        <w:t>Such a</w:t>
      </w:r>
      <w:r w:rsidR="008900AC" w:rsidRPr="009E6775">
        <w:rPr>
          <w:rFonts w:ascii="Times New Roman" w:hAnsi="Times New Roman" w:cs="Times New Roman"/>
          <w:sz w:val="24"/>
          <w:szCs w:val="24"/>
        </w:rPr>
        <w:t xml:space="preserve">n overtly </w:t>
      </w:r>
      <w:r w:rsidR="004A142E" w:rsidRPr="009E6775">
        <w:rPr>
          <w:rFonts w:ascii="Times New Roman" w:hAnsi="Times New Roman" w:cs="Times New Roman"/>
          <w:sz w:val="24"/>
          <w:szCs w:val="24"/>
        </w:rPr>
        <w:t>restrictive</w:t>
      </w:r>
      <w:r w:rsidR="008900AC" w:rsidRPr="009E6775">
        <w:rPr>
          <w:rFonts w:ascii="Times New Roman" w:hAnsi="Times New Roman" w:cs="Times New Roman"/>
          <w:sz w:val="24"/>
          <w:szCs w:val="24"/>
        </w:rPr>
        <w:t xml:space="preserve"> interpretation</w:t>
      </w:r>
      <w:r w:rsidR="00284C8D" w:rsidRPr="009E6775">
        <w:rPr>
          <w:rFonts w:ascii="Times New Roman" w:hAnsi="Times New Roman" w:cs="Times New Roman"/>
          <w:sz w:val="24"/>
          <w:szCs w:val="24"/>
        </w:rPr>
        <w:t xml:space="preserve"> would </w:t>
      </w:r>
      <w:r w:rsidR="008900AC" w:rsidRPr="009E6775">
        <w:rPr>
          <w:rFonts w:ascii="Times New Roman" w:hAnsi="Times New Roman" w:cs="Times New Roman"/>
          <w:sz w:val="24"/>
          <w:szCs w:val="24"/>
        </w:rPr>
        <w:t>pitch</w:t>
      </w:r>
      <w:r w:rsidR="00317B8C" w:rsidRPr="009E6775">
        <w:rPr>
          <w:rFonts w:ascii="Times New Roman" w:hAnsi="Times New Roman" w:cs="Times New Roman"/>
          <w:sz w:val="24"/>
          <w:szCs w:val="24"/>
        </w:rPr>
        <w:t xml:space="preserve"> </w:t>
      </w:r>
      <w:r w:rsidR="00284C8D" w:rsidRPr="009E6775">
        <w:rPr>
          <w:rFonts w:ascii="Times New Roman" w:hAnsi="Times New Roman" w:cs="Times New Roman"/>
          <w:sz w:val="24"/>
          <w:szCs w:val="24"/>
        </w:rPr>
        <w:t xml:space="preserve">the </w:t>
      </w:r>
      <w:r w:rsidR="00317B8C" w:rsidRPr="009E6775">
        <w:rPr>
          <w:rFonts w:ascii="Times New Roman" w:hAnsi="Times New Roman" w:cs="Times New Roman"/>
          <w:sz w:val="24"/>
          <w:szCs w:val="24"/>
        </w:rPr>
        <w:t xml:space="preserve">threshold </w:t>
      </w:r>
      <w:r w:rsidR="00284C8D" w:rsidRPr="009E6775">
        <w:rPr>
          <w:rFonts w:ascii="Times New Roman" w:hAnsi="Times New Roman" w:cs="Times New Roman"/>
          <w:sz w:val="24"/>
          <w:szCs w:val="24"/>
        </w:rPr>
        <w:t>for this rule as high as</w:t>
      </w:r>
      <w:r w:rsidR="00317B8C" w:rsidRPr="009E6775">
        <w:rPr>
          <w:rFonts w:ascii="Times New Roman" w:hAnsi="Times New Roman" w:cs="Times New Roman"/>
          <w:sz w:val="24"/>
          <w:szCs w:val="24"/>
        </w:rPr>
        <w:t xml:space="preserve"> the heading requirement of crimes against humanity</w:t>
      </w:r>
      <w:r w:rsidR="00284C8D" w:rsidRPr="009E6775">
        <w:rPr>
          <w:rFonts w:ascii="Times New Roman" w:hAnsi="Times New Roman" w:cs="Times New Roman"/>
          <w:sz w:val="24"/>
          <w:szCs w:val="24"/>
        </w:rPr>
        <w:t xml:space="preserve"> under Article 7 of the Rome Statute of the International Criminal Court</w:t>
      </w:r>
      <w:r w:rsidR="003D0765" w:rsidRPr="009E6775">
        <w:rPr>
          <w:rFonts w:ascii="Times New Roman" w:hAnsi="Times New Roman" w:cs="Times New Roman"/>
          <w:sz w:val="24"/>
          <w:szCs w:val="24"/>
        </w:rPr>
        <w:t xml:space="preserve"> (ICC).</w:t>
      </w:r>
      <w:r w:rsidR="00F20072" w:rsidRPr="009E6775">
        <w:rPr>
          <w:rFonts w:ascii="Times New Roman" w:hAnsi="Times New Roman" w:cs="Times New Roman"/>
          <w:sz w:val="24"/>
          <w:szCs w:val="24"/>
        </w:rPr>
        <w:t xml:space="preserve"> As Kretzmer and Ronen note,</w:t>
      </w:r>
      <w:r w:rsidR="00723401" w:rsidRPr="009E6775">
        <w:rPr>
          <w:rStyle w:val="aa"/>
          <w:rFonts w:ascii="Times New Roman" w:hAnsi="Times New Roman" w:cs="Times New Roman"/>
          <w:sz w:val="24"/>
          <w:szCs w:val="24"/>
        </w:rPr>
        <w:footnoteReference w:id="66"/>
      </w:r>
      <w:r w:rsidR="00F20072" w:rsidRPr="009E6775">
        <w:rPr>
          <w:rFonts w:ascii="Times New Roman" w:hAnsi="Times New Roman" w:cs="Times New Roman"/>
          <w:sz w:val="24"/>
          <w:szCs w:val="24"/>
        </w:rPr>
        <w:t xml:space="preserve"> cogency of such a narrow view is disproved by the </w:t>
      </w:r>
      <w:r w:rsidR="00343387" w:rsidRPr="009E6775">
        <w:rPr>
          <w:rFonts w:ascii="Times New Roman" w:hAnsi="Times New Roman" w:cs="Times New Roman"/>
          <w:sz w:val="24"/>
          <w:szCs w:val="24"/>
        </w:rPr>
        <w:t xml:space="preserve">ICRC’s </w:t>
      </w:r>
      <w:r w:rsidR="00F20072" w:rsidRPr="009E6775">
        <w:rPr>
          <w:rFonts w:ascii="Times New Roman" w:hAnsi="Times New Roman" w:cs="Times New Roman"/>
          <w:sz w:val="24"/>
          <w:szCs w:val="24"/>
        </w:rPr>
        <w:t>Tokyo Draft (1934),</w:t>
      </w:r>
      <w:r w:rsidR="00F20072" w:rsidRPr="009E6775">
        <w:rPr>
          <w:rStyle w:val="aa"/>
          <w:rFonts w:ascii="Times New Roman" w:hAnsi="Times New Roman" w:cs="Times New Roman"/>
          <w:sz w:val="24"/>
          <w:szCs w:val="24"/>
        </w:rPr>
        <w:footnoteReference w:id="67"/>
      </w:r>
      <w:r w:rsidR="00F20072" w:rsidRPr="009E6775">
        <w:rPr>
          <w:rFonts w:ascii="Times New Roman" w:hAnsi="Times New Roman" w:cs="Times New Roman"/>
          <w:sz w:val="24"/>
          <w:szCs w:val="24"/>
        </w:rPr>
        <w:t xml:space="preserve"> the genesis of the Geneva Civilians Convention. This Draft clearly suggests the intention to outlaw deportation, whether collective or individual.</w:t>
      </w:r>
    </w:p>
    <w:p w14:paraId="6D0451E3" w14:textId="56679717" w:rsidR="00B17945" w:rsidRPr="009E6775" w:rsidRDefault="007840BF" w:rsidP="0081540D">
      <w:pPr>
        <w:tabs>
          <w:tab w:val="left" w:pos="3060"/>
        </w:tabs>
        <w:rPr>
          <w:rFonts w:ascii="Times New Roman" w:hAnsi="Times New Roman" w:cs="Times New Roman"/>
          <w:sz w:val="24"/>
          <w:szCs w:val="24"/>
        </w:rPr>
      </w:pPr>
      <w:r w:rsidRPr="009E6775">
        <w:rPr>
          <w:rFonts w:ascii="Times New Roman" w:hAnsi="Times New Roman" w:cs="Times New Roman"/>
          <w:sz w:val="24"/>
          <w:szCs w:val="24"/>
        </w:rPr>
        <w:tab/>
      </w:r>
    </w:p>
    <w:p w14:paraId="5B33DD4D" w14:textId="07C9FCE0" w:rsidR="00F5548A" w:rsidRPr="008156BB" w:rsidRDefault="00353D62" w:rsidP="008156BB">
      <w:pPr>
        <w:pStyle w:val="a3"/>
        <w:numPr>
          <w:ilvl w:val="0"/>
          <w:numId w:val="13"/>
        </w:numPr>
        <w:ind w:leftChars="0"/>
        <w:rPr>
          <w:rFonts w:ascii="Times New Roman" w:hAnsi="Times New Roman" w:cs="Times New Roman"/>
          <w:b/>
          <w:sz w:val="24"/>
          <w:szCs w:val="24"/>
        </w:rPr>
      </w:pPr>
      <w:r w:rsidRPr="008156BB">
        <w:rPr>
          <w:rFonts w:ascii="Times New Roman" w:hAnsi="Times New Roman" w:cs="Times New Roman"/>
          <w:b/>
          <w:sz w:val="24"/>
          <w:szCs w:val="24"/>
        </w:rPr>
        <w:t>Article 43 Hague Regulations</w:t>
      </w:r>
    </w:p>
    <w:p w14:paraId="6586A792" w14:textId="2F6A1D3E" w:rsidR="00367F41" w:rsidRPr="008156BB" w:rsidRDefault="00367F41" w:rsidP="008156BB">
      <w:pPr>
        <w:pStyle w:val="a3"/>
        <w:numPr>
          <w:ilvl w:val="0"/>
          <w:numId w:val="17"/>
        </w:numPr>
        <w:ind w:leftChars="0"/>
        <w:rPr>
          <w:rFonts w:ascii="Times New Roman" w:hAnsi="Times New Roman" w:cs="Times New Roman"/>
          <w:b/>
          <w:sz w:val="24"/>
          <w:szCs w:val="24"/>
        </w:rPr>
      </w:pPr>
      <w:r w:rsidRPr="008156BB">
        <w:rPr>
          <w:rFonts w:ascii="Times New Roman" w:hAnsi="Times New Roman" w:cs="Times New Roman"/>
          <w:b/>
          <w:sz w:val="24"/>
          <w:szCs w:val="24"/>
        </w:rPr>
        <w:t>Overview</w:t>
      </w:r>
      <w:r w:rsidR="0087117B">
        <w:rPr>
          <w:rFonts w:ascii="Times New Roman" w:hAnsi="Times New Roman" w:cs="Times New Roman"/>
          <w:b/>
          <w:sz w:val="24"/>
          <w:szCs w:val="24"/>
        </w:rPr>
        <w:t xml:space="preserve"> – ‘</w:t>
      </w:r>
      <w:r w:rsidR="0087117B" w:rsidRPr="008156BB">
        <w:rPr>
          <w:rFonts w:ascii="Times New Roman" w:hAnsi="Times New Roman" w:cs="Times New Roman"/>
          <w:b/>
          <w:bCs/>
          <w:sz w:val="24"/>
          <w:szCs w:val="24"/>
        </w:rPr>
        <w:t>Battle of Interpretation</w:t>
      </w:r>
      <w:r w:rsidR="0087117B">
        <w:rPr>
          <w:rFonts w:ascii="Times New Roman" w:hAnsi="Times New Roman" w:cs="Times New Roman"/>
          <w:b/>
          <w:bCs/>
          <w:sz w:val="24"/>
          <w:szCs w:val="24"/>
        </w:rPr>
        <w:t>’</w:t>
      </w:r>
    </w:p>
    <w:p w14:paraId="7FC3E2E0" w14:textId="58831F19" w:rsidR="00E442E9" w:rsidRPr="009E6775" w:rsidRDefault="00196742" w:rsidP="0081540D">
      <w:pPr>
        <w:rPr>
          <w:rFonts w:ascii="Times New Roman" w:hAnsi="Times New Roman" w:cs="Times New Roman"/>
          <w:sz w:val="24"/>
          <w:szCs w:val="24"/>
        </w:rPr>
      </w:pPr>
      <w:r w:rsidRPr="009E6775">
        <w:rPr>
          <w:rFonts w:ascii="Times New Roman" w:hAnsi="Times New Roman" w:cs="Times New Roman"/>
          <w:sz w:val="24"/>
          <w:szCs w:val="24"/>
        </w:rPr>
        <w:t>Article 43 Hague Regulations</w:t>
      </w:r>
      <w:r w:rsidR="000236D8" w:rsidRPr="009E6775">
        <w:rPr>
          <w:rFonts w:ascii="Times New Roman" w:hAnsi="Times New Roman" w:cs="Times New Roman"/>
          <w:sz w:val="24"/>
          <w:szCs w:val="24"/>
        </w:rPr>
        <w:t xml:space="preserve"> </w:t>
      </w:r>
      <w:r w:rsidR="00D00F52" w:rsidRPr="009E6775">
        <w:rPr>
          <w:rFonts w:ascii="Times New Roman" w:hAnsi="Times New Roman" w:cs="Times New Roman"/>
          <w:sz w:val="24"/>
          <w:szCs w:val="24"/>
        </w:rPr>
        <w:t>may</w:t>
      </w:r>
      <w:r w:rsidR="00D303CE" w:rsidRPr="009E6775">
        <w:rPr>
          <w:rFonts w:ascii="Times New Roman" w:hAnsi="Times New Roman" w:cs="Times New Roman"/>
          <w:sz w:val="24"/>
          <w:szCs w:val="24"/>
        </w:rPr>
        <w:t xml:space="preserve"> be seen as t</w:t>
      </w:r>
      <w:r w:rsidR="00B17945" w:rsidRPr="009E6775">
        <w:rPr>
          <w:rFonts w:ascii="Times New Roman" w:hAnsi="Times New Roman" w:cs="Times New Roman"/>
          <w:sz w:val="24"/>
          <w:szCs w:val="24"/>
        </w:rPr>
        <w:t>he ‘mini-constitution’ for occupied territories</w:t>
      </w:r>
      <w:r w:rsidR="003C2B6B" w:rsidRPr="009E6775">
        <w:rPr>
          <w:rFonts w:ascii="Times New Roman" w:hAnsi="Times New Roman" w:cs="Times New Roman"/>
          <w:sz w:val="24"/>
          <w:szCs w:val="24"/>
        </w:rPr>
        <w:t>.</w:t>
      </w:r>
      <w:r w:rsidR="00D9658F" w:rsidRPr="009E6775">
        <w:rPr>
          <w:rStyle w:val="aa"/>
          <w:rFonts w:ascii="Times New Roman" w:hAnsi="Times New Roman" w:cs="Times New Roman"/>
          <w:sz w:val="24"/>
          <w:szCs w:val="24"/>
        </w:rPr>
        <w:footnoteReference w:id="68"/>
      </w:r>
      <w:r w:rsidR="00B17945" w:rsidRPr="009E6775">
        <w:rPr>
          <w:rFonts w:ascii="Times New Roman" w:hAnsi="Times New Roman" w:cs="Times New Roman"/>
          <w:sz w:val="24"/>
          <w:szCs w:val="24"/>
        </w:rPr>
        <w:t xml:space="preserve"> </w:t>
      </w:r>
      <w:r w:rsidR="003C2B6B" w:rsidRPr="009E6775">
        <w:rPr>
          <w:rFonts w:ascii="Times New Roman" w:hAnsi="Times New Roman" w:cs="Times New Roman"/>
          <w:sz w:val="24"/>
          <w:szCs w:val="24"/>
        </w:rPr>
        <w:t xml:space="preserve">According to this provision, </w:t>
      </w:r>
      <w:r w:rsidR="00B17945" w:rsidRPr="009E6775">
        <w:rPr>
          <w:rFonts w:ascii="Times New Roman" w:hAnsi="Times New Roman" w:cs="Times New Roman"/>
          <w:sz w:val="24"/>
          <w:szCs w:val="24"/>
        </w:rPr>
        <w:t xml:space="preserve">the occupying power’s duty to restore and ensure public order and </w:t>
      </w:r>
      <w:r w:rsidR="00B64358" w:rsidRPr="009E6775">
        <w:rPr>
          <w:rFonts w:ascii="Times New Roman" w:hAnsi="Times New Roman" w:cs="Times New Roman"/>
          <w:sz w:val="24"/>
          <w:szCs w:val="24"/>
        </w:rPr>
        <w:t>(civil)</w:t>
      </w:r>
      <w:r w:rsidR="00B17945" w:rsidRPr="009E6775">
        <w:rPr>
          <w:rFonts w:ascii="Times New Roman" w:hAnsi="Times New Roman" w:cs="Times New Roman"/>
          <w:sz w:val="24"/>
          <w:szCs w:val="24"/>
        </w:rPr>
        <w:t xml:space="preserve"> life constitutes the general duty of the occupying power.</w:t>
      </w:r>
      <w:r w:rsidR="00AE538A" w:rsidRPr="009E6775">
        <w:rPr>
          <w:rFonts w:ascii="Times New Roman" w:hAnsi="Times New Roman" w:cs="Times New Roman"/>
          <w:sz w:val="24"/>
          <w:szCs w:val="24"/>
        </w:rPr>
        <w:t xml:space="preserve"> </w:t>
      </w:r>
      <w:r w:rsidR="003C2B6B" w:rsidRPr="009E6775">
        <w:rPr>
          <w:rFonts w:ascii="Times New Roman" w:hAnsi="Times New Roman" w:cs="Times New Roman"/>
          <w:sz w:val="24"/>
          <w:szCs w:val="24"/>
        </w:rPr>
        <w:t xml:space="preserve">Some preliminary explanations are </w:t>
      </w:r>
      <w:r w:rsidR="00D303CE" w:rsidRPr="009E6775">
        <w:rPr>
          <w:rFonts w:ascii="Times New Roman" w:hAnsi="Times New Roman" w:cs="Times New Roman"/>
          <w:sz w:val="24"/>
          <w:szCs w:val="24"/>
        </w:rPr>
        <w:t>needed</w:t>
      </w:r>
      <w:r w:rsidR="003C2B6B" w:rsidRPr="009E6775">
        <w:rPr>
          <w:rFonts w:ascii="Times New Roman" w:hAnsi="Times New Roman" w:cs="Times New Roman"/>
          <w:sz w:val="24"/>
          <w:szCs w:val="24"/>
        </w:rPr>
        <w:t xml:space="preserve">. The </w:t>
      </w:r>
      <w:r w:rsidR="00B64358" w:rsidRPr="009E6775">
        <w:rPr>
          <w:rFonts w:ascii="Times New Roman" w:hAnsi="Times New Roman" w:cs="Times New Roman"/>
          <w:sz w:val="24"/>
          <w:szCs w:val="24"/>
        </w:rPr>
        <w:t xml:space="preserve">meaning of the </w:t>
      </w:r>
      <w:r w:rsidR="003C2B6B" w:rsidRPr="009E6775">
        <w:rPr>
          <w:rFonts w:ascii="Times New Roman" w:hAnsi="Times New Roman" w:cs="Times New Roman"/>
          <w:sz w:val="24"/>
          <w:szCs w:val="24"/>
        </w:rPr>
        <w:t xml:space="preserve">words ‘l’ordre et la vie publics’ in the authentic French text goes beyond </w:t>
      </w:r>
      <w:r w:rsidR="00B64358" w:rsidRPr="009E6775">
        <w:rPr>
          <w:rFonts w:ascii="Times New Roman" w:hAnsi="Times New Roman" w:cs="Times New Roman"/>
          <w:sz w:val="24"/>
          <w:szCs w:val="24"/>
        </w:rPr>
        <w:t xml:space="preserve">that of </w:t>
      </w:r>
      <w:r w:rsidR="003C2B6B" w:rsidRPr="009E6775">
        <w:rPr>
          <w:rFonts w:ascii="Times New Roman" w:hAnsi="Times New Roman" w:cs="Times New Roman"/>
          <w:sz w:val="24"/>
          <w:szCs w:val="24"/>
        </w:rPr>
        <w:t xml:space="preserve">the English translation of ‘public order and safety’. In </w:t>
      </w:r>
      <w:r w:rsidR="003C2B6B" w:rsidRPr="009E6775">
        <w:rPr>
          <w:rFonts w:ascii="Times New Roman" w:hAnsi="Times New Roman" w:cs="Times New Roman"/>
          <w:i/>
          <w:iCs/>
          <w:sz w:val="24"/>
          <w:szCs w:val="24"/>
        </w:rPr>
        <w:t>Christian Society</w:t>
      </w:r>
      <w:r w:rsidR="003C2B6B"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the </w:t>
      </w:r>
      <w:r w:rsidR="008900AC" w:rsidRPr="009E6775">
        <w:rPr>
          <w:rFonts w:ascii="Times New Roman" w:hAnsi="Times New Roman" w:cs="Times New Roman"/>
          <w:sz w:val="24"/>
          <w:szCs w:val="24"/>
        </w:rPr>
        <w:t>SC</w:t>
      </w:r>
      <w:r w:rsidR="006C5E48" w:rsidRPr="009E6775">
        <w:rPr>
          <w:rFonts w:ascii="Times New Roman" w:hAnsi="Times New Roman" w:cs="Times New Roman"/>
          <w:sz w:val="24"/>
          <w:szCs w:val="24"/>
        </w:rPr>
        <w:t xml:space="preserve"> specifically took issue with the </w:t>
      </w:r>
      <w:r w:rsidR="00B64358" w:rsidRPr="009E6775">
        <w:rPr>
          <w:rFonts w:ascii="Times New Roman" w:hAnsi="Times New Roman" w:cs="Times New Roman"/>
          <w:sz w:val="24"/>
          <w:szCs w:val="24"/>
        </w:rPr>
        <w:t xml:space="preserve">English </w:t>
      </w:r>
      <w:r w:rsidR="006C5E48" w:rsidRPr="009E6775">
        <w:rPr>
          <w:rFonts w:ascii="Times New Roman" w:hAnsi="Times New Roman" w:cs="Times New Roman"/>
          <w:sz w:val="24"/>
          <w:szCs w:val="24"/>
        </w:rPr>
        <w:t>translation</w:t>
      </w:r>
      <w:r w:rsidR="00B64358" w:rsidRPr="009E6775">
        <w:rPr>
          <w:rFonts w:ascii="Times New Roman" w:hAnsi="Times New Roman" w:cs="Times New Roman"/>
          <w:sz w:val="24"/>
          <w:szCs w:val="24"/>
        </w:rPr>
        <w:t xml:space="preserve"> of the word</w:t>
      </w:r>
      <w:r w:rsidR="006C5E48" w:rsidRPr="009E6775">
        <w:rPr>
          <w:rFonts w:ascii="Times New Roman" w:hAnsi="Times New Roman" w:cs="Times New Roman"/>
          <w:sz w:val="24"/>
          <w:szCs w:val="24"/>
        </w:rPr>
        <w:t xml:space="preserve"> ‘safety’, holding that the more precise meaning should be ‘civil life’.</w:t>
      </w:r>
      <w:r w:rsidR="006C5E48" w:rsidRPr="009E6775">
        <w:rPr>
          <w:rStyle w:val="aa"/>
          <w:rFonts w:ascii="Times New Roman" w:hAnsi="Times New Roman" w:cs="Times New Roman"/>
          <w:sz w:val="24"/>
          <w:szCs w:val="24"/>
        </w:rPr>
        <w:footnoteReference w:id="69"/>
      </w:r>
      <w:r w:rsidR="006C5E48"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By referring to Schwenk’s </w:t>
      </w:r>
      <w:r w:rsidR="00646BFE" w:rsidRPr="009E6775">
        <w:rPr>
          <w:rFonts w:ascii="Times New Roman" w:hAnsi="Times New Roman" w:cs="Times New Roman"/>
          <w:sz w:val="24"/>
          <w:szCs w:val="24"/>
        </w:rPr>
        <w:t>seminal</w:t>
      </w:r>
      <w:r w:rsidR="005C329A" w:rsidRPr="009E6775">
        <w:rPr>
          <w:rFonts w:ascii="Times New Roman" w:hAnsi="Times New Roman" w:cs="Times New Roman"/>
          <w:sz w:val="24"/>
          <w:szCs w:val="24"/>
        </w:rPr>
        <w:t xml:space="preserve"> </w:t>
      </w:r>
      <w:r w:rsidRPr="009E6775">
        <w:rPr>
          <w:rFonts w:ascii="Times New Roman" w:hAnsi="Times New Roman" w:cs="Times New Roman"/>
          <w:sz w:val="24"/>
          <w:szCs w:val="24"/>
        </w:rPr>
        <w:t>article,</w:t>
      </w:r>
      <w:r w:rsidRPr="009E6775">
        <w:rPr>
          <w:rStyle w:val="aa"/>
          <w:rFonts w:ascii="Times New Roman" w:hAnsi="Times New Roman" w:cs="Times New Roman"/>
          <w:sz w:val="24"/>
          <w:szCs w:val="24"/>
        </w:rPr>
        <w:footnoteReference w:id="70"/>
      </w:r>
      <w:r w:rsidRPr="009E6775">
        <w:rPr>
          <w:rFonts w:ascii="Times New Roman" w:hAnsi="Times New Roman" w:cs="Times New Roman"/>
          <w:sz w:val="24"/>
          <w:szCs w:val="24"/>
        </w:rPr>
        <w:t xml:space="preserve"> the </w:t>
      </w:r>
      <w:r w:rsidR="008900AC" w:rsidRPr="009E6775">
        <w:rPr>
          <w:rFonts w:ascii="Times New Roman" w:hAnsi="Times New Roman" w:cs="Times New Roman"/>
          <w:sz w:val="24"/>
          <w:szCs w:val="24"/>
        </w:rPr>
        <w:t>SC</w:t>
      </w:r>
      <w:r w:rsidRPr="009E6775">
        <w:rPr>
          <w:rFonts w:ascii="Times New Roman" w:hAnsi="Times New Roman" w:cs="Times New Roman"/>
          <w:sz w:val="24"/>
          <w:szCs w:val="24"/>
        </w:rPr>
        <w:t xml:space="preserve"> suggested</w:t>
      </w:r>
      <w:r w:rsidR="00B64358" w:rsidRPr="009E6775">
        <w:rPr>
          <w:rFonts w:ascii="Times New Roman" w:hAnsi="Times New Roman" w:cs="Times New Roman"/>
          <w:sz w:val="24"/>
          <w:szCs w:val="24"/>
        </w:rPr>
        <w:t xml:space="preserve"> </w:t>
      </w:r>
      <w:r w:rsidR="006C5E48" w:rsidRPr="009E6775">
        <w:rPr>
          <w:rFonts w:ascii="Times New Roman" w:hAnsi="Times New Roman" w:cs="Times New Roman"/>
          <w:sz w:val="24"/>
          <w:szCs w:val="24"/>
        </w:rPr>
        <w:t xml:space="preserve">that the duty to ensure ‘public order and civil life’ be understood </w:t>
      </w:r>
      <w:r w:rsidR="00B64358" w:rsidRPr="009E6775">
        <w:rPr>
          <w:rFonts w:ascii="Times New Roman" w:hAnsi="Times New Roman" w:cs="Times New Roman"/>
          <w:sz w:val="24"/>
          <w:szCs w:val="24"/>
        </w:rPr>
        <w:t xml:space="preserve">so broadly as to realise </w:t>
      </w:r>
      <w:r w:rsidR="006C5E48" w:rsidRPr="009E6775">
        <w:rPr>
          <w:rFonts w:ascii="Times New Roman" w:hAnsi="Times New Roman" w:cs="Times New Roman"/>
          <w:sz w:val="24"/>
          <w:szCs w:val="24"/>
        </w:rPr>
        <w:t>‘the whole commercial, economic and social life’.</w:t>
      </w:r>
      <w:r w:rsidR="006C5E48" w:rsidRPr="009E6775">
        <w:rPr>
          <w:rStyle w:val="aa"/>
          <w:rFonts w:ascii="Times New Roman" w:hAnsi="Times New Roman" w:cs="Times New Roman"/>
          <w:sz w:val="24"/>
          <w:szCs w:val="24"/>
        </w:rPr>
        <w:footnoteReference w:id="71"/>
      </w:r>
      <w:r w:rsidR="006C5E48" w:rsidRPr="009E6775">
        <w:rPr>
          <w:rFonts w:ascii="Times New Roman" w:hAnsi="Times New Roman" w:cs="Times New Roman"/>
          <w:sz w:val="24"/>
          <w:szCs w:val="24"/>
        </w:rPr>
        <w:t xml:space="preserve"> </w:t>
      </w:r>
      <w:r w:rsidR="00D00F52" w:rsidRPr="009E6775">
        <w:rPr>
          <w:rFonts w:ascii="Times New Roman" w:hAnsi="Times New Roman" w:cs="Times New Roman"/>
          <w:sz w:val="24"/>
          <w:szCs w:val="24"/>
        </w:rPr>
        <w:t xml:space="preserve">As </w:t>
      </w:r>
      <w:r w:rsidR="00343387" w:rsidRPr="009E6775">
        <w:rPr>
          <w:rFonts w:ascii="Times New Roman" w:hAnsi="Times New Roman" w:cs="Times New Roman"/>
          <w:sz w:val="24"/>
          <w:szCs w:val="24"/>
        </w:rPr>
        <w:t>stretched</w:t>
      </w:r>
      <w:r w:rsidR="00D00F52" w:rsidRPr="009E6775">
        <w:rPr>
          <w:rFonts w:ascii="Times New Roman" w:hAnsi="Times New Roman" w:cs="Times New Roman"/>
          <w:sz w:val="24"/>
          <w:szCs w:val="24"/>
        </w:rPr>
        <w:t xml:space="preserve"> as this may appear, this</w:t>
      </w:r>
      <w:r w:rsidR="005C329A" w:rsidRPr="009E6775">
        <w:rPr>
          <w:rFonts w:ascii="Times New Roman" w:hAnsi="Times New Roman" w:cs="Times New Roman"/>
          <w:sz w:val="24"/>
          <w:szCs w:val="24"/>
        </w:rPr>
        <w:t xml:space="preserve"> interpretation is well-accepted in the doctrines.</w:t>
      </w:r>
      <w:r w:rsidR="005C329A" w:rsidRPr="009E6775">
        <w:rPr>
          <w:rStyle w:val="aa"/>
          <w:rFonts w:ascii="Times New Roman" w:hAnsi="Times New Roman" w:cs="Times New Roman"/>
          <w:sz w:val="24"/>
          <w:szCs w:val="24"/>
        </w:rPr>
        <w:footnoteReference w:id="72"/>
      </w:r>
    </w:p>
    <w:p w14:paraId="2C822A23" w14:textId="77777777" w:rsidR="00F5548A" w:rsidRPr="009E6775" w:rsidRDefault="00F5548A" w:rsidP="0081540D">
      <w:pPr>
        <w:rPr>
          <w:rFonts w:ascii="Times New Roman" w:hAnsi="Times New Roman" w:cs="Times New Roman"/>
          <w:sz w:val="24"/>
          <w:szCs w:val="24"/>
        </w:rPr>
      </w:pPr>
    </w:p>
    <w:p w14:paraId="6A19FC40" w14:textId="5DBF61F3" w:rsidR="00915923" w:rsidRPr="009E6775" w:rsidRDefault="00AE538A" w:rsidP="0081540D">
      <w:pPr>
        <w:rPr>
          <w:rFonts w:ascii="Times New Roman" w:hAnsi="Times New Roman" w:cs="Times New Roman"/>
          <w:sz w:val="24"/>
          <w:szCs w:val="24"/>
        </w:rPr>
      </w:pPr>
      <w:r w:rsidRPr="009E6775">
        <w:rPr>
          <w:rFonts w:ascii="Times New Roman" w:hAnsi="Times New Roman" w:cs="Times New Roman"/>
          <w:sz w:val="24"/>
          <w:szCs w:val="24"/>
        </w:rPr>
        <w:t xml:space="preserve">On the first reading, </w:t>
      </w:r>
      <w:r w:rsidR="00514216" w:rsidRPr="009E6775">
        <w:rPr>
          <w:rFonts w:ascii="Times New Roman" w:hAnsi="Times New Roman" w:cs="Times New Roman"/>
          <w:sz w:val="24"/>
          <w:szCs w:val="24"/>
        </w:rPr>
        <w:t>Article 43 Hague Reg</w:t>
      </w:r>
      <w:r w:rsidR="0010048C" w:rsidRPr="009E6775">
        <w:rPr>
          <w:rFonts w:ascii="Times New Roman" w:hAnsi="Times New Roman" w:cs="Times New Roman"/>
          <w:sz w:val="24"/>
          <w:szCs w:val="24"/>
        </w:rPr>
        <w:t>ulations</w:t>
      </w:r>
      <w:r w:rsidR="00514216"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requires the occupying authorities to preserve the laws </w:t>
      </w:r>
      <w:r w:rsidR="00514216" w:rsidRPr="009E6775">
        <w:rPr>
          <w:rFonts w:ascii="Times New Roman" w:hAnsi="Times New Roman" w:cs="Times New Roman"/>
          <w:sz w:val="24"/>
          <w:szCs w:val="24"/>
        </w:rPr>
        <w:t>(</w:t>
      </w:r>
      <w:r w:rsidRPr="009E6775">
        <w:rPr>
          <w:rFonts w:ascii="Times New Roman" w:hAnsi="Times New Roman" w:cs="Times New Roman"/>
          <w:sz w:val="24"/>
          <w:szCs w:val="24"/>
        </w:rPr>
        <w:t>and administrative structure</w:t>
      </w:r>
      <w:r w:rsidR="00514216" w:rsidRPr="009E6775">
        <w:rPr>
          <w:rFonts w:ascii="Times New Roman" w:hAnsi="Times New Roman" w:cs="Times New Roman"/>
          <w:sz w:val="24"/>
          <w:szCs w:val="24"/>
        </w:rPr>
        <w:t>s)</w:t>
      </w:r>
      <w:r w:rsidRPr="009E6775">
        <w:rPr>
          <w:rFonts w:ascii="Times New Roman" w:hAnsi="Times New Roman" w:cs="Times New Roman"/>
          <w:sz w:val="24"/>
          <w:szCs w:val="24"/>
        </w:rPr>
        <w:t xml:space="preserve"> of the occupied territories, </w:t>
      </w:r>
      <w:r w:rsidR="005C329A" w:rsidRPr="009E6775">
        <w:rPr>
          <w:rFonts w:ascii="Times New Roman" w:hAnsi="Times New Roman" w:cs="Times New Roman"/>
          <w:sz w:val="24"/>
          <w:szCs w:val="24"/>
        </w:rPr>
        <w:t xml:space="preserve">‘unless </w:t>
      </w:r>
      <w:r w:rsidR="005C329A" w:rsidRPr="009E6775">
        <w:rPr>
          <w:rFonts w:ascii="Times New Roman" w:hAnsi="Times New Roman" w:cs="Times New Roman"/>
          <w:sz w:val="24"/>
          <w:szCs w:val="24"/>
        </w:rPr>
        <w:lastRenderedPageBreak/>
        <w:t xml:space="preserve">absolutely prevented’ </w:t>
      </w:r>
      <w:r w:rsidR="004A142E" w:rsidRPr="009E6775">
        <w:rPr>
          <w:rFonts w:ascii="Times New Roman" w:hAnsi="Times New Roman" w:cs="Times New Roman"/>
          <w:sz w:val="24"/>
          <w:szCs w:val="24"/>
        </w:rPr>
        <w:t xml:space="preserve">to do so </w:t>
      </w:r>
      <w:r w:rsidR="005C329A" w:rsidRPr="009E6775">
        <w:rPr>
          <w:rFonts w:ascii="Times New Roman" w:hAnsi="Times New Roman" w:cs="Times New Roman"/>
          <w:sz w:val="24"/>
          <w:szCs w:val="24"/>
        </w:rPr>
        <w:t xml:space="preserve">(or ‘sauf </w:t>
      </w:r>
      <w:r w:rsidR="005C329A" w:rsidRPr="009E6775">
        <w:rPr>
          <w:rFonts w:ascii="Times New Roman" w:hAnsi="Times New Roman" w:cs="Times New Roman"/>
          <w:i/>
          <w:iCs/>
          <w:sz w:val="24"/>
          <w:szCs w:val="24"/>
        </w:rPr>
        <w:t>emp</w:t>
      </w:r>
      <w:r w:rsidR="005C329A" w:rsidRPr="009E6775">
        <w:rPr>
          <w:rFonts w:ascii="Times New Roman" w:eastAsia="游明朝" w:hAnsi="Times New Roman" w:cs="Times New Roman"/>
          <w:i/>
          <w:iCs/>
          <w:sz w:val="24"/>
          <w:szCs w:val="24"/>
        </w:rPr>
        <w:t>ê</w:t>
      </w:r>
      <w:r w:rsidR="005C329A" w:rsidRPr="009E6775">
        <w:rPr>
          <w:rFonts w:ascii="Times New Roman" w:hAnsi="Times New Roman" w:cs="Times New Roman"/>
          <w:i/>
          <w:iCs/>
          <w:sz w:val="24"/>
          <w:szCs w:val="24"/>
        </w:rPr>
        <w:t xml:space="preserve">chement </w:t>
      </w:r>
      <w:r w:rsidR="005C329A" w:rsidRPr="009E6775">
        <w:rPr>
          <w:rFonts w:ascii="Times New Roman" w:hAnsi="Times New Roman" w:cs="Times New Roman"/>
          <w:sz w:val="24"/>
          <w:szCs w:val="24"/>
        </w:rPr>
        <w:t xml:space="preserve">absolu’ in the authentic French text). </w:t>
      </w:r>
      <w:r w:rsidR="00343387" w:rsidRPr="009E6775">
        <w:rPr>
          <w:rFonts w:ascii="Times New Roman" w:hAnsi="Times New Roman" w:cs="Times New Roman"/>
          <w:sz w:val="24"/>
          <w:szCs w:val="24"/>
        </w:rPr>
        <w:t>In</w:t>
      </w:r>
      <w:r w:rsidR="000236D8" w:rsidRPr="009E6775">
        <w:rPr>
          <w:rFonts w:ascii="Times New Roman" w:hAnsi="Times New Roman" w:cs="Times New Roman"/>
          <w:sz w:val="24"/>
          <w:szCs w:val="24"/>
        </w:rPr>
        <w:t xml:space="preserve"> the doctrine and in State practice, </w:t>
      </w:r>
      <w:r w:rsidR="0065712A" w:rsidRPr="009E6775">
        <w:rPr>
          <w:rFonts w:ascii="Times New Roman" w:hAnsi="Times New Roman" w:cs="Times New Roman"/>
          <w:sz w:val="24"/>
          <w:szCs w:val="24"/>
        </w:rPr>
        <w:t>the</w:t>
      </w:r>
      <w:r w:rsidRPr="009E6775">
        <w:rPr>
          <w:rFonts w:ascii="Times New Roman" w:hAnsi="Times New Roman" w:cs="Times New Roman"/>
          <w:sz w:val="24"/>
          <w:szCs w:val="24"/>
        </w:rPr>
        <w:t xml:space="preserve"> meaning of this </w:t>
      </w:r>
      <w:r w:rsidR="00852D05" w:rsidRPr="009E6775">
        <w:rPr>
          <w:rFonts w:ascii="Times New Roman" w:hAnsi="Times New Roman" w:cs="Times New Roman"/>
          <w:sz w:val="24"/>
          <w:szCs w:val="24"/>
        </w:rPr>
        <w:t xml:space="preserve">exception ‘absolutely prevented’ </w:t>
      </w:r>
      <w:r w:rsidRPr="009E6775">
        <w:rPr>
          <w:rFonts w:ascii="Times New Roman" w:hAnsi="Times New Roman" w:cs="Times New Roman"/>
          <w:sz w:val="24"/>
          <w:szCs w:val="24"/>
        </w:rPr>
        <w:t xml:space="preserve">has been construed as suggesting the concept of </w:t>
      </w:r>
      <w:r w:rsidRPr="009E6775">
        <w:rPr>
          <w:rFonts w:ascii="Times New Roman" w:hAnsi="Times New Roman" w:cs="Times New Roman"/>
          <w:i/>
          <w:iCs/>
          <w:sz w:val="24"/>
          <w:szCs w:val="24"/>
        </w:rPr>
        <w:t>military</w:t>
      </w:r>
      <w:r w:rsidRPr="009E6775">
        <w:rPr>
          <w:rFonts w:ascii="Times New Roman" w:hAnsi="Times New Roman" w:cs="Times New Roman"/>
          <w:sz w:val="24"/>
          <w:szCs w:val="24"/>
        </w:rPr>
        <w:t xml:space="preserve"> necessity</w:t>
      </w:r>
      <w:r w:rsidR="0010048C" w:rsidRPr="009E6775">
        <w:rPr>
          <w:rFonts w:ascii="Times New Roman" w:hAnsi="Times New Roman" w:cs="Times New Roman"/>
          <w:sz w:val="24"/>
          <w:szCs w:val="24"/>
        </w:rPr>
        <w:t>.</w:t>
      </w:r>
      <w:r w:rsidR="00D00F52" w:rsidRPr="009E6775">
        <w:rPr>
          <w:rStyle w:val="aa"/>
          <w:rFonts w:ascii="Times New Roman" w:hAnsi="Times New Roman" w:cs="Times New Roman"/>
          <w:sz w:val="24"/>
          <w:szCs w:val="24"/>
        </w:rPr>
        <w:footnoteReference w:id="73"/>
      </w:r>
      <w:r w:rsidR="0010048C" w:rsidRPr="009E6775">
        <w:rPr>
          <w:rFonts w:ascii="Times New Roman" w:hAnsi="Times New Roman" w:cs="Times New Roman"/>
          <w:sz w:val="24"/>
          <w:szCs w:val="24"/>
        </w:rPr>
        <w:t xml:space="preserve"> </w:t>
      </w:r>
      <w:r w:rsidR="00852D05" w:rsidRPr="009E6775">
        <w:rPr>
          <w:rFonts w:ascii="Times New Roman" w:hAnsi="Times New Roman" w:cs="Times New Roman"/>
          <w:sz w:val="24"/>
          <w:szCs w:val="24"/>
        </w:rPr>
        <w:t>Indeed, this exception is considered to correspond to the concept of necessity (‘nécessité’) used in Article 3 of the 1874 Brussels Declaration.</w:t>
      </w:r>
      <w:r w:rsidR="004A142E" w:rsidRPr="009E6775">
        <w:rPr>
          <w:rStyle w:val="aa"/>
          <w:rFonts w:ascii="Times New Roman" w:hAnsi="Times New Roman" w:cs="Times New Roman"/>
          <w:sz w:val="24"/>
          <w:szCs w:val="24"/>
        </w:rPr>
        <w:footnoteReference w:id="74"/>
      </w:r>
      <w:r w:rsidR="00852D05" w:rsidRPr="009E6775">
        <w:rPr>
          <w:rFonts w:ascii="Times New Roman" w:hAnsi="Times New Roman" w:cs="Times New Roman"/>
          <w:sz w:val="24"/>
          <w:szCs w:val="24"/>
        </w:rPr>
        <w:t xml:space="preserve"> </w:t>
      </w:r>
      <w:r w:rsidR="00646BFE" w:rsidRPr="009E6775">
        <w:rPr>
          <w:rFonts w:ascii="Times New Roman" w:hAnsi="Times New Roman" w:cs="Times New Roman"/>
          <w:sz w:val="24"/>
          <w:szCs w:val="24"/>
        </w:rPr>
        <w:t xml:space="preserve">The crux </w:t>
      </w:r>
      <w:r w:rsidR="007E36D7" w:rsidRPr="009E6775">
        <w:rPr>
          <w:rFonts w:ascii="Times New Roman" w:hAnsi="Times New Roman" w:cs="Times New Roman"/>
          <w:sz w:val="24"/>
          <w:szCs w:val="24"/>
        </w:rPr>
        <w:t xml:space="preserve">of such a construction </w:t>
      </w:r>
      <w:r w:rsidR="00D303CE" w:rsidRPr="009E6775">
        <w:rPr>
          <w:rFonts w:ascii="Times New Roman" w:hAnsi="Times New Roman" w:cs="Times New Roman"/>
          <w:sz w:val="24"/>
          <w:szCs w:val="24"/>
        </w:rPr>
        <w:t xml:space="preserve">is </w:t>
      </w:r>
      <w:r w:rsidR="008900AC" w:rsidRPr="009E6775">
        <w:rPr>
          <w:rFonts w:ascii="Times New Roman" w:hAnsi="Times New Roman" w:cs="Times New Roman"/>
          <w:sz w:val="24"/>
          <w:szCs w:val="24"/>
        </w:rPr>
        <w:t xml:space="preserve">that under Article 43 Hague Regulations the </w:t>
      </w:r>
      <w:r w:rsidR="0010048C" w:rsidRPr="009E6775">
        <w:rPr>
          <w:rFonts w:ascii="Times New Roman" w:hAnsi="Times New Roman" w:cs="Times New Roman"/>
          <w:sz w:val="24"/>
          <w:szCs w:val="24"/>
        </w:rPr>
        <w:t xml:space="preserve">exceptions </w:t>
      </w:r>
      <w:r w:rsidR="0065712A" w:rsidRPr="009E6775">
        <w:rPr>
          <w:rFonts w:ascii="Times New Roman" w:hAnsi="Times New Roman" w:cs="Times New Roman"/>
          <w:sz w:val="24"/>
          <w:szCs w:val="24"/>
        </w:rPr>
        <w:t xml:space="preserve">to the general principle of preserving the status-quo of the occupied territory </w:t>
      </w:r>
      <w:r w:rsidR="00343387" w:rsidRPr="009E6775">
        <w:rPr>
          <w:rFonts w:ascii="Times New Roman" w:hAnsi="Times New Roman" w:cs="Times New Roman"/>
          <w:sz w:val="24"/>
          <w:szCs w:val="24"/>
        </w:rPr>
        <w:t>may</w:t>
      </w:r>
      <w:r w:rsidR="008900AC" w:rsidRPr="009E6775">
        <w:rPr>
          <w:rFonts w:ascii="Times New Roman" w:hAnsi="Times New Roman" w:cs="Times New Roman"/>
          <w:sz w:val="24"/>
          <w:szCs w:val="24"/>
        </w:rPr>
        <w:t xml:space="preserve"> be recognised </w:t>
      </w:r>
      <w:r w:rsidR="0010048C" w:rsidRPr="009E6775">
        <w:rPr>
          <w:rFonts w:ascii="Times New Roman" w:hAnsi="Times New Roman" w:cs="Times New Roman"/>
          <w:sz w:val="24"/>
          <w:szCs w:val="24"/>
        </w:rPr>
        <w:t>far beyond the narrow parameter</w:t>
      </w:r>
      <w:r w:rsidRPr="009E6775">
        <w:rPr>
          <w:rFonts w:ascii="Times New Roman" w:hAnsi="Times New Roman" w:cs="Times New Roman"/>
          <w:sz w:val="24"/>
          <w:szCs w:val="24"/>
        </w:rPr>
        <w:t xml:space="preserve">s </w:t>
      </w:r>
      <w:r w:rsidR="00343387" w:rsidRPr="009E6775">
        <w:rPr>
          <w:rFonts w:ascii="Times New Roman" w:hAnsi="Times New Roman" w:cs="Times New Roman"/>
          <w:sz w:val="24"/>
          <w:szCs w:val="24"/>
        </w:rPr>
        <w:t xml:space="preserve">that are </w:t>
      </w:r>
      <w:r w:rsidRPr="009E6775">
        <w:rPr>
          <w:rFonts w:ascii="Times New Roman" w:hAnsi="Times New Roman" w:cs="Times New Roman"/>
          <w:sz w:val="24"/>
          <w:szCs w:val="24"/>
        </w:rPr>
        <w:t>connoted</w:t>
      </w:r>
      <w:r w:rsidR="008900AC"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by the </w:t>
      </w:r>
      <w:r w:rsidR="00925DC5" w:rsidRPr="009E6775">
        <w:rPr>
          <w:rFonts w:ascii="Times New Roman" w:hAnsi="Times New Roman" w:cs="Times New Roman"/>
          <w:sz w:val="24"/>
          <w:szCs w:val="24"/>
        </w:rPr>
        <w:t xml:space="preserve">wording </w:t>
      </w:r>
      <w:r w:rsidR="00646BFE" w:rsidRPr="009E6775">
        <w:rPr>
          <w:rFonts w:ascii="Times New Roman" w:hAnsi="Times New Roman" w:cs="Times New Roman"/>
          <w:sz w:val="24"/>
          <w:szCs w:val="24"/>
        </w:rPr>
        <w:t>‘absolutely prevented’</w:t>
      </w:r>
      <w:r w:rsidR="00925DC5" w:rsidRPr="009E6775">
        <w:rPr>
          <w:rFonts w:ascii="Times New Roman" w:hAnsi="Times New Roman" w:cs="Times New Roman"/>
          <w:sz w:val="24"/>
          <w:szCs w:val="24"/>
        </w:rPr>
        <w:t>.</w:t>
      </w:r>
      <w:r w:rsidR="00925DC5" w:rsidRPr="009E6775">
        <w:rPr>
          <w:rStyle w:val="aa"/>
          <w:rFonts w:ascii="Times New Roman" w:hAnsi="Times New Roman" w:cs="Times New Roman"/>
          <w:sz w:val="24"/>
          <w:szCs w:val="24"/>
        </w:rPr>
        <w:footnoteReference w:id="75"/>
      </w:r>
      <w:r w:rsidR="0010048C" w:rsidRPr="009E6775">
        <w:rPr>
          <w:rFonts w:ascii="Times New Roman" w:hAnsi="Times New Roman" w:cs="Times New Roman"/>
          <w:sz w:val="24"/>
          <w:szCs w:val="24"/>
        </w:rPr>
        <w:t xml:space="preserve"> </w:t>
      </w:r>
      <w:r w:rsidR="00296612" w:rsidRPr="009E6775">
        <w:rPr>
          <w:rFonts w:ascii="Times New Roman" w:hAnsi="Times New Roman" w:cs="Times New Roman"/>
          <w:sz w:val="24"/>
          <w:szCs w:val="24"/>
        </w:rPr>
        <w:t>J</w:t>
      </w:r>
      <w:r w:rsidR="00CF2CCD" w:rsidRPr="009E6775">
        <w:rPr>
          <w:rFonts w:ascii="Times New Roman" w:hAnsi="Times New Roman" w:cs="Times New Roman"/>
          <w:sz w:val="24"/>
          <w:szCs w:val="24"/>
        </w:rPr>
        <w:t xml:space="preserve">ulius Stone, one of the </w:t>
      </w:r>
      <w:r w:rsidR="00296612" w:rsidRPr="009E6775">
        <w:rPr>
          <w:rFonts w:ascii="Times New Roman" w:hAnsi="Times New Roman" w:cs="Times New Roman"/>
          <w:sz w:val="24"/>
          <w:szCs w:val="24"/>
        </w:rPr>
        <w:t>towering figures</w:t>
      </w:r>
      <w:r w:rsidR="00CF2CCD" w:rsidRPr="009E6775">
        <w:rPr>
          <w:rFonts w:ascii="Times New Roman" w:hAnsi="Times New Roman" w:cs="Times New Roman"/>
          <w:sz w:val="24"/>
          <w:szCs w:val="24"/>
        </w:rPr>
        <w:t xml:space="preserve"> of public international law in the twentieth century, went</w:t>
      </w:r>
      <w:r w:rsidR="00852D05" w:rsidRPr="009E6775">
        <w:rPr>
          <w:rFonts w:ascii="Times New Roman" w:hAnsi="Times New Roman" w:cs="Times New Roman"/>
          <w:sz w:val="24"/>
          <w:szCs w:val="24"/>
        </w:rPr>
        <w:t xml:space="preserve"> </w:t>
      </w:r>
      <w:r w:rsidR="008900AC" w:rsidRPr="009E6775">
        <w:rPr>
          <w:rFonts w:ascii="Times New Roman" w:hAnsi="Times New Roman" w:cs="Times New Roman"/>
          <w:sz w:val="24"/>
          <w:szCs w:val="24"/>
        </w:rPr>
        <w:t>to the length of</w:t>
      </w:r>
      <w:r w:rsidR="00852D05" w:rsidRPr="009E6775">
        <w:rPr>
          <w:rFonts w:ascii="Times New Roman" w:hAnsi="Times New Roman" w:cs="Times New Roman"/>
          <w:sz w:val="24"/>
          <w:szCs w:val="24"/>
        </w:rPr>
        <w:t xml:space="preserve"> suggesting </w:t>
      </w:r>
      <w:r w:rsidR="00646BFE" w:rsidRPr="009E6775">
        <w:rPr>
          <w:rFonts w:ascii="Times New Roman" w:hAnsi="Times New Roman" w:cs="Times New Roman"/>
          <w:sz w:val="24"/>
          <w:szCs w:val="24"/>
        </w:rPr>
        <w:t xml:space="preserve">that </w:t>
      </w:r>
      <w:r w:rsidR="0010048C" w:rsidRPr="009E6775">
        <w:rPr>
          <w:rFonts w:ascii="Times New Roman" w:hAnsi="Times New Roman" w:cs="Times New Roman"/>
          <w:sz w:val="24"/>
          <w:szCs w:val="24"/>
        </w:rPr>
        <w:t xml:space="preserve">whenever there </w:t>
      </w:r>
      <w:r w:rsidR="00CF2CCD" w:rsidRPr="009E6775">
        <w:rPr>
          <w:rFonts w:ascii="Times New Roman" w:hAnsi="Times New Roman" w:cs="Times New Roman"/>
          <w:sz w:val="24"/>
          <w:szCs w:val="24"/>
        </w:rPr>
        <w:t>was</w:t>
      </w:r>
      <w:r w:rsidR="0010048C" w:rsidRPr="009E6775">
        <w:rPr>
          <w:rFonts w:ascii="Times New Roman" w:hAnsi="Times New Roman" w:cs="Times New Roman"/>
          <w:sz w:val="24"/>
          <w:szCs w:val="24"/>
        </w:rPr>
        <w:t xml:space="preserve"> need to prescribe laws to accomplish ‘public order and civil life’, </w:t>
      </w:r>
      <w:r w:rsidR="00852D05" w:rsidRPr="009E6775">
        <w:rPr>
          <w:rFonts w:ascii="Times New Roman" w:hAnsi="Times New Roman" w:cs="Times New Roman"/>
          <w:sz w:val="24"/>
          <w:szCs w:val="24"/>
        </w:rPr>
        <w:t xml:space="preserve">there </w:t>
      </w:r>
      <w:r w:rsidR="00CF2CCD" w:rsidRPr="009E6775">
        <w:rPr>
          <w:rFonts w:ascii="Times New Roman" w:hAnsi="Times New Roman" w:cs="Times New Roman"/>
          <w:sz w:val="24"/>
          <w:szCs w:val="24"/>
        </w:rPr>
        <w:t>was</w:t>
      </w:r>
      <w:r w:rsidR="00852D05" w:rsidRPr="009E6775">
        <w:rPr>
          <w:rFonts w:ascii="Times New Roman" w:hAnsi="Times New Roman" w:cs="Times New Roman"/>
          <w:sz w:val="24"/>
          <w:szCs w:val="24"/>
        </w:rPr>
        <w:t xml:space="preserve"> correlative justification for </w:t>
      </w:r>
      <w:r w:rsidR="0010048C" w:rsidRPr="009E6775">
        <w:rPr>
          <w:rFonts w:ascii="Times New Roman" w:hAnsi="Times New Roman" w:cs="Times New Roman"/>
          <w:sz w:val="24"/>
          <w:szCs w:val="24"/>
        </w:rPr>
        <w:t xml:space="preserve">the occupying power to make an exception to the </w:t>
      </w:r>
      <w:r w:rsidR="00A9438A" w:rsidRPr="009E6775">
        <w:rPr>
          <w:rFonts w:ascii="Times New Roman" w:hAnsi="Times New Roman" w:cs="Times New Roman"/>
          <w:sz w:val="24"/>
          <w:szCs w:val="24"/>
        </w:rPr>
        <w:t xml:space="preserve">pro-status quo </w:t>
      </w:r>
      <w:r w:rsidR="0010048C" w:rsidRPr="009E6775">
        <w:rPr>
          <w:rFonts w:ascii="Times New Roman" w:hAnsi="Times New Roman" w:cs="Times New Roman"/>
          <w:sz w:val="24"/>
          <w:szCs w:val="24"/>
        </w:rPr>
        <w:t>principle.</w:t>
      </w:r>
      <w:r w:rsidR="0010048C" w:rsidRPr="009E6775">
        <w:rPr>
          <w:rStyle w:val="aa"/>
          <w:rFonts w:ascii="Times New Roman" w:hAnsi="Times New Roman" w:cs="Times New Roman"/>
          <w:sz w:val="24"/>
          <w:szCs w:val="24"/>
        </w:rPr>
        <w:footnoteReference w:id="76"/>
      </w:r>
      <w:r w:rsidR="00706164" w:rsidRPr="009E6775">
        <w:rPr>
          <w:rFonts w:ascii="Times New Roman" w:hAnsi="Times New Roman" w:cs="Times New Roman"/>
          <w:sz w:val="24"/>
          <w:szCs w:val="24"/>
        </w:rPr>
        <w:t xml:space="preserve"> </w:t>
      </w:r>
      <w:r w:rsidR="002E2301" w:rsidRPr="009E6775">
        <w:rPr>
          <w:rFonts w:ascii="Times New Roman" w:hAnsi="Times New Roman" w:cs="Times New Roman"/>
          <w:sz w:val="24"/>
          <w:szCs w:val="24"/>
        </w:rPr>
        <w:t>Still, his</w:t>
      </w:r>
      <w:r w:rsidR="00CF2CCD" w:rsidRPr="009E6775">
        <w:rPr>
          <w:rFonts w:ascii="Times New Roman" w:hAnsi="Times New Roman" w:cs="Times New Roman"/>
          <w:sz w:val="24"/>
          <w:szCs w:val="24"/>
        </w:rPr>
        <w:t xml:space="preserve"> view </w:t>
      </w:r>
      <w:r w:rsidR="000F2692" w:rsidRPr="009E6775">
        <w:rPr>
          <w:rFonts w:ascii="Times New Roman" w:hAnsi="Times New Roman" w:cs="Times New Roman"/>
          <w:sz w:val="24"/>
          <w:szCs w:val="24"/>
        </w:rPr>
        <w:t xml:space="preserve">relating to the Arab-Israeli conflict </w:t>
      </w:r>
      <w:r w:rsidR="00CF2CCD" w:rsidRPr="009E6775">
        <w:rPr>
          <w:rFonts w:ascii="Times New Roman" w:hAnsi="Times New Roman" w:cs="Times New Roman"/>
          <w:sz w:val="24"/>
          <w:szCs w:val="24"/>
        </w:rPr>
        <w:t xml:space="preserve">ought to be </w:t>
      </w:r>
      <w:r w:rsidR="000F2692" w:rsidRPr="009E6775">
        <w:rPr>
          <w:rFonts w:ascii="Times New Roman" w:hAnsi="Times New Roman" w:cs="Times New Roman"/>
          <w:sz w:val="24"/>
          <w:szCs w:val="24"/>
        </w:rPr>
        <w:t xml:space="preserve">contextually </w:t>
      </w:r>
      <w:r w:rsidR="00CF2CCD" w:rsidRPr="009E6775">
        <w:rPr>
          <w:rFonts w:ascii="Times New Roman" w:hAnsi="Times New Roman" w:cs="Times New Roman"/>
          <w:sz w:val="24"/>
          <w:szCs w:val="24"/>
        </w:rPr>
        <w:t>evaluated with circumspection.</w:t>
      </w:r>
      <w:r w:rsidR="00CF2CCD" w:rsidRPr="009E6775">
        <w:rPr>
          <w:rStyle w:val="aa"/>
          <w:rFonts w:ascii="Times New Roman" w:hAnsi="Times New Roman" w:cs="Times New Roman"/>
          <w:sz w:val="24"/>
          <w:szCs w:val="24"/>
        </w:rPr>
        <w:footnoteReference w:id="77"/>
      </w:r>
      <w:r w:rsidR="00CF2CCD" w:rsidRPr="009E6775">
        <w:rPr>
          <w:rFonts w:ascii="Times New Roman" w:hAnsi="Times New Roman" w:cs="Times New Roman"/>
          <w:sz w:val="24"/>
          <w:szCs w:val="24"/>
        </w:rPr>
        <w:t xml:space="preserve"> </w:t>
      </w:r>
      <w:r w:rsidR="000F2692" w:rsidRPr="009E6775">
        <w:rPr>
          <w:rFonts w:ascii="Times New Roman" w:hAnsi="Times New Roman" w:cs="Times New Roman"/>
          <w:sz w:val="24"/>
          <w:szCs w:val="24"/>
        </w:rPr>
        <w:t>Be that as it may, the crux is that this</w:t>
      </w:r>
      <w:r w:rsidR="00D303CE" w:rsidRPr="009E6775">
        <w:rPr>
          <w:rFonts w:ascii="Times New Roman" w:hAnsi="Times New Roman" w:cs="Times New Roman"/>
          <w:sz w:val="24"/>
          <w:szCs w:val="24"/>
        </w:rPr>
        <w:t xml:space="preserve"> correlative reading </w:t>
      </w:r>
      <w:r w:rsidR="008900AC" w:rsidRPr="009E6775">
        <w:rPr>
          <w:rFonts w:ascii="Times New Roman" w:hAnsi="Times New Roman" w:cs="Times New Roman"/>
          <w:sz w:val="24"/>
          <w:szCs w:val="24"/>
        </w:rPr>
        <w:t xml:space="preserve">of the two elements under Article 43 Hague Regulations </w:t>
      </w:r>
      <w:r w:rsidR="00646BFE" w:rsidRPr="009E6775">
        <w:rPr>
          <w:rFonts w:ascii="Times New Roman" w:hAnsi="Times New Roman" w:cs="Times New Roman"/>
          <w:sz w:val="24"/>
          <w:szCs w:val="24"/>
        </w:rPr>
        <w:t>unveils</w:t>
      </w:r>
      <w:r w:rsidR="00D303CE" w:rsidRPr="009E6775">
        <w:rPr>
          <w:rFonts w:ascii="Times New Roman" w:hAnsi="Times New Roman" w:cs="Times New Roman"/>
          <w:sz w:val="24"/>
          <w:szCs w:val="24"/>
        </w:rPr>
        <w:t xml:space="preserve"> how the purpose </w:t>
      </w:r>
      <w:r w:rsidR="00A9438A" w:rsidRPr="009E6775">
        <w:rPr>
          <w:rFonts w:ascii="Times New Roman" w:hAnsi="Times New Roman" w:cs="Times New Roman"/>
          <w:sz w:val="24"/>
          <w:szCs w:val="24"/>
        </w:rPr>
        <w:t xml:space="preserve">of </w:t>
      </w:r>
      <w:r w:rsidR="00D303CE" w:rsidRPr="009E6775">
        <w:rPr>
          <w:rFonts w:ascii="Times New Roman" w:hAnsi="Times New Roman" w:cs="Times New Roman"/>
          <w:sz w:val="24"/>
          <w:szCs w:val="24"/>
        </w:rPr>
        <w:t xml:space="preserve">ensuring </w:t>
      </w:r>
      <w:r w:rsidR="00A9438A" w:rsidRPr="009E6775">
        <w:rPr>
          <w:rFonts w:ascii="Times New Roman" w:hAnsi="Times New Roman" w:cs="Times New Roman"/>
          <w:sz w:val="24"/>
          <w:szCs w:val="24"/>
        </w:rPr>
        <w:t>‘</w:t>
      </w:r>
      <w:r w:rsidR="00D303CE" w:rsidRPr="009E6775">
        <w:rPr>
          <w:rFonts w:ascii="Times New Roman" w:hAnsi="Times New Roman" w:cs="Times New Roman"/>
          <w:sz w:val="24"/>
          <w:szCs w:val="24"/>
        </w:rPr>
        <w:t>public order and safety</w:t>
      </w:r>
      <w:r w:rsidR="00A9438A" w:rsidRPr="009E6775">
        <w:rPr>
          <w:rFonts w:ascii="Times New Roman" w:hAnsi="Times New Roman" w:cs="Times New Roman"/>
          <w:sz w:val="24"/>
          <w:szCs w:val="24"/>
        </w:rPr>
        <w:t>’</w:t>
      </w:r>
      <w:r w:rsidR="00D303CE" w:rsidRPr="009E6775">
        <w:rPr>
          <w:rFonts w:ascii="Times New Roman" w:hAnsi="Times New Roman" w:cs="Times New Roman"/>
          <w:sz w:val="24"/>
          <w:szCs w:val="24"/>
        </w:rPr>
        <w:t xml:space="preserve"> can </w:t>
      </w:r>
      <w:r w:rsidR="00186AFA" w:rsidRPr="009E6775">
        <w:rPr>
          <w:rFonts w:ascii="Times New Roman" w:hAnsi="Times New Roman" w:cs="Times New Roman"/>
          <w:sz w:val="24"/>
          <w:szCs w:val="24"/>
        </w:rPr>
        <w:t xml:space="preserve">serve as the discursive yardstick </w:t>
      </w:r>
      <w:r w:rsidR="000F2692" w:rsidRPr="009E6775">
        <w:rPr>
          <w:rFonts w:ascii="Times New Roman" w:hAnsi="Times New Roman" w:cs="Times New Roman"/>
          <w:sz w:val="24"/>
          <w:szCs w:val="24"/>
        </w:rPr>
        <w:t xml:space="preserve">for </w:t>
      </w:r>
      <w:r w:rsidR="00186AFA" w:rsidRPr="009E6775">
        <w:rPr>
          <w:rFonts w:ascii="Times New Roman" w:hAnsi="Times New Roman" w:cs="Times New Roman"/>
          <w:sz w:val="24"/>
          <w:szCs w:val="24"/>
        </w:rPr>
        <w:t>legi</w:t>
      </w:r>
      <w:r w:rsidR="00D73F45" w:rsidRPr="009E6775">
        <w:rPr>
          <w:rFonts w:ascii="Times New Roman" w:hAnsi="Times New Roman" w:cs="Times New Roman"/>
          <w:sz w:val="24"/>
          <w:szCs w:val="24"/>
        </w:rPr>
        <w:t>ti</w:t>
      </w:r>
      <w:r w:rsidR="00186AFA" w:rsidRPr="009E6775">
        <w:rPr>
          <w:rFonts w:ascii="Times New Roman" w:hAnsi="Times New Roman" w:cs="Times New Roman"/>
          <w:sz w:val="24"/>
          <w:szCs w:val="24"/>
        </w:rPr>
        <w:t>miz</w:t>
      </w:r>
      <w:r w:rsidR="000F2692" w:rsidRPr="009E6775">
        <w:rPr>
          <w:rFonts w:ascii="Times New Roman" w:hAnsi="Times New Roman" w:cs="Times New Roman"/>
          <w:sz w:val="24"/>
          <w:szCs w:val="24"/>
        </w:rPr>
        <w:t>ing</w:t>
      </w:r>
      <w:r w:rsidR="00490409" w:rsidRPr="009E6775">
        <w:rPr>
          <w:rFonts w:ascii="Times New Roman" w:hAnsi="Times New Roman" w:cs="Times New Roman"/>
          <w:sz w:val="24"/>
          <w:szCs w:val="24"/>
        </w:rPr>
        <w:t xml:space="preserve"> the expanding </w:t>
      </w:r>
      <w:r w:rsidR="00D303CE" w:rsidRPr="009E6775">
        <w:rPr>
          <w:rFonts w:ascii="Times New Roman" w:hAnsi="Times New Roman" w:cs="Times New Roman"/>
          <w:sz w:val="24"/>
          <w:szCs w:val="24"/>
        </w:rPr>
        <w:t>parameter of the exception based on the concept of (military) necessity</w:t>
      </w:r>
      <w:r w:rsidR="00646BFE" w:rsidRPr="009E6775">
        <w:rPr>
          <w:rFonts w:ascii="Times New Roman" w:hAnsi="Times New Roman" w:cs="Times New Roman"/>
          <w:sz w:val="24"/>
          <w:szCs w:val="24"/>
        </w:rPr>
        <w:t xml:space="preserve">. This issue will be </w:t>
      </w:r>
      <w:r w:rsidR="008900AC" w:rsidRPr="009E6775">
        <w:rPr>
          <w:rFonts w:ascii="Times New Roman" w:hAnsi="Times New Roman" w:cs="Times New Roman"/>
          <w:sz w:val="24"/>
          <w:szCs w:val="24"/>
        </w:rPr>
        <w:t>revisited with more details</w:t>
      </w:r>
      <w:r w:rsidR="00646BFE" w:rsidRPr="009E6775">
        <w:rPr>
          <w:rFonts w:ascii="Times New Roman" w:hAnsi="Times New Roman" w:cs="Times New Roman"/>
          <w:sz w:val="24"/>
          <w:szCs w:val="24"/>
        </w:rPr>
        <w:t xml:space="preserve"> below.</w:t>
      </w:r>
    </w:p>
    <w:p w14:paraId="64CB9E87" w14:textId="77777777" w:rsidR="002B0226" w:rsidRPr="009E6775" w:rsidRDefault="002B0226" w:rsidP="0081540D">
      <w:pPr>
        <w:rPr>
          <w:rFonts w:ascii="Times New Roman" w:hAnsi="Times New Roman" w:cs="Times New Roman"/>
          <w:sz w:val="24"/>
          <w:szCs w:val="24"/>
        </w:rPr>
      </w:pPr>
    </w:p>
    <w:p w14:paraId="4F127969" w14:textId="5A983096" w:rsidR="00BE3F81" w:rsidRPr="009E6775" w:rsidRDefault="007E36D7" w:rsidP="0081540D">
      <w:pPr>
        <w:rPr>
          <w:rFonts w:ascii="Times New Roman" w:hAnsi="Times New Roman" w:cs="Times New Roman"/>
          <w:sz w:val="24"/>
          <w:szCs w:val="24"/>
        </w:rPr>
      </w:pPr>
      <w:r w:rsidRPr="009E6775">
        <w:rPr>
          <w:rFonts w:ascii="Times New Roman" w:hAnsi="Times New Roman" w:cs="Times New Roman"/>
          <w:sz w:val="24"/>
          <w:szCs w:val="24"/>
        </w:rPr>
        <w:t>This author suggests that</w:t>
      </w:r>
      <w:r w:rsidR="00BE3F81" w:rsidRPr="009E6775">
        <w:rPr>
          <w:rFonts w:ascii="Times New Roman" w:hAnsi="Times New Roman" w:cs="Times New Roman"/>
          <w:sz w:val="24"/>
          <w:szCs w:val="24"/>
        </w:rPr>
        <w:t xml:space="preserve"> </w:t>
      </w:r>
      <w:r w:rsidR="00011FF3" w:rsidRPr="009E6775">
        <w:rPr>
          <w:rFonts w:ascii="Times New Roman" w:hAnsi="Times New Roman" w:cs="Times New Roman"/>
          <w:sz w:val="24"/>
          <w:szCs w:val="24"/>
        </w:rPr>
        <w:t xml:space="preserve">the </w:t>
      </w:r>
      <w:r w:rsidR="007F6EF3" w:rsidRPr="009E6775">
        <w:rPr>
          <w:rFonts w:ascii="Times New Roman" w:hAnsi="Times New Roman" w:cs="Times New Roman"/>
          <w:sz w:val="24"/>
          <w:szCs w:val="24"/>
        </w:rPr>
        <w:t>SC’s</w:t>
      </w:r>
      <w:r w:rsidR="00BE3F81" w:rsidRPr="009E6775">
        <w:rPr>
          <w:rFonts w:ascii="Times New Roman" w:hAnsi="Times New Roman" w:cs="Times New Roman"/>
          <w:sz w:val="24"/>
          <w:szCs w:val="24"/>
        </w:rPr>
        <w:t xml:space="preserve"> approaches </w:t>
      </w:r>
      <w:r w:rsidR="00011FF3" w:rsidRPr="009E6775">
        <w:rPr>
          <w:rFonts w:ascii="Times New Roman" w:hAnsi="Times New Roman" w:cs="Times New Roman"/>
          <w:sz w:val="24"/>
          <w:szCs w:val="24"/>
        </w:rPr>
        <w:t>to interpreting the meaning of the notion ‘public order and civil life’ under Article 43 Hague Regulations</w:t>
      </w:r>
      <w:r w:rsidRPr="009E6775">
        <w:rPr>
          <w:rFonts w:ascii="Times New Roman" w:hAnsi="Times New Roman" w:cs="Times New Roman"/>
          <w:sz w:val="24"/>
          <w:szCs w:val="24"/>
        </w:rPr>
        <w:t xml:space="preserve"> be examined through the analytical prism of five salient features</w:t>
      </w:r>
      <w:r w:rsidR="007F6EF3" w:rsidRPr="009E6775">
        <w:rPr>
          <w:rFonts w:ascii="Times New Roman" w:hAnsi="Times New Roman" w:cs="Times New Roman"/>
          <w:sz w:val="24"/>
          <w:szCs w:val="24"/>
        </w:rPr>
        <w:t xml:space="preserve"> emerging from its case-law</w:t>
      </w:r>
      <w:r w:rsidR="00BE3F81"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 (1) </w:t>
      </w:r>
      <w:r w:rsidR="00E65F87" w:rsidRPr="009E6775">
        <w:rPr>
          <w:rFonts w:ascii="Times New Roman" w:hAnsi="Times New Roman" w:cs="Times New Roman"/>
          <w:sz w:val="24"/>
          <w:szCs w:val="24"/>
        </w:rPr>
        <w:t xml:space="preserve">the </w:t>
      </w:r>
      <w:r w:rsidR="00BE3F81" w:rsidRPr="009E6775">
        <w:rPr>
          <w:rFonts w:ascii="Times New Roman" w:hAnsi="Times New Roman" w:cs="Times New Roman"/>
          <w:sz w:val="24"/>
          <w:szCs w:val="24"/>
        </w:rPr>
        <w:t>wider</w:t>
      </w:r>
      <w:r w:rsidR="007F6EF3" w:rsidRPr="009E6775">
        <w:rPr>
          <w:rFonts w:ascii="Times New Roman" w:hAnsi="Times New Roman" w:cs="Times New Roman"/>
          <w:sz w:val="24"/>
          <w:szCs w:val="24"/>
        </w:rPr>
        <w:t xml:space="preserve"> interpretation of the</w:t>
      </w:r>
      <w:r w:rsidR="00BE3F81" w:rsidRPr="009E6775">
        <w:rPr>
          <w:rFonts w:ascii="Times New Roman" w:hAnsi="Times New Roman" w:cs="Times New Roman"/>
          <w:sz w:val="24"/>
          <w:szCs w:val="24"/>
        </w:rPr>
        <w:t xml:space="preserve"> notion of (military) necessity; </w:t>
      </w:r>
      <w:r w:rsidRPr="009E6775">
        <w:rPr>
          <w:rFonts w:ascii="Times New Roman" w:hAnsi="Times New Roman" w:cs="Times New Roman"/>
          <w:sz w:val="24"/>
          <w:szCs w:val="24"/>
        </w:rPr>
        <w:t xml:space="preserve">(2) </w:t>
      </w:r>
      <w:r w:rsidR="00BE3F81" w:rsidRPr="009E6775">
        <w:rPr>
          <w:rFonts w:ascii="Times New Roman" w:hAnsi="Times New Roman" w:cs="Times New Roman"/>
          <w:sz w:val="24"/>
          <w:szCs w:val="24"/>
        </w:rPr>
        <w:t xml:space="preserve">inclusion of settlers’ interests as part of the concept ‘public order and (civil) safety’; </w:t>
      </w:r>
      <w:r w:rsidRPr="009E6775">
        <w:rPr>
          <w:rFonts w:ascii="Times New Roman" w:hAnsi="Times New Roman" w:cs="Times New Roman"/>
          <w:sz w:val="24"/>
          <w:szCs w:val="24"/>
        </w:rPr>
        <w:t xml:space="preserve">(3) </w:t>
      </w:r>
      <w:r w:rsidR="00BE3F81" w:rsidRPr="009E6775">
        <w:rPr>
          <w:rFonts w:ascii="Times New Roman" w:hAnsi="Times New Roman" w:cs="Times New Roman"/>
          <w:sz w:val="24"/>
          <w:szCs w:val="24"/>
        </w:rPr>
        <w:t xml:space="preserve">reading the concept of ‘public order and (civil) safety’ </w:t>
      </w:r>
      <w:r w:rsidRPr="009E6775">
        <w:rPr>
          <w:rFonts w:ascii="Times New Roman" w:hAnsi="Times New Roman" w:cs="Times New Roman"/>
          <w:sz w:val="24"/>
          <w:szCs w:val="24"/>
        </w:rPr>
        <w:t>in corelation to</w:t>
      </w:r>
      <w:r w:rsidR="00BE3F81" w:rsidRPr="009E6775">
        <w:rPr>
          <w:rFonts w:ascii="Times New Roman" w:hAnsi="Times New Roman" w:cs="Times New Roman"/>
          <w:sz w:val="24"/>
          <w:szCs w:val="24"/>
        </w:rPr>
        <w:t xml:space="preserve"> the </w:t>
      </w:r>
      <w:r w:rsidR="00B10F5A" w:rsidRPr="009E6775">
        <w:rPr>
          <w:rFonts w:ascii="Times New Roman" w:hAnsi="Times New Roman" w:cs="Times New Roman"/>
          <w:sz w:val="24"/>
          <w:szCs w:val="24"/>
        </w:rPr>
        <w:t xml:space="preserve">malleable scope </w:t>
      </w:r>
      <w:r w:rsidR="00BE3F81" w:rsidRPr="009E6775">
        <w:rPr>
          <w:rFonts w:ascii="Times New Roman" w:hAnsi="Times New Roman" w:cs="Times New Roman"/>
          <w:sz w:val="24"/>
          <w:szCs w:val="24"/>
        </w:rPr>
        <w:t xml:space="preserve">of the (military) necessity exception; </w:t>
      </w:r>
      <w:r w:rsidRPr="009E6775">
        <w:rPr>
          <w:rFonts w:ascii="Times New Roman" w:hAnsi="Times New Roman" w:cs="Times New Roman"/>
          <w:sz w:val="24"/>
          <w:szCs w:val="24"/>
        </w:rPr>
        <w:t>(4) t</w:t>
      </w:r>
      <w:r w:rsidR="00BE3F81" w:rsidRPr="009E6775">
        <w:rPr>
          <w:rFonts w:ascii="Times New Roman" w:hAnsi="Times New Roman" w:cs="Times New Roman"/>
          <w:sz w:val="24"/>
          <w:szCs w:val="24"/>
        </w:rPr>
        <w:t>he ‘dominant factor’ test</w:t>
      </w:r>
      <w:r w:rsidR="00646BFE" w:rsidRPr="009E6775">
        <w:rPr>
          <w:rFonts w:ascii="Times New Roman" w:hAnsi="Times New Roman" w:cs="Times New Roman"/>
          <w:sz w:val="24"/>
          <w:szCs w:val="24"/>
        </w:rPr>
        <w:t xml:space="preserve">; and </w:t>
      </w:r>
      <w:r w:rsidR="009252DF" w:rsidRPr="009E6775">
        <w:rPr>
          <w:rFonts w:ascii="Times New Roman" w:hAnsi="Times New Roman" w:cs="Times New Roman"/>
          <w:sz w:val="24"/>
          <w:szCs w:val="24"/>
        </w:rPr>
        <w:t>(5) t</w:t>
      </w:r>
      <w:r w:rsidR="009C1267" w:rsidRPr="009E6775">
        <w:rPr>
          <w:rFonts w:ascii="Times New Roman" w:hAnsi="Times New Roman" w:cs="Times New Roman"/>
          <w:sz w:val="24"/>
          <w:szCs w:val="24"/>
        </w:rPr>
        <w:t>he role</w:t>
      </w:r>
      <w:r w:rsidR="00646BFE" w:rsidRPr="009E6775">
        <w:rPr>
          <w:rFonts w:ascii="Times New Roman" w:hAnsi="Times New Roman" w:cs="Times New Roman"/>
          <w:sz w:val="24"/>
          <w:szCs w:val="24"/>
        </w:rPr>
        <w:t xml:space="preserve"> of the general concept of military necessity </w:t>
      </w:r>
      <w:r w:rsidR="009C1267" w:rsidRPr="009E6775">
        <w:rPr>
          <w:rFonts w:ascii="Times New Roman" w:hAnsi="Times New Roman" w:cs="Times New Roman"/>
          <w:sz w:val="24"/>
          <w:szCs w:val="24"/>
        </w:rPr>
        <w:t xml:space="preserve">in loosening the pro-status quo constraint on the occupying power contained in </w:t>
      </w:r>
      <w:r w:rsidR="009C1267" w:rsidRPr="009E6775">
        <w:rPr>
          <w:rFonts w:ascii="Times New Roman" w:hAnsi="Times New Roman" w:cs="Times New Roman"/>
          <w:sz w:val="24"/>
          <w:szCs w:val="24"/>
        </w:rPr>
        <w:lastRenderedPageBreak/>
        <w:t>specific provisi</w:t>
      </w:r>
      <w:r w:rsidR="00646BFE" w:rsidRPr="009E6775">
        <w:rPr>
          <w:rFonts w:ascii="Times New Roman" w:hAnsi="Times New Roman" w:cs="Times New Roman"/>
          <w:sz w:val="24"/>
          <w:szCs w:val="24"/>
        </w:rPr>
        <w:t>ons</w:t>
      </w:r>
      <w:r w:rsidR="00455B67" w:rsidRPr="009E6775">
        <w:rPr>
          <w:rFonts w:ascii="Times New Roman" w:hAnsi="Times New Roman" w:cs="Times New Roman"/>
          <w:sz w:val="24"/>
          <w:szCs w:val="24"/>
        </w:rPr>
        <w:t xml:space="preserve"> of the Hague Regulations</w:t>
      </w:r>
      <w:r w:rsidR="00646BFE" w:rsidRPr="009E6775">
        <w:rPr>
          <w:rFonts w:ascii="Times New Roman" w:hAnsi="Times New Roman" w:cs="Times New Roman"/>
          <w:sz w:val="24"/>
          <w:szCs w:val="24"/>
        </w:rPr>
        <w:t>.</w:t>
      </w:r>
      <w:r w:rsidR="00AF45A6" w:rsidRPr="009E6775">
        <w:rPr>
          <w:rStyle w:val="aa"/>
          <w:rFonts w:ascii="Times New Roman" w:hAnsi="Times New Roman" w:cs="Times New Roman"/>
          <w:sz w:val="24"/>
          <w:szCs w:val="24"/>
        </w:rPr>
        <w:footnoteReference w:id="78"/>
      </w:r>
      <w:r w:rsidR="00186AFA" w:rsidRPr="009E6775">
        <w:rPr>
          <w:rFonts w:ascii="Times New Roman" w:hAnsi="Times New Roman" w:cs="Times New Roman"/>
          <w:sz w:val="24"/>
          <w:szCs w:val="24"/>
        </w:rPr>
        <w:t xml:space="preserve"> The following analyses will turn to each of those interpretive </w:t>
      </w:r>
    </w:p>
    <w:p w14:paraId="2F9791B7" w14:textId="77777777" w:rsidR="00AF45A6" w:rsidRPr="009E6775" w:rsidRDefault="00AF45A6" w:rsidP="0081540D">
      <w:pPr>
        <w:rPr>
          <w:rFonts w:ascii="Times New Roman" w:hAnsi="Times New Roman" w:cs="Times New Roman"/>
          <w:b/>
          <w:bCs/>
          <w:sz w:val="24"/>
          <w:szCs w:val="24"/>
        </w:rPr>
      </w:pPr>
    </w:p>
    <w:p w14:paraId="518FFFD3" w14:textId="77777777" w:rsidR="0087117B" w:rsidRPr="0087117B" w:rsidRDefault="00124558" w:rsidP="0087117B">
      <w:pPr>
        <w:pStyle w:val="a3"/>
        <w:numPr>
          <w:ilvl w:val="0"/>
          <w:numId w:val="17"/>
        </w:numPr>
        <w:ind w:leftChars="0"/>
        <w:rPr>
          <w:rFonts w:ascii="Times New Roman" w:hAnsi="Times New Roman" w:cs="Times New Roman"/>
          <w:sz w:val="24"/>
          <w:szCs w:val="24"/>
        </w:rPr>
      </w:pPr>
      <w:r w:rsidRPr="008156BB">
        <w:rPr>
          <w:rFonts w:ascii="Times New Roman" w:hAnsi="Times New Roman" w:cs="Times New Roman"/>
          <w:b/>
          <w:bCs/>
          <w:sz w:val="24"/>
          <w:szCs w:val="24"/>
        </w:rPr>
        <w:t xml:space="preserve">Wider Notion of </w:t>
      </w:r>
      <w:r w:rsidR="00E82F29" w:rsidRPr="008156BB">
        <w:rPr>
          <w:rFonts w:ascii="Times New Roman" w:hAnsi="Times New Roman" w:cs="Times New Roman"/>
          <w:b/>
          <w:bCs/>
          <w:sz w:val="24"/>
          <w:szCs w:val="24"/>
        </w:rPr>
        <w:t>(</w:t>
      </w:r>
      <w:r w:rsidRPr="008156BB">
        <w:rPr>
          <w:rFonts w:ascii="Times New Roman" w:hAnsi="Times New Roman" w:cs="Times New Roman"/>
          <w:b/>
          <w:bCs/>
          <w:sz w:val="24"/>
          <w:szCs w:val="24"/>
        </w:rPr>
        <w:t>Military</w:t>
      </w:r>
      <w:r w:rsidR="00E82F29" w:rsidRPr="008156BB">
        <w:rPr>
          <w:rFonts w:ascii="Times New Roman" w:hAnsi="Times New Roman" w:cs="Times New Roman"/>
          <w:b/>
          <w:bCs/>
          <w:sz w:val="24"/>
          <w:szCs w:val="24"/>
        </w:rPr>
        <w:t>)</w:t>
      </w:r>
      <w:r w:rsidRPr="008156BB">
        <w:rPr>
          <w:rFonts w:ascii="Times New Roman" w:hAnsi="Times New Roman" w:cs="Times New Roman"/>
          <w:b/>
          <w:bCs/>
          <w:sz w:val="24"/>
          <w:szCs w:val="24"/>
        </w:rPr>
        <w:t xml:space="preserve"> Necessity</w:t>
      </w:r>
    </w:p>
    <w:p w14:paraId="1EDFAF04" w14:textId="54FEE47A" w:rsidR="00EF0693" w:rsidRPr="0087117B" w:rsidRDefault="002F73B1" w:rsidP="0087117B">
      <w:pPr>
        <w:rPr>
          <w:rFonts w:ascii="Times New Roman" w:hAnsi="Times New Roman" w:cs="Times New Roman"/>
          <w:sz w:val="24"/>
          <w:szCs w:val="24"/>
        </w:rPr>
      </w:pPr>
      <w:r w:rsidRPr="0087117B">
        <w:rPr>
          <w:rFonts w:ascii="Times New Roman" w:hAnsi="Times New Roman" w:cs="Times New Roman"/>
          <w:sz w:val="24"/>
          <w:szCs w:val="24"/>
        </w:rPr>
        <w:t xml:space="preserve">Starting with the first feature, </w:t>
      </w:r>
      <w:r w:rsidR="00A660BC" w:rsidRPr="0087117B">
        <w:rPr>
          <w:rFonts w:ascii="Times New Roman" w:hAnsi="Times New Roman" w:cs="Times New Roman"/>
          <w:sz w:val="24"/>
          <w:szCs w:val="24"/>
        </w:rPr>
        <w:t>Kretzmer</w:t>
      </w:r>
      <w:r w:rsidR="00011FF3" w:rsidRPr="0087117B">
        <w:rPr>
          <w:rFonts w:ascii="Times New Roman" w:hAnsi="Times New Roman" w:cs="Times New Roman"/>
          <w:sz w:val="24"/>
          <w:szCs w:val="24"/>
        </w:rPr>
        <w:t>’s</w:t>
      </w:r>
      <w:r w:rsidR="00A660BC" w:rsidRPr="0087117B">
        <w:rPr>
          <w:rFonts w:ascii="Times New Roman" w:hAnsi="Times New Roman" w:cs="Times New Roman"/>
          <w:sz w:val="24"/>
          <w:szCs w:val="24"/>
        </w:rPr>
        <w:t xml:space="preserve"> and Ronen</w:t>
      </w:r>
      <w:r w:rsidR="00011FF3" w:rsidRPr="0087117B">
        <w:rPr>
          <w:rFonts w:ascii="Times New Roman" w:hAnsi="Times New Roman" w:cs="Times New Roman"/>
          <w:sz w:val="24"/>
          <w:szCs w:val="24"/>
        </w:rPr>
        <w:t xml:space="preserve">’s study </w:t>
      </w:r>
      <w:r w:rsidR="00E65F87" w:rsidRPr="0087117B">
        <w:rPr>
          <w:rFonts w:ascii="Times New Roman" w:hAnsi="Times New Roman" w:cs="Times New Roman"/>
          <w:sz w:val="24"/>
          <w:szCs w:val="24"/>
        </w:rPr>
        <w:t xml:space="preserve">reveals the </w:t>
      </w:r>
      <w:r w:rsidR="007F6EF3" w:rsidRPr="0087117B">
        <w:rPr>
          <w:rFonts w:ascii="Times New Roman" w:hAnsi="Times New Roman" w:cs="Times New Roman"/>
          <w:sz w:val="24"/>
          <w:szCs w:val="24"/>
        </w:rPr>
        <w:t>SC’s</w:t>
      </w:r>
      <w:r w:rsidR="00E65F87" w:rsidRPr="0087117B">
        <w:rPr>
          <w:rFonts w:ascii="Times New Roman" w:hAnsi="Times New Roman" w:cs="Times New Roman"/>
          <w:sz w:val="24"/>
          <w:szCs w:val="24"/>
        </w:rPr>
        <w:t xml:space="preserve"> gradual expansion of the concept of (military) necessity under Article 43 Hague Regulations</w:t>
      </w:r>
      <w:r w:rsidR="00EF0693" w:rsidRPr="0087117B">
        <w:rPr>
          <w:rFonts w:ascii="Times New Roman" w:hAnsi="Times New Roman" w:cs="Times New Roman"/>
          <w:sz w:val="24"/>
          <w:szCs w:val="24"/>
        </w:rPr>
        <w:t>.</w:t>
      </w:r>
      <w:r w:rsidR="00E65F87" w:rsidRPr="009E6775">
        <w:rPr>
          <w:rStyle w:val="aa"/>
          <w:rFonts w:ascii="Times New Roman" w:hAnsi="Times New Roman" w:cs="Times New Roman"/>
          <w:sz w:val="24"/>
          <w:szCs w:val="24"/>
        </w:rPr>
        <w:footnoteReference w:id="79"/>
      </w:r>
      <w:r w:rsidR="00E65F87" w:rsidRPr="0087117B">
        <w:rPr>
          <w:rFonts w:ascii="Times New Roman" w:hAnsi="Times New Roman" w:cs="Times New Roman"/>
          <w:sz w:val="24"/>
          <w:szCs w:val="24"/>
        </w:rPr>
        <w:t xml:space="preserve"> </w:t>
      </w:r>
      <w:r w:rsidR="00EF0693" w:rsidRPr="0087117B">
        <w:rPr>
          <w:rFonts w:ascii="Times New Roman" w:hAnsi="Times New Roman" w:cs="Times New Roman"/>
          <w:sz w:val="24"/>
          <w:szCs w:val="24"/>
        </w:rPr>
        <w:t>There has been a notable exception like</w:t>
      </w:r>
      <w:r w:rsidR="00EF0693" w:rsidRPr="0087117B">
        <w:rPr>
          <w:rFonts w:ascii="Times New Roman" w:hAnsi="Times New Roman" w:cs="Times New Roman"/>
          <w:i/>
          <w:iCs/>
          <w:sz w:val="24"/>
          <w:szCs w:val="24"/>
        </w:rPr>
        <w:t xml:space="preserve"> Elon Moreh</w:t>
      </w:r>
      <w:r w:rsidR="00EF0693" w:rsidRPr="0087117B">
        <w:rPr>
          <w:rFonts w:ascii="Times New Roman" w:hAnsi="Times New Roman" w:cs="Times New Roman"/>
          <w:sz w:val="24"/>
          <w:szCs w:val="24"/>
        </w:rPr>
        <w:t xml:space="preserve"> (1979)</w:t>
      </w:r>
      <w:r w:rsidR="00EF0693" w:rsidRPr="009E6775">
        <w:rPr>
          <w:rStyle w:val="aa"/>
          <w:rFonts w:ascii="Times New Roman" w:hAnsi="Times New Roman" w:cs="Times New Roman"/>
          <w:sz w:val="24"/>
          <w:szCs w:val="24"/>
        </w:rPr>
        <w:footnoteReference w:id="80"/>
      </w:r>
      <w:r w:rsidR="00EF0693" w:rsidRPr="0087117B">
        <w:rPr>
          <w:rFonts w:ascii="Times New Roman" w:hAnsi="Times New Roman" w:cs="Times New Roman"/>
          <w:sz w:val="24"/>
          <w:szCs w:val="24"/>
        </w:rPr>
        <w:t xml:space="preserve"> where the </w:t>
      </w:r>
      <w:r w:rsidR="007F6EF3" w:rsidRPr="0087117B">
        <w:rPr>
          <w:rFonts w:ascii="Times New Roman" w:hAnsi="Times New Roman" w:cs="Times New Roman"/>
          <w:sz w:val="24"/>
          <w:szCs w:val="24"/>
        </w:rPr>
        <w:t>SC</w:t>
      </w:r>
      <w:r w:rsidR="00EF0693" w:rsidRPr="0087117B">
        <w:rPr>
          <w:rFonts w:ascii="Times New Roman" w:hAnsi="Times New Roman" w:cs="Times New Roman"/>
          <w:sz w:val="24"/>
          <w:szCs w:val="24"/>
        </w:rPr>
        <w:t xml:space="preserve"> confirmed the narrow meaning of the concept of military necessity by focussing on ‘a rational, military-strategic analysis of the dangers’.</w:t>
      </w:r>
      <w:r w:rsidR="00EF0693" w:rsidRPr="009E6775">
        <w:rPr>
          <w:rStyle w:val="aa"/>
          <w:rFonts w:ascii="Times New Roman" w:hAnsi="Times New Roman" w:cs="Times New Roman"/>
          <w:sz w:val="24"/>
          <w:szCs w:val="24"/>
        </w:rPr>
        <w:footnoteReference w:id="81"/>
      </w:r>
      <w:r w:rsidR="00EF0693" w:rsidRPr="0087117B">
        <w:rPr>
          <w:rFonts w:ascii="Times New Roman" w:hAnsi="Times New Roman" w:cs="Times New Roman"/>
          <w:sz w:val="24"/>
          <w:szCs w:val="24"/>
        </w:rPr>
        <w:t xml:space="preserve"> However, </w:t>
      </w:r>
      <w:r w:rsidRPr="0087117B">
        <w:rPr>
          <w:rFonts w:ascii="Times New Roman" w:hAnsi="Times New Roman" w:cs="Times New Roman"/>
          <w:sz w:val="24"/>
          <w:szCs w:val="24"/>
        </w:rPr>
        <w:t xml:space="preserve">according to Kretzmer and Ronen, </w:t>
      </w:r>
      <w:r w:rsidR="00EF0693" w:rsidRPr="0087117B">
        <w:rPr>
          <w:rFonts w:ascii="Times New Roman" w:hAnsi="Times New Roman" w:cs="Times New Roman"/>
          <w:sz w:val="24"/>
          <w:szCs w:val="24"/>
          <w:shd w:val="clear" w:color="auto" w:fill="FFFFFF"/>
        </w:rPr>
        <w:t xml:space="preserve">the </w:t>
      </w:r>
      <w:r w:rsidR="007F6EF3" w:rsidRPr="0087117B">
        <w:rPr>
          <w:rFonts w:ascii="Times New Roman" w:hAnsi="Times New Roman" w:cs="Times New Roman"/>
          <w:sz w:val="24"/>
          <w:szCs w:val="24"/>
          <w:shd w:val="clear" w:color="auto" w:fill="FFFFFF"/>
        </w:rPr>
        <w:t>SC’s</w:t>
      </w:r>
      <w:r w:rsidR="00EF0693" w:rsidRPr="0087117B">
        <w:rPr>
          <w:rFonts w:ascii="Times New Roman" w:hAnsi="Times New Roman" w:cs="Times New Roman"/>
          <w:sz w:val="24"/>
          <w:szCs w:val="24"/>
          <w:shd w:val="clear" w:color="auto" w:fill="FFFFFF"/>
        </w:rPr>
        <w:t xml:space="preserve"> </w:t>
      </w:r>
      <w:r w:rsidRPr="0087117B">
        <w:rPr>
          <w:rFonts w:ascii="Times New Roman" w:hAnsi="Times New Roman" w:cs="Times New Roman"/>
          <w:sz w:val="24"/>
          <w:szCs w:val="24"/>
          <w:shd w:val="clear" w:color="auto" w:fill="FFFFFF"/>
        </w:rPr>
        <w:t>preferred approach leans toward</w:t>
      </w:r>
      <w:r w:rsidR="00EF0693" w:rsidRPr="0087117B">
        <w:rPr>
          <w:rFonts w:ascii="Times New Roman" w:hAnsi="Times New Roman" w:cs="Times New Roman"/>
          <w:sz w:val="24"/>
          <w:szCs w:val="24"/>
          <w:shd w:val="clear" w:color="auto" w:fill="FFFFFF"/>
        </w:rPr>
        <w:t xml:space="preserve"> </w:t>
      </w:r>
      <w:r w:rsidR="00424E73" w:rsidRPr="0087117B">
        <w:rPr>
          <w:rFonts w:ascii="Times New Roman" w:hAnsi="Times New Roman" w:cs="Times New Roman"/>
          <w:sz w:val="24"/>
          <w:szCs w:val="24"/>
        </w:rPr>
        <w:t>lump</w:t>
      </w:r>
      <w:r w:rsidRPr="0087117B">
        <w:rPr>
          <w:rFonts w:ascii="Times New Roman" w:hAnsi="Times New Roman" w:cs="Times New Roman"/>
          <w:sz w:val="24"/>
          <w:szCs w:val="24"/>
        </w:rPr>
        <w:t>ing</w:t>
      </w:r>
      <w:r w:rsidR="00424E73" w:rsidRPr="0087117B">
        <w:rPr>
          <w:rFonts w:ascii="Times New Roman" w:hAnsi="Times New Roman" w:cs="Times New Roman"/>
          <w:sz w:val="24"/>
          <w:szCs w:val="24"/>
        </w:rPr>
        <w:t xml:space="preserve"> together diverse considerations, such as military needs, reasons of security and public order within this conceptual framework.</w:t>
      </w:r>
      <w:r w:rsidR="00424E73" w:rsidRPr="009E6775">
        <w:rPr>
          <w:rStyle w:val="aa"/>
          <w:rFonts w:ascii="Times New Roman" w:hAnsi="Times New Roman" w:cs="Times New Roman"/>
          <w:sz w:val="24"/>
          <w:szCs w:val="24"/>
        </w:rPr>
        <w:footnoteReference w:id="82"/>
      </w:r>
      <w:r w:rsidR="00424E73" w:rsidRPr="0087117B">
        <w:rPr>
          <w:rFonts w:ascii="Times New Roman" w:hAnsi="Times New Roman" w:cs="Times New Roman"/>
          <w:sz w:val="24"/>
          <w:szCs w:val="24"/>
        </w:rPr>
        <w:t xml:space="preserve"> </w:t>
      </w:r>
    </w:p>
    <w:p w14:paraId="565CF11D" w14:textId="77777777" w:rsidR="00EF0693" w:rsidRPr="009E6775" w:rsidRDefault="00EF0693" w:rsidP="0081540D">
      <w:pPr>
        <w:tabs>
          <w:tab w:val="left" w:pos="2744"/>
        </w:tabs>
        <w:rPr>
          <w:rFonts w:ascii="Times New Roman" w:hAnsi="Times New Roman" w:cs="Times New Roman"/>
          <w:sz w:val="24"/>
          <w:szCs w:val="24"/>
        </w:rPr>
      </w:pPr>
    </w:p>
    <w:p w14:paraId="076F2CDE" w14:textId="3C8835B8" w:rsidR="003F27B6" w:rsidRPr="009E6775" w:rsidRDefault="00EF0693" w:rsidP="0081540D">
      <w:pPr>
        <w:tabs>
          <w:tab w:val="left" w:pos="2744"/>
        </w:tabs>
        <w:rPr>
          <w:rFonts w:ascii="Times New Roman" w:hAnsi="Times New Roman" w:cs="Times New Roman"/>
          <w:sz w:val="24"/>
          <w:szCs w:val="24"/>
          <w:shd w:val="clear" w:color="auto" w:fill="FFFFFF"/>
        </w:rPr>
      </w:pPr>
      <w:r w:rsidRPr="009E6775">
        <w:rPr>
          <w:rFonts w:ascii="Times New Roman" w:hAnsi="Times New Roman" w:cs="Times New Roman"/>
          <w:sz w:val="24"/>
          <w:szCs w:val="24"/>
          <w:shd w:val="clear" w:color="auto" w:fill="FFFFFF"/>
        </w:rPr>
        <w:t>O</w:t>
      </w:r>
      <w:r w:rsidR="00275FE5" w:rsidRPr="009E6775">
        <w:rPr>
          <w:rFonts w:ascii="Times New Roman" w:hAnsi="Times New Roman" w:cs="Times New Roman"/>
          <w:sz w:val="24"/>
          <w:szCs w:val="24"/>
          <w:shd w:val="clear" w:color="auto" w:fill="FFFFFF"/>
        </w:rPr>
        <w:t>ver years</w:t>
      </w:r>
      <w:r w:rsidR="00AB00B5" w:rsidRPr="009E6775">
        <w:rPr>
          <w:rFonts w:ascii="Times New Roman" w:hAnsi="Times New Roman" w:cs="Times New Roman"/>
          <w:sz w:val="24"/>
          <w:szCs w:val="24"/>
          <w:shd w:val="clear" w:color="auto" w:fill="FFFFFF"/>
        </w:rPr>
        <w:t xml:space="preserve"> </w:t>
      </w:r>
      <w:r w:rsidR="00275FE5" w:rsidRPr="009E6775">
        <w:rPr>
          <w:rFonts w:ascii="Times New Roman" w:hAnsi="Times New Roman" w:cs="Times New Roman"/>
          <w:sz w:val="24"/>
          <w:szCs w:val="24"/>
          <w:shd w:val="clear" w:color="auto" w:fill="FFFFFF"/>
        </w:rPr>
        <w:t xml:space="preserve">the </w:t>
      </w:r>
      <w:r w:rsidR="007F6EF3" w:rsidRPr="009E6775">
        <w:rPr>
          <w:rFonts w:ascii="Times New Roman" w:hAnsi="Times New Roman" w:cs="Times New Roman"/>
          <w:sz w:val="24"/>
          <w:szCs w:val="24"/>
          <w:shd w:val="clear" w:color="auto" w:fill="FFFFFF"/>
        </w:rPr>
        <w:t>SC</w:t>
      </w:r>
      <w:r w:rsidR="00F944DD" w:rsidRPr="009E6775">
        <w:rPr>
          <w:rFonts w:ascii="Times New Roman" w:hAnsi="Times New Roman" w:cs="Times New Roman"/>
          <w:sz w:val="24"/>
          <w:szCs w:val="24"/>
          <w:shd w:val="clear" w:color="auto" w:fill="FFFFFF"/>
        </w:rPr>
        <w:t xml:space="preserve"> has s</w:t>
      </w:r>
      <w:r w:rsidR="00915392" w:rsidRPr="009E6775">
        <w:rPr>
          <w:rFonts w:ascii="Times New Roman" w:hAnsi="Times New Roman" w:cs="Times New Roman"/>
          <w:sz w:val="24"/>
          <w:szCs w:val="24"/>
          <w:shd w:val="clear" w:color="auto" w:fill="FFFFFF"/>
        </w:rPr>
        <w:t xml:space="preserve">tretched </w:t>
      </w:r>
      <w:r w:rsidR="00F944DD" w:rsidRPr="009E6775">
        <w:rPr>
          <w:rFonts w:ascii="Times New Roman" w:hAnsi="Times New Roman" w:cs="Times New Roman"/>
          <w:sz w:val="24"/>
          <w:szCs w:val="24"/>
          <w:shd w:val="clear" w:color="auto" w:fill="FFFFFF"/>
        </w:rPr>
        <w:t>the amorphous concept of necessity to</w:t>
      </w:r>
      <w:r w:rsidR="00275FE5" w:rsidRPr="009E6775">
        <w:rPr>
          <w:rFonts w:ascii="Times New Roman" w:hAnsi="Times New Roman" w:cs="Times New Roman"/>
          <w:sz w:val="24"/>
          <w:szCs w:val="24"/>
          <w:shd w:val="clear" w:color="auto" w:fill="FFFFFF"/>
        </w:rPr>
        <w:t xml:space="preserve"> embrace </w:t>
      </w:r>
      <w:r w:rsidR="00835122" w:rsidRPr="009E6775">
        <w:rPr>
          <w:rFonts w:ascii="Times New Roman" w:hAnsi="Times New Roman" w:cs="Times New Roman"/>
          <w:sz w:val="24"/>
          <w:szCs w:val="24"/>
          <w:shd w:val="clear" w:color="auto" w:fill="FFFFFF"/>
        </w:rPr>
        <w:t>the security concern of three ‘stakeholders’</w:t>
      </w:r>
      <w:r w:rsidRPr="009E6775">
        <w:rPr>
          <w:rFonts w:ascii="Times New Roman" w:hAnsi="Times New Roman" w:cs="Times New Roman"/>
          <w:sz w:val="24"/>
          <w:szCs w:val="24"/>
          <w:shd w:val="clear" w:color="auto" w:fill="FFFFFF"/>
        </w:rPr>
        <w:t xml:space="preserve"> other than the Palestinian inhabitants</w:t>
      </w:r>
      <w:r w:rsidR="00835122" w:rsidRPr="009E6775">
        <w:rPr>
          <w:rFonts w:ascii="Times New Roman" w:hAnsi="Times New Roman" w:cs="Times New Roman"/>
          <w:sz w:val="24"/>
          <w:szCs w:val="24"/>
          <w:shd w:val="clear" w:color="auto" w:fill="FFFFFF"/>
        </w:rPr>
        <w:t xml:space="preserve">:  (i) </w:t>
      </w:r>
      <w:r w:rsidR="00275FE5" w:rsidRPr="009E6775">
        <w:rPr>
          <w:rFonts w:ascii="Times New Roman" w:hAnsi="Times New Roman" w:cs="Times New Roman"/>
          <w:sz w:val="24"/>
          <w:szCs w:val="24"/>
          <w:shd w:val="clear" w:color="auto" w:fill="FFFFFF"/>
        </w:rPr>
        <w:t>the Israeli settlers</w:t>
      </w:r>
      <w:r w:rsidR="00835122" w:rsidRPr="009E6775">
        <w:rPr>
          <w:rFonts w:ascii="Times New Roman" w:hAnsi="Times New Roman" w:cs="Times New Roman"/>
          <w:sz w:val="24"/>
          <w:szCs w:val="24"/>
          <w:shd w:val="clear" w:color="auto" w:fill="FFFFFF"/>
        </w:rPr>
        <w:t xml:space="preserve">; (ii) </w:t>
      </w:r>
      <w:r w:rsidR="00275FE5" w:rsidRPr="009E6775">
        <w:rPr>
          <w:rFonts w:ascii="Times New Roman" w:hAnsi="Times New Roman" w:cs="Times New Roman"/>
          <w:sz w:val="24"/>
          <w:szCs w:val="24"/>
          <w:shd w:val="clear" w:color="auto" w:fill="FFFFFF"/>
        </w:rPr>
        <w:t>Israeli visitors</w:t>
      </w:r>
      <w:r w:rsidR="00835122" w:rsidRPr="009E6775">
        <w:rPr>
          <w:rFonts w:ascii="Times New Roman" w:hAnsi="Times New Roman" w:cs="Times New Roman"/>
          <w:sz w:val="24"/>
          <w:szCs w:val="24"/>
          <w:shd w:val="clear" w:color="auto" w:fill="FFFFFF"/>
        </w:rPr>
        <w:t xml:space="preserve"> to, or commuters passing through, the occupied territories;</w:t>
      </w:r>
      <w:r w:rsidR="003E3663" w:rsidRPr="009E6775">
        <w:rPr>
          <w:rStyle w:val="aa"/>
          <w:rFonts w:ascii="Times New Roman" w:hAnsi="Times New Roman" w:cs="Times New Roman"/>
          <w:sz w:val="24"/>
          <w:szCs w:val="24"/>
          <w:shd w:val="clear" w:color="auto" w:fill="FFFFFF"/>
        </w:rPr>
        <w:footnoteReference w:id="83"/>
      </w:r>
      <w:r w:rsidR="003E3663" w:rsidRPr="009E6775">
        <w:rPr>
          <w:rFonts w:ascii="Times New Roman" w:hAnsi="Times New Roman" w:cs="Times New Roman"/>
          <w:sz w:val="24"/>
          <w:szCs w:val="24"/>
          <w:shd w:val="clear" w:color="auto" w:fill="FFFFFF"/>
        </w:rPr>
        <w:t xml:space="preserve"> </w:t>
      </w:r>
      <w:r w:rsidR="00835122" w:rsidRPr="009E6775">
        <w:rPr>
          <w:rFonts w:ascii="Times New Roman" w:hAnsi="Times New Roman" w:cs="Times New Roman"/>
          <w:sz w:val="24"/>
          <w:szCs w:val="24"/>
          <w:shd w:val="clear" w:color="auto" w:fill="FFFFFF"/>
        </w:rPr>
        <w:t>(iii) t</w:t>
      </w:r>
      <w:r w:rsidR="00275FE5" w:rsidRPr="009E6775">
        <w:rPr>
          <w:rFonts w:ascii="Times New Roman" w:hAnsi="Times New Roman" w:cs="Times New Roman"/>
          <w:sz w:val="24"/>
          <w:szCs w:val="24"/>
          <w:shd w:val="clear" w:color="auto" w:fill="FFFFFF"/>
        </w:rPr>
        <w:t>he Israelis in Israel ‘proper’ and of the State of Israel</w:t>
      </w:r>
      <w:r w:rsidR="003E3663" w:rsidRPr="009E6775">
        <w:rPr>
          <w:rFonts w:ascii="Times New Roman" w:hAnsi="Times New Roman" w:cs="Times New Roman"/>
          <w:sz w:val="24"/>
          <w:szCs w:val="24"/>
          <w:shd w:val="clear" w:color="auto" w:fill="FFFFFF"/>
        </w:rPr>
        <w:t xml:space="preserve"> in view of deteriorating security.</w:t>
      </w:r>
      <w:r w:rsidR="003E3663" w:rsidRPr="009E6775">
        <w:rPr>
          <w:rStyle w:val="aa"/>
          <w:rFonts w:ascii="Times New Roman" w:hAnsi="Times New Roman" w:cs="Times New Roman"/>
          <w:sz w:val="24"/>
          <w:szCs w:val="24"/>
          <w:shd w:val="clear" w:color="auto" w:fill="FFFFFF"/>
        </w:rPr>
        <w:footnoteReference w:id="84"/>
      </w:r>
      <w:r w:rsidR="00835122" w:rsidRPr="009E6775">
        <w:rPr>
          <w:rFonts w:ascii="Times New Roman" w:hAnsi="Times New Roman" w:cs="Times New Roman"/>
          <w:sz w:val="24"/>
          <w:szCs w:val="24"/>
          <w:shd w:val="clear" w:color="auto" w:fill="FFFFFF"/>
        </w:rPr>
        <w:t xml:space="preserve"> In</w:t>
      </w:r>
      <w:r w:rsidR="00275FE5" w:rsidRPr="009E6775">
        <w:rPr>
          <w:rFonts w:ascii="Times New Roman" w:hAnsi="Times New Roman" w:cs="Times New Roman"/>
          <w:sz w:val="24"/>
          <w:szCs w:val="24"/>
          <w:shd w:val="clear" w:color="auto" w:fill="FFFFFF"/>
        </w:rPr>
        <w:t xml:space="preserve"> view of numerous </w:t>
      </w:r>
      <w:r w:rsidR="007F6EF3" w:rsidRPr="009E6775">
        <w:rPr>
          <w:rFonts w:ascii="Times New Roman" w:hAnsi="Times New Roman" w:cs="Times New Roman"/>
          <w:sz w:val="24"/>
          <w:szCs w:val="24"/>
          <w:shd w:val="clear" w:color="auto" w:fill="FFFFFF"/>
        </w:rPr>
        <w:t xml:space="preserve">deadly </w:t>
      </w:r>
      <w:r w:rsidR="00275FE5" w:rsidRPr="009E6775">
        <w:rPr>
          <w:rFonts w:ascii="Times New Roman" w:hAnsi="Times New Roman" w:cs="Times New Roman"/>
          <w:sz w:val="24"/>
          <w:szCs w:val="24"/>
          <w:shd w:val="clear" w:color="auto" w:fill="FFFFFF"/>
        </w:rPr>
        <w:t>terrorist attacks originating from the occupied territories</w:t>
      </w:r>
      <w:r w:rsidR="00835122" w:rsidRPr="009E6775">
        <w:rPr>
          <w:rFonts w:ascii="Times New Roman" w:hAnsi="Times New Roman" w:cs="Times New Roman"/>
          <w:sz w:val="24"/>
          <w:szCs w:val="24"/>
          <w:shd w:val="clear" w:color="auto" w:fill="FFFFFF"/>
        </w:rPr>
        <w:t xml:space="preserve">, </w:t>
      </w:r>
      <w:r w:rsidR="00EA7578" w:rsidRPr="009E6775">
        <w:rPr>
          <w:rFonts w:ascii="Times New Roman" w:hAnsi="Times New Roman" w:cs="Times New Roman"/>
          <w:sz w:val="24"/>
          <w:szCs w:val="24"/>
          <w:shd w:val="clear" w:color="auto" w:fill="FFFFFF"/>
        </w:rPr>
        <w:t xml:space="preserve">there is every reason to </w:t>
      </w:r>
      <w:r w:rsidR="00AB0762" w:rsidRPr="009E6775">
        <w:rPr>
          <w:rFonts w:ascii="Times New Roman" w:hAnsi="Times New Roman" w:cs="Times New Roman"/>
          <w:sz w:val="24"/>
          <w:szCs w:val="24"/>
          <w:shd w:val="clear" w:color="auto" w:fill="FFFFFF"/>
        </w:rPr>
        <w:t>suggest</w:t>
      </w:r>
      <w:r w:rsidR="00835122" w:rsidRPr="009E6775">
        <w:rPr>
          <w:rFonts w:ascii="Times New Roman" w:hAnsi="Times New Roman" w:cs="Times New Roman"/>
          <w:sz w:val="24"/>
          <w:szCs w:val="24"/>
          <w:shd w:val="clear" w:color="auto" w:fill="FFFFFF"/>
        </w:rPr>
        <w:t xml:space="preserve"> that the security </w:t>
      </w:r>
      <w:r w:rsidR="00EA7578" w:rsidRPr="009E6775">
        <w:rPr>
          <w:rFonts w:ascii="Times New Roman" w:hAnsi="Times New Roman" w:cs="Times New Roman"/>
          <w:sz w:val="24"/>
          <w:szCs w:val="24"/>
          <w:shd w:val="clear" w:color="auto" w:fill="FFFFFF"/>
        </w:rPr>
        <w:t>concern</w:t>
      </w:r>
      <w:r w:rsidR="00835122" w:rsidRPr="009E6775">
        <w:rPr>
          <w:rFonts w:ascii="Times New Roman" w:hAnsi="Times New Roman" w:cs="Times New Roman"/>
          <w:sz w:val="24"/>
          <w:szCs w:val="24"/>
          <w:shd w:val="clear" w:color="auto" w:fill="FFFFFF"/>
        </w:rPr>
        <w:t xml:space="preserve"> </w:t>
      </w:r>
      <w:r w:rsidR="006D115A" w:rsidRPr="009E6775">
        <w:rPr>
          <w:rFonts w:ascii="Times New Roman" w:hAnsi="Times New Roman" w:cs="Times New Roman"/>
          <w:sz w:val="24"/>
          <w:szCs w:val="24"/>
          <w:shd w:val="clear" w:color="auto" w:fill="FFFFFF"/>
        </w:rPr>
        <w:t xml:space="preserve">should </w:t>
      </w:r>
      <w:r w:rsidR="00835122" w:rsidRPr="009E6775">
        <w:rPr>
          <w:rFonts w:ascii="Times New Roman" w:hAnsi="Times New Roman" w:cs="Times New Roman"/>
          <w:sz w:val="24"/>
          <w:szCs w:val="24"/>
          <w:shd w:val="clear" w:color="auto" w:fill="FFFFFF"/>
        </w:rPr>
        <w:t xml:space="preserve">encompasses </w:t>
      </w:r>
      <w:r w:rsidR="00EA7578" w:rsidRPr="009E6775">
        <w:rPr>
          <w:rFonts w:ascii="Times New Roman" w:hAnsi="Times New Roman" w:cs="Times New Roman"/>
          <w:sz w:val="24"/>
          <w:szCs w:val="24"/>
          <w:shd w:val="clear" w:color="auto" w:fill="FFFFFF"/>
        </w:rPr>
        <w:t>(</w:t>
      </w:r>
      <w:r w:rsidR="00835122" w:rsidRPr="009E6775">
        <w:rPr>
          <w:rFonts w:ascii="Times New Roman" w:hAnsi="Times New Roman" w:cs="Times New Roman"/>
          <w:sz w:val="24"/>
          <w:szCs w:val="24"/>
          <w:shd w:val="clear" w:color="auto" w:fill="FFFFFF"/>
        </w:rPr>
        <w:t xml:space="preserve">iii). Yet, </w:t>
      </w:r>
      <w:r w:rsidR="00EA7578" w:rsidRPr="009E6775">
        <w:rPr>
          <w:rFonts w:ascii="Times New Roman" w:hAnsi="Times New Roman" w:cs="Times New Roman"/>
          <w:sz w:val="24"/>
          <w:szCs w:val="24"/>
          <w:shd w:val="clear" w:color="auto" w:fill="FFFFFF"/>
        </w:rPr>
        <w:t xml:space="preserve">what is controversial </w:t>
      </w:r>
      <w:r w:rsidR="002F73B1" w:rsidRPr="009E6775">
        <w:rPr>
          <w:rFonts w:ascii="Times New Roman" w:hAnsi="Times New Roman" w:cs="Times New Roman"/>
          <w:sz w:val="24"/>
          <w:szCs w:val="24"/>
          <w:shd w:val="clear" w:color="auto" w:fill="FFFFFF"/>
        </w:rPr>
        <w:t xml:space="preserve">to be included in the </w:t>
      </w:r>
      <w:r w:rsidR="006D115A" w:rsidRPr="009E6775">
        <w:rPr>
          <w:rFonts w:ascii="Times New Roman" w:hAnsi="Times New Roman" w:cs="Times New Roman"/>
          <w:sz w:val="24"/>
          <w:szCs w:val="24"/>
          <w:shd w:val="clear" w:color="auto" w:fill="FFFFFF"/>
        </w:rPr>
        <w:t xml:space="preserve">cost-benefit </w:t>
      </w:r>
      <w:r w:rsidR="002F73B1" w:rsidRPr="009E6775">
        <w:rPr>
          <w:rFonts w:ascii="Times New Roman" w:hAnsi="Times New Roman" w:cs="Times New Roman"/>
          <w:sz w:val="24"/>
          <w:szCs w:val="24"/>
          <w:shd w:val="clear" w:color="auto" w:fill="FFFFFF"/>
        </w:rPr>
        <w:t xml:space="preserve">equation of Article 43 Hague Regulations </w:t>
      </w:r>
      <w:r w:rsidR="00275FE5" w:rsidRPr="009E6775">
        <w:rPr>
          <w:rFonts w:ascii="Times New Roman" w:hAnsi="Times New Roman" w:cs="Times New Roman"/>
          <w:sz w:val="24"/>
          <w:szCs w:val="24"/>
          <w:shd w:val="clear" w:color="auto" w:fill="FFFFFF"/>
        </w:rPr>
        <w:t xml:space="preserve">is </w:t>
      </w:r>
      <w:r w:rsidR="00EA7578" w:rsidRPr="009E6775">
        <w:rPr>
          <w:rFonts w:ascii="Times New Roman" w:hAnsi="Times New Roman" w:cs="Times New Roman"/>
          <w:sz w:val="24"/>
          <w:szCs w:val="24"/>
          <w:shd w:val="clear" w:color="auto" w:fill="FFFFFF"/>
        </w:rPr>
        <w:t xml:space="preserve">the security concern of </w:t>
      </w:r>
      <w:r w:rsidR="00AB00B5" w:rsidRPr="009E6775">
        <w:rPr>
          <w:rFonts w:ascii="Times New Roman" w:hAnsi="Times New Roman" w:cs="Times New Roman"/>
          <w:sz w:val="24"/>
          <w:szCs w:val="24"/>
          <w:shd w:val="clear" w:color="auto" w:fill="FFFFFF"/>
        </w:rPr>
        <w:t>personal categories</w:t>
      </w:r>
      <w:r w:rsidR="00EA7578" w:rsidRPr="009E6775">
        <w:rPr>
          <w:rFonts w:ascii="Times New Roman" w:hAnsi="Times New Roman" w:cs="Times New Roman"/>
          <w:sz w:val="24"/>
          <w:szCs w:val="24"/>
          <w:shd w:val="clear" w:color="auto" w:fill="FFFFFF"/>
        </w:rPr>
        <w:t xml:space="preserve"> (i) and (ii). It is unclear </w:t>
      </w:r>
      <w:r w:rsidR="00275FE5" w:rsidRPr="009E6775">
        <w:rPr>
          <w:rFonts w:ascii="Times New Roman" w:hAnsi="Times New Roman" w:cs="Times New Roman"/>
          <w:sz w:val="24"/>
          <w:szCs w:val="24"/>
          <w:shd w:val="clear" w:color="auto" w:fill="FFFFFF"/>
        </w:rPr>
        <w:t xml:space="preserve">what relative weight should be apportioned to </w:t>
      </w:r>
      <w:r w:rsidR="00EA7578" w:rsidRPr="009E6775">
        <w:rPr>
          <w:rFonts w:ascii="Times New Roman" w:hAnsi="Times New Roman" w:cs="Times New Roman"/>
          <w:sz w:val="24"/>
          <w:szCs w:val="24"/>
          <w:shd w:val="clear" w:color="auto" w:fill="FFFFFF"/>
        </w:rPr>
        <w:t>it</w:t>
      </w:r>
      <w:r w:rsidR="00835122" w:rsidRPr="009E6775">
        <w:rPr>
          <w:rFonts w:ascii="Times New Roman" w:hAnsi="Times New Roman" w:cs="Times New Roman"/>
          <w:sz w:val="24"/>
          <w:szCs w:val="24"/>
          <w:shd w:val="clear" w:color="auto" w:fill="FFFFFF"/>
        </w:rPr>
        <w:t xml:space="preserve"> </w:t>
      </w:r>
      <w:r w:rsidR="00275FE5" w:rsidRPr="009E6775">
        <w:rPr>
          <w:rFonts w:ascii="Times New Roman" w:hAnsi="Times New Roman" w:cs="Times New Roman"/>
          <w:sz w:val="24"/>
          <w:szCs w:val="24"/>
          <w:shd w:val="clear" w:color="auto" w:fill="FFFFFF"/>
        </w:rPr>
        <w:t xml:space="preserve">when this is weighed in balance against the rights of the Palestinians </w:t>
      </w:r>
      <w:r w:rsidR="002F73B1" w:rsidRPr="009E6775">
        <w:rPr>
          <w:rFonts w:ascii="Times New Roman" w:hAnsi="Times New Roman" w:cs="Times New Roman"/>
          <w:sz w:val="24"/>
          <w:szCs w:val="24"/>
          <w:shd w:val="clear" w:color="auto" w:fill="FFFFFF"/>
        </w:rPr>
        <w:t xml:space="preserve">that are supposedly prioritised </w:t>
      </w:r>
      <w:r w:rsidR="00275FE5" w:rsidRPr="009E6775">
        <w:rPr>
          <w:rFonts w:ascii="Times New Roman" w:hAnsi="Times New Roman" w:cs="Times New Roman"/>
          <w:sz w:val="24"/>
          <w:szCs w:val="24"/>
          <w:shd w:val="clear" w:color="auto" w:fill="FFFFFF"/>
        </w:rPr>
        <w:t xml:space="preserve">under the law of </w:t>
      </w:r>
      <w:r w:rsidR="00275FE5" w:rsidRPr="009E6775">
        <w:rPr>
          <w:rFonts w:ascii="Times New Roman" w:hAnsi="Times New Roman" w:cs="Times New Roman"/>
          <w:sz w:val="24"/>
          <w:szCs w:val="24"/>
          <w:shd w:val="clear" w:color="auto" w:fill="FFFFFF"/>
        </w:rPr>
        <w:lastRenderedPageBreak/>
        <w:t xml:space="preserve">belligerent occupation. </w:t>
      </w:r>
      <w:r w:rsidR="00514C34" w:rsidRPr="009E6775">
        <w:rPr>
          <w:rFonts w:ascii="Times New Roman" w:hAnsi="Times New Roman" w:cs="Times New Roman"/>
          <w:sz w:val="24"/>
          <w:szCs w:val="24"/>
        </w:rPr>
        <w:t>A</w:t>
      </w:r>
      <w:r w:rsidR="007F6EF3" w:rsidRPr="009E6775">
        <w:rPr>
          <w:rFonts w:ascii="Times New Roman" w:hAnsi="Times New Roman" w:cs="Times New Roman"/>
          <w:sz w:val="24"/>
          <w:szCs w:val="24"/>
        </w:rPr>
        <w:t xml:space="preserve">ccording to </w:t>
      </w:r>
      <w:r w:rsidR="00514C34" w:rsidRPr="009E6775">
        <w:rPr>
          <w:rFonts w:ascii="Times New Roman" w:hAnsi="Times New Roman" w:cs="Times New Roman"/>
          <w:sz w:val="24"/>
          <w:szCs w:val="24"/>
        </w:rPr>
        <w:t>Weil,</w:t>
      </w:r>
      <w:r w:rsidR="00A9438A" w:rsidRPr="009E6775">
        <w:rPr>
          <w:rFonts w:ascii="Times New Roman" w:hAnsi="Times New Roman" w:cs="Times New Roman"/>
          <w:sz w:val="24"/>
          <w:szCs w:val="24"/>
        </w:rPr>
        <w:t xml:space="preserve"> the upshot of</w:t>
      </w:r>
      <w:r w:rsidR="00514C34" w:rsidRPr="009E6775">
        <w:rPr>
          <w:rFonts w:ascii="Times New Roman" w:hAnsi="Times New Roman" w:cs="Times New Roman"/>
          <w:sz w:val="24"/>
          <w:szCs w:val="24"/>
        </w:rPr>
        <w:t xml:space="preserve"> </w:t>
      </w:r>
      <w:r w:rsidR="00A90C8E" w:rsidRPr="009E6775">
        <w:rPr>
          <w:rFonts w:ascii="Times New Roman" w:hAnsi="Times New Roman" w:cs="Times New Roman"/>
          <w:sz w:val="24"/>
          <w:szCs w:val="24"/>
        </w:rPr>
        <w:t xml:space="preserve">the </w:t>
      </w:r>
      <w:r w:rsidR="005849FF" w:rsidRPr="009E6775">
        <w:rPr>
          <w:rFonts w:ascii="Times New Roman" w:hAnsi="Times New Roman" w:cs="Times New Roman"/>
          <w:sz w:val="24"/>
          <w:szCs w:val="24"/>
        </w:rPr>
        <w:t>SC’s</w:t>
      </w:r>
      <w:r w:rsidR="00A90C8E" w:rsidRPr="009E6775">
        <w:rPr>
          <w:rFonts w:ascii="Times New Roman" w:hAnsi="Times New Roman" w:cs="Times New Roman"/>
          <w:sz w:val="24"/>
          <w:szCs w:val="24"/>
        </w:rPr>
        <w:t xml:space="preserve"> approach </w:t>
      </w:r>
      <w:r w:rsidR="00A9438A" w:rsidRPr="009E6775">
        <w:rPr>
          <w:rFonts w:ascii="Times New Roman" w:hAnsi="Times New Roman" w:cs="Times New Roman"/>
          <w:sz w:val="24"/>
          <w:szCs w:val="24"/>
        </w:rPr>
        <w:t xml:space="preserve">of </w:t>
      </w:r>
      <w:r w:rsidR="00A90C8E" w:rsidRPr="009E6775">
        <w:rPr>
          <w:rFonts w:ascii="Times New Roman" w:hAnsi="Times New Roman" w:cs="Times New Roman"/>
          <w:sz w:val="24"/>
          <w:szCs w:val="24"/>
        </w:rPr>
        <w:t>stretch</w:t>
      </w:r>
      <w:r w:rsidR="00A9438A" w:rsidRPr="009E6775">
        <w:rPr>
          <w:rFonts w:ascii="Times New Roman" w:hAnsi="Times New Roman" w:cs="Times New Roman"/>
          <w:sz w:val="24"/>
          <w:szCs w:val="24"/>
        </w:rPr>
        <w:t>ing</w:t>
      </w:r>
      <w:r w:rsidR="00A90C8E" w:rsidRPr="009E6775">
        <w:rPr>
          <w:rFonts w:ascii="Times New Roman" w:hAnsi="Times New Roman" w:cs="Times New Roman"/>
          <w:sz w:val="24"/>
          <w:szCs w:val="24"/>
        </w:rPr>
        <w:t xml:space="preserve"> the parameters of </w:t>
      </w:r>
      <w:r w:rsidR="000259AD" w:rsidRPr="009E6775">
        <w:rPr>
          <w:rFonts w:ascii="Times New Roman" w:hAnsi="Times New Roman" w:cs="Times New Roman"/>
          <w:sz w:val="24"/>
          <w:szCs w:val="24"/>
        </w:rPr>
        <w:t xml:space="preserve">the notion of security under </w:t>
      </w:r>
      <w:r w:rsidR="00A90C8E" w:rsidRPr="009E6775">
        <w:rPr>
          <w:rFonts w:ascii="Times New Roman" w:hAnsi="Times New Roman" w:cs="Times New Roman"/>
          <w:sz w:val="24"/>
          <w:szCs w:val="24"/>
        </w:rPr>
        <w:t xml:space="preserve">Article 43 Hague Regulations </w:t>
      </w:r>
      <w:r w:rsidR="00A9438A" w:rsidRPr="009E6775">
        <w:rPr>
          <w:rFonts w:ascii="Times New Roman" w:hAnsi="Times New Roman" w:cs="Times New Roman"/>
          <w:sz w:val="24"/>
          <w:szCs w:val="24"/>
        </w:rPr>
        <w:t>is</w:t>
      </w:r>
      <w:r w:rsidR="00A90C8E" w:rsidRPr="009E6775">
        <w:rPr>
          <w:rFonts w:ascii="Times New Roman" w:hAnsi="Times New Roman" w:cs="Times New Roman"/>
          <w:sz w:val="24"/>
          <w:szCs w:val="24"/>
        </w:rPr>
        <w:t xml:space="preserve"> that ‘the endless security concerns of the Israeli army, Israel, and the settlers’ </w:t>
      </w:r>
      <w:r w:rsidR="005849FF" w:rsidRPr="009E6775">
        <w:rPr>
          <w:rFonts w:ascii="Times New Roman" w:hAnsi="Times New Roman" w:cs="Times New Roman"/>
          <w:sz w:val="24"/>
          <w:szCs w:val="24"/>
        </w:rPr>
        <w:t xml:space="preserve">constitute </w:t>
      </w:r>
      <w:r w:rsidR="00027114" w:rsidRPr="009E6775">
        <w:rPr>
          <w:rFonts w:ascii="Times New Roman" w:hAnsi="Times New Roman" w:cs="Times New Roman"/>
          <w:sz w:val="24"/>
          <w:szCs w:val="24"/>
        </w:rPr>
        <w:t xml:space="preserve">a powerful barrier to </w:t>
      </w:r>
      <w:r w:rsidR="00A90C8E" w:rsidRPr="009E6775">
        <w:rPr>
          <w:rFonts w:ascii="Times New Roman" w:hAnsi="Times New Roman" w:cs="Times New Roman"/>
          <w:sz w:val="24"/>
          <w:szCs w:val="24"/>
        </w:rPr>
        <w:t xml:space="preserve">the Palestinians </w:t>
      </w:r>
      <w:r w:rsidR="00027114" w:rsidRPr="009E6775">
        <w:rPr>
          <w:rFonts w:ascii="Times New Roman" w:hAnsi="Times New Roman" w:cs="Times New Roman"/>
          <w:sz w:val="24"/>
          <w:szCs w:val="24"/>
        </w:rPr>
        <w:t>invoking their rights derived from</w:t>
      </w:r>
      <w:r w:rsidR="00A90C8E" w:rsidRPr="009E6775">
        <w:rPr>
          <w:rFonts w:ascii="Times New Roman" w:hAnsi="Times New Roman" w:cs="Times New Roman"/>
          <w:sz w:val="24"/>
          <w:szCs w:val="24"/>
        </w:rPr>
        <w:t xml:space="preserve"> the law of occupation.</w:t>
      </w:r>
      <w:r w:rsidR="00A90C8E" w:rsidRPr="009E6775">
        <w:rPr>
          <w:rStyle w:val="aa"/>
          <w:rFonts w:ascii="Times New Roman" w:hAnsi="Times New Roman" w:cs="Times New Roman"/>
          <w:sz w:val="24"/>
          <w:szCs w:val="24"/>
        </w:rPr>
        <w:footnoteReference w:id="85"/>
      </w:r>
      <w:r w:rsidR="00A90C8E" w:rsidRPr="009E6775">
        <w:rPr>
          <w:rFonts w:ascii="Times New Roman" w:hAnsi="Times New Roman" w:cs="Times New Roman"/>
          <w:sz w:val="24"/>
          <w:szCs w:val="24"/>
        </w:rPr>
        <w:t xml:space="preserve"> </w:t>
      </w:r>
    </w:p>
    <w:p w14:paraId="42B31415" w14:textId="6130C55D" w:rsidR="002B0226" w:rsidRPr="009E6775" w:rsidRDefault="002B0226" w:rsidP="0081540D">
      <w:pPr>
        <w:tabs>
          <w:tab w:val="left" w:pos="2744"/>
        </w:tabs>
        <w:rPr>
          <w:rFonts w:ascii="Times New Roman" w:hAnsi="Times New Roman" w:cs="Times New Roman"/>
          <w:sz w:val="24"/>
          <w:szCs w:val="24"/>
        </w:rPr>
      </w:pPr>
    </w:p>
    <w:p w14:paraId="27107633" w14:textId="595FB4EC" w:rsidR="002B0226" w:rsidRPr="008156BB" w:rsidRDefault="002B0226" w:rsidP="008156BB">
      <w:pPr>
        <w:pStyle w:val="a3"/>
        <w:numPr>
          <w:ilvl w:val="0"/>
          <w:numId w:val="17"/>
        </w:numPr>
        <w:tabs>
          <w:tab w:val="left" w:pos="2744"/>
        </w:tabs>
        <w:ind w:leftChars="0"/>
        <w:rPr>
          <w:rFonts w:ascii="Times New Roman" w:hAnsi="Times New Roman" w:cs="Times New Roman"/>
          <w:b/>
          <w:bCs/>
          <w:sz w:val="24"/>
          <w:szCs w:val="24"/>
          <w:lang w:val="en-US"/>
        </w:rPr>
      </w:pPr>
      <w:r w:rsidRPr="008156BB">
        <w:rPr>
          <w:rFonts w:ascii="Times New Roman" w:hAnsi="Times New Roman" w:cs="Times New Roman"/>
          <w:b/>
          <w:bCs/>
          <w:sz w:val="24"/>
          <w:szCs w:val="24"/>
          <w:lang w:val="en-US"/>
        </w:rPr>
        <w:t>Inclusion of Settlers’ Interests as part of ‘Public Order and (Civil) Safety’ under Article 43 Hague Regulations</w:t>
      </w:r>
    </w:p>
    <w:p w14:paraId="5F842C86" w14:textId="21A68ED3" w:rsidR="00493DDE" w:rsidRPr="009E6775" w:rsidRDefault="00125460" w:rsidP="0081540D">
      <w:pPr>
        <w:rPr>
          <w:rFonts w:ascii="Times New Roman" w:hAnsi="Times New Roman" w:cs="Times New Roman"/>
          <w:sz w:val="24"/>
          <w:szCs w:val="24"/>
        </w:rPr>
      </w:pPr>
      <w:r w:rsidRPr="009E6775">
        <w:rPr>
          <w:rFonts w:ascii="Times New Roman" w:hAnsi="Times New Roman" w:cs="Times New Roman"/>
          <w:sz w:val="24"/>
          <w:szCs w:val="24"/>
        </w:rPr>
        <w:t>Article 43 Hague Regulations</w:t>
      </w:r>
      <w:r w:rsidR="003C041F" w:rsidRPr="009E6775">
        <w:rPr>
          <w:rFonts w:ascii="Times New Roman" w:hAnsi="Times New Roman" w:cs="Times New Roman"/>
          <w:sz w:val="24"/>
          <w:szCs w:val="24"/>
        </w:rPr>
        <w:t xml:space="preserve"> </w:t>
      </w:r>
      <w:r w:rsidR="00A90C8E" w:rsidRPr="009E6775">
        <w:rPr>
          <w:rFonts w:ascii="Times New Roman" w:hAnsi="Times New Roman" w:cs="Times New Roman"/>
          <w:sz w:val="24"/>
          <w:szCs w:val="24"/>
        </w:rPr>
        <w:t>conceive</w:t>
      </w:r>
      <w:r w:rsidR="00934D39" w:rsidRPr="009E6775">
        <w:rPr>
          <w:rFonts w:ascii="Times New Roman" w:hAnsi="Times New Roman" w:cs="Times New Roman"/>
          <w:sz w:val="24"/>
          <w:szCs w:val="24"/>
        </w:rPr>
        <w:t xml:space="preserve">s </w:t>
      </w:r>
      <w:r w:rsidR="00573D6F" w:rsidRPr="009E6775">
        <w:rPr>
          <w:rFonts w:ascii="Times New Roman" w:hAnsi="Times New Roman" w:cs="Times New Roman"/>
          <w:sz w:val="24"/>
          <w:szCs w:val="24"/>
        </w:rPr>
        <w:t xml:space="preserve">a </w:t>
      </w:r>
      <w:r w:rsidR="00934D39" w:rsidRPr="009E6775">
        <w:rPr>
          <w:rFonts w:ascii="Times New Roman" w:hAnsi="Times New Roman" w:cs="Times New Roman"/>
          <w:sz w:val="24"/>
          <w:szCs w:val="24"/>
        </w:rPr>
        <w:t>three-way balancing between the occupying power, the ousted territorial sovereignty, and the population in the occupied territory.</w:t>
      </w:r>
      <w:r w:rsidR="00D47C92" w:rsidRPr="009E6775">
        <w:rPr>
          <w:rStyle w:val="aa"/>
          <w:rFonts w:ascii="Times New Roman" w:hAnsi="Times New Roman" w:cs="Times New Roman"/>
          <w:sz w:val="24"/>
          <w:szCs w:val="24"/>
        </w:rPr>
        <w:footnoteReference w:id="86"/>
      </w:r>
      <w:r w:rsidR="0081435A" w:rsidRPr="009E6775">
        <w:rPr>
          <w:rFonts w:ascii="Times New Roman" w:hAnsi="Times New Roman" w:cs="Times New Roman"/>
          <w:sz w:val="24"/>
          <w:szCs w:val="24"/>
        </w:rPr>
        <w:t xml:space="preserve"> </w:t>
      </w:r>
      <w:r w:rsidR="00573D6F" w:rsidRPr="009E6775">
        <w:rPr>
          <w:rFonts w:ascii="Times New Roman" w:hAnsi="Times New Roman" w:cs="Times New Roman"/>
          <w:sz w:val="24"/>
          <w:szCs w:val="24"/>
        </w:rPr>
        <w:t>Yet,</w:t>
      </w:r>
      <w:r w:rsidR="00E154B0" w:rsidRPr="009E6775">
        <w:rPr>
          <w:rFonts w:ascii="Times New Roman" w:hAnsi="Times New Roman" w:cs="Times New Roman"/>
          <w:sz w:val="24"/>
          <w:szCs w:val="24"/>
        </w:rPr>
        <w:t xml:space="preserve"> the triad relationship is not of equal weight</w:t>
      </w:r>
      <w:r w:rsidR="00D31D64" w:rsidRPr="009E6775">
        <w:rPr>
          <w:rFonts w:ascii="Times New Roman" w:hAnsi="Times New Roman" w:cs="Times New Roman"/>
          <w:sz w:val="24"/>
          <w:szCs w:val="24"/>
        </w:rPr>
        <w:t xml:space="preserve"> under the law of occupation.</w:t>
      </w:r>
      <w:r w:rsidR="00573D6F" w:rsidRPr="009E6775">
        <w:rPr>
          <w:rFonts w:ascii="Times New Roman" w:hAnsi="Times New Roman" w:cs="Times New Roman"/>
          <w:sz w:val="24"/>
          <w:szCs w:val="24"/>
        </w:rPr>
        <w:t xml:space="preserve"> </w:t>
      </w:r>
      <w:r w:rsidR="00E154B0" w:rsidRPr="009E6775">
        <w:rPr>
          <w:rFonts w:ascii="Times New Roman" w:hAnsi="Times New Roman" w:cs="Times New Roman"/>
          <w:sz w:val="24"/>
          <w:szCs w:val="24"/>
        </w:rPr>
        <w:t>W</w:t>
      </w:r>
      <w:r w:rsidR="00573D6F" w:rsidRPr="009E6775">
        <w:rPr>
          <w:rFonts w:ascii="Times New Roman" w:hAnsi="Times New Roman" w:cs="Times New Roman"/>
          <w:sz w:val="24"/>
          <w:szCs w:val="24"/>
        </w:rPr>
        <w:t xml:space="preserve">hat </w:t>
      </w:r>
      <w:r w:rsidR="003C041F" w:rsidRPr="009E6775">
        <w:rPr>
          <w:rFonts w:ascii="Times New Roman" w:hAnsi="Times New Roman" w:cs="Times New Roman"/>
          <w:sz w:val="24"/>
          <w:szCs w:val="24"/>
        </w:rPr>
        <w:t>should matter</w:t>
      </w:r>
      <w:r w:rsidR="00573D6F" w:rsidRPr="009E6775">
        <w:rPr>
          <w:rFonts w:ascii="Times New Roman" w:hAnsi="Times New Roman" w:cs="Times New Roman"/>
          <w:sz w:val="24"/>
          <w:szCs w:val="24"/>
        </w:rPr>
        <w:t xml:space="preserve"> most </w:t>
      </w:r>
      <w:r w:rsidR="00D31D64" w:rsidRPr="009E6775">
        <w:rPr>
          <w:rFonts w:ascii="Times New Roman" w:hAnsi="Times New Roman" w:cs="Times New Roman"/>
          <w:sz w:val="24"/>
          <w:szCs w:val="24"/>
        </w:rPr>
        <w:t xml:space="preserve">here </w:t>
      </w:r>
      <w:r w:rsidR="00573D6F" w:rsidRPr="009E6775">
        <w:rPr>
          <w:rFonts w:ascii="Times New Roman" w:hAnsi="Times New Roman" w:cs="Times New Roman"/>
          <w:sz w:val="24"/>
          <w:szCs w:val="24"/>
        </w:rPr>
        <w:t xml:space="preserve">is </w:t>
      </w:r>
      <w:r w:rsidR="00E154B0" w:rsidRPr="009E6775">
        <w:rPr>
          <w:rFonts w:ascii="Times New Roman" w:hAnsi="Times New Roman" w:cs="Times New Roman"/>
          <w:sz w:val="24"/>
          <w:szCs w:val="24"/>
        </w:rPr>
        <w:t>the</w:t>
      </w:r>
      <w:r w:rsidR="00A90C8E" w:rsidRPr="009E6775">
        <w:rPr>
          <w:rFonts w:ascii="Times New Roman" w:hAnsi="Times New Roman" w:cs="Times New Roman"/>
          <w:sz w:val="24"/>
          <w:szCs w:val="24"/>
        </w:rPr>
        <w:t xml:space="preserve"> </w:t>
      </w:r>
      <w:r w:rsidR="0081435A" w:rsidRPr="009E6775">
        <w:rPr>
          <w:rFonts w:ascii="Times New Roman" w:hAnsi="Times New Roman" w:cs="Times New Roman"/>
          <w:sz w:val="24"/>
          <w:szCs w:val="24"/>
        </w:rPr>
        <w:t>bi-dimensional</w:t>
      </w:r>
      <w:r w:rsidR="00A90C8E" w:rsidRPr="009E6775">
        <w:rPr>
          <w:rFonts w:ascii="Times New Roman" w:hAnsi="Times New Roman" w:cs="Times New Roman"/>
          <w:sz w:val="24"/>
          <w:szCs w:val="24"/>
        </w:rPr>
        <w:t xml:space="preserve"> balancing between the security </w:t>
      </w:r>
      <w:r w:rsidR="00EF0693" w:rsidRPr="009E6775">
        <w:rPr>
          <w:rFonts w:ascii="Times New Roman" w:hAnsi="Times New Roman" w:cs="Times New Roman"/>
          <w:sz w:val="24"/>
          <w:szCs w:val="24"/>
        </w:rPr>
        <w:t>concern</w:t>
      </w:r>
      <w:r w:rsidR="00A90C8E" w:rsidRPr="009E6775">
        <w:rPr>
          <w:rFonts w:ascii="Times New Roman" w:hAnsi="Times New Roman" w:cs="Times New Roman"/>
          <w:sz w:val="24"/>
          <w:szCs w:val="24"/>
        </w:rPr>
        <w:t xml:space="preserve"> of the occupying authorities and humanitarian needs of the occupied population. In </w:t>
      </w:r>
      <w:r w:rsidR="002B0226" w:rsidRPr="009E6775">
        <w:rPr>
          <w:rFonts w:ascii="Times New Roman" w:hAnsi="Times New Roman" w:cs="Times New Roman"/>
          <w:sz w:val="24"/>
          <w:szCs w:val="24"/>
        </w:rPr>
        <w:t xml:space="preserve">the occupied </w:t>
      </w:r>
      <w:r w:rsidR="00573D6F" w:rsidRPr="009E6775">
        <w:rPr>
          <w:rFonts w:ascii="Times New Roman" w:hAnsi="Times New Roman" w:cs="Times New Roman"/>
          <w:sz w:val="24"/>
          <w:szCs w:val="24"/>
        </w:rPr>
        <w:t>Palestinian t</w:t>
      </w:r>
      <w:r w:rsidR="002B0226" w:rsidRPr="009E6775">
        <w:rPr>
          <w:rFonts w:ascii="Times New Roman" w:hAnsi="Times New Roman" w:cs="Times New Roman"/>
          <w:sz w:val="24"/>
          <w:szCs w:val="24"/>
        </w:rPr>
        <w:t>erritories</w:t>
      </w:r>
      <w:r w:rsidR="00A90C8E" w:rsidRPr="009E6775">
        <w:rPr>
          <w:rFonts w:ascii="Times New Roman" w:hAnsi="Times New Roman" w:cs="Times New Roman"/>
          <w:sz w:val="24"/>
          <w:szCs w:val="24"/>
        </w:rPr>
        <w:t xml:space="preserve">, </w:t>
      </w:r>
      <w:r w:rsidR="00573D6F" w:rsidRPr="009E6775">
        <w:rPr>
          <w:rFonts w:ascii="Times New Roman" w:hAnsi="Times New Roman" w:cs="Times New Roman"/>
          <w:sz w:val="24"/>
          <w:szCs w:val="24"/>
        </w:rPr>
        <w:t>such a</w:t>
      </w:r>
      <w:r w:rsidR="00E154B0" w:rsidRPr="009E6775">
        <w:rPr>
          <w:rFonts w:ascii="Times New Roman" w:hAnsi="Times New Roman" w:cs="Times New Roman"/>
          <w:sz w:val="24"/>
          <w:szCs w:val="24"/>
        </w:rPr>
        <w:t xml:space="preserve"> </w:t>
      </w:r>
      <w:r w:rsidR="00A90C8E" w:rsidRPr="009E6775">
        <w:rPr>
          <w:rFonts w:ascii="Times New Roman" w:hAnsi="Times New Roman" w:cs="Times New Roman"/>
          <w:sz w:val="24"/>
          <w:szCs w:val="24"/>
        </w:rPr>
        <w:t xml:space="preserve">cumbersome cost-benefit assessment </w:t>
      </w:r>
      <w:r w:rsidR="00E154B0" w:rsidRPr="009E6775">
        <w:rPr>
          <w:rFonts w:ascii="Times New Roman" w:hAnsi="Times New Roman" w:cs="Times New Roman"/>
          <w:sz w:val="24"/>
          <w:szCs w:val="24"/>
        </w:rPr>
        <w:t xml:space="preserve">is </w:t>
      </w:r>
      <w:r w:rsidR="003C041F" w:rsidRPr="009E6775">
        <w:rPr>
          <w:rFonts w:ascii="Times New Roman" w:hAnsi="Times New Roman" w:cs="Times New Roman"/>
          <w:sz w:val="24"/>
          <w:szCs w:val="24"/>
        </w:rPr>
        <w:t xml:space="preserve">compounded none other than by </w:t>
      </w:r>
      <w:r w:rsidR="00A90C8E" w:rsidRPr="009E6775">
        <w:rPr>
          <w:rFonts w:ascii="Times New Roman" w:hAnsi="Times New Roman" w:cs="Times New Roman"/>
          <w:sz w:val="24"/>
          <w:szCs w:val="24"/>
        </w:rPr>
        <w:t xml:space="preserve">the </w:t>
      </w:r>
      <w:r w:rsidR="00573D6F" w:rsidRPr="009E6775">
        <w:rPr>
          <w:rFonts w:ascii="Times New Roman" w:hAnsi="Times New Roman" w:cs="Times New Roman"/>
          <w:sz w:val="24"/>
          <w:szCs w:val="24"/>
        </w:rPr>
        <w:t>presence of the ever-growing number of Jewish settlers</w:t>
      </w:r>
      <w:r w:rsidR="00E154B0" w:rsidRPr="009E6775">
        <w:rPr>
          <w:rFonts w:ascii="Times New Roman" w:hAnsi="Times New Roman" w:cs="Times New Roman"/>
          <w:sz w:val="24"/>
          <w:szCs w:val="24"/>
        </w:rPr>
        <w:t xml:space="preserve"> </w:t>
      </w:r>
      <w:r w:rsidR="00AB0762" w:rsidRPr="009E6775">
        <w:rPr>
          <w:rFonts w:ascii="Times New Roman" w:hAnsi="Times New Roman" w:cs="Times New Roman"/>
          <w:sz w:val="24"/>
          <w:szCs w:val="24"/>
        </w:rPr>
        <w:t xml:space="preserve">that have </w:t>
      </w:r>
      <w:r w:rsidR="003C041F" w:rsidRPr="009E6775">
        <w:rPr>
          <w:rFonts w:ascii="Times New Roman" w:hAnsi="Times New Roman" w:cs="Times New Roman"/>
          <w:sz w:val="24"/>
          <w:szCs w:val="24"/>
        </w:rPr>
        <w:t xml:space="preserve">generated </w:t>
      </w:r>
      <w:r w:rsidR="00E154B0" w:rsidRPr="009E6775">
        <w:rPr>
          <w:rFonts w:ascii="Times New Roman" w:hAnsi="Times New Roman" w:cs="Times New Roman"/>
          <w:sz w:val="24"/>
          <w:szCs w:val="24"/>
        </w:rPr>
        <w:t xml:space="preserve">the </w:t>
      </w:r>
      <w:r w:rsidR="003C041F" w:rsidRPr="009E6775">
        <w:rPr>
          <w:rFonts w:ascii="Times New Roman" w:hAnsi="Times New Roman" w:cs="Times New Roman"/>
          <w:sz w:val="24"/>
          <w:szCs w:val="24"/>
        </w:rPr>
        <w:t>‘quasi-settler-</w:t>
      </w:r>
      <w:r w:rsidR="00E154B0" w:rsidRPr="009E6775">
        <w:rPr>
          <w:rFonts w:ascii="Times New Roman" w:hAnsi="Times New Roman" w:cs="Times New Roman"/>
          <w:sz w:val="24"/>
          <w:szCs w:val="24"/>
        </w:rPr>
        <w:t>colonia</w:t>
      </w:r>
      <w:r w:rsidR="00AB0762" w:rsidRPr="009E6775">
        <w:rPr>
          <w:rFonts w:ascii="Times New Roman" w:hAnsi="Times New Roman" w:cs="Times New Roman"/>
          <w:sz w:val="24"/>
          <w:szCs w:val="24"/>
        </w:rPr>
        <w:t>l</w:t>
      </w:r>
      <w:r w:rsidR="003C041F" w:rsidRPr="009E6775">
        <w:rPr>
          <w:rFonts w:ascii="Times New Roman" w:hAnsi="Times New Roman" w:cs="Times New Roman"/>
          <w:sz w:val="24"/>
          <w:szCs w:val="24"/>
        </w:rPr>
        <w:t xml:space="preserve"> system’</w:t>
      </w:r>
      <w:r w:rsidR="00D61B9C" w:rsidRPr="009E6775">
        <w:rPr>
          <w:rFonts w:ascii="Times New Roman" w:hAnsi="Times New Roman" w:cs="Times New Roman"/>
          <w:sz w:val="24"/>
          <w:szCs w:val="24"/>
        </w:rPr>
        <w:t xml:space="preserve">. </w:t>
      </w:r>
      <w:r w:rsidR="00573D6F" w:rsidRPr="009E6775">
        <w:rPr>
          <w:rFonts w:ascii="Times New Roman" w:hAnsi="Times New Roman" w:cs="Times New Roman"/>
          <w:sz w:val="24"/>
          <w:szCs w:val="24"/>
        </w:rPr>
        <w:t xml:space="preserve">The </w:t>
      </w:r>
      <w:r w:rsidR="00D61B9C" w:rsidRPr="009E6775">
        <w:rPr>
          <w:rFonts w:ascii="Times New Roman" w:hAnsi="Times New Roman" w:cs="Times New Roman"/>
          <w:sz w:val="24"/>
          <w:szCs w:val="24"/>
        </w:rPr>
        <w:t>SC</w:t>
      </w:r>
      <w:r w:rsidR="00E154B0" w:rsidRPr="009E6775">
        <w:rPr>
          <w:rFonts w:ascii="Times New Roman" w:hAnsi="Times New Roman" w:cs="Times New Roman"/>
          <w:sz w:val="24"/>
          <w:szCs w:val="24"/>
        </w:rPr>
        <w:t xml:space="preserve"> has unhesitatingly suggested that </w:t>
      </w:r>
      <w:r w:rsidR="00573D6F" w:rsidRPr="009E6775">
        <w:rPr>
          <w:rFonts w:ascii="Times New Roman" w:hAnsi="Times New Roman" w:cs="Times New Roman"/>
          <w:sz w:val="24"/>
          <w:szCs w:val="24"/>
        </w:rPr>
        <w:t xml:space="preserve">settlers’ security concern </w:t>
      </w:r>
      <w:r w:rsidR="00E154B0" w:rsidRPr="009E6775">
        <w:rPr>
          <w:rFonts w:ascii="Times New Roman" w:hAnsi="Times New Roman" w:cs="Times New Roman"/>
          <w:sz w:val="24"/>
          <w:szCs w:val="24"/>
        </w:rPr>
        <w:t xml:space="preserve">be </w:t>
      </w:r>
      <w:r w:rsidR="00573D6F" w:rsidRPr="009E6775">
        <w:rPr>
          <w:rFonts w:ascii="Times New Roman" w:hAnsi="Times New Roman" w:cs="Times New Roman"/>
          <w:sz w:val="24"/>
          <w:szCs w:val="24"/>
        </w:rPr>
        <w:t xml:space="preserve">subsumed into the </w:t>
      </w:r>
      <w:r w:rsidR="00E154B0" w:rsidRPr="009E6775">
        <w:rPr>
          <w:rFonts w:ascii="Times New Roman" w:hAnsi="Times New Roman" w:cs="Times New Roman"/>
          <w:sz w:val="24"/>
          <w:szCs w:val="24"/>
        </w:rPr>
        <w:t>notion of (</w:t>
      </w:r>
      <w:r w:rsidR="00573D6F" w:rsidRPr="009E6775">
        <w:rPr>
          <w:rFonts w:ascii="Times New Roman" w:hAnsi="Times New Roman" w:cs="Times New Roman"/>
          <w:sz w:val="24"/>
          <w:szCs w:val="24"/>
        </w:rPr>
        <w:t xml:space="preserve">military) necessity under Article 43 Hague Regulations. </w:t>
      </w:r>
      <w:r w:rsidR="00E154B0" w:rsidRPr="009E6775">
        <w:rPr>
          <w:rFonts w:ascii="Times New Roman" w:hAnsi="Times New Roman" w:cs="Times New Roman"/>
          <w:sz w:val="24"/>
          <w:szCs w:val="24"/>
        </w:rPr>
        <w:t xml:space="preserve">In </w:t>
      </w:r>
      <w:r w:rsidR="00573D6F" w:rsidRPr="009E6775">
        <w:rPr>
          <w:rFonts w:ascii="Times New Roman" w:hAnsi="Times New Roman" w:cs="Times New Roman"/>
          <w:sz w:val="24"/>
          <w:szCs w:val="24"/>
        </w:rPr>
        <w:t xml:space="preserve">most cases, the </w:t>
      </w:r>
      <w:r w:rsidR="00D61B9C" w:rsidRPr="009E6775">
        <w:rPr>
          <w:rFonts w:ascii="Times New Roman" w:hAnsi="Times New Roman" w:cs="Times New Roman"/>
          <w:sz w:val="24"/>
          <w:szCs w:val="24"/>
        </w:rPr>
        <w:t>SC</w:t>
      </w:r>
      <w:r w:rsidR="00744DFA" w:rsidRPr="009E6775">
        <w:rPr>
          <w:rFonts w:ascii="Times New Roman" w:hAnsi="Times New Roman" w:cs="Times New Roman"/>
          <w:sz w:val="24"/>
          <w:szCs w:val="24"/>
        </w:rPr>
        <w:t xml:space="preserve"> has felt uninhibited to</w:t>
      </w:r>
      <w:r w:rsidR="00573D6F" w:rsidRPr="009E6775">
        <w:rPr>
          <w:rFonts w:ascii="Times New Roman" w:hAnsi="Times New Roman" w:cs="Times New Roman"/>
          <w:sz w:val="24"/>
          <w:szCs w:val="24"/>
        </w:rPr>
        <w:t xml:space="preserve"> </w:t>
      </w:r>
      <w:r w:rsidR="00744DFA" w:rsidRPr="009E6775">
        <w:rPr>
          <w:rFonts w:ascii="Times New Roman" w:hAnsi="Times New Roman" w:cs="Times New Roman"/>
          <w:sz w:val="24"/>
          <w:szCs w:val="24"/>
        </w:rPr>
        <w:t>embrace</w:t>
      </w:r>
      <w:r w:rsidR="00573D6F" w:rsidRPr="009E6775">
        <w:rPr>
          <w:rFonts w:ascii="Times New Roman" w:hAnsi="Times New Roman" w:cs="Times New Roman"/>
          <w:sz w:val="24"/>
          <w:szCs w:val="24"/>
        </w:rPr>
        <w:t xml:space="preserve"> </w:t>
      </w:r>
      <w:r w:rsidR="00EF0693" w:rsidRPr="009E6775">
        <w:rPr>
          <w:rFonts w:ascii="Times New Roman" w:hAnsi="Times New Roman" w:cs="Times New Roman"/>
          <w:sz w:val="24"/>
          <w:szCs w:val="24"/>
        </w:rPr>
        <w:t>settlers</w:t>
      </w:r>
      <w:r w:rsidR="00573D6F" w:rsidRPr="009E6775">
        <w:rPr>
          <w:rFonts w:ascii="Times New Roman" w:hAnsi="Times New Roman" w:cs="Times New Roman"/>
          <w:sz w:val="24"/>
          <w:szCs w:val="24"/>
        </w:rPr>
        <w:t xml:space="preserve"> as part of the ‘local inhabitants’ within the meaning of </w:t>
      </w:r>
      <w:r w:rsidR="00E154B0" w:rsidRPr="009E6775">
        <w:rPr>
          <w:rFonts w:ascii="Times New Roman" w:hAnsi="Times New Roman" w:cs="Times New Roman"/>
          <w:sz w:val="24"/>
          <w:szCs w:val="24"/>
        </w:rPr>
        <w:t>this provision</w:t>
      </w:r>
      <w:r w:rsidR="00CD63A2" w:rsidRPr="009E6775">
        <w:rPr>
          <w:rFonts w:ascii="Times New Roman" w:hAnsi="Times New Roman" w:cs="Times New Roman"/>
          <w:sz w:val="24"/>
          <w:szCs w:val="24"/>
        </w:rPr>
        <w:t>,</w:t>
      </w:r>
      <w:r w:rsidR="00573D6F" w:rsidRPr="009E6775">
        <w:rPr>
          <w:rStyle w:val="aa"/>
          <w:rFonts w:ascii="Times New Roman" w:hAnsi="Times New Roman" w:cs="Times New Roman"/>
          <w:sz w:val="24"/>
          <w:szCs w:val="24"/>
        </w:rPr>
        <w:footnoteReference w:id="87"/>
      </w:r>
      <w:r w:rsidR="00573D6F" w:rsidRPr="009E6775">
        <w:rPr>
          <w:rFonts w:ascii="Times New Roman" w:hAnsi="Times New Roman" w:cs="Times New Roman"/>
          <w:sz w:val="24"/>
          <w:szCs w:val="24"/>
        </w:rPr>
        <w:t xml:space="preserve"> </w:t>
      </w:r>
      <w:r w:rsidR="00744DFA" w:rsidRPr="009E6775">
        <w:rPr>
          <w:rFonts w:ascii="Times New Roman" w:hAnsi="Times New Roman" w:cs="Times New Roman"/>
          <w:sz w:val="24"/>
          <w:szCs w:val="24"/>
        </w:rPr>
        <w:t xml:space="preserve">and this, </w:t>
      </w:r>
      <w:r w:rsidR="000210CB" w:rsidRPr="009E6775">
        <w:rPr>
          <w:rFonts w:ascii="Times New Roman" w:hAnsi="Times New Roman" w:cs="Times New Roman"/>
          <w:sz w:val="24"/>
          <w:szCs w:val="24"/>
        </w:rPr>
        <w:t>no matter</w:t>
      </w:r>
      <w:r w:rsidR="00573D6F" w:rsidRPr="009E6775">
        <w:rPr>
          <w:rFonts w:ascii="Times New Roman" w:hAnsi="Times New Roman" w:cs="Times New Roman"/>
          <w:sz w:val="24"/>
          <w:szCs w:val="24"/>
        </w:rPr>
        <w:t xml:space="preserve"> </w:t>
      </w:r>
      <w:r w:rsidR="002C6FC4" w:rsidRPr="009E6775">
        <w:rPr>
          <w:rFonts w:ascii="Times New Roman" w:hAnsi="Times New Roman" w:cs="Times New Roman"/>
          <w:sz w:val="24"/>
          <w:szCs w:val="24"/>
        </w:rPr>
        <w:t xml:space="preserve">the </w:t>
      </w:r>
      <w:r w:rsidR="00573D6F" w:rsidRPr="009E6775">
        <w:rPr>
          <w:rFonts w:ascii="Times New Roman" w:hAnsi="Times New Roman" w:cs="Times New Roman"/>
          <w:sz w:val="24"/>
          <w:szCs w:val="24"/>
        </w:rPr>
        <w:t>legality of their presence in the occupied territories.</w:t>
      </w:r>
      <w:r w:rsidR="00573D6F" w:rsidRPr="009E6775">
        <w:rPr>
          <w:rStyle w:val="aa"/>
          <w:rFonts w:ascii="Times New Roman" w:hAnsi="Times New Roman" w:cs="Times New Roman"/>
          <w:sz w:val="24"/>
          <w:szCs w:val="24"/>
        </w:rPr>
        <w:footnoteReference w:id="88"/>
      </w:r>
      <w:r w:rsidR="00573D6F" w:rsidRPr="009E6775">
        <w:rPr>
          <w:rFonts w:ascii="Times New Roman" w:hAnsi="Times New Roman" w:cs="Times New Roman"/>
          <w:sz w:val="24"/>
          <w:szCs w:val="24"/>
        </w:rPr>
        <w:t xml:space="preserve"> </w:t>
      </w:r>
      <w:r w:rsidR="00BE17F3" w:rsidRPr="009E6775">
        <w:rPr>
          <w:rFonts w:ascii="Times New Roman" w:hAnsi="Times New Roman" w:cs="Times New Roman"/>
          <w:sz w:val="24"/>
          <w:szCs w:val="24"/>
        </w:rPr>
        <w:t xml:space="preserve">As a step further, the SC has come to recognise settlers’ rights pertaining to civil life and wellbeing as the factors to be </w:t>
      </w:r>
      <w:proofErr w:type="gramStart"/>
      <w:r w:rsidR="00BE17F3" w:rsidRPr="009E6775">
        <w:rPr>
          <w:rFonts w:ascii="Times New Roman" w:hAnsi="Times New Roman" w:cs="Times New Roman"/>
          <w:sz w:val="24"/>
          <w:szCs w:val="24"/>
        </w:rPr>
        <w:t>taken into account</w:t>
      </w:r>
      <w:proofErr w:type="gramEnd"/>
      <w:r w:rsidR="00BE17F3" w:rsidRPr="009E6775">
        <w:rPr>
          <w:rFonts w:ascii="Times New Roman" w:hAnsi="Times New Roman" w:cs="Times New Roman"/>
          <w:sz w:val="24"/>
          <w:szCs w:val="24"/>
        </w:rPr>
        <w:t xml:space="preserve"> by the military commanders. </w:t>
      </w:r>
      <w:r w:rsidR="00493DDE" w:rsidRPr="009E6775">
        <w:rPr>
          <w:rFonts w:ascii="Times New Roman" w:hAnsi="Times New Roman" w:cs="Times New Roman"/>
          <w:sz w:val="24"/>
          <w:szCs w:val="24"/>
        </w:rPr>
        <w:t>Harpaz and Shany argue that there is the ‘hierarchy of protections of the rights of several ‘stakeholders’ under Article 43 Hague Regulations.</w:t>
      </w:r>
      <w:r w:rsidR="00493DDE" w:rsidRPr="009E6775">
        <w:rPr>
          <w:rStyle w:val="aa"/>
          <w:rFonts w:ascii="Times New Roman" w:hAnsi="Times New Roman" w:cs="Times New Roman"/>
          <w:sz w:val="24"/>
          <w:szCs w:val="24"/>
        </w:rPr>
        <w:footnoteReference w:id="89"/>
      </w:r>
      <w:r w:rsidR="00493DDE" w:rsidRPr="009E6775">
        <w:rPr>
          <w:rFonts w:ascii="Times New Roman" w:hAnsi="Times New Roman" w:cs="Times New Roman"/>
          <w:sz w:val="24"/>
          <w:szCs w:val="24"/>
        </w:rPr>
        <w:t xml:space="preserve"> There is concern that within such a hierarchy the SC’s multi-faceted balancing</w:t>
      </w:r>
      <w:r w:rsidR="00493DDE" w:rsidRPr="009E6775">
        <w:rPr>
          <w:rStyle w:val="aa"/>
          <w:rFonts w:ascii="Times New Roman" w:hAnsi="Times New Roman" w:cs="Times New Roman"/>
          <w:sz w:val="24"/>
          <w:szCs w:val="24"/>
        </w:rPr>
        <w:footnoteReference w:id="90"/>
      </w:r>
      <w:r w:rsidR="00493DDE" w:rsidRPr="009E6775">
        <w:rPr>
          <w:rFonts w:ascii="Times New Roman" w:hAnsi="Times New Roman" w:cs="Times New Roman"/>
          <w:sz w:val="24"/>
          <w:szCs w:val="24"/>
        </w:rPr>
        <w:t xml:space="preserve"> may </w:t>
      </w:r>
      <w:r w:rsidR="00BE17F3" w:rsidRPr="009E6775">
        <w:rPr>
          <w:rFonts w:ascii="Times New Roman" w:hAnsi="Times New Roman" w:cs="Times New Roman"/>
          <w:sz w:val="24"/>
          <w:szCs w:val="24"/>
        </w:rPr>
        <w:t xml:space="preserve">dilute the ‘absolutely prevented’ rider under </w:t>
      </w:r>
      <w:r w:rsidR="00D630A9" w:rsidRPr="009E6775">
        <w:rPr>
          <w:rFonts w:ascii="Times New Roman" w:hAnsi="Times New Roman" w:cs="Times New Roman"/>
          <w:sz w:val="24"/>
          <w:szCs w:val="24"/>
        </w:rPr>
        <w:t>this provision,</w:t>
      </w:r>
      <w:r w:rsidR="00BE17F3" w:rsidRPr="009E6775">
        <w:rPr>
          <w:rFonts w:ascii="Times New Roman" w:hAnsi="Times New Roman" w:cs="Times New Roman"/>
          <w:sz w:val="24"/>
          <w:szCs w:val="24"/>
        </w:rPr>
        <w:t xml:space="preserve"> with the effect (intended or unintended) of </w:t>
      </w:r>
      <w:r w:rsidR="00493DDE" w:rsidRPr="009E6775">
        <w:rPr>
          <w:rFonts w:ascii="Times New Roman" w:hAnsi="Times New Roman" w:cs="Times New Roman"/>
          <w:sz w:val="24"/>
          <w:szCs w:val="24"/>
        </w:rPr>
        <w:t>lessen</w:t>
      </w:r>
      <w:r w:rsidR="00BE17F3" w:rsidRPr="009E6775">
        <w:rPr>
          <w:rFonts w:ascii="Times New Roman" w:hAnsi="Times New Roman" w:cs="Times New Roman"/>
          <w:sz w:val="24"/>
          <w:szCs w:val="24"/>
        </w:rPr>
        <w:t>ing</w:t>
      </w:r>
      <w:r w:rsidR="00493DDE" w:rsidRPr="009E6775">
        <w:rPr>
          <w:rFonts w:ascii="Times New Roman" w:hAnsi="Times New Roman" w:cs="Times New Roman"/>
          <w:sz w:val="24"/>
          <w:szCs w:val="24"/>
        </w:rPr>
        <w:t xml:space="preserve"> the relative weight of the occupied Palestinians’ rights under the law of occupation.</w:t>
      </w:r>
    </w:p>
    <w:p w14:paraId="4895A93D" w14:textId="77777777" w:rsidR="00744DFA" w:rsidRPr="009E6775" w:rsidRDefault="00744DFA" w:rsidP="0081540D">
      <w:pPr>
        <w:rPr>
          <w:rFonts w:ascii="Times New Roman" w:hAnsi="Times New Roman" w:cs="Times New Roman"/>
          <w:sz w:val="24"/>
          <w:szCs w:val="24"/>
        </w:rPr>
      </w:pPr>
    </w:p>
    <w:p w14:paraId="76FD8F9A" w14:textId="6221A9C9" w:rsidR="00100635" w:rsidRPr="009E6775" w:rsidRDefault="002723AD" w:rsidP="0081540D">
      <w:pPr>
        <w:rPr>
          <w:rFonts w:ascii="Times New Roman" w:hAnsi="Times New Roman" w:cs="Times New Roman"/>
          <w:sz w:val="24"/>
          <w:szCs w:val="24"/>
          <w:u w:val="single"/>
          <w:shd w:val="clear" w:color="auto" w:fill="FFFFFF"/>
        </w:rPr>
      </w:pPr>
      <w:r w:rsidRPr="009E6775">
        <w:rPr>
          <w:rFonts w:ascii="Times New Roman" w:hAnsi="Times New Roman" w:cs="Times New Roman"/>
          <w:sz w:val="24"/>
          <w:szCs w:val="24"/>
        </w:rPr>
        <w:t xml:space="preserve">At first glance, such </w:t>
      </w:r>
      <w:r w:rsidR="0075673F" w:rsidRPr="009E6775">
        <w:rPr>
          <w:rFonts w:ascii="Times New Roman" w:hAnsi="Times New Roman" w:cs="Times New Roman"/>
          <w:sz w:val="24"/>
          <w:szCs w:val="24"/>
        </w:rPr>
        <w:t>a</w:t>
      </w:r>
      <w:r w:rsidR="001470C2" w:rsidRPr="009E6775">
        <w:rPr>
          <w:rFonts w:ascii="Times New Roman" w:hAnsi="Times New Roman" w:cs="Times New Roman"/>
          <w:sz w:val="24"/>
          <w:szCs w:val="24"/>
        </w:rPr>
        <w:t xml:space="preserve"> broader i</w:t>
      </w:r>
      <w:r w:rsidR="0075673F" w:rsidRPr="009E6775">
        <w:rPr>
          <w:rFonts w:ascii="Times New Roman" w:hAnsi="Times New Roman" w:cs="Times New Roman"/>
          <w:sz w:val="24"/>
          <w:szCs w:val="24"/>
        </w:rPr>
        <w:t xml:space="preserve">nterpretation </w:t>
      </w:r>
      <w:r w:rsidR="001470C2" w:rsidRPr="009E6775">
        <w:rPr>
          <w:rFonts w:ascii="Times New Roman" w:hAnsi="Times New Roman" w:cs="Times New Roman"/>
          <w:sz w:val="24"/>
          <w:szCs w:val="24"/>
        </w:rPr>
        <w:t xml:space="preserve">of Article 43 Hague </w:t>
      </w:r>
      <w:r w:rsidRPr="009E6775">
        <w:rPr>
          <w:rFonts w:ascii="Times New Roman" w:hAnsi="Times New Roman" w:cs="Times New Roman"/>
          <w:sz w:val="24"/>
          <w:szCs w:val="24"/>
        </w:rPr>
        <w:t xml:space="preserve">Regulations </w:t>
      </w:r>
      <w:r w:rsidR="006D115A" w:rsidRPr="009E6775">
        <w:rPr>
          <w:rFonts w:ascii="Times New Roman" w:hAnsi="Times New Roman" w:cs="Times New Roman"/>
          <w:sz w:val="24"/>
          <w:szCs w:val="24"/>
        </w:rPr>
        <w:t>to</w:t>
      </w:r>
      <w:r w:rsidRPr="009E6775">
        <w:rPr>
          <w:rFonts w:ascii="Times New Roman" w:hAnsi="Times New Roman" w:cs="Times New Roman"/>
          <w:sz w:val="24"/>
          <w:szCs w:val="24"/>
        </w:rPr>
        <w:t xml:space="preserve"> encompass settlers as part of the local inhabitants </w:t>
      </w:r>
      <w:r w:rsidR="001A5703" w:rsidRPr="009E6775">
        <w:rPr>
          <w:rFonts w:ascii="Times New Roman" w:hAnsi="Times New Roman" w:cs="Times New Roman"/>
          <w:sz w:val="24"/>
          <w:szCs w:val="24"/>
        </w:rPr>
        <w:t>might</w:t>
      </w:r>
      <w:r w:rsidRPr="009E6775">
        <w:rPr>
          <w:rFonts w:ascii="Times New Roman" w:hAnsi="Times New Roman" w:cs="Times New Roman"/>
          <w:sz w:val="24"/>
          <w:szCs w:val="24"/>
        </w:rPr>
        <w:t xml:space="preserve"> not appear inconsistent with the term ‘inhabitants’ used in Section III of the 1907 Hague Regulations. </w:t>
      </w:r>
      <w:r w:rsidR="003F7371" w:rsidRPr="009E6775">
        <w:rPr>
          <w:rFonts w:ascii="Times New Roman" w:hAnsi="Times New Roman" w:cs="Times New Roman"/>
          <w:sz w:val="24"/>
          <w:szCs w:val="24"/>
        </w:rPr>
        <w:t>The question who constitute</w:t>
      </w:r>
      <w:r w:rsidR="006D115A" w:rsidRPr="009E6775">
        <w:rPr>
          <w:rFonts w:ascii="Times New Roman" w:hAnsi="Times New Roman" w:cs="Times New Roman"/>
          <w:sz w:val="24"/>
          <w:szCs w:val="24"/>
        </w:rPr>
        <w:t>s</w:t>
      </w:r>
      <w:r w:rsidR="003F7371" w:rsidRPr="009E6775">
        <w:rPr>
          <w:rFonts w:ascii="Times New Roman" w:hAnsi="Times New Roman" w:cs="Times New Roman"/>
          <w:sz w:val="24"/>
          <w:szCs w:val="24"/>
        </w:rPr>
        <w:t xml:space="preserve"> the</w:t>
      </w:r>
      <w:r w:rsidRPr="009E6775">
        <w:rPr>
          <w:rFonts w:ascii="Times New Roman" w:hAnsi="Times New Roman" w:cs="Times New Roman"/>
          <w:sz w:val="24"/>
          <w:szCs w:val="24"/>
        </w:rPr>
        <w:t xml:space="preserve"> ‘inhabitants’ in the occupied territories </w:t>
      </w:r>
      <w:r w:rsidR="003F7371" w:rsidRPr="009E6775">
        <w:rPr>
          <w:rFonts w:ascii="Times New Roman" w:hAnsi="Times New Roman" w:cs="Times New Roman"/>
          <w:sz w:val="24"/>
          <w:szCs w:val="24"/>
        </w:rPr>
        <w:t xml:space="preserve">was </w:t>
      </w:r>
      <w:r w:rsidRPr="009E6775">
        <w:rPr>
          <w:rFonts w:ascii="Times New Roman" w:hAnsi="Times New Roman" w:cs="Times New Roman"/>
          <w:sz w:val="24"/>
          <w:szCs w:val="24"/>
        </w:rPr>
        <w:t xml:space="preserve">not </w:t>
      </w:r>
      <w:r w:rsidR="003F7371" w:rsidRPr="009E6775">
        <w:rPr>
          <w:rFonts w:ascii="Times New Roman" w:hAnsi="Times New Roman" w:cs="Times New Roman"/>
          <w:sz w:val="24"/>
          <w:szCs w:val="24"/>
        </w:rPr>
        <w:t>discussed</w:t>
      </w:r>
      <w:r w:rsidRPr="009E6775">
        <w:rPr>
          <w:rFonts w:ascii="Times New Roman" w:hAnsi="Times New Roman" w:cs="Times New Roman"/>
          <w:sz w:val="24"/>
          <w:szCs w:val="24"/>
        </w:rPr>
        <w:t xml:space="preserve"> in the </w:t>
      </w:r>
      <w:r w:rsidRPr="009E6775">
        <w:rPr>
          <w:rFonts w:ascii="Times New Roman" w:hAnsi="Times New Roman" w:cs="Times New Roman"/>
          <w:i/>
          <w:iCs/>
          <w:sz w:val="24"/>
          <w:szCs w:val="24"/>
        </w:rPr>
        <w:t xml:space="preserve">travaux </w:t>
      </w:r>
      <w:r w:rsidRPr="009E6775">
        <w:rPr>
          <w:rFonts w:ascii="Times New Roman" w:hAnsi="Times New Roman" w:cs="Times New Roman"/>
          <w:i/>
          <w:iCs/>
          <w:sz w:val="24"/>
          <w:szCs w:val="24"/>
        </w:rPr>
        <w:lastRenderedPageBreak/>
        <w:t>pr</w:t>
      </w:r>
      <w:r w:rsidR="00EF0693" w:rsidRPr="009E6775">
        <w:rPr>
          <w:rFonts w:ascii="Times New Roman" w:eastAsia="游明朝" w:hAnsi="Times New Roman" w:cs="Times New Roman"/>
          <w:i/>
          <w:iCs/>
          <w:sz w:val="24"/>
          <w:szCs w:val="24"/>
        </w:rPr>
        <w:t>é</w:t>
      </w:r>
      <w:r w:rsidRPr="009E6775">
        <w:rPr>
          <w:rFonts w:ascii="Times New Roman" w:hAnsi="Times New Roman" w:cs="Times New Roman"/>
          <w:i/>
          <w:iCs/>
          <w:sz w:val="24"/>
          <w:szCs w:val="24"/>
        </w:rPr>
        <w:t>paratoires</w:t>
      </w:r>
      <w:r w:rsidRPr="009E6775">
        <w:rPr>
          <w:rFonts w:ascii="Times New Roman" w:hAnsi="Times New Roman" w:cs="Times New Roman"/>
          <w:sz w:val="24"/>
          <w:szCs w:val="24"/>
        </w:rPr>
        <w:t>.</w:t>
      </w:r>
      <w:r w:rsidRPr="009E6775">
        <w:rPr>
          <w:rStyle w:val="aa"/>
          <w:rFonts w:ascii="Times New Roman" w:hAnsi="Times New Roman" w:cs="Times New Roman"/>
          <w:sz w:val="24"/>
          <w:szCs w:val="24"/>
        </w:rPr>
        <w:footnoteReference w:id="91"/>
      </w:r>
      <w:r w:rsidR="003F7371" w:rsidRPr="009E6775">
        <w:rPr>
          <w:rFonts w:ascii="Times New Roman" w:hAnsi="Times New Roman" w:cs="Times New Roman"/>
          <w:sz w:val="24"/>
          <w:szCs w:val="24"/>
        </w:rPr>
        <w:t xml:space="preserve"> </w:t>
      </w:r>
      <w:r w:rsidR="00011FF3" w:rsidRPr="009E6775">
        <w:rPr>
          <w:rFonts w:ascii="Times New Roman" w:hAnsi="Times New Roman" w:cs="Times New Roman"/>
          <w:sz w:val="24"/>
          <w:szCs w:val="24"/>
        </w:rPr>
        <w:t>Still in the doctrine</w:t>
      </w:r>
      <w:r w:rsidR="008A632A" w:rsidRPr="009E6775">
        <w:rPr>
          <w:rFonts w:ascii="Times New Roman" w:hAnsi="Times New Roman" w:cs="Times New Roman"/>
          <w:sz w:val="24"/>
          <w:szCs w:val="24"/>
        </w:rPr>
        <w:t xml:space="preserve"> most writers </w:t>
      </w:r>
      <w:r w:rsidR="00EF0693" w:rsidRPr="009E6775">
        <w:rPr>
          <w:rFonts w:ascii="Times New Roman" w:hAnsi="Times New Roman" w:cs="Times New Roman"/>
          <w:sz w:val="24"/>
          <w:szCs w:val="24"/>
        </w:rPr>
        <w:t xml:space="preserve">do not contemplate </w:t>
      </w:r>
      <w:r w:rsidR="008A632A" w:rsidRPr="009E6775">
        <w:rPr>
          <w:rFonts w:ascii="Times New Roman" w:hAnsi="Times New Roman" w:cs="Times New Roman"/>
          <w:sz w:val="24"/>
          <w:szCs w:val="24"/>
        </w:rPr>
        <w:t xml:space="preserve">the ‘inhabitants’ </w:t>
      </w:r>
      <w:r w:rsidR="00EF0693" w:rsidRPr="009E6775">
        <w:rPr>
          <w:rFonts w:ascii="Times New Roman" w:hAnsi="Times New Roman" w:cs="Times New Roman"/>
          <w:sz w:val="24"/>
          <w:szCs w:val="24"/>
        </w:rPr>
        <w:t xml:space="preserve">to </w:t>
      </w:r>
      <w:r w:rsidR="008A632A" w:rsidRPr="009E6775">
        <w:rPr>
          <w:rFonts w:ascii="Times New Roman" w:hAnsi="Times New Roman" w:cs="Times New Roman"/>
          <w:sz w:val="24"/>
          <w:szCs w:val="24"/>
        </w:rPr>
        <w:t>include nationals of the occupying power, especially those who settle after the commencement of occupation.</w:t>
      </w:r>
      <w:r w:rsidR="008A632A" w:rsidRPr="009E6775">
        <w:rPr>
          <w:rStyle w:val="aa"/>
          <w:rFonts w:ascii="Times New Roman" w:hAnsi="Times New Roman" w:cs="Times New Roman"/>
          <w:sz w:val="24"/>
          <w:szCs w:val="24"/>
        </w:rPr>
        <w:footnoteReference w:id="92"/>
      </w:r>
      <w:r w:rsidR="008A632A" w:rsidRPr="009E6775">
        <w:rPr>
          <w:rFonts w:ascii="Times New Roman" w:hAnsi="Times New Roman" w:cs="Times New Roman"/>
          <w:sz w:val="24"/>
          <w:szCs w:val="24"/>
        </w:rPr>
        <w:t xml:space="preserve"> </w:t>
      </w:r>
      <w:r w:rsidR="0057327C" w:rsidRPr="009E6775">
        <w:rPr>
          <w:rFonts w:ascii="Times New Roman" w:hAnsi="Times New Roman" w:cs="Times New Roman"/>
          <w:sz w:val="24"/>
          <w:szCs w:val="24"/>
        </w:rPr>
        <w:t xml:space="preserve">Moreover, </w:t>
      </w:r>
      <w:r w:rsidR="005F2D94" w:rsidRPr="009E6775">
        <w:rPr>
          <w:rFonts w:ascii="Times New Roman" w:hAnsi="Times New Roman" w:cs="Times New Roman"/>
          <w:sz w:val="24"/>
          <w:szCs w:val="24"/>
        </w:rPr>
        <w:t>this author proposes</w:t>
      </w:r>
      <w:r w:rsidR="003F7371" w:rsidRPr="009E6775">
        <w:rPr>
          <w:rFonts w:ascii="Times New Roman" w:hAnsi="Times New Roman" w:cs="Times New Roman"/>
          <w:sz w:val="24"/>
          <w:szCs w:val="24"/>
        </w:rPr>
        <w:t xml:space="preserve"> that </w:t>
      </w:r>
      <w:r w:rsidR="0057327C" w:rsidRPr="009E6775">
        <w:rPr>
          <w:rFonts w:ascii="Times New Roman" w:hAnsi="Times New Roman" w:cs="Times New Roman"/>
          <w:sz w:val="24"/>
          <w:szCs w:val="24"/>
        </w:rPr>
        <w:t xml:space="preserve">the Hague Regulations </w:t>
      </w:r>
      <w:r w:rsidR="008A632A" w:rsidRPr="009E6775">
        <w:rPr>
          <w:rFonts w:ascii="Times New Roman" w:hAnsi="Times New Roman" w:cs="Times New Roman"/>
          <w:sz w:val="24"/>
          <w:szCs w:val="24"/>
        </w:rPr>
        <w:t xml:space="preserve">be read </w:t>
      </w:r>
      <w:r w:rsidR="002C6FC4" w:rsidRPr="009E6775">
        <w:rPr>
          <w:rFonts w:ascii="Times New Roman" w:hAnsi="Times New Roman" w:cs="Times New Roman"/>
          <w:sz w:val="24"/>
          <w:szCs w:val="24"/>
        </w:rPr>
        <w:t xml:space="preserve">together </w:t>
      </w:r>
      <w:r w:rsidR="008A632A" w:rsidRPr="009E6775">
        <w:rPr>
          <w:rFonts w:ascii="Times New Roman" w:hAnsi="Times New Roman" w:cs="Times New Roman"/>
          <w:sz w:val="24"/>
          <w:szCs w:val="24"/>
        </w:rPr>
        <w:t>with GC IV</w:t>
      </w:r>
      <w:r w:rsidR="00F30635" w:rsidRPr="009E6775">
        <w:rPr>
          <w:rFonts w:ascii="Times New Roman" w:hAnsi="Times New Roman" w:cs="Times New Roman"/>
          <w:sz w:val="24"/>
          <w:szCs w:val="24"/>
        </w:rPr>
        <w:t>,</w:t>
      </w:r>
      <w:r w:rsidR="001A5703" w:rsidRPr="009E6775">
        <w:rPr>
          <w:rStyle w:val="aa"/>
          <w:rFonts w:ascii="Times New Roman" w:hAnsi="Times New Roman" w:cs="Times New Roman"/>
          <w:sz w:val="24"/>
          <w:szCs w:val="24"/>
        </w:rPr>
        <w:footnoteReference w:id="93"/>
      </w:r>
      <w:r w:rsidR="001A5703" w:rsidRPr="009E6775">
        <w:rPr>
          <w:rFonts w:ascii="Times New Roman" w:hAnsi="Times New Roman" w:cs="Times New Roman"/>
          <w:sz w:val="24"/>
          <w:szCs w:val="24"/>
        </w:rPr>
        <w:t xml:space="preserve"> </w:t>
      </w:r>
      <w:r w:rsidR="00E941BD" w:rsidRPr="009E6775">
        <w:rPr>
          <w:rFonts w:ascii="Times New Roman" w:hAnsi="Times New Roman" w:cs="Times New Roman"/>
          <w:sz w:val="24"/>
          <w:szCs w:val="24"/>
        </w:rPr>
        <w:t xml:space="preserve">not least </w:t>
      </w:r>
      <w:r w:rsidR="006D115A" w:rsidRPr="009E6775">
        <w:rPr>
          <w:rFonts w:ascii="Times New Roman" w:hAnsi="Times New Roman" w:cs="Times New Roman"/>
          <w:sz w:val="24"/>
          <w:szCs w:val="24"/>
        </w:rPr>
        <w:t xml:space="preserve">with </w:t>
      </w:r>
      <w:r w:rsidR="00F30635" w:rsidRPr="009E6775">
        <w:rPr>
          <w:rFonts w:ascii="Times New Roman" w:hAnsi="Times New Roman" w:cs="Times New Roman"/>
          <w:sz w:val="24"/>
          <w:szCs w:val="24"/>
        </w:rPr>
        <w:t>the</w:t>
      </w:r>
      <w:r w:rsidR="001A5703" w:rsidRPr="009E6775">
        <w:rPr>
          <w:rFonts w:ascii="Times New Roman" w:hAnsi="Times New Roman" w:cs="Times New Roman"/>
          <w:sz w:val="24"/>
          <w:szCs w:val="24"/>
        </w:rPr>
        <w:t xml:space="preserve"> concept of ‘protected persons’ defined u</w:t>
      </w:r>
      <w:r w:rsidR="008A632A" w:rsidRPr="009E6775">
        <w:rPr>
          <w:rFonts w:ascii="Times New Roman" w:hAnsi="Times New Roman" w:cs="Times New Roman"/>
          <w:sz w:val="24"/>
          <w:szCs w:val="24"/>
        </w:rPr>
        <w:t xml:space="preserve">nder </w:t>
      </w:r>
      <w:r w:rsidR="0057327C" w:rsidRPr="009E6775">
        <w:rPr>
          <w:rFonts w:ascii="Times New Roman" w:hAnsi="Times New Roman" w:cs="Times New Roman"/>
          <w:sz w:val="24"/>
          <w:szCs w:val="24"/>
        </w:rPr>
        <w:t>Article 4 GC IV</w:t>
      </w:r>
      <w:r w:rsidR="00F30635" w:rsidRPr="009E6775">
        <w:rPr>
          <w:rFonts w:ascii="Times New Roman" w:hAnsi="Times New Roman" w:cs="Times New Roman"/>
          <w:sz w:val="24"/>
          <w:szCs w:val="24"/>
        </w:rPr>
        <w:t>.</w:t>
      </w:r>
      <w:r w:rsidR="008B726F" w:rsidRPr="009E6775">
        <w:rPr>
          <w:rStyle w:val="aa"/>
          <w:rFonts w:ascii="Times New Roman" w:hAnsi="Times New Roman" w:cs="Times New Roman"/>
          <w:sz w:val="24"/>
          <w:szCs w:val="24"/>
        </w:rPr>
        <w:footnoteReference w:id="94"/>
      </w:r>
      <w:r w:rsidR="00514C34" w:rsidRPr="009E6775">
        <w:rPr>
          <w:rFonts w:ascii="Times New Roman" w:hAnsi="Times New Roman" w:cs="Times New Roman"/>
          <w:sz w:val="24"/>
          <w:szCs w:val="24"/>
        </w:rPr>
        <w:t xml:space="preserve"> </w:t>
      </w:r>
      <w:r w:rsidR="00C76929" w:rsidRPr="009E6775">
        <w:rPr>
          <w:rFonts w:ascii="Times New Roman" w:hAnsi="Times New Roman" w:cs="Times New Roman"/>
          <w:sz w:val="24"/>
          <w:szCs w:val="24"/>
        </w:rPr>
        <w:t>Th</w:t>
      </w:r>
      <w:r w:rsidR="00A26CF6" w:rsidRPr="009E6775">
        <w:rPr>
          <w:rFonts w:ascii="Times New Roman" w:hAnsi="Times New Roman" w:cs="Times New Roman"/>
          <w:sz w:val="24"/>
          <w:szCs w:val="24"/>
        </w:rPr>
        <w:t xml:space="preserve">is concept </w:t>
      </w:r>
      <w:r w:rsidR="005F2D94" w:rsidRPr="009E6775">
        <w:rPr>
          <w:rFonts w:ascii="Times New Roman" w:hAnsi="Times New Roman" w:cs="Times New Roman"/>
          <w:sz w:val="24"/>
          <w:szCs w:val="24"/>
        </w:rPr>
        <w:t>e</w:t>
      </w:r>
      <w:r w:rsidR="0075673F" w:rsidRPr="009E6775">
        <w:rPr>
          <w:rFonts w:ascii="Times New Roman" w:hAnsi="Times New Roman" w:cs="Times New Roman"/>
          <w:sz w:val="24"/>
          <w:szCs w:val="24"/>
        </w:rPr>
        <w:t xml:space="preserve">xcludes any </w:t>
      </w:r>
      <w:r w:rsidR="00F30635" w:rsidRPr="009E6775">
        <w:rPr>
          <w:rFonts w:ascii="Times New Roman" w:hAnsi="Times New Roman" w:cs="Times New Roman"/>
          <w:sz w:val="24"/>
          <w:szCs w:val="24"/>
        </w:rPr>
        <w:t>nationals</w:t>
      </w:r>
      <w:r w:rsidR="0075673F" w:rsidRPr="009E6775">
        <w:rPr>
          <w:rFonts w:ascii="Times New Roman" w:hAnsi="Times New Roman" w:cs="Times New Roman"/>
          <w:sz w:val="24"/>
          <w:szCs w:val="24"/>
        </w:rPr>
        <w:t xml:space="preserve"> of the occupying power</w:t>
      </w:r>
      <w:r w:rsidR="00C76929" w:rsidRPr="009E6775">
        <w:rPr>
          <w:rFonts w:ascii="Times New Roman" w:hAnsi="Times New Roman" w:cs="Times New Roman"/>
          <w:sz w:val="24"/>
          <w:szCs w:val="24"/>
        </w:rPr>
        <w:t>,</w:t>
      </w:r>
      <w:r w:rsidR="0075673F" w:rsidRPr="009E6775">
        <w:rPr>
          <w:rStyle w:val="aa"/>
          <w:rFonts w:ascii="Times New Roman" w:hAnsi="Times New Roman" w:cs="Times New Roman"/>
          <w:sz w:val="24"/>
          <w:szCs w:val="24"/>
        </w:rPr>
        <w:footnoteReference w:id="95"/>
      </w:r>
      <w:r w:rsidR="0075673F" w:rsidRPr="009E6775">
        <w:rPr>
          <w:rFonts w:ascii="Times New Roman" w:hAnsi="Times New Roman" w:cs="Times New Roman"/>
          <w:sz w:val="24"/>
          <w:szCs w:val="24"/>
        </w:rPr>
        <w:t xml:space="preserve"> </w:t>
      </w:r>
      <w:r w:rsidR="009E75F0" w:rsidRPr="009E6775">
        <w:rPr>
          <w:rFonts w:ascii="Times New Roman" w:hAnsi="Times New Roman" w:cs="Times New Roman"/>
          <w:sz w:val="24"/>
          <w:szCs w:val="24"/>
          <w:shd w:val="clear" w:color="auto" w:fill="FFFFFF"/>
        </w:rPr>
        <w:t>save in the exceptional circumstances where</w:t>
      </w:r>
      <w:r w:rsidR="00C76929" w:rsidRPr="009E6775">
        <w:rPr>
          <w:rFonts w:ascii="Times New Roman" w:hAnsi="Times New Roman" w:cs="Times New Roman"/>
          <w:sz w:val="24"/>
          <w:szCs w:val="24"/>
          <w:shd w:val="clear" w:color="auto" w:fill="FFFFFF"/>
        </w:rPr>
        <w:t xml:space="preserve"> they </w:t>
      </w:r>
      <w:r w:rsidR="00FE3EE0" w:rsidRPr="009E6775">
        <w:rPr>
          <w:rFonts w:ascii="Times New Roman" w:hAnsi="Times New Roman" w:cs="Times New Roman"/>
          <w:sz w:val="24"/>
          <w:szCs w:val="24"/>
          <w:shd w:val="clear" w:color="auto" w:fill="FFFFFF"/>
        </w:rPr>
        <w:t xml:space="preserve">switch </w:t>
      </w:r>
      <w:r w:rsidR="00C76929" w:rsidRPr="009E6775">
        <w:rPr>
          <w:rFonts w:ascii="Times New Roman" w:hAnsi="Times New Roman" w:cs="Times New Roman"/>
          <w:sz w:val="24"/>
          <w:szCs w:val="24"/>
          <w:shd w:val="clear" w:color="auto" w:fill="FFFFFF"/>
        </w:rPr>
        <w:t xml:space="preserve">their allegiance </w:t>
      </w:r>
      <w:r w:rsidR="00FE3EE0" w:rsidRPr="009E6775">
        <w:rPr>
          <w:rFonts w:ascii="Times New Roman" w:hAnsi="Times New Roman" w:cs="Times New Roman"/>
          <w:sz w:val="24"/>
          <w:szCs w:val="24"/>
          <w:shd w:val="clear" w:color="auto" w:fill="FFFFFF"/>
        </w:rPr>
        <w:t xml:space="preserve">and take up arms against </w:t>
      </w:r>
      <w:r w:rsidR="00C76929" w:rsidRPr="009E6775">
        <w:rPr>
          <w:rFonts w:ascii="Times New Roman" w:hAnsi="Times New Roman" w:cs="Times New Roman"/>
          <w:sz w:val="24"/>
          <w:szCs w:val="24"/>
          <w:shd w:val="clear" w:color="auto" w:fill="FFFFFF"/>
        </w:rPr>
        <w:t xml:space="preserve">their own country </w:t>
      </w:r>
      <w:r w:rsidR="009E75F0" w:rsidRPr="009E6775">
        <w:rPr>
          <w:rFonts w:ascii="Times New Roman" w:hAnsi="Times New Roman" w:cs="Times New Roman"/>
          <w:sz w:val="24"/>
          <w:szCs w:val="24"/>
          <w:shd w:val="clear" w:color="auto" w:fill="FFFFFF"/>
        </w:rPr>
        <w:t>that act as</w:t>
      </w:r>
      <w:r w:rsidR="00FE3EE0" w:rsidRPr="009E6775">
        <w:rPr>
          <w:rFonts w:ascii="Times New Roman" w:hAnsi="Times New Roman" w:cs="Times New Roman"/>
          <w:sz w:val="24"/>
          <w:szCs w:val="24"/>
          <w:shd w:val="clear" w:color="auto" w:fill="FFFFFF"/>
        </w:rPr>
        <w:t xml:space="preserve"> </w:t>
      </w:r>
      <w:r w:rsidR="00C76929" w:rsidRPr="009E6775">
        <w:rPr>
          <w:rFonts w:ascii="Times New Roman" w:hAnsi="Times New Roman" w:cs="Times New Roman"/>
          <w:sz w:val="24"/>
          <w:szCs w:val="24"/>
          <w:shd w:val="clear" w:color="auto" w:fill="FFFFFF"/>
        </w:rPr>
        <w:t>an occupying power.</w:t>
      </w:r>
      <w:r w:rsidR="00C76929" w:rsidRPr="009E6775">
        <w:rPr>
          <w:rStyle w:val="aa"/>
          <w:rFonts w:ascii="Times New Roman" w:hAnsi="Times New Roman" w:cs="Times New Roman"/>
          <w:sz w:val="24"/>
          <w:szCs w:val="24"/>
        </w:rPr>
        <w:footnoteReference w:id="96"/>
      </w:r>
    </w:p>
    <w:p w14:paraId="7A90D85E" w14:textId="77777777" w:rsidR="00D61B9C" w:rsidRPr="009E6775" w:rsidRDefault="00D61B9C" w:rsidP="0081540D">
      <w:pPr>
        <w:rPr>
          <w:rFonts w:ascii="Times New Roman" w:hAnsi="Times New Roman" w:cs="Times New Roman"/>
          <w:sz w:val="24"/>
          <w:szCs w:val="24"/>
        </w:rPr>
      </w:pPr>
    </w:p>
    <w:p w14:paraId="74382E11" w14:textId="77C13B04" w:rsidR="0075673F" w:rsidRPr="009E6775" w:rsidRDefault="00D61B9C" w:rsidP="0081540D">
      <w:pPr>
        <w:rPr>
          <w:rFonts w:ascii="Times New Roman" w:hAnsi="Times New Roman" w:cs="Times New Roman"/>
          <w:sz w:val="24"/>
          <w:szCs w:val="24"/>
        </w:rPr>
      </w:pPr>
      <w:r w:rsidRPr="009E6775">
        <w:rPr>
          <w:rFonts w:ascii="Times New Roman" w:hAnsi="Times New Roman" w:cs="Times New Roman"/>
          <w:sz w:val="24"/>
          <w:szCs w:val="24"/>
        </w:rPr>
        <w:t xml:space="preserve">According </w:t>
      </w:r>
      <w:r w:rsidR="00013B13" w:rsidRPr="009E6775">
        <w:rPr>
          <w:rFonts w:ascii="Times New Roman" w:hAnsi="Times New Roman" w:cs="Times New Roman"/>
          <w:sz w:val="24"/>
          <w:szCs w:val="24"/>
        </w:rPr>
        <w:t xml:space="preserve">to the </w:t>
      </w:r>
      <w:r w:rsidR="00E941BD" w:rsidRPr="009E6775">
        <w:rPr>
          <w:rFonts w:ascii="Times New Roman" w:hAnsi="Times New Roman" w:cs="Times New Roman"/>
          <w:sz w:val="24"/>
          <w:szCs w:val="24"/>
        </w:rPr>
        <w:t xml:space="preserve">SC’s </w:t>
      </w:r>
      <w:r w:rsidR="00013B13" w:rsidRPr="009E6775">
        <w:rPr>
          <w:rFonts w:ascii="Times New Roman" w:hAnsi="Times New Roman" w:cs="Times New Roman"/>
          <w:sz w:val="24"/>
          <w:szCs w:val="24"/>
        </w:rPr>
        <w:t xml:space="preserve">case-law, the settlers’ interests are supposed to be reckoned with in the ‘horizontal balancing’ between the two </w:t>
      </w:r>
      <w:r w:rsidR="00E941BD" w:rsidRPr="009E6775">
        <w:rPr>
          <w:rFonts w:ascii="Times New Roman" w:hAnsi="Times New Roman" w:cs="Times New Roman"/>
          <w:sz w:val="24"/>
          <w:szCs w:val="24"/>
        </w:rPr>
        <w:t xml:space="preserve">civilian </w:t>
      </w:r>
      <w:r w:rsidR="00013B13" w:rsidRPr="009E6775">
        <w:rPr>
          <w:rFonts w:ascii="Times New Roman" w:hAnsi="Times New Roman" w:cs="Times New Roman"/>
          <w:sz w:val="24"/>
          <w:szCs w:val="24"/>
        </w:rPr>
        <w:t>population</w:t>
      </w:r>
      <w:r w:rsidR="001A5703" w:rsidRPr="009E6775">
        <w:rPr>
          <w:rFonts w:ascii="Times New Roman" w:hAnsi="Times New Roman" w:cs="Times New Roman"/>
          <w:sz w:val="24"/>
          <w:szCs w:val="24"/>
        </w:rPr>
        <w:t>s</w:t>
      </w:r>
      <w:r w:rsidR="00013B13" w:rsidRPr="009E6775">
        <w:rPr>
          <w:rFonts w:ascii="Times New Roman" w:hAnsi="Times New Roman" w:cs="Times New Roman"/>
          <w:sz w:val="24"/>
          <w:szCs w:val="24"/>
        </w:rPr>
        <w:t xml:space="preserve"> (settlers and Palestinians).</w:t>
      </w:r>
      <w:r w:rsidR="00013B13" w:rsidRPr="009E6775">
        <w:rPr>
          <w:rStyle w:val="aa"/>
          <w:rFonts w:ascii="Times New Roman" w:hAnsi="Times New Roman" w:cs="Times New Roman"/>
          <w:sz w:val="24"/>
          <w:szCs w:val="24"/>
        </w:rPr>
        <w:footnoteReference w:id="97"/>
      </w:r>
      <w:r w:rsidR="00013B13" w:rsidRPr="009E6775">
        <w:rPr>
          <w:rFonts w:ascii="Times New Roman" w:hAnsi="Times New Roman" w:cs="Times New Roman"/>
          <w:sz w:val="24"/>
          <w:szCs w:val="24"/>
        </w:rPr>
        <w:t xml:space="preserve"> </w:t>
      </w:r>
      <w:r w:rsidRPr="009E6775">
        <w:rPr>
          <w:rFonts w:ascii="Times New Roman" w:hAnsi="Times New Roman" w:cs="Times New Roman"/>
          <w:sz w:val="24"/>
          <w:szCs w:val="24"/>
        </w:rPr>
        <w:t>The gist of the problems is that se</w:t>
      </w:r>
      <w:r w:rsidR="00F0303D" w:rsidRPr="009E6775">
        <w:rPr>
          <w:rFonts w:ascii="Times New Roman" w:hAnsi="Times New Roman" w:cs="Times New Roman"/>
          <w:sz w:val="24"/>
          <w:szCs w:val="24"/>
        </w:rPr>
        <w:t>ttlers’ interest,</w:t>
      </w:r>
      <w:r w:rsidR="00013B13" w:rsidRPr="009E6775">
        <w:rPr>
          <w:rFonts w:ascii="Times New Roman" w:hAnsi="Times New Roman" w:cs="Times New Roman"/>
          <w:sz w:val="24"/>
          <w:szCs w:val="24"/>
        </w:rPr>
        <w:t xml:space="preserve"> once </w:t>
      </w:r>
      <w:proofErr w:type="gramStart"/>
      <w:r w:rsidR="00013B13" w:rsidRPr="009E6775">
        <w:rPr>
          <w:rFonts w:ascii="Times New Roman" w:hAnsi="Times New Roman" w:cs="Times New Roman"/>
          <w:sz w:val="24"/>
          <w:szCs w:val="24"/>
        </w:rPr>
        <w:t>taken into account</w:t>
      </w:r>
      <w:proofErr w:type="gramEnd"/>
      <w:r w:rsidR="00013B13" w:rsidRPr="009E6775">
        <w:rPr>
          <w:rFonts w:ascii="Times New Roman" w:hAnsi="Times New Roman" w:cs="Times New Roman"/>
          <w:sz w:val="24"/>
          <w:szCs w:val="24"/>
        </w:rPr>
        <w:t xml:space="preserve">, </w:t>
      </w:r>
      <w:r w:rsidR="00E941BD" w:rsidRPr="009E6775">
        <w:rPr>
          <w:rFonts w:ascii="Times New Roman" w:hAnsi="Times New Roman" w:cs="Times New Roman"/>
          <w:sz w:val="24"/>
          <w:szCs w:val="24"/>
        </w:rPr>
        <w:t>tends to</w:t>
      </w:r>
      <w:r w:rsidR="00F0303D" w:rsidRPr="009E6775">
        <w:rPr>
          <w:rFonts w:ascii="Times New Roman" w:hAnsi="Times New Roman" w:cs="Times New Roman"/>
          <w:sz w:val="24"/>
          <w:szCs w:val="24"/>
        </w:rPr>
        <w:t xml:space="preserve"> </w:t>
      </w:r>
      <w:r w:rsidR="00013B13" w:rsidRPr="009E6775">
        <w:rPr>
          <w:rFonts w:ascii="Times New Roman" w:hAnsi="Times New Roman" w:cs="Times New Roman"/>
          <w:sz w:val="24"/>
          <w:szCs w:val="24"/>
        </w:rPr>
        <w:t xml:space="preserve">operate as the </w:t>
      </w:r>
      <w:r w:rsidR="00E941BD" w:rsidRPr="009E6775">
        <w:rPr>
          <w:rFonts w:ascii="Times New Roman" w:hAnsi="Times New Roman" w:cs="Times New Roman"/>
          <w:sz w:val="24"/>
          <w:szCs w:val="24"/>
        </w:rPr>
        <w:t>decisive</w:t>
      </w:r>
      <w:r w:rsidR="00013B13" w:rsidRPr="009E6775">
        <w:rPr>
          <w:rFonts w:ascii="Times New Roman" w:hAnsi="Times New Roman" w:cs="Times New Roman"/>
          <w:sz w:val="24"/>
          <w:szCs w:val="24"/>
        </w:rPr>
        <w:t xml:space="preserve"> </w:t>
      </w:r>
      <w:r w:rsidR="00E941BD" w:rsidRPr="009E6775">
        <w:rPr>
          <w:rFonts w:ascii="Times New Roman" w:hAnsi="Times New Roman" w:cs="Times New Roman"/>
          <w:sz w:val="24"/>
          <w:szCs w:val="24"/>
        </w:rPr>
        <w:t>vector</w:t>
      </w:r>
      <w:r w:rsidR="00013B13" w:rsidRPr="009E6775">
        <w:rPr>
          <w:rFonts w:ascii="Times New Roman" w:hAnsi="Times New Roman" w:cs="Times New Roman"/>
          <w:sz w:val="24"/>
          <w:szCs w:val="24"/>
        </w:rPr>
        <w:t xml:space="preserve"> in swinging the balance against the rights of the ‘indigenous’ Palestinian</w:t>
      </w:r>
      <w:r w:rsidR="00E941BD" w:rsidRPr="009E6775">
        <w:rPr>
          <w:rFonts w:ascii="Times New Roman" w:hAnsi="Times New Roman" w:cs="Times New Roman"/>
          <w:sz w:val="24"/>
          <w:szCs w:val="24"/>
        </w:rPr>
        <w:t xml:space="preserve">s </w:t>
      </w:r>
      <w:r w:rsidR="0058731F" w:rsidRPr="009E6775">
        <w:rPr>
          <w:rFonts w:ascii="Times New Roman" w:hAnsi="Times New Roman" w:cs="Times New Roman"/>
          <w:sz w:val="24"/>
          <w:szCs w:val="24"/>
        </w:rPr>
        <w:t>under occupation</w:t>
      </w:r>
      <w:r w:rsidR="00013B13" w:rsidRPr="009E6775">
        <w:rPr>
          <w:rFonts w:ascii="Times New Roman" w:hAnsi="Times New Roman" w:cs="Times New Roman"/>
          <w:sz w:val="24"/>
          <w:szCs w:val="24"/>
        </w:rPr>
        <w:t xml:space="preserve">. </w:t>
      </w:r>
      <w:r w:rsidR="00100635" w:rsidRPr="009E6775">
        <w:rPr>
          <w:rFonts w:ascii="Times New Roman" w:hAnsi="Times New Roman" w:cs="Times New Roman"/>
          <w:sz w:val="24"/>
          <w:szCs w:val="24"/>
        </w:rPr>
        <w:t xml:space="preserve">According to Kretzmer and Ronen, such tendency is borne out chiefly by two </w:t>
      </w:r>
      <w:r w:rsidR="00E941BD" w:rsidRPr="009E6775">
        <w:rPr>
          <w:rFonts w:ascii="Times New Roman" w:hAnsi="Times New Roman" w:cs="Times New Roman"/>
          <w:sz w:val="24"/>
          <w:szCs w:val="24"/>
        </w:rPr>
        <w:t>traits</w:t>
      </w:r>
      <w:r w:rsidR="00100635" w:rsidRPr="009E6775">
        <w:rPr>
          <w:rFonts w:ascii="Times New Roman" w:hAnsi="Times New Roman" w:cs="Times New Roman"/>
          <w:sz w:val="24"/>
          <w:szCs w:val="24"/>
        </w:rPr>
        <w:t xml:space="preserve"> </w:t>
      </w:r>
      <w:r w:rsidRPr="009E6775">
        <w:rPr>
          <w:rFonts w:ascii="Times New Roman" w:hAnsi="Times New Roman" w:cs="Times New Roman"/>
          <w:sz w:val="24"/>
          <w:szCs w:val="24"/>
        </w:rPr>
        <w:t>underlying the SC’</w:t>
      </w:r>
      <w:r w:rsidR="00100635" w:rsidRPr="009E6775">
        <w:rPr>
          <w:rFonts w:ascii="Times New Roman" w:hAnsi="Times New Roman" w:cs="Times New Roman"/>
          <w:sz w:val="24"/>
          <w:szCs w:val="24"/>
        </w:rPr>
        <w:t>s interpretation of Article 43 Hague Regulations</w:t>
      </w:r>
      <w:r w:rsidR="0075673F" w:rsidRPr="009E6775">
        <w:rPr>
          <w:rFonts w:ascii="Times New Roman" w:hAnsi="Times New Roman" w:cs="Times New Roman"/>
          <w:sz w:val="24"/>
          <w:szCs w:val="24"/>
        </w:rPr>
        <w:t xml:space="preserve">: (1) </w:t>
      </w:r>
      <w:r w:rsidR="001470C2" w:rsidRPr="009E6775">
        <w:rPr>
          <w:rFonts w:ascii="Times New Roman" w:hAnsi="Times New Roman" w:cs="Times New Roman"/>
          <w:sz w:val="24"/>
          <w:szCs w:val="24"/>
        </w:rPr>
        <w:t xml:space="preserve">the </w:t>
      </w:r>
      <w:r w:rsidR="0058731F" w:rsidRPr="009E6775">
        <w:rPr>
          <w:rFonts w:ascii="Times New Roman" w:hAnsi="Times New Roman" w:cs="Times New Roman"/>
          <w:sz w:val="24"/>
          <w:szCs w:val="24"/>
        </w:rPr>
        <w:t>SC’s position</w:t>
      </w:r>
      <w:r w:rsidR="001470C2" w:rsidRPr="009E6775">
        <w:rPr>
          <w:rFonts w:ascii="Times New Roman" w:hAnsi="Times New Roman" w:cs="Times New Roman"/>
          <w:sz w:val="24"/>
          <w:szCs w:val="24"/>
        </w:rPr>
        <w:t>, as discussed above,</w:t>
      </w:r>
      <w:r w:rsidR="00013B13"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that not </w:t>
      </w:r>
      <w:r w:rsidR="0075673F" w:rsidRPr="009E6775">
        <w:rPr>
          <w:rFonts w:ascii="Times New Roman" w:hAnsi="Times New Roman" w:cs="Times New Roman"/>
          <w:sz w:val="24"/>
          <w:szCs w:val="24"/>
        </w:rPr>
        <w:t xml:space="preserve">only </w:t>
      </w:r>
      <w:r w:rsidR="005231D2" w:rsidRPr="009E6775">
        <w:rPr>
          <w:rFonts w:ascii="Times New Roman" w:hAnsi="Times New Roman" w:cs="Times New Roman"/>
          <w:sz w:val="24"/>
          <w:szCs w:val="24"/>
        </w:rPr>
        <w:t>settlers’</w:t>
      </w:r>
      <w:r w:rsidR="0075673F" w:rsidRPr="009E6775">
        <w:rPr>
          <w:rFonts w:ascii="Times New Roman" w:hAnsi="Times New Roman" w:cs="Times New Roman"/>
          <w:sz w:val="24"/>
          <w:szCs w:val="24"/>
        </w:rPr>
        <w:t xml:space="preserve"> security </w:t>
      </w:r>
      <w:r w:rsidR="001470C2" w:rsidRPr="009E6775">
        <w:rPr>
          <w:rFonts w:ascii="Times New Roman" w:hAnsi="Times New Roman" w:cs="Times New Roman"/>
          <w:sz w:val="24"/>
          <w:szCs w:val="24"/>
        </w:rPr>
        <w:t>concern</w:t>
      </w:r>
      <w:r w:rsidR="0075673F" w:rsidRPr="009E6775">
        <w:rPr>
          <w:rFonts w:ascii="Times New Roman" w:hAnsi="Times New Roman" w:cs="Times New Roman"/>
          <w:sz w:val="24"/>
          <w:szCs w:val="24"/>
        </w:rPr>
        <w:t xml:space="preserve"> but even </w:t>
      </w:r>
      <w:r w:rsidR="00E73D37" w:rsidRPr="009E6775">
        <w:rPr>
          <w:rFonts w:ascii="Times New Roman" w:hAnsi="Times New Roman" w:cs="Times New Roman"/>
          <w:sz w:val="24"/>
          <w:szCs w:val="24"/>
        </w:rPr>
        <w:t>the</w:t>
      </w:r>
      <w:r w:rsidR="005231D2" w:rsidRPr="009E6775">
        <w:rPr>
          <w:rFonts w:ascii="Times New Roman" w:hAnsi="Times New Roman" w:cs="Times New Roman"/>
          <w:sz w:val="24"/>
          <w:szCs w:val="24"/>
        </w:rPr>
        <w:t xml:space="preserve"> </w:t>
      </w:r>
      <w:r w:rsidR="001470C2" w:rsidRPr="009E6775">
        <w:rPr>
          <w:rFonts w:ascii="Times New Roman" w:hAnsi="Times New Roman" w:cs="Times New Roman"/>
          <w:sz w:val="24"/>
          <w:szCs w:val="24"/>
        </w:rPr>
        <w:t xml:space="preserve">rights concerning </w:t>
      </w:r>
      <w:r w:rsidR="00E941BD" w:rsidRPr="009E6775">
        <w:rPr>
          <w:rFonts w:ascii="Times New Roman" w:hAnsi="Times New Roman" w:cs="Times New Roman"/>
          <w:sz w:val="24"/>
          <w:szCs w:val="24"/>
        </w:rPr>
        <w:t xml:space="preserve">their </w:t>
      </w:r>
      <w:r w:rsidR="0075673F" w:rsidRPr="009E6775">
        <w:rPr>
          <w:rFonts w:ascii="Times New Roman" w:hAnsi="Times New Roman" w:cs="Times New Roman"/>
          <w:sz w:val="24"/>
          <w:szCs w:val="24"/>
        </w:rPr>
        <w:t xml:space="preserve">wellbeing </w:t>
      </w:r>
      <w:r w:rsidRPr="009E6775">
        <w:rPr>
          <w:rFonts w:ascii="Times New Roman" w:hAnsi="Times New Roman" w:cs="Times New Roman"/>
          <w:sz w:val="24"/>
          <w:szCs w:val="24"/>
        </w:rPr>
        <w:t xml:space="preserve">should be privileged </w:t>
      </w:r>
      <w:r w:rsidR="0075673F" w:rsidRPr="009E6775">
        <w:rPr>
          <w:rFonts w:ascii="Times New Roman" w:hAnsi="Times New Roman" w:cs="Times New Roman"/>
          <w:sz w:val="24"/>
          <w:szCs w:val="24"/>
        </w:rPr>
        <w:t xml:space="preserve">over </w:t>
      </w:r>
      <w:r w:rsidRPr="009E6775">
        <w:rPr>
          <w:rFonts w:ascii="Times New Roman" w:hAnsi="Times New Roman" w:cs="Times New Roman"/>
          <w:sz w:val="24"/>
          <w:szCs w:val="24"/>
        </w:rPr>
        <w:t xml:space="preserve">and above </w:t>
      </w:r>
      <w:r w:rsidR="0075673F" w:rsidRPr="009E6775">
        <w:rPr>
          <w:rFonts w:ascii="Times New Roman" w:hAnsi="Times New Roman" w:cs="Times New Roman"/>
          <w:sz w:val="24"/>
          <w:szCs w:val="24"/>
        </w:rPr>
        <w:t xml:space="preserve">the rights of Palestinians </w:t>
      </w:r>
      <w:r w:rsidR="00E941BD" w:rsidRPr="009E6775">
        <w:rPr>
          <w:rFonts w:ascii="Times New Roman" w:hAnsi="Times New Roman" w:cs="Times New Roman"/>
          <w:sz w:val="24"/>
          <w:szCs w:val="24"/>
        </w:rPr>
        <w:t>derived from</w:t>
      </w:r>
      <w:r w:rsidR="0075673F" w:rsidRPr="009E6775">
        <w:rPr>
          <w:rFonts w:ascii="Times New Roman" w:hAnsi="Times New Roman" w:cs="Times New Roman"/>
          <w:sz w:val="24"/>
          <w:szCs w:val="24"/>
        </w:rPr>
        <w:t xml:space="preserve"> the law of occupation; and (2) </w:t>
      </w:r>
      <w:r w:rsidR="0058731F" w:rsidRPr="009E6775">
        <w:rPr>
          <w:rFonts w:ascii="Times New Roman" w:hAnsi="Times New Roman" w:cs="Times New Roman"/>
          <w:sz w:val="24"/>
          <w:szCs w:val="24"/>
        </w:rPr>
        <w:t>its</w:t>
      </w:r>
      <w:r w:rsidR="00E941BD"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assumption that </w:t>
      </w:r>
      <w:r w:rsidR="00ED478C" w:rsidRPr="009E6775">
        <w:rPr>
          <w:rFonts w:ascii="Times New Roman" w:hAnsi="Times New Roman" w:cs="Times New Roman"/>
          <w:sz w:val="24"/>
          <w:szCs w:val="24"/>
        </w:rPr>
        <w:t>the pro-status quo principle</w:t>
      </w:r>
      <w:r w:rsidRPr="009E6775">
        <w:rPr>
          <w:rFonts w:ascii="Times New Roman" w:hAnsi="Times New Roman" w:cs="Times New Roman"/>
          <w:sz w:val="24"/>
          <w:szCs w:val="24"/>
        </w:rPr>
        <w:t xml:space="preserve"> should be of diminished tenability </w:t>
      </w:r>
      <w:r w:rsidR="00ED478C" w:rsidRPr="009E6775">
        <w:rPr>
          <w:rFonts w:ascii="Times New Roman" w:hAnsi="Times New Roman" w:cs="Times New Roman"/>
          <w:sz w:val="24"/>
          <w:szCs w:val="24"/>
        </w:rPr>
        <w:t xml:space="preserve">in </w:t>
      </w:r>
      <w:r w:rsidR="00E75523" w:rsidRPr="009E6775">
        <w:rPr>
          <w:rFonts w:ascii="Times New Roman" w:hAnsi="Times New Roman" w:cs="Times New Roman"/>
          <w:sz w:val="24"/>
          <w:szCs w:val="24"/>
        </w:rPr>
        <w:t xml:space="preserve">view of </w:t>
      </w:r>
      <w:r w:rsidR="0075673F" w:rsidRPr="009E6775">
        <w:rPr>
          <w:rFonts w:ascii="Times New Roman" w:hAnsi="Times New Roman" w:cs="Times New Roman"/>
          <w:sz w:val="24"/>
          <w:szCs w:val="24"/>
        </w:rPr>
        <w:t xml:space="preserve">evolving social and economic needs of the </w:t>
      </w:r>
      <w:r w:rsidR="00ED478C" w:rsidRPr="009E6775">
        <w:rPr>
          <w:rFonts w:ascii="Times New Roman" w:hAnsi="Times New Roman" w:cs="Times New Roman"/>
          <w:sz w:val="24"/>
          <w:szCs w:val="24"/>
        </w:rPr>
        <w:t>local population</w:t>
      </w:r>
      <w:r w:rsidR="00EF0693" w:rsidRPr="009E6775">
        <w:rPr>
          <w:rFonts w:ascii="Times New Roman" w:hAnsi="Times New Roman" w:cs="Times New Roman"/>
          <w:sz w:val="24"/>
          <w:szCs w:val="24"/>
        </w:rPr>
        <w:t xml:space="preserve">, </w:t>
      </w:r>
      <w:r w:rsidR="00D52162" w:rsidRPr="009E6775">
        <w:rPr>
          <w:rFonts w:ascii="Times New Roman" w:hAnsi="Times New Roman" w:cs="Times New Roman"/>
          <w:sz w:val="24"/>
          <w:szCs w:val="24"/>
        </w:rPr>
        <w:t>including</w:t>
      </w:r>
      <w:r w:rsidR="00EF0693" w:rsidRPr="009E6775">
        <w:rPr>
          <w:rFonts w:ascii="Times New Roman" w:hAnsi="Times New Roman" w:cs="Times New Roman"/>
          <w:sz w:val="24"/>
          <w:szCs w:val="24"/>
        </w:rPr>
        <w:t xml:space="preserve"> those of </w:t>
      </w:r>
      <w:r w:rsidR="00ED478C" w:rsidRPr="009E6775">
        <w:rPr>
          <w:rFonts w:ascii="Times New Roman" w:hAnsi="Times New Roman" w:cs="Times New Roman"/>
          <w:sz w:val="24"/>
          <w:szCs w:val="24"/>
        </w:rPr>
        <w:t xml:space="preserve">the </w:t>
      </w:r>
      <w:r w:rsidR="00D52162" w:rsidRPr="009E6775">
        <w:rPr>
          <w:rFonts w:ascii="Times New Roman" w:hAnsi="Times New Roman" w:cs="Times New Roman"/>
          <w:sz w:val="24"/>
          <w:szCs w:val="24"/>
        </w:rPr>
        <w:t xml:space="preserve">Israeli </w:t>
      </w:r>
      <w:r w:rsidR="0075673F" w:rsidRPr="009E6775">
        <w:rPr>
          <w:rFonts w:ascii="Times New Roman" w:hAnsi="Times New Roman" w:cs="Times New Roman"/>
          <w:sz w:val="24"/>
          <w:szCs w:val="24"/>
        </w:rPr>
        <w:t>settlers in the context of prolonged occupation</w:t>
      </w:r>
      <w:r w:rsidR="00AA5D78" w:rsidRPr="009E6775">
        <w:rPr>
          <w:rFonts w:ascii="Times New Roman" w:hAnsi="Times New Roman" w:cs="Times New Roman"/>
          <w:sz w:val="24"/>
          <w:szCs w:val="24"/>
        </w:rPr>
        <w:t>.</w:t>
      </w:r>
      <w:r w:rsidR="0075673F" w:rsidRPr="009E6775">
        <w:rPr>
          <w:rStyle w:val="aa"/>
          <w:rFonts w:ascii="Times New Roman" w:hAnsi="Times New Roman" w:cs="Times New Roman"/>
          <w:sz w:val="24"/>
          <w:szCs w:val="24"/>
        </w:rPr>
        <w:footnoteReference w:id="98"/>
      </w:r>
    </w:p>
    <w:p w14:paraId="2A4C265C" w14:textId="77777777" w:rsidR="0075673F" w:rsidRPr="009E6775" w:rsidRDefault="0075673F" w:rsidP="0081540D">
      <w:pPr>
        <w:rPr>
          <w:rFonts w:ascii="Times New Roman" w:hAnsi="Times New Roman" w:cs="Times New Roman"/>
          <w:sz w:val="24"/>
          <w:szCs w:val="24"/>
        </w:rPr>
      </w:pPr>
    </w:p>
    <w:p w14:paraId="79D9A1A8" w14:textId="159AB1EB" w:rsidR="005231D2" w:rsidRPr="009E6775" w:rsidRDefault="0075673F" w:rsidP="0081540D">
      <w:pPr>
        <w:rPr>
          <w:rFonts w:ascii="Times New Roman" w:hAnsi="Times New Roman" w:cs="Times New Roman"/>
          <w:sz w:val="24"/>
          <w:szCs w:val="24"/>
        </w:rPr>
      </w:pPr>
      <w:proofErr w:type="gramStart"/>
      <w:r w:rsidRPr="009E6775">
        <w:rPr>
          <w:rFonts w:ascii="Times New Roman" w:hAnsi="Times New Roman" w:cs="Times New Roman"/>
          <w:sz w:val="24"/>
          <w:szCs w:val="24"/>
        </w:rPr>
        <w:t>With regard to</w:t>
      </w:r>
      <w:proofErr w:type="gramEnd"/>
      <w:r w:rsidRPr="009E6775">
        <w:rPr>
          <w:rFonts w:ascii="Times New Roman" w:hAnsi="Times New Roman" w:cs="Times New Roman"/>
          <w:sz w:val="24"/>
          <w:szCs w:val="24"/>
        </w:rPr>
        <w:t xml:space="preserve"> </w:t>
      </w:r>
      <w:r w:rsidR="0067044E" w:rsidRPr="009E6775">
        <w:rPr>
          <w:rFonts w:ascii="Times New Roman" w:hAnsi="Times New Roman" w:cs="Times New Roman"/>
          <w:sz w:val="24"/>
          <w:szCs w:val="24"/>
        </w:rPr>
        <w:t>trait</w:t>
      </w:r>
      <w:r w:rsidRPr="009E6775">
        <w:rPr>
          <w:rFonts w:ascii="Times New Roman" w:hAnsi="Times New Roman" w:cs="Times New Roman"/>
          <w:sz w:val="24"/>
          <w:szCs w:val="24"/>
        </w:rPr>
        <w:t xml:space="preserve"> (1), </w:t>
      </w:r>
      <w:r w:rsidR="006D115A" w:rsidRPr="009E6775">
        <w:rPr>
          <w:rFonts w:ascii="Times New Roman" w:hAnsi="Times New Roman" w:cs="Times New Roman"/>
          <w:sz w:val="24"/>
          <w:szCs w:val="24"/>
        </w:rPr>
        <w:t>whenever</w:t>
      </w:r>
      <w:r w:rsidRPr="009E6775">
        <w:rPr>
          <w:rFonts w:ascii="Times New Roman" w:hAnsi="Times New Roman" w:cs="Times New Roman"/>
          <w:sz w:val="24"/>
          <w:szCs w:val="24"/>
        </w:rPr>
        <w:t xml:space="preserve"> </w:t>
      </w:r>
      <w:r w:rsidR="00EF0693" w:rsidRPr="009E6775">
        <w:rPr>
          <w:rFonts w:ascii="Times New Roman" w:hAnsi="Times New Roman" w:cs="Times New Roman"/>
          <w:sz w:val="24"/>
          <w:szCs w:val="24"/>
        </w:rPr>
        <w:t>axiomatic</w:t>
      </w:r>
      <w:r w:rsidR="005231D2" w:rsidRPr="009E6775">
        <w:rPr>
          <w:rFonts w:ascii="Times New Roman" w:hAnsi="Times New Roman" w:cs="Times New Roman"/>
          <w:sz w:val="24"/>
          <w:szCs w:val="24"/>
        </w:rPr>
        <w:t xml:space="preserve"> human rights such as</w:t>
      </w:r>
      <w:r w:rsidRPr="009E6775">
        <w:rPr>
          <w:rFonts w:ascii="Times New Roman" w:hAnsi="Times New Roman" w:cs="Times New Roman"/>
          <w:sz w:val="24"/>
          <w:szCs w:val="24"/>
        </w:rPr>
        <w:t xml:space="preserve"> the right to life</w:t>
      </w:r>
      <w:r w:rsidR="005231D2" w:rsidRPr="009E6775">
        <w:rPr>
          <w:rFonts w:ascii="Times New Roman" w:hAnsi="Times New Roman" w:cs="Times New Roman"/>
          <w:sz w:val="24"/>
          <w:szCs w:val="24"/>
        </w:rPr>
        <w:t xml:space="preserve"> are raised</w:t>
      </w:r>
      <w:r w:rsidRPr="009E6775">
        <w:rPr>
          <w:rFonts w:ascii="Times New Roman" w:hAnsi="Times New Roman" w:cs="Times New Roman"/>
          <w:sz w:val="24"/>
          <w:szCs w:val="24"/>
        </w:rPr>
        <w:t xml:space="preserve">, unsurprisingly, this </w:t>
      </w:r>
      <w:r w:rsidR="00100635" w:rsidRPr="009E6775">
        <w:rPr>
          <w:rFonts w:ascii="Times New Roman" w:hAnsi="Times New Roman" w:cs="Times New Roman"/>
          <w:sz w:val="24"/>
          <w:szCs w:val="24"/>
        </w:rPr>
        <w:t>provides a robust vehicle for</w:t>
      </w:r>
      <w:r w:rsidRPr="009E6775">
        <w:rPr>
          <w:rFonts w:ascii="Times New Roman" w:hAnsi="Times New Roman" w:cs="Times New Roman"/>
          <w:sz w:val="24"/>
          <w:szCs w:val="24"/>
        </w:rPr>
        <w:t xml:space="preserve"> outstri</w:t>
      </w:r>
      <w:r w:rsidR="00100635" w:rsidRPr="009E6775">
        <w:rPr>
          <w:rFonts w:ascii="Times New Roman" w:hAnsi="Times New Roman" w:cs="Times New Roman"/>
          <w:sz w:val="24"/>
          <w:szCs w:val="24"/>
        </w:rPr>
        <w:t>p</w:t>
      </w:r>
      <w:r w:rsidRPr="009E6775">
        <w:rPr>
          <w:rFonts w:ascii="Times New Roman" w:hAnsi="Times New Roman" w:cs="Times New Roman"/>
          <w:sz w:val="24"/>
          <w:szCs w:val="24"/>
        </w:rPr>
        <w:t>p</w:t>
      </w:r>
      <w:r w:rsidR="00100635" w:rsidRPr="009E6775">
        <w:rPr>
          <w:rFonts w:ascii="Times New Roman" w:hAnsi="Times New Roman" w:cs="Times New Roman"/>
          <w:sz w:val="24"/>
          <w:szCs w:val="24"/>
        </w:rPr>
        <w:t xml:space="preserve">ing the </w:t>
      </w:r>
      <w:r w:rsidR="006D115A" w:rsidRPr="009E6775">
        <w:rPr>
          <w:rFonts w:ascii="Times New Roman" w:hAnsi="Times New Roman" w:cs="Times New Roman"/>
          <w:sz w:val="24"/>
          <w:szCs w:val="24"/>
        </w:rPr>
        <w:t>putatively</w:t>
      </w:r>
      <w:r w:rsidR="00D52162" w:rsidRPr="009E6775">
        <w:rPr>
          <w:rFonts w:ascii="Times New Roman" w:hAnsi="Times New Roman" w:cs="Times New Roman"/>
          <w:sz w:val="24"/>
          <w:szCs w:val="24"/>
        </w:rPr>
        <w:t xml:space="preserve"> </w:t>
      </w:r>
      <w:r w:rsidR="00100635" w:rsidRPr="009E6775">
        <w:rPr>
          <w:rFonts w:ascii="Times New Roman" w:hAnsi="Times New Roman" w:cs="Times New Roman"/>
          <w:sz w:val="24"/>
          <w:szCs w:val="24"/>
        </w:rPr>
        <w:t>‘less important rights’ such as the</w:t>
      </w:r>
      <w:r w:rsidRPr="009E6775">
        <w:rPr>
          <w:rFonts w:ascii="Times New Roman" w:hAnsi="Times New Roman" w:cs="Times New Roman"/>
          <w:sz w:val="24"/>
          <w:szCs w:val="24"/>
        </w:rPr>
        <w:t xml:space="preserve"> property rights </w:t>
      </w:r>
      <w:r w:rsidR="00100635" w:rsidRPr="009E6775">
        <w:rPr>
          <w:rFonts w:ascii="Times New Roman" w:hAnsi="Times New Roman" w:cs="Times New Roman"/>
          <w:sz w:val="24"/>
          <w:szCs w:val="24"/>
        </w:rPr>
        <w:t xml:space="preserve">secured </w:t>
      </w:r>
      <w:r w:rsidRPr="009E6775">
        <w:rPr>
          <w:rFonts w:ascii="Times New Roman" w:hAnsi="Times New Roman" w:cs="Times New Roman"/>
          <w:sz w:val="24"/>
          <w:szCs w:val="24"/>
        </w:rPr>
        <w:t>under the law of occupation</w:t>
      </w:r>
      <w:r w:rsidR="008D2C70" w:rsidRPr="009E6775">
        <w:rPr>
          <w:rFonts w:ascii="Times New Roman" w:hAnsi="Times New Roman" w:cs="Times New Roman"/>
          <w:sz w:val="24"/>
          <w:szCs w:val="24"/>
        </w:rPr>
        <w:t xml:space="preserve"> </w:t>
      </w:r>
      <w:r w:rsidR="00100635" w:rsidRPr="009E6775">
        <w:rPr>
          <w:rFonts w:ascii="Times New Roman" w:hAnsi="Times New Roman" w:cs="Times New Roman"/>
          <w:sz w:val="24"/>
          <w:szCs w:val="24"/>
        </w:rPr>
        <w:t>and</w:t>
      </w:r>
      <w:r w:rsidR="008D2C70" w:rsidRPr="009E6775">
        <w:rPr>
          <w:rFonts w:ascii="Times New Roman" w:hAnsi="Times New Roman" w:cs="Times New Roman"/>
          <w:sz w:val="24"/>
          <w:szCs w:val="24"/>
        </w:rPr>
        <w:t xml:space="preserve"> the </w:t>
      </w:r>
      <w:r w:rsidR="008D2C70" w:rsidRPr="009E6775">
        <w:rPr>
          <w:rFonts w:ascii="Times New Roman" w:hAnsi="Times New Roman" w:cs="Times New Roman"/>
          <w:sz w:val="24"/>
          <w:szCs w:val="24"/>
        </w:rPr>
        <w:lastRenderedPageBreak/>
        <w:t xml:space="preserve">right to free movement </w:t>
      </w:r>
      <w:r w:rsidR="00100635" w:rsidRPr="009E6775">
        <w:rPr>
          <w:rFonts w:ascii="Times New Roman" w:hAnsi="Times New Roman" w:cs="Times New Roman"/>
          <w:sz w:val="24"/>
          <w:szCs w:val="24"/>
        </w:rPr>
        <w:t>derived from</w:t>
      </w:r>
      <w:r w:rsidR="008D2C70" w:rsidRPr="009E6775">
        <w:rPr>
          <w:rFonts w:ascii="Times New Roman" w:hAnsi="Times New Roman" w:cs="Times New Roman"/>
          <w:sz w:val="24"/>
          <w:szCs w:val="24"/>
        </w:rPr>
        <w:t xml:space="preserve"> IHRL.</w:t>
      </w:r>
      <w:r w:rsidR="00013B13" w:rsidRPr="009E6775">
        <w:rPr>
          <w:rStyle w:val="aa"/>
          <w:rFonts w:ascii="Times New Roman" w:hAnsi="Times New Roman" w:cs="Times New Roman"/>
          <w:sz w:val="24"/>
          <w:szCs w:val="24"/>
        </w:rPr>
        <w:footnoteReference w:id="99"/>
      </w:r>
      <w:r w:rsidRPr="009E6775">
        <w:rPr>
          <w:rFonts w:ascii="Times New Roman" w:hAnsi="Times New Roman" w:cs="Times New Roman"/>
          <w:sz w:val="24"/>
          <w:szCs w:val="24"/>
        </w:rPr>
        <w:t xml:space="preserve"> </w:t>
      </w:r>
      <w:r w:rsidR="005231D2" w:rsidRPr="009E6775">
        <w:rPr>
          <w:rFonts w:ascii="Times New Roman" w:hAnsi="Times New Roman" w:cs="Times New Roman"/>
          <w:sz w:val="24"/>
          <w:szCs w:val="24"/>
        </w:rPr>
        <w:t xml:space="preserve">Even the cutting edge of proportionality </w:t>
      </w:r>
      <w:r w:rsidR="008D2C70" w:rsidRPr="009E6775">
        <w:rPr>
          <w:rFonts w:ascii="Times New Roman" w:hAnsi="Times New Roman" w:cs="Times New Roman"/>
          <w:sz w:val="24"/>
          <w:szCs w:val="24"/>
        </w:rPr>
        <w:t>loses its lustre</w:t>
      </w:r>
      <w:r w:rsidR="005231D2" w:rsidRPr="009E6775">
        <w:rPr>
          <w:rFonts w:ascii="Times New Roman" w:hAnsi="Times New Roman" w:cs="Times New Roman"/>
          <w:sz w:val="24"/>
          <w:szCs w:val="24"/>
        </w:rPr>
        <w:t xml:space="preserve">. </w:t>
      </w:r>
      <w:r w:rsidR="00A01D52" w:rsidRPr="009E6775">
        <w:rPr>
          <w:rFonts w:ascii="Times New Roman" w:hAnsi="Times New Roman" w:cs="Times New Roman"/>
          <w:sz w:val="24"/>
          <w:szCs w:val="24"/>
        </w:rPr>
        <w:t>As suggested by Weil, the</w:t>
      </w:r>
      <w:r w:rsidR="005231D2" w:rsidRPr="009E6775">
        <w:rPr>
          <w:rFonts w:ascii="Times New Roman" w:hAnsi="Times New Roman" w:cs="Times New Roman"/>
          <w:sz w:val="24"/>
          <w:szCs w:val="24"/>
        </w:rPr>
        <w:t xml:space="preserve"> extent to which the judges can </w:t>
      </w:r>
      <w:r w:rsidR="00F0303D" w:rsidRPr="009E6775">
        <w:rPr>
          <w:rFonts w:ascii="Times New Roman" w:hAnsi="Times New Roman" w:cs="Times New Roman"/>
          <w:sz w:val="24"/>
          <w:szCs w:val="24"/>
        </w:rPr>
        <w:t>ascertain</w:t>
      </w:r>
      <w:r w:rsidR="005231D2" w:rsidRPr="009E6775">
        <w:rPr>
          <w:rFonts w:ascii="Times New Roman" w:hAnsi="Times New Roman" w:cs="Times New Roman"/>
          <w:sz w:val="24"/>
          <w:szCs w:val="24"/>
        </w:rPr>
        <w:t xml:space="preserve"> any alleged violations of customary rules of occupation may be compromised by their national</w:t>
      </w:r>
      <w:r w:rsidR="00D31D64" w:rsidRPr="009E6775">
        <w:rPr>
          <w:rFonts w:ascii="Times New Roman" w:hAnsi="Times New Roman" w:cs="Times New Roman"/>
          <w:sz w:val="24"/>
          <w:szCs w:val="24"/>
        </w:rPr>
        <w:t xml:space="preserve"> </w:t>
      </w:r>
      <w:r w:rsidR="00E5333C" w:rsidRPr="009E6775">
        <w:rPr>
          <w:rFonts w:ascii="Times New Roman" w:hAnsi="Times New Roman" w:cs="Times New Roman"/>
          <w:sz w:val="24"/>
          <w:szCs w:val="24"/>
        </w:rPr>
        <w:t>instinct</w:t>
      </w:r>
      <w:r w:rsidR="005231D2" w:rsidRPr="009E6775">
        <w:rPr>
          <w:rFonts w:ascii="Times New Roman" w:hAnsi="Times New Roman" w:cs="Times New Roman"/>
          <w:sz w:val="24"/>
          <w:szCs w:val="24"/>
        </w:rPr>
        <w:t xml:space="preserve"> to give primacy to human rights of their citizens</w:t>
      </w:r>
      <w:r w:rsidR="00D52162" w:rsidRPr="009E6775">
        <w:rPr>
          <w:rFonts w:ascii="Times New Roman" w:hAnsi="Times New Roman" w:cs="Times New Roman"/>
          <w:sz w:val="24"/>
          <w:szCs w:val="24"/>
        </w:rPr>
        <w:t>.</w:t>
      </w:r>
      <w:r w:rsidR="00D52162" w:rsidRPr="009E6775">
        <w:rPr>
          <w:rStyle w:val="aa"/>
          <w:rFonts w:ascii="Times New Roman" w:hAnsi="Times New Roman" w:cs="Times New Roman"/>
          <w:sz w:val="24"/>
          <w:szCs w:val="24"/>
        </w:rPr>
        <w:footnoteReference w:id="100"/>
      </w:r>
    </w:p>
    <w:p w14:paraId="1607024E" w14:textId="77777777" w:rsidR="00AA5D78" w:rsidRPr="009E6775" w:rsidRDefault="00AA5D78" w:rsidP="0081540D">
      <w:pPr>
        <w:rPr>
          <w:rFonts w:ascii="Times New Roman" w:hAnsi="Times New Roman" w:cs="Times New Roman"/>
          <w:sz w:val="24"/>
          <w:szCs w:val="24"/>
        </w:rPr>
      </w:pPr>
    </w:p>
    <w:p w14:paraId="466850E4" w14:textId="24641133" w:rsidR="0075673F" w:rsidRPr="009E6775" w:rsidRDefault="0075673F" w:rsidP="0081540D">
      <w:pPr>
        <w:rPr>
          <w:rFonts w:ascii="Times New Roman" w:hAnsi="Times New Roman" w:cs="Times New Roman"/>
          <w:sz w:val="24"/>
          <w:szCs w:val="24"/>
        </w:rPr>
      </w:pPr>
      <w:r w:rsidRPr="009E6775">
        <w:rPr>
          <w:rFonts w:ascii="Times New Roman" w:hAnsi="Times New Roman" w:cs="Times New Roman"/>
          <w:sz w:val="24"/>
          <w:szCs w:val="24"/>
        </w:rPr>
        <w:t xml:space="preserve">As regards </w:t>
      </w:r>
      <w:r w:rsidR="0067044E" w:rsidRPr="009E6775">
        <w:rPr>
          <w:rFonts w:ascii="Times New Roman" w:hAnsi="Times New Roman" w:cs="Times New Roman"/>
          <w:sz w:val="24"/>
          <w:szCs w:val="24"/>
        </w:rPr>
        <w:t>trait</w:t>
      </w:r>
      <w:r w:rsidRPr="009E6775">
        <w:rPr>
          <w:rFonts w:ascii="Times New Roman" w:hAnsi="Times New Roman" w:cs="Times New Roman"/>
          <w:sz w:val="24"/>
          <w:szCs w:val="24"/>
        </w:rPr>
        <w:t xml:space="preserve"> (2), </w:t>
      </w:r>
      <w:r w:rsidR="009616B2" w:rsidRPr="009E6775">
        <w:rPr>
          <w:rFonts w:ascii="Times New Roman" w:hAnsi="Times New Roman" w:cs="Times New Roman"/>
          <w:sz w:val="24"/>
          <w:szCs w:val="24"/>
        </w:rPr>
        <w:t xml:space="preserve">in </w:t>
      </w:r>
      <w:r w:rsidRPr="009E6775">
        <w:rPr>
          <w:rFonts w:ascii="Times New Roman" w:hAnsi="Times New Roman" w:cs="Times New Roman"/>
          <w:i/>
          <w:iCs/>
          <w:sz w:val="24"/>
          <w:szCs w:val="24"/>
        </w:rPr>
        <w:t xml:space="preserve">Hebron Municipality </w:t>
      </w:r>
      <w:r w:rsidRPr="009E6775">
        <w:rPr>
          <w:rFonts w:ascii="Times New Roman" w:hAnsi="Times New Roman" w:cs="Times New Roman"/>
          <w:sz w:val="24"/>
          <w:szCs w:val="24"/>
        </w:rPr>
        <w:t>(2019)</w:t>
      </w:r>
      <w:r w:rsidR="009616B2" w:rsidRPr="009E6775">
        <w:rPr>
          <w:rFonts w:ascii="Times New Roman" w:hAnsi="Times New Roman" w:cs="Times New Roman"/>
          <w:sz w:val="24"/>
          <w:szCs w:val="24"/>
        </w:rPr>
        <w:t>,</w:t>
      </w:r>
      <w:r w:rsidR="001F02C9" w:rsidRPr="009E6775">
        <w:rPr>
          <w:rStyle w:val="aa"/>
          <w:rFonts w:ascii="Times New Roman" w:hAnsi="Times New Roman" w:cs="Times New Roman"/>
          <w:sz w:val="24"/>
          <w:szCs w:val="24"/>
        </w:rPr>
        <w:footnoteReference w:id="101"/>
      </w:r>
      <w:r w:rsidRPr="009E6775">
        <w:rPr>
          <w:rFonts w:ascii="Times New Roman" w:hAnsi="Times New Roman" w:cs="Times New Roman"/>
          <w:sz w:val="24"/>
          <w:szCs w:val="24"/>
        </w:rPr>
        <w:t xml:space="preserve"> which concerned the military order for settlements that created different legal regimes between the Israeli settlers and the Palestinians</w:t>
      </w:r>
      <w:r w:rsidR="009616B2"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the </w:t>
      </w:r>
      <w:r w:rsidR="00815986" w:rsidRPr="009E6775">
        <w:rPr>
          <w:rFonts w:ascii="Times New Roman" w:hAnsi="Times New Roman" w:cs="Times New Roman"/>
          <w:sz w:val="24"/>
          <w:szCs w:val="24"/>
        </w:rPr>
        <w:t>SC</w:t>
      </w:r>
      <w:r w:rsidRPr="009E6775">
        <w:rPr>
          <w:rFonts w:ascii="Times New Roman" w:hAnsi="Times New Roman" w:cs="Times New Roman"/>
          <w:sz w:val="24"/>
          <w:szCs w:val="24"/>
        </w:rPr>
        <w:t xml:space="preserve"> endorsed the commanders’ power to reflect changes as part of their duty to ensure public order under Article 43 Hague Regulations. </w:t>
      </w:r>
      <w:r w:rsidR="009616B2" w:rsidRPr="009E6775">
        <w:rPr>
          <w:rFonts w:ascii="Times New Roman" w:hAnsi="Times New Roman" w:cs="Times New Roman"/>
          <w:sz w:val="24"/>
          <w:szCs w:val="24"/>
        </w:rPr>
        <w:t>Yet</w:t>
      </w:r>
      <w:r w:rsidRPr="009E6775">
        <w:rPr>
          <w:rFonts w:ascii="Times New Roman" w:hAnsi="Times New Roman" w:cs="Times New Roman"/>
          <w:sz w:val="24"/>
          <w:szCs w:val="24"/>
        </w:rPr>
        <w:t xml:space="preserve">, </w:t>
      </w:r>
      <w:r w:rsidR="001A63D3" w:rsidRPr="009E6775">
        <w:rPr>
          <w:rFonts w:ascii="Times New Roman" w:hAnsi="Times New Roman" w:cs="Times New Roman"/>
          <w:sz w:val="24"/>
          <w:szCs w:val="24"/>
        </w:rPr>
        <w:t xml:space="preserve">there is </w:t>
      </w:r>
      <w:r w:rsidR="00CB3865" w:rsidRPr="009E6775">
        <w:rPr>
          <w:rFonts w:ascii="Times New Roman" w:hAnsi="Times New Roman" w:cs="Times New Roman"/>
          <w:sz w:val="24"/>
          <w:szCs w:val="24"/>
        </w:rPr>
        <w:t>much of</w:t>
      </w:r>
      <w:r w:rsidR="001A63D3" w:rsidRPr="009E6775">
        <w:rPr>
          <w:rFonts w:ascii="Times New Roman" w:hAnsi="Times New Roman" w:cs="Times New Roman"/>
          <w:sz w:val="24"/>
          <w:szCs w:val="24"/>
        </w:rPr>
        <w:t xml:space="preserve"> persuasive force in</w:t>
      </w:r>
      <w:r w:rsidR="009616B2" w:rsidRPr="009E6775">
        <w:rPr>
          <w:rFonts w:ascii="Times New Roman" w:hAnsi="Times New Roman" w:cs="Times New Roman"/>
          <w:sz w:val="24"/>
          <w:szCs w:val="24"/>
        </w:rPr>
        <w:t xml:space="preserve"> </w:t>
      </w:r>
      <w:r w:rsidR="00A660BC" w:rsidRPr="009E6775">
        <w:rPr>
          <w:rFonts w:ascii="Times New Roman" w:hAnsi="Times New Roman" w:cs="Times New Roman"/>
          <w:sz w:val="24"/>
          <w:szCs w:val="24"/>
        </w:rPr>
        <w:t>Kretzmer</w:t>
      </w:r>
      <w:r w:rsidR="001A63D3" w:rsidRPr="009E6775">
        <w:rPr>
          <w:rFonts w:ascii="Times New Roman" w:hAnsi="Times New Roman" w:cs="Times New Roman"/>
          <w:sz w:val="24"/>
          <w:szCs w:val="24"/>
        </w:rPr>
        <w:t>’s</w:t>
      </w:r>
      <w:r w:rsidR="00A660BC" w:rsidRPr="009E6775">
        <w:rPr>
          <w:rFonts w:ascii="Times New Roman" w:hAnsi="Times New Roman" w:cs="Times New Roman"/>
          <w:sz w:val="24"/>
          <w:szCs w:val="24"/>
        </w:rPr>
        <w:t xml:space="preserve"> and Rone</w:t>
      </w:r>
      <w:r w:rsidR="001A63D3" w:rsidRPr="009E6775">
        <w:rPr>
          <w:rFonts w:ascii="Times New Roman" w:hAnsi="Times New Roman" w:cs="Times New Roman"/>
          <w:sz w:val="24"/>
          <w:szCs w:val="24"/>
        </w:rPr>
        <w:t>’s criticism that t</w:t>
      </w:r>
      <w:r w:rsidR="009616B2" w:rsidRPr="009E6775">
        <w:rPr>
          <w:rFonts w:ascii="Times New Roman" w:hAnsi="Times New Roman" w:cs="Times New Roman"/>
          <w:sz w:val="24"/>
          <w:szCs w:val="24"/>
        </w:rPr>
        <w:t xml:space="preserve">he </w:t>
      </w:r>
      <w:r w:rsidR="00815986" w:rsidRPr="009E6775">
        <w:rPr>
          <w:rFonts w:ascii="Times New Roman" w:hAnsi="Times New Roman" w:cs="Times New Roman"/>
          <w:sz w:val="24"/>
          <w:szCs w:val="24"/>
        </w:rPr>
        <w:t>SC</w:t>
      </w:r>
      <w:r w:rsidR="001A63D3" w:rsidRPr="009E6775">
        <w:rPr>
          <w:rFonts w:ascii="Times New Roman" w:hAnsi="Times New Roman" w:cs="Times New Roman"/>
          <w:sz w:val="24"/>
          <w:szCs w:val="24"/>
        </w:rPr>
        <w:t xml:space="preserve"> </w:t>
      </w:r>
      <w:r w:rsidR="006D115A" w:rsidRPr="009E6775">
        <w:rPr>
          <w:rFonts w:ascii="Times New Roman" w:hAnsi="Times New Roman" w:cs="Times New Roman"/>
          <w:sz w:val="24"/>
          <w:szCs w:val="24"/>
        </w:rPr>
        <w:t>stood</w:t>
      </w:r>
      <w:r w:rsidR="001A63D3" w:rsidRPr="009E6775">
        <w:rPr>
          <w:rFonts w:ascii="Times New Roman" w:hAnsi="Times New Roman" w:cs="Times New Roman"/>
          <w:sz w:val="24"/>
          <w:szCs w:val="24"/>
        </w:rPr>
        <w:t xml:space="preserve"> </w:t>
      </w:r>
      <w:r w:rsidR="009616B2" w:rsidRPr="009E6775">
        <w:rPr>
          <w:rFonts w:ascii="Times New Roman" w:hAnsi="Times New Roman" w:cs="Times New Roman"/>
          <w:sz w:val="24"/>
          <w:szCs w:val="24"/>
        </w:rPr>
        <w:t>blind</w:t>
      </w:r>
      <w:r w:rsidR="001A63D3" w:rsidRPr="009E6775">
        <w:rPr>
          <w:rFonts w:ascii="Times New Roman" w:hAnsi="Times New Roman" w:cs="Times New Roman"/>
          <w:sz w:val="24"/>
          <w:szCs w:val="24"/>
        </w:rPr>
        <w:t xml:space="preserve"> </w:t>
      </w:r>
      <w:r w:rsidR="009616B2" w:rsidRPr="009E6775">
        <w:rPr>
          <w:rFonts w:ascii="Times New Roman" w:hAnsi="Times New Roman" w:cs="Times New Roman"/>
          <w:sz w:val="24"/>
          <w:szCs w:val="24"/>
        </w:rPr>
        <w:t xml:space="preserve">to epistemic difference between </w:t>
      </w:r>
      <w:r w:rsidRPr="009E6775">
        <w:rPr>
          <w:rFonts w:ascii="Times New Roman" w:hAnsi="Times New Roman" w:cs="Times New Roman"/>
          <w:sz w:val="24"/>
          <w:szCs w:val="24"/>
        </w:rPr>
        <w:t xml:space="preserve">changes </w:t>
      </w:r>
      <w:r w:rsidR="006D115A" w:rsidRPr="009E6775">
        <w:rPr>
          <w:rFonts w:ascii="Times New Roman" w:hAnsi="Times New Roman" w:cs="Times New Roman"/>
          <w:sz w:val="24"/>
          <w:szCs w:val="24"/>
        </w:rPr>
        <w:t xml:space="preserve">occurring </w:t>
      </w:r>
      <w:r w:rsidRPr="009E6775">
        <w:rPr>
          <w:rFonts w:ascii="Times New Roman" w:hAnsi="Times New Roman" w:cs="Times New Roman"/>
          <w:sz w:val="24"/>
          <w:szCs w:val="24"/>
        </w:rPr>
        <w:t>as a natural consequence of the passage of time and deliberate changes wrought by the occupying power in breach of the law of occupation.</w:t>
      </w:r>
      <w:r w:rsidRPr="009E6775">
        <w:rPr>
          <w:rStyle w:val="aa"/>
          <w:rFonts w:ascii="Times New Roman" w:hAnsi="Times New Roman" w:cs="Times New Roman"/>
          <w:sz w:val="24"/>
          <w:szCs w:val="24"/>
        </w:rPr>
        <w:footnoteReference w:id="102"/>
      </w:r>
      <w:r w:rsidRPr="009E6775">
        <w:rPr>
          <w:rFonts w:ascii="Times New Roman" w:hAnsi="Times New Roman" w:cs="Times New Roman"/>
          <w:sz w:val="24"/>
          <w:szCs w:val="24"/>
        </w:rPr>
        <w:t xml:space="preserve"> </w:t>
      </w:r>
    </w:p>
    <w:p w14:paraId="75E5DE48" w14:textId="77777777" w:rsidR="00516DC5" w:rsidRPr="009E6775" w:rsidRDefault="00516DC5" w:rsidP="0081540D">
      <w:pPr>
        <w:rPr>
          <w:rFonts w:ascii="Times New Roman" w:hAnsi="Times New Roman" w:cs="Times New Roman"/>
          <w:sz w:val="24"/>
          <w:szCs w:val="24"/>
        </w:rPr>
      </w:pPr>
    </w:p>
    <w:p w14:paraId="5B2B57A8" w14:textId="77777777" w:rsidR="00C76929" w:rsidRPr="009E6775" w:rsidRDefault="0017695E" w:rsidP="0081540D">
      <w:pPr>
        <w:rPr>
          <w:rFonts w:ascii="Times New Roman" w:hAnsi="Times New Roman" w:cs="Times New Roman"/>
          <w:sz w:val="24"/>
          <w:szCs w:val="24"/>
          <w:shd w:val="clear" w:color="auto" w:fill="FFFFFF"/>
        </w:rPr>
      </w:pPr>
      <w:r w:rsidRPr="009E6775">
        <w:rPr>
          <w:rFonts w:ascii="Times New Roman" w:hAnsi="Times New Roman" w:cs="Times New Roman"/>
          <w:sz w:val="24"/>
          <w:szCs w:val="24"/>
        </w:rPr>
        <w:t xml:space="preserve">As a possible solution to </w:t>
      </w:r>
      <w:r w:rsidR="0081435A" w:rsidRPr="009E6775">
        <w:rPr>
          <w:rFonts w:ascii="Times New Roman" w:hAnsi="Times New Roman" w:cs="Times New Roman"/>
          <w:sz w:val="24"/>
          <w:szCs w:val="24"/>
        </w:rPr>
        <w:t xml:space="preserve">the </w:t>
      </w:r>
      <w:r w:rsidR="0067044E" w:rsidRPr="009E6775">
        <w:rPr>
          <w:rFonts w:ascii="Times New Roman" w:hAnsi="Times New Roman" w:cs="Times New Roman"/>
          <w:sz w:val="24"/>
          <w:szCs w:val="24"/>
        </w:rPr>
        <w:t xml:space="preserve">question </w:t>
      </w:r>
      <w:r w:rsidRPr="009E6775">
        <w:rPr>
          <w:rFonts w:ascii="Times New Roman" w:hAnsi="Times New Roman" w:cs="Times New Roman"/>
          <w:sz w:val="24"/>
          <w:szCs w:val="24"/>
        </w:rPr>
        <w:t xml:space="preserve">who </w:t>
      </w:r>
      <w:r w:rsidR="00815986" w:rsidRPr="009E6775">
        <w:rPr>
          <w:rFonts w:ascii="Times New Roman" w:hAnsi="Times New Roman" w:cs="Times New Roman"/>
          <w:sz w:val="24"/>
          <w:szCs w:val="24"/>
        </w:rPr>
        <w:t>constitutes</w:t>
      </w:r>
      <w:r w:rsidRPr="009E6775">
        <w:rPr>
          <w:rFonts w:ascii="Times New Roman" w:hAnsi="Times New Roman" w:cs="Times New Roman"/>
          <w:sz w:val="24"/>
          <w:szCs w:val="24"/>
        </w:rPr>
        <w:t xml:space="preserve"> the local people under </w:t>
      </w:r>
      <w:r w:rsidR="0081435A" w:rsidRPr="009E6775">
        <w:rPr>
          <w:rFonts w:ascii="Times New Roman" w:hAnsi="Times New Roman" w:cs="Times New Roman"/>
          <w:sz w:val="24"/>
          <w:szCs w:val="24"/>
        </w:rPr>
        <w:t xml:space="preserve">the law of </w:t>
      </w:r>
      <w:r w:rsidRPr="009E6775">
        <w:rPr>
          <w:rFonts w:ascii="Times New Roman" w:hAnsi="Times New Roman" w:cs="Times New Roman"/>
          <w:sz w:val="24"/>
          <w:szCs w:val="24"/>
        </w:rPr>
        <w:t xml:space="preserve">occupation, </w:t>
      </w:r>
      <w:r w:rsidR="005231D2" w:rsidRPr="009E6775">
        <w:rPr>
          <w:rFonts w:ascii="Times New Roman" w:hAnsi="Times New Roman" w:cs="Times New Roman"/>
          <w:sz w:val="24"/>
          <w:szCs w:val="24"/>
        </w:rPr>
        <w:t xml:space="preserve">this author suggests </w:t>
      </w:r>
      <w:r w:rsidR="00F874EC" w:rsidRPr="009E6775">
        <w:rPr>
          <w:rFonts w:ascii="Times New Roman" w:hAnsi="Times New Roman" w:cs="Times New Roman"/>
          <w:sz w:val="24"/>
          <w:szCs w:val="24"/>
        </w:rPr>
        <w:t xml:space="preserve">that </w:t>
      </w:r>
      <w:r w:rsidR="0081435A" w:rsidRPr="009E6775">
        <w:rPr>
          <w:rFonts w:ascii="Times New Roman" w:hAnsi="Times New Roman" w:cs="Times New Roman"/>
          <w:sz w:val="24"/>
          <w:szCs w:val="24"/>
        </w:rPr>
        <w:t xml:space="preserve">Article 43 Hague Regulations </w:t>
      </w:r>
      <w:r w:rsidRPr="009E6775">
        <w:rPr>
          <w:rFonts w:ascii="Times New Roman" w:hAnsi="Times New Roman" w:cs="Times New Roman"/>
          <w:sz w:val="24"/>
          <w:szCs w:val="24"/>
        </w:rPr>
        <w:t>be read together with Article 64 GC IV</w:t>
      </w:r>
      <w:r w:rsidRPr="009E6775">
        <w:rPr>
          <w:rStyle w:val="aa"/>
          <w:rFonts w:ascii="Times New Roman" w:hAnsi="Times New Roman" w:cs="Times New Roman"/>
          <w:sz w:val="24"/>
          <w:szCs w:val="24"/>
        </w:rPr>
        <w:footnoteReference w:id="103"/>
      </w:r>
      <w:r w:rsidRPr="009E6775">
        <w:rPr>
          <w:rFonts w:ascii="Times New Roman" w:hAnsi="Times New Roman" w:cs="Times New Roman"/>
          <w:sz w:val="24"/>
          <w:szCs w:val="24"/>
        </w:rPr>
        <w:t xml:space="preserve"> whose declaratory attribute is beyond dispute. </w:t>
      </w:r>
      <w:r w:rsidR="00CB3865" w:rsidRPr="009E6775">
        <w:rPr>
          <w:rFonts w:ascii="Times New Roman" w:hAnsi="Times New Roman" w:cs="Times New Roman"/>
          <w:sz w:val="24"/>
          <w:szCs w:val="24"/>
        </w:rPr>
        <w:t>As Ferraro notes, the</w:t>
      </w:r>
      <w:r w:rsidR="0067044E" w:rsidRPr="009E6775">
        <w:rPr>
          <w:rFonts w:ascii="Times New Roman" w:hAnsi="Times New Roman" w:cs="Times New Roman"/>
          <w:sz w:val="24"/>
          <w:szCs w:val="24"/>
        </w:rPr>
        <w:t xml:space="preserve"> latter </w:t>
      </w:r>
      <w:r w:rsidR="0081435A" w:rsidRPr="009E6775">
        <w:rPr>
          <w:rFonts w:ascii="Times New Roman" w:hAnsi="Times New Roman" w:cs="Times New Roman"/>
          <w:sz w:val="24"/>
          <w:szCs w:val="24"/>
        </w:rPr>
        <w:t>provision</w:t>
      </w:r>
      <w:r w:rsidR="00F65ACF" w:rsidRPr="009E6775">
        <w:rPr>
          <w:rFonts w:ascii="Times New Roman" w:hAnsi="Times New Roman" w:cs="Times New Roman"/>
          <w:sz w:val="24"/>
          <w:szCs w:val="24"/>
        </w:rPr>
        <w:t xml:space="preserve">, influenced by IHRL and the welfare concept, </w:t>
      </w:r>
      <w:r w:rsidR="0081435A" w:rsidRPr="009E6775">
        <w:rPr>
          <w:rFonts w:ascii="Times New Roman" w:hAnsi="Times New Roman" w:cs="Times New Roman"/>
          <w:sz w:val="24"/>
          <w:szCs w:val="24"/>
        </w:rPr>
        <w:t xml:space="preserve">underscores a </w:t>
      </w:r>
      <w:r w:rsidR="005A5B78" w:rsidRPr="009E6775">
        <w:rPr>
          <w:rFonts w:ascii="Times New Roman" w:hAnsi="Times New Roman" w:cs="Times New Roman"/>
          <w:sz w:val="24"/>
          <w:szCs w:val="24"/>
        </w:rPr>
        <w:t>v</w:t>
      </w:r>
      <w:r w:rsidR="0081435A" w:rsidRPr="009E6775">
        <w:rPr>
          <w:rFonts w:ascii="Times New Roman" w:hAnsi="Times New Roman" w:cs="Times New Roman"/>
          <w:sz w:val="24"/>
          <w:szCs w:val="24"/>
        </w:rPr>
        <w:t>ertical configuration</w:t>
      </w:r>
      <w:r w:rsidR="002B5715" w:rsidRPr="009E6775">
        <w:rPr>
          <w:rStyle w:val="aa"/>
          <w:rFonts w:ascii="Times New Roman" w:hAnsi="Times New Roman" w:cs="Times New Roman"/>
          <w:sz w:val="24"/>
          <w:szCs w:val="24"/>
        </w:rPr>
        <w:footnoteReference w:id="104"/>
      </w:r>
      <w:r w:rsidR="005A5B78" w:rsidRPr="009E6775">
        <w:rPr>
          <w:rFonts w:ascii="Times New Roman" w:hAnsi="Times New Roman" w:cs="Times New Roman"/>
          <w:sz w:val="24"/>
          <w:szCs w:val="24"/>
        </w:rPr>
        <w:t xml:space="preserve"> between </w:t>
      </w:r>
      <w:r w:rsidR="00F65ACF" w:rsidRPr="009E6775">
        <w:rPr>
          <w:rFonts w:ascii="Times New Roman" w:hAnsi="Times New Roman" w:cs="Times New Roman"/>
          <w:sz w:val="24"/>
          <w:szCs w:val="24"/>
        </w:rPr>
        <w:t xml:space="preserve">the </w:t>
      </w:r>
      <w:r w:rsidR="005A5B78" w:rsidRPr="009E6775">
        <w:rPr>
          <w:rFonts w:ascii="Times New Roman" w:hAnsi="Times New Roman" w:cs="Times New Roman"/>
          <w:sz w:val="24"/>
          <w:szCs w:val="24"/>
        </w:rPr>
        <w:t xml:space="preserve">occupying </w:t>
      </w:r>
      <w:r w:rsidR="00F65ACF" w:rsidRPr="009E6775">
        <w:rPr>
          <w:rFonts w:ascii="Times New Roman" w:hAnsi="Times New Roman" w:cs="Times New Roman"/>
          <w:sz w:val="24"/>
          <w:szCs w:val="24"/>
        </w:rPr>
        <w:t xml:space="preserve">authority </w:t>
      </w:r>
      <w:r w:rsidR="005A5B78" w:rsidRPr="009E6775">
        <w:rPr>
          <w:rFonts w:ascii="Times New Roman" w:hAnsi="Times New Roman" w:cs="Times New Roman"/>
          <w:sz w:val="24"/>
          <w:szCs w:val="24"/>
        </w:rPr>
        <w:t>and th</w:t>
      </w:r>
      <w:r w:rsidR="00F65ACF" w:rsidRPr="009E6775">
        <w:rPr>
          <w:rFonts w:ascii="Times New Roman" w:hAnsi="Times New Roman" w:cs="Times New Roman"/>
          <w:sz w:val="24"/>
          <w:szCs w:val="24"/>
        </w:rPr>
        <w:t xml:space="preserve">e occupied population. </w:t>
      </w:r>
      <w:r w:rsidR="00C855F3" w:rsidRPr="009E6775">
        <w:rPr>
          <w:rFonts w:ascii="Times New Roman" w:hAnsi="Times New Roman" w:cs="Times New Roman"/>
          <w:sz w:val="24"/>
          <w:szCs w:val="24"/>
        </w:rPr>
        <w:t>Admittedly</w:t>
      </w:r>
      <w:r w:rsidRPr="009E6775">
        <w:rPr>
          <w:rFonts w:ascii="Times New Roman" w:hAnsi="Times New Roman" w:cs="Times New Roman"/>
          <w:sz w:val="24"/>
          <w:szCs w:val="24"/>
        </w:rPr>
        <w:t xml:space="preserve">, even </w:t>
      </w:r>
      <w:r w:rsidR="00F110EC" w:rsidRPr="009E6775">
        <w:rPr>
          <w:rFonts w:ascii="Times New Roman" w:hAnsi="Times New Roman" w:cs="Times New Roman"/>
          <w:sz w:val="24"/>
          <w:szCs w:val="24"/>
        </w:rPr>
        <w:t xml:space="preserve">Article 64 GC IV </w:t>
      </w:r>
      <w:r w:rsidRPr="009E6775">
        <w:rPr>
          <w:rFonts w:ascii="Times New Roman" w:hAnsi="Times New Roman" w:cs="Times New Roman"/>
          <w:sz w:val="24"/>
          <w:szCs w:val="24"/>
        </w:rPr>
        <w:t xml:space="preserve">mentions the ‘population of the occupied territories’ rather than ‘the protected persons’, the distinct term defined in Article 4 GC IV. </w:t>
      </w:r>
      <w:r w:rsidR="00F65ACF" w:rsidRPr="009E6775">
        <w:rPr>
          <w:rFonts w:ascii="Times New Roman" w:hAnsi="Times New Roman" w:cs="Times New Roman"/>
          <w:sz w:val="24"/>
          <w:szCs w:val="24"/>
          <w:shd w:val="clear" w:color="auto" w:fill="FFFFFF"/>
        </w:rPr>
        <w:t xml:space="preserve">Yet, </w:t>
      </w:r>
      <w:r w:rsidR="00C76E61" w:rsidRPr="009E6775">
        <w:rPr>
          <w:rFonts w:ascii="Times New Roman" w:hAnsi="Times New Roman" w:cs="Times New Roman"/>
          <w:sz w:val="24"/>
          <w:szCs w:val="24"/>
          <w:shd w:val="clear" w:color="auto" w:fill="FFFFFF"/>
        </w:rPr>
        <w:t xml:space="preserve">the provisions of GC IV, save for Part II, contemplate </w:t>
      </w:r>
      <w:r w:rsidR="00CB3865" w:rsidRPr="009E6775">
        <w:rPr>
          <w:rFonts w:ascii="Times New Roman" w:hAnsi="Times New Roman" w:cs="Times New Roman"/>
          <w:sz w:val="24"/>
          <w:szCs w:val="24"/>
          <w:shd w:val="clear" w:color="auto" w:fill="FFFFFF"/>
        </w:rPr>
        <w:t xml:space="preserve">that </w:t>
      </w:r>
      <w:r w:rsidR="00C76E61" w:rsidRPr="009E6775">
        <w:rPr>
          <w:rFonts w:ascii="Times New Roman" w:hAnsi="Times New Roman" w:cs="Times New Roman"/>
          <w:sz w:val="24"/>
          <w:szCs w:val="24"/>
          <w:shd w:val="clear" w:color="auto" w:fill="FFFFFF"/>
        </w:rPr>
        <w:t xml:space="preserve">the scope of application </w:t>
      </w:r>
      <w:r w:rsidR="00F65ACF" w:rsidRPr="009E6775">
        <w:rPr>
          <w:rFonts w:ascii="Times New Roman" w:hAnsi="Times New Roman" w:cs="Times New Roman"/>
          <w:i/>
          <w:iCs/>
          <w:sz w:val="24"/>
          <w:szCs w:val="24"/>
          <w:shd w:val="clear" w:color="auto" w:fill="FFFFFF"/>
        </w:rPr>
        <w:t xml:space="preserve">ratione personae </w:t>
      </w:r>
      <w:r w:rsidR="00CB3865" w:rsidRPr="009E6775">
        <w:rPr>
          <w:rFonts w:ascii="Times New Roman" w:hAnsi="Times New Roman" w:cs="Times New Roman"/>
          <w:sz w:val="24"/>
          <w:szCs w:val="24"/>
          <w:shd w:val="clear" w:color="auto" w:fill="FFFFFF"/>
        </w:rPr>
        <w:t>is confined only to</w:t>
      </w:r>
      <w:r w:rsidR="00C76E61" w:rsidRPr="009E6775">
        <w:rPr>
          <w:rFonts w:ascii="Times New Roman" w:hAnsi="Times New Roman" w:cs="Times New Roman"/>
          <w:sz w:val="24"/>
          <w:szCs w:val="24"/>
          <w:shd w:val="clear" w:color="auto" w:fill="FFFFFF"/>
        </w:rPr>
        <w:t xml:space="preserve"> the ‘protected persons’</w:t>
      </w:r>
      <w:r w:rsidR="00F65ACF" w:rsidRPr="009E6775">
        <w:rPr>
          <w:rFonts w:ascii="Times New Roman" w:hAnsi="Times New Roman" w:cs="Times New Roman"/>
          <w:sz w:val="24"/>
          <w:szCs w:val="24"/>
          <w:shd w:val="clear" w:color="auto" w:fill="FFFFFF"/>
        </w:rPr>
        <w:t xml:space="preserve"> defined in Article 4 GC IV.</w:t>
      </w:r>
      <w:r w:rsidR="00A85FDE" w:rsidRPr="009E6775">
        <w:rPr>
          <w:rFonts w:ascii="Times New Roman" w:hAnsi="Times New Roman" w:cs="Times New Roman"/>
          <w:sz w:val="24"/>
          <w:szCs w:val="24"/>
          <w:shd w:val="clear" w:color="auto" w:fill="FFFFFF"/>
        </w:rPr>
        <w:t xml:space="preserve"> </w:t>
      </w:r>
    </w:p>
    <w:p w14:paraId="0C17A999" w14:textId="77777777" w:rsidR="00AA7506" w:rsidRPr="009E6775" w:rsidRDefault="00AA7506" w:rsidP="0081540D">
      <w:pPr>
        <w:rPr>
          <w:rFonts w:ascii="Times New Roman" w:hAnsi="Times New Roman" w:cs="Times New Roman"/>
          <w:sz w:val="24"/>
          <w:szCs w:val="24"/>
        </w:rPr>
      </w:pPr>
    </w:p>
    <w:p w14:paraId="4CC8E1D2" w14:textId="14166B6F" w:rsidR="0083143B" w:rsidRPr="008156BB" w:rsidRDefault="002A4BCA" w:rsidP="008156BB">
      <w:pPr>
        <w:pStyle w:val="a3"/>
        <w:numPr>
          <w:ilvl w:val="0"/>
          <w:numId w:val="17"/>
        </w:numPr>
        <w:ind w:leftChars="0"/>
        <w:rPr>
          <w:rFonts w:ascii="Times New Roman" w:hAnsi="Times New Roman" w:cs="Times New Roman"/>
          <w:b/>
          <w:bCs/>
          <w:sz w:val="24"/>
          <w:szCs w:val="24"/>
          <w:shd w:val="clear" w:color="auto" w:fill="FFFFFF"/>
        </w:rPr>
      </w:pPr>
      <w:r w:rsidRPr="008156BB">
        <w:rPr>
          <w:rFonts w:ascii="Times New Roman" w:hAnsi="Times New Roman" w:cs="Times New Roman"/>
          <w:b/>
          <w:bCs/>
          <w:sz w:val="24"/>
          <w:szCs w:val="24"/>
        </w:rPr>
        <w:t xml:space="preserve">The </w:t>
      </w:r>
      <w:r w:rsidR="006D4C9B" w:rsidRPr="008156BB">
        <w:rPr>
          <w:rFonts w:ascii="Times New Roman" w:hAnsi="Times New Roman" w:cs="Times New Roman"/>
          <w:b/>
          <w:bCs/>
          <w:sz w:val="24"/>
          <w:szCs w:val="24"/>
        </w:rPr>
        <w:t>C</w:t>
      </w:r>
      <w:r w:rsidR="0083143B" w:rsidRPr="008156BB">
        <w:rPr>
          <w:rFonts w:ascii="Times New Roman" w:hAnsi="Times New Roman" w:cs="Times New Roman"/>
          <w:b/>
          <w:bCs/>
          <w:sz w:val="24"/>
          <w:szCs w:val="24"/>
        </w:rPr>
        <w:t>orrelat</w:t>
      </w:r>
      <w:r w:rsidR="00815986" w:rsidRPr="008156BB">
        <w:rPr>
          <w:rFonts w:ascii="Times New Roman" w:hAnsi="Times New Roman" w:cs="Times New Roman"/>
          <w:b/>
          <w:bCs/>
          <w:sz w:val="24"/>
          <w:szCs w:val="24"/>
        </w:rPr>
        <w:t xml:space="preserve">ive </w:t>
      </w:r>
      <w:r w:rsidR="006D4C9B" w:rsidRPr="008156BB">
        <w:rPr>
          <w:rFonts w:ascii="Times New Roman" w:hAnsi="Times New Roman" w:cs="Times New Roman"/>
          <w:b/>
          <w:bCs/>
          <w:sz w:val="24"/>
          <w:szCs w:val="24"/>
        </w:rPr>
        <w:t>R</w:t>
      </w:r>
      <w:r w:rsidR="00815986" w:rsidRPr="008156BB">
        <w:rPr>
          <w:rFonts w:ascii="Times New Roman" w:hAnsi="Times New Roman" w:cs="Times New Roman"/>
          <w:b/>
          <w:bCs/>
          <w:sz w:val="24"/>
          <w:szCs w:val="24"/>
        </w:rPr>
        <w:t>eading</w:t>
      </w:r>
      <w:r w:rsidR="0083143B" w:rsidRPr="008156BB">
        <w:rPr>
          <w:rFonts w:ascii="Times New Roman" w:hAnsi="Times New Roman" w:cs="Times New Roman"/>
          <w:b/>
          <w:bCs/>
          <w:sz w:val="24"/>
          <w:szCs w:val="24"/>
        </w:rPr>
        <w:t xml:space="preserve"> between </w:t>
      </w:r>
      <w:r w:rsidRPr="008156BB">
        <w:rPr>
          <w:rFonts w:ascii="Times New Roman" w:hAnsi="Times New Roman" w:cs="Times New Roman"/>
          <w:b/>
          <w:bCs/>
          <w:sz w:val="24"/>
          <w:szCs w:val="24"/>
        </w:rPr>
        <w:t xml:space="preserve">the </w:t>
      </w:r>
      <w:r w:rsidR="006D4C9B" w:rsidRPr="008156BB">
        <w:rPr>
          <w:rFonts w:ascii="Times New Roman" w:hAnsi="Times New Roman" w:cs="Times New Roman"/>
          <w:b/>
          <w:bCs/>
          <w:sz w:val="24"/>
          <w:szCs w:val="24"/>
        </w:rPr>
        <w:t>P</w:t>
      </w:r>
      <w:r w:rsidRPr="008156BB">
        <w:rPr>
          <w:rFonts w:ascii="Times New Roman" w:hAnsi="Times New Roman" w:cs="Times New Roman"/>
          <w:b/>
          <w:bCs/>
          <w:sz w:val="24"/>
          <w:szCs w:val="24"/>
        </w:rPr>
        <w:t xml:space="preserve">urpose of </w:t>
      </w:r>
      <w:r w:rsidR="006D4C9B" w:rsidRPr="008156BB">
        <w:rPr>
          <w:rFonts w:ascii="Times New Roman" w:hAnsi="Times New Roman" w:cs="Times New Roman"/>
          <w:b/>
          <w:bCs/>
          <w:sz w:val="24"/>
          <w:szCs w:val="24"/>
        </w:rPr>
        <w:t>E</w:t>
      </w:r>
      <w:r w:rsidRPr="008156BB">
        <w:rPr>
          <w:rFonts w:ascii="Times New Roman" w:hAnsi="Times New Roman" w:cs="Times New Roman"/>
          <w:b/>
          <w:bCs/>
          <w:sz w:val="24"/>
          <w:szCs w:val="24"/>
        </w:rPr>
        <w:t>nsuring</w:t>
      </w:r>
      <w:r w:rsidR="0083143B" w:rsidRPr="008156BB">
        <w:rPr>
          <w:rFonts w:ascii="Times New Roman" w:hAnsi="Times New Roman" w:cs="Times New Roman"/>
          <w:b/>
          <w:bCs/>
          <w:sz w:val="24"/>
          <w:szCs w:val="24"/>
        </w:rPr>
        <w:t xml:space="preserve"> </w:t>
      </w:r>
      <w:r w:rsidRPr="008156BB">
        <w:rPr>
          <w:rFonts w:ascii="Times New Roman" w:hAnsi="Times New Roman" w:cs="Times New Roman"/>
          <w:b/>
          <w:bCs/>
          <w:sz w:val="24"/>
          <w:szCs w:val="24"/>
        </w:rPr>
        <w:t>‘</w:t>
      </w:r>
      <w:r w:rsidR="006D4C9B" w:rsidRPr="008156BB">
        <w:rPr>
          <w:rFonts w:ascii="Times New Roman" w:hAnsi="Times New Roman" w:cs="Times New Roman"/>
          <w:b/>
          <w:bCs/>
          <w:sz w:val="24"/>
          <w:szCs w:val="24"/>
        </w:rPr>
        <w:t>P</w:t>
      </w:r>
      <w:r w:rsidR="0083143B" w:rsidRPr="008156BB">
        <w:rPr>
          <w:rFonts w:ascii="Times New Roman" w:hAnsi="Times New Roman" w:cs="Times New Roman"/>
          <w:b/>
          <w:bCs/>
          <w:sz w:val="24"/>
          <w:szCs w:val="24"/>
        </w:rPr>
        <w:t xml:space="preserve">ublic </w:t>
      </w:r>
      <w:r w:rsidR="006D4C9B" w:rsidRPr="008156BB">
        <w:rPr>
          <w:rFonts w:ascii="Times New Roman" w:hAnsi="Times New Roman" w:cs="Times New Roman"/>
          <w:b/>
          <w:bCs/>
          <w:sz w:val="24"/>
          <w:szCs w:val="24"/>
        </w:rPr>
        <w:t>O</w:t>
      </w:r>
      <w:r w:rsidR="0083143B" w:rsidRPr="008156BB">
        <w:rPr>
          <w:rFonts w:ascii="Times New Roman" w:hAnsi="Times New Roman" w:cs="Times New Roman"/>
          <w:b/>
          <w:bCs/>
          <w:sz w:val="24"/>
          <w:szCs w:val="24"/>
        </w:rPr>
        <w:t xml:space="preserve">rder and </w:t>
      </w:r>
      <w:r w:rsidRPr="008156BB">
        <w:rPr>
          <w:rFonts w:ascii="Times New Roman" w:hAnsi="Times New Roman" w:cs="Times New Roman"/>
          <w:b/>
          <w:bCs/>
          <w:sz w:val="24"/>
          <w:szCs w:val="24"/>
        </w:rPr>
        <w:t>(</w:t>
      </w:r>
      <w:r w:rsidR="006D4C9B" w:rsidRPr="008156BB">
        <w:rPr>
          <w:rFonts w:ascii="Times New Roman" w:hAnsi="Times New Roman" w:cs="Times New Roman"/>
          <w:b/>
          <w:bCs/>
          <w:sz w:val="24"/>
          <w:szCs w:val="24"/>
        </w:rPr>
        <w:t>Ci</w:t>
      </w:r>
      <w:r w:rsidRPr="008156BB">
        <w:rPr>
          <w:rFonts w:ascii="Times New Roman" w:hAnsi="Times New Roman" w:cs="Times New Roman"/>
          <w:b/>
          <w:bCs/>
          <w:sz w:val="24"/>
          <w:szCs w:val="24"/>
        </w:rPr>
        <w:t xml:space="preserve">vil) </w:t>
      </w:r>
      <w:r w:rsidR="006D4C9B" w:rsidRPr="008156BB">
        <w:rPr>
          <w:rFonts w:ascii="Times New Roman" w:hAnsi="Times New Roman" w:cs="Times New Roman"/>
          <w:b/>
          <w:bCs/>
          <w:sz w:val="24"/>
          <w:szCs w:val="24"/>
        </w:rPr>
        <w:t>S</w:t>
      </w:r>
      <w:r w:rsidR="0083143B" w:rsidRPr="008156BB">
        <w:rPr>
          <w:rFonts w:ascii="Times New Roman" w:hAnsi="Times New Roman" w:cs="Times New Roman"/>
          <w:b/>
          <w:bCs/>
          <w:sz w:val="24"/>
          <w:szCs w:val="24"/>
        </w:rPr>
        <w:t xml:space="preserve">afety’ and the </w:t>
      </w:r>
      <w:r w:rsidR="006D4C9B" w:rsidRPr="008156BB">
        <w:rPr>
          <w:rFonts w:ascii="Times New Roman" w:hAnsi="Times New Roman" w:cs="Times New Roman"/>
          <w:b/>
          <w:bCs/>
          <w:sz w:val="24"/>
          <w:szCs w:val="24"/>
        </w:rPr>
        <w:t>E</w:t>
      </w:r>
      <w:r w:rsidR="00EB7257" w:rsidRPr="008156BB">
        <w:rPr>
          <w:rFonts w:ascii="Times New Roman" w:hAnsi="Times New Roman" w:cs="Times New Roman"/>
          <w:b/>
          <w:bCs/>
          <w:sz w:val="24"/>
          <w:szCs w:val="24"/>
        </w:rPr>
        <w:t xml:space="preserve">xpanding </w:t>
      </w:r>
      <w:r w:rsidR="00FF7424" w:rsidRPr="008156BB">
        <w:rPr>
          <w:rFonts w:ascii="Times New Roman" w:hAnsi="Times New Roman" w:cs="Times New Roman"/>
          <w:b/>
          <w:bCs/>
          <w:sz w:val="24"/>
          <w:szCs w:val="24"/>
        </w:rPr>
        <w:t>P</w:t>
      </w:r>
      <w:r w:rsidRPr="008156BB">
        <w:rPr>
          <w:rFonts w:ascii="Times New Roman" w:hAnsi="Times New Roman" w:cs="Times New Roman"/>
          <w:b/>
          <w:bCs/>
          <w:sz w:val="24"/>
          <w:szCs w:val="24"/>
        </w:rPr>
        <w:t xml:space="preserve">arameters of the </w:t>
      </w:r>
      <w:r w:rsidR="00FF7424" w:rsidRPr="008156BB">
        <w:rPr>
          <w:rFonts w:ascii="Times New Roman" w:hAnsi="Times New Roman" w:cs="Times New Roman"/>
          <w:b/>
          <w:bCs/>
          <w:sz w:val="24"/>
          <w:szCs w:val="24"/>
        </w:rPr>
        <w:t>N</w:t>
      </w:r>
      <w:r w:rsidRPr="008156BB">
        <w:rPr>
          <w:rFonts w:ascii="Times New Roman" w:hAnsi="Times New Roman" w:cs="Times New Roman"/>
          <w:b/>
          <w:bCs/>
          <w:sz w:val="24"/>
          <w:szCs w:val="24"/>
        </w:rPr>
        <w:t xml:space="preserve">ecessity </w:t>
      </w:r>
      <w:r w:rsidR="00FF7424" w:rsidRPr="008156BB">
        <w:rPr>
          <w:rFonts w:ascii="Times New Roman" w:hAnsi="Times New Roman" w:cs="Times New Roman"/>
          <w:b/>
          <w:bCs/>
          <w:sz w:val="24"/>
          <w:szCs w:val="24"/>
        </w:rPr>
        <w:t>E</w:t>
      </w:r>
      <w:r w:rsidRPr="008156BB">
        <w:rPr>
          <w:rFonts w:ascii="Times New Roman" w:hAnsi="Times New Roman" w:cs="Times New Roman"/>
          <w:b/>
          <w:bCs/>
          <w:sz w:val="24"/>
          <w:szCs w:val="24"/>
        </w:rPr>
        <w:t xml:space="preserve">xception to the </w:t>
      </w:r>
      <w:r w:rsidR="00FF7424" w:rsidRPr="008156BB">
        <w:rPr>
          <w:rFonts w:ascii="Times New Roman" w:hAnsi="Times New Roman" w:cs="Times New Roman"/>
          <w:b/>
          <w:bCs/>
          <w:sz w:val="24"/>
          <w:szCs w:val="24"/>
        </w:rPr>
        <w:t>G</w:t>
      </w:r>
      <w:r w:rsidRPr="008156BB">
        <w:rPr>
          <w:rFonts w:ascii="Times New Roman" w:hAnsi="Times New Roman" w:cs="Times New Roman"/>
          <w:b/>
          <w:bCs/>
          <w:sz w:val="24"/>
          <w:szCs w:val="24"/>
        </w:rPr>
        <w:t xml:space="preserve">eneral </w:t>
      </w:r>
      <w:r w:rsidR="00FF7424" w:rsidRPr="008156BB">
        <w:rPr>
          <w:rFonts w:ascii="Times New Roman" w:hAnsi="Times New Roman" w:cs="Times New Roman"/>
          <w:b/>
          <w:bCs/>
          <w:sz w:val="24"/>
          <w:szCs w:val="24"/>
        </w:rPr>
        <w:t>P</w:t>
      </w:r>
      <w:r w:rsidRPr="008156BB">
        <w:rPr>
          <w:rFonts w:ascii="Times New Roman" w:hAnsi="Times New Roman" w:cs="Times New Roman"/>
          <w:b/>
          <w:bCs/>
          <w:sz w:val="24"/>
          <w:szCs w:val="24"/>
        </w:rPr>
        <w:t xml:space="preserve">rinciple of </w:t>
      </w:r>
      <w:r w:rsidR="00FF7424" w:rsidRPr="008156BB">
        <w:rPr>
          <w:rFonts w:ascii="Times New Roman" w:hAnsi="Times New Roman" w:cs="Times New Roman"/>
          <w:b/>
          <w:bCs/>
          <w:sz w:val="24"/>
          <w:szCs w:val="24"/>
        </w:rPr>
        <w:t>P</w:t>
      </w:r>
      <w:r w:rsidRPr="008156BB">
        <w:rPr>
          <w:rFonts w:ascii="Times New Roman" w:hAnsi="Times New Roman" w:cs="Times New Roman"/>
          <w:b/>
          <w:bCs/>
          <w:sz w:val="24"/>
          <w:szCs w:val="24"/>
        </w:rPr>
        <w:t xml:space="preserve">reserving the </w:t>
      </w:r>
      <w:r w:rsidR="00FF7424" w:rsidRPr="008156BB">
        <w:rPr>
          <w:rFonts w:ascii="Times New Roman" w:hAnsi="Times New Roman" w:cs="Times New Roman"/>
          <w:b/>
          <w:bCs/>
          <w:sz w:val="24"/>
          <w:szCs w:val="24"/>
        </w:rPr>
        <w:t>St</w:t>
      </w:r>
      <w:r w:rsidRPr="008156BB">
        <w:rPr>
          <w:rFonts w:ascii="Times New Roman" w:hAnsi="Times New Roman" w:cs="Times New Roman"/>
          <w:b/>
          <w:bCs/>
          <w:sz w:val="24"/>
          <w:szCs w:val="24"/>
        </w:rPr>
        <w:t xml:space="preserve">atus </w:t>
      </w:r>
      <w:r w:rsidR="00FF7424" w:rsidRPr="008156BB">
        <w:rPr>
          <w:rFonts w:ascii="Times New Roman" w:hAnsi="Times New Roman" w:cs="Times New Roman"/>
          <w:b/>
          <w:bCs/>
          <w:sz w:val="24"/>
          <w:szCs w:val="24"/>
        </w:rPr>
        <w:t>Q</w:t>
      </w:r>
      <w:r w:rsidRPr="008156BB">
        <w:rPr>
          <w:rFonts w:ascii="Times New Roman" w:hAnsi="Times New Roman" w:cs="Times New Roman"/>
          <w:b/>
          <w:bCs/>
          <w:sz w:val="24"/>
          <w:szCs w:val="24"/>
        </w:rPr>
        <w:t xml:space="preserve">uo </w:t>
      </w:r>
    </w:p>
    <w:p w14:paraId="180E11E5" w14:textId="16115D68" w:rsidR="00713702" w:rsidRPr="009E6775" w:rsidRDefault="00F65ACF" w:rsidP="0081540D">
      <w:pPr>
        <w:rPr>
          <w:rFonts w:ascii="Times New Roman" w:hAnsi="Times New Roman" w:cs="Times New Roman"/>
          <w:sz w:val="24"/>
          <w:szCs w:val="24"/>
          <w:shd w:val="clear" w:color="auto" w:fill="FFFFFF"/>
        </w:rPr>
      </w:pPr>
      <w:r w:rsidRPr="009E6775">
        <w:rPr>
          <w:rFonts w:ascii="Times New Roman" w:hAnsi="Times New Roman" w:cs="Times New Roman"/>
          <w:sz w:val="24"/>
          <w:szCs w:val="24"/>
        </w:rPr>
        <w:t xml:space="preserve">Since </w:t>
      </w:r>
      <w:r w:rsidR="00713B8A" w:rsidRPr="009E6775">
        <w:rPr>
          <w:rFonts w:ascii="Times New Roman" w:hAnsi="Times New Roman" w:cs="Times New Roman"/>
          <w:i/>
          <w:iCs/>
          <w:sz w:val="24"/>
          <w:szCs w:val="24"/>
        </w:rPr>
        <w:t xml:space="preserve">Christian Society </w:t>
      </w:r>
      <w:r w:rsidR="00713B8A" w:rsidRPr="009E6775">
        <w:rPr>
          <w:rFonts w:ascii="Times New Roman" w:hAnsi="Times New Roman" w:cs="Times New Roman"/>
          <w:sz w:val="24"/>
          <w:szCs w:val="24"/>
        </w:rPr>
        <w:t>(1972)</w:t>
      </w:r>
      <w:r w:rsidRPr="009E6775">
        <w:rPr>
          <w:rFonts w:ascii="Times New Roman" w:hAnsi="Times New Roman" w:cs="Times New Roman"/>
          <w:sz w:val="24"/>
          <w:szCs w:val="24"/>
        </w:rPr>
        <w:t xml:space="preserve">, the </w:t>
      </w:r>
      <w:r w:rsidR="00815986" w:rsidRPr="009E6775">
        <w:rPr>
          <w:rFonts w:ascii="Times New Roman" w:hAnsi="Times New Roman" w:cs="Times New Roman"/>
          <w:sz w:val="24"/>
          <w:szCs w:val="24"/>
        </w:rPr>
        <w:t>SC</w:t>
      </w:r>
      <w:r w:rsidR="002611EC" w:rsidRPr="009E6775">
        <w:rPr>
          <w:rFonts w:ascii="Times New Roman" w:hAnsi="Times New Roman" w:cs="Times New Roman"/>
          <w:sz w:val="24"/>
          <w:szCs w:val="24"/>
        </w:rPr>
        <w:t xml:space="preserve"> has confirmed </w:t>
      </w:r>
      <w:r w:rsidRPr="009E6775">
        <w:rPr>
          <w:rFonts w:ascii="Times New Roman" w:hAnsi="Times New Roman" w:cs="Times New Roman"/>
          <w:sz w:val="24"/>
          <w:szCs w:val="24"/>
        </w:rPr>
        <w:t xml:space="preserve">that </w:t>
      </w:r>
      <w:r w:rsidR="00864C57" w:rsidRPr="009E6775">
        <w:rPr>
          <w:rFonts w:ascii="Times New Roman" w:hAnsi="Times New Roman" w:cs="Times New Roman"/>
          <w:sz w:val="24"/>
          <w:szCs w:val="24"/>
        </w:rPr>
        <w:t xml:space="preserve">insofar as the motives behind the measures are well-intended </w:t>
      </w:r>
      <w:r w:rsidR="00A200E5" w:rsidRPr="009E6775">
        <w:rPr>
          <w:rFonts w:ascii="Times New Roman" w:hAnsi="Times New Roman" w:cs="Times New Roman"/>
          <w:sz w:val="24"/>
          <w:szCs w:val="24"/>
        </w:rPr>
        <w:t xml:space="preserve">and </w:t>
      </w:r>
      <w:r w:rsidR="00603715" w:rsidRPr="009E6775">
        <w:rPr>
          <w:rFonts w:ascii="Times New Roman" w:hAnsi="Times New Roman" w:cs="Times New Roman"/>
          <w:sz w:val="24"/>
          <w:szCs w:val="24"/>
        </w:rPr>
        <w:t xml:space="preserve">purported to </w:t>
      </w:r>
      <w:r w:rsidR="00A200E5" w:rsidRPr="009E6775">
        <w:rPr>
          <w:rFonts w:ascii="Times New Roman" w:hAnsi="Times New Roman" w:cs="Times New Roman"/>
          <w:sz w:val="24"/>
          <w:szCs w:val="24"/>
        </w:rPr>
        <w:t>enhanc</w:t>
      </w:r>
      <w:r w:rsidR="00603715" w:rsidRPr="009E6775">
        <w:rPr>
          <w:rFonts w:ascii="Times New Roman" w:hAnsi="Times New Roman" w:cs="Times New Roman"/>
          <w:sz w:val="24"/>
          <w:szCs w:val="24"/>
        </w:rPr>
        <w:t>e</w:t>
      </w:r>
      <w:r w:rsidR="00A200E5" w:rsidRPr="009E6775">
        <w:rPr>
          <w:rFonts w:ascii="Times New Roman" w:hAnsi="Times New Roman" w:cs="Times New Roman"/>
          <w:sz w:val="24"/>
          <w:szCs w:val="24"/>
        </w:rPr>
        <w:t xml:space="preserve"> the </w:t>
      </w:r>
      <w:r w:rsidR="00864C57" w:rsidRPr="009E6775">
        <w:rPr>
          <w:rFonts w:ascii="Times New Roman" w:hAnsi="Times New Roman" w:cs="Times New Roman"/>
          <w:sz w:val="24"/>
          <w:szCs w:val="24"/>
        </w:rPr>
        <w:t xml:space="preserve">wellbeing of the general population, even some far-reaching </w:t>
      </w:r>
      <w:r w:rsidR="00CB3865" w:rsidRPr="009E6775">
        <w:rPr>
          <w:rFonts w:ascii="Times New Roman" w:hAnsi="Times New Roman" w:cs="Times New Roman"/>
          <w:sz w:val="24"/>
          <w:szCs w:val="24"/>
        </w:rPr>
        <w:t>alterations</w:t>
      </w:r>
      <w:r w:rsidR="00864C57" w:rsidRPr="009E6775">
        <w:rPr>
          <w:rFonts w:ascii="Times New Roman" w:hAnsi="Times New Roman" w:cs="Times New Roman"/>
          <w:sz w:val="24"/>
          <w:szCs w:val="24"/>
        </w:rPr>
        <w:t xml:space="preserve"> should pass the test of ensuring the </w:t>
      </w:r>
      <w:r w:rsidR="00BD7964" w:rsidRPr="009E6775">
        <w:rPr>
          <w:rFonts w:ascii="Times New Roman" w:hAnsi="Times New Roman" w:cs="Times New Roman"/>
          <w:sz w:val="24"/>
          <w:szCs w:val="24"/>
        </w:rPr>
        <w:t xml:space="preserve">‘public </w:t>
      </w:r>
      <w:r w:rsidR="00BD7964" w:rsidRPr="009E6775">
        <w:rPr>
          <w:rFonts w:ascii="Times New Roman" w:hAnsi="Times New Roman" w:cs="Times New Roman"/>
          <w:sz w:val="24"/>
          <w:szCs w:val="24"/>
        </w:rPr>
        <w:lastRenderedPageBreak/>
        <w:t>order and (civil) safety’</w:t>
      </w:r>
      <w:r w:rsidR="002611EC" w:rsidRPr="009E6775">
        <w:rPr>
          <w:rFonts w:ascii="Times New Roman" w:hAnsi="Times New Roman" w:cs="Times New Roman"/>
          <w:sz w:val="24"/>
          <w:szCs w:val="24"/>
        </w:rPr>
        <w:t xml:space="preserve">. This </w:t>
      </w:r>
      <w:r w:rsidR="002611EC" w:rsidRPr="009E6775">
        <w:rPr>
          <w:rFonts w:ascii="Times New Roman" w:hAnsi="Times New Roman" w:cs="Times New Roman"/>
          <w:sz w:val="24"/>
          <w:szCs w:val="24"/>
          <w:shd w:val="clear" w:color="auto" w:fill="FFFFFF"/>
        </w:rPr>
        <w:t>approach</w:t>
      </w:r>
      <w:r w:rsidR="00864C57" w:rsidRPr="009E6775">
        <w:rPr>
          <w:rFonts w:ascii="Times New Roman" w:hAnsi="Times New Roman" w:cs="Times New Roman"/>
          <w:sz w:val="24"/>
          <w:szCs w:val="24"/>
          <w:shd w:val="clear" w:color="auto" w:fill="FFFFFF"/>
        </w:rPr>
        <w:t xml:space="preserve"> </w:t>
      </w:r>
      <w:r w:rsidR="00A200E5" w:rsidRPr="009E6775">
        <w:rPr>
          <w:rFonts w:ascii="Times New Roman" w:hAnsi="Times New Roman" w:cs="Times New Roman"/>
          <w:sz w:val="24"/>
          <w:szCs w:val="24"/>
          <w:shd w:val="clear" w:color="auto" w:fill="FFFFFF"/>
        </w:rPr>
        <w:t xml:space="preserve">proves </w:t>
      </w:r>
      <w:r w:rsidR="00D67333" w:rsidRPr="009E6775">
        <w:rPr>
          <w:rFonts w:ascii="Times New Roman" w:hAnsi="Times New Roman" w:cs="Times New Roman"/>
          <w:sz w:val="24"/>
          <w:szCs w:val="24"/>
          <w:shd w:val="clear" w:color="auto" w:fill="FFFFFF"/>
        </w:rPr>
        <w:t xml:space="preserve">to be </w:t>
      </w:r>
      <w:r w:rsidR="00A200E5" w:rsidRPr="009E6775">
        <w:rPr>
          <w:rFonts w:ascii="Times New Roman" w:hAnsi="Times New Roman" w:cs="Times New Roman"/>
          <w:sz w:val="24"/>
          <w:szCs w:val="24"/>
          <w:shd w:val="clear" w:color="auto" w:fill="FFFFFF"/>
        </w:rPr>
        <w:t xml:space="preserve">vindicated </w:t>
      </w:r>
      <w:r w:rsidR="00D67333" w:rsidRPr="009E6775">
        <w:rPr>
          <w:rFonts w:ascii="Times New Roman" w:hAnsi="Times New Roman" w:cs="Times New Roman"/>
          <w:sz w:val="24"/>
          <w:szCs w:val="24"/>
          <w:shd w:val="clear" w:color="auto" w:fill="FFFFFF"/>
        </w:rPr>
        <w:t>by the text of Article 64 GC IV</w:t>
      </w:r>
      <w:r w:rsidR="00603715" w:rsidRPr="009E6775">
        <w:rPr>
          <w:rFonts w:ascii="Times New Roman" w:hAnsi="Times New Roman" w:cs="Times New Roman"/>
          <w:sz w:val="24"/>
          <w:szCs w:val="24"/>
          <w:shd w:val="clear" w:color="auto" w:fill="FFFFFF"/>
        </w:rPr>
        <w:t xml:space="preserve"> which admit of </w:t>
      </w:r>
      <w:r w:rsidR="00D67333" w:rsidRPr="009E6775">
        <w:rPr>
          <w:rFonts w:ascii="Times New Roman" w:hAnsi="Times New Roman" w:cs="Times New Roman"/>
          <w:sz w:val="24"/>
          <w:szCs w:val="24"/>
          <w:shd w:val="clear" w:color="auto" w:fill="FFFFFF"/>
        </w:rPr>
        <w:t>a</w:t>
      </w:r>
      <w:r w:rsidR="0083143B" w:rsidRPr="009E6775">
        <w:rPr>
          <w:rFonts w:ascii="Times New Roman" w:hAnsi="Times New Roman" w:cs="Times New Roman"/>
          <w:sz w:val="24"/>
          <w:szCs w:val="24"/>
          <w:shd w:val="clear" w:color="auto" w:fill="FFFFFF"/>
        </w:rPr>
        <w:t xml:space="preserve"> wide range of exceptions</w:t>
      </w:r>
      <w:r w:rsidR="00D67333" w:rsidRPr="009E6775">
        <w:rPr>
          <w:rFonts w:ascii="Times New Roman" w:hAnsi="Times New Roman" w:cs="Times New Roman"/>
          <w:sz w:val="24"/>
          <w:szCs w:val="24"/>
          <w:shd w:val="clear" w:color="auto" w:fill="FFFFFF"/>
        </w:rPr>
        <w:t xml:space="preserve"> to the ‘preservation’ principle</w:t>
      </w:r>
      <w:r w:rsidR="0083143B" w:rsidRPr="009E6775">
        <w:rPr>
          <w:rFonts w:ascii="Times New Roman" w:hAnsi="Times New Roman" w:cs="Times New Roman"/>
          <w:sz w:val="24"/>
          <w:szCs w:val="24"/>
          <w:shd w:val="clear" w:color="auto" w:fill="FFFFFF"/>
        </w:rPr>
        <w:t>.</w:t>
      </w:r>
      <w:r w:rsidR="00ED1CD1" w:rsidRPr="009E6775">
        <w:rPr>
          <w:rStyle w:val="aa"/>
          <w:rFonts w:ascii="Times New Roman" w:hAnsi="Times New Roman" w:cs="Times New Roman"/>
          <w:sz w:val="24"/>
          <w:szCs w:val="24"/>
          <w:shd w:val="clear" w:color="auto" w:fill="FFFFFF"/>
        </w:rPr>
        <w:footnoteReference w:id="105"/>
      </w:r>
      <w:r w:rsidR="0083143B" w:rsidRPr="009E6775">
        <w:rPr>
          <w:rFonts w:ascii="Times New Roman" w:hAnsi="Times New Roman" w:cs="Times New Roman"/>
          <w:sz w:val="24"/>
          <w:szCs w:val="24"/>
          <w:shd w:val="clear" w:color="auto" w:fill="FFFFFF"/>
        </w:rPr>
        <w:t xml:space="preserve"> </w:t>
      </w:r>
      <w:r w:rsidR="00603715" w:rsidRPr="009E6775">
        <w:rPr>
          <w:rFonts w:ascii="Times New Roman" w:hAnsi="Times New Roman" w:cs="Times New Roman"/>
          <w:sz w:val="24"/>
          <w:szCs w:val="24"/>
        </w:rPr>
        <w:t xml:space="preserve">It gives </w:t>
      </w:r>
      <w:r w:rsidR="00915923" w:rsidRPr="009E6775">
        <w:rPr>
          <w:rFonts w:ascii="Times New Roman" w:hAnsi="Times New Roman" w:cs="Times New Roman"/>
          <w:sz w:val="24"/>
          <w:szCs w:val="24"/>
        </w:rPr>
        <w:t>more leeway of prescriptive powers to the occupying authorities</w:t>
      </w:r>
      <w:r w:rsidR="00413E00" w:rsidRPr="009E6775">
        <w:rPr>
          <w:rFonts w:ascii="Times New Roman" w:hAnsi="Times New Roman" w:cs="Times New Roman"/>
          <w:sz w:val="24"/>
          <w:szCs w:val="24"/>
        </w:rPr>
        <w:t xml:space="preserve">. It </w:t>
      </w:r>
      <w:r w:rsidR="00603715" w:rsidRPr="009E6775">
        <w:rPr>
          <w:rFonts w:ascii="Times New Roman" w:hAnsi="Times New Roman" w:cs="Times New Roman"/>
          <w:sz w:val="24"/>
          <w:szCs w:val="24"/>
        </w:rPr>
        <w:t xml:space="preserve">broadens the </w:t>
      </w:r>
      <w:r w:rsidR="003021C5" w:rsidRPr="009E6775">
        <w:rPr>
          <w:rFonts w:ascii="Times New Roman" w:hAnsi="Times New Roman" w:cs="Times New Roman"/>
          <w:sz w:val="24"/>
          <w:szCs w:val="24"/>
          <w:shd w:val="clear" w:color="auto" w:fill="FFFFFF"/>
        </w:rPr>
        <w:t xml:space="preserve">exception </w:t>
      </w:r>
      <w:r w:rsidR="00BD7964" w:rsidRPr="009E6775">
        <w:rPr>
          <w:rFonts w:ascii="Times New Roman" w:hAnsi="Times New Roman" w:cs="Times New Roman"/>
          <w:sz w:val="24"/>
          <w:szCs w:val="24"/>
          <w:shd w:val="clear" w:color="auto" w:fill="FFFFFF"/>
        </w:rPr>
        <w:t xml:space="preserve">to </w:t>
      </w:r>
      <w:r w:rsidR="003021C5" w:rsidRPr="009E6775">
        <w:rPr>
          <w:rFonts w:ascii="Times New Roman" w:hAnsi="Times New Roman" w:cs="Times New Roman"/>
          <w:sz w:val="24"/>
          <w:szCs w:val="24"/>
          <w:shd w:val="clear" w:color="auto" w:fill="FFFFFF"/>
        </w:rPr>
        <w:t>the ‘general principle’ of preserving the status quo</w:t>
      </w:r>
      <w:r w:rsidR="00713702" w:rsidRPr="009E6775">
        <w:rPr>
          <w:rFonts w:ascii="Times New Roman" w:hAnsi="Times New Roman" w:cs="Times New Roman"/>
          <w:sz w:val="24"/>
          <w:szCs w:val="24"/>
          <w:shd w:val="clear" w:color="auto" w:fill="FFFFFF"/>
        </w:rPr>
        <w:t>,</w:t>
      </w:r>
      <w:r w:rsidR="003021C5" w:rsidRPr="009E6775">
        <w:rPr>
          <w:rFonts w:ascii="Times New Roman" w:hAnsi="Times New Roman" w:cs="Times New Roman"/>
          <w:sz w:val="24"/>
          <w:szCs w:val="24"/>
          <w:shd w:val="clear" w:color="auto" w:fill="FFFFFF"/>
        </w:rPr>
        <w:t xml:space="preserve"> allowing </w:t>
      </w:r>
      <w:r w:rsidR="00BD7964" w:rsidRPr="009E6775">
        <w:rPr>
          <w:rFonts w:ascii="Times New Roman" w:hAnsi="Times New Roman" w:cs="Times New Roman"/>
          <w:sz w:val="24"/>
          <w:szCs w:val="24"/>
          <w:shd w:val="clear" w:color="auto" w:fill="FFFFFF"/>
        </w:rPr>
        <w:t xml:space="preserve">modifications </w:t>
      </w:r>
      <w:r w:rsidR="003021C5" w:rsidRPr="009E6775">
        <w:rPr>
          <w:rFonts w:ascii="Times New Roman" w:hAnsi="Times New Roman" w:cs="Times New Roman"/>
          <w:sz w:val="24"/>
          <w:szCs w:val="24"/>
          <w:shd w:val="clear" w:color="auto" w:fill="FFFFFF"/>
        </w:rPr>
        <w:t>pursuant to the (evolving) welfare needs of the local population.</w:t>
      </w:r>
      <w:r w:rsidR="003021C5" w:rsidRPr="009E6775">
        <w:rPr>
          <w:rStyle w:val="aa"/>
          <w:rFonts w:ascii="Times New Roman" w:hAnsi="Times New Roman" w:cs="Times New Roman"/>
          <w:sz w:val="24"/>
          <w:szCs w:val="24"/>
          <w:shd w:val="clear" w:color="auto" w:fill="FFFFFF"/>
        </w:rPr>
        <w:footnoteReference w:id="106"/>
      </w:r>
      <w:r w:rsidR="003021C5" w:rsidRPr="009E6775">
        <w:rPr>
          <w:rFonts w:ascii="Times New Roman" w:hAnsi="Times New Roman" w:cs="Times New Roman"/>
          <w:sz w:val="24"/>
          <w:szCs w:val="24"/>
          <w:shd w:val="clear" w:color="auto" w:fill="FFFFFF"/>
        </w:rPr>
        <w:t xml:space="preserve"> </w:t>
      </w:r>
      <w:r w:rsidR="0083143B" w:rsidRPr="009E6775">
        <w:rPr>
          <w:rFonts w:ascii="Times New Roman" w:hAnsi="Times New Roman" w:cs="Times New Roman"/>
          <w:sz w:val="24"/>
          <w:szCs w:val="24"/>
          <w:shd w:val="clear" w:color="auto" w:fill="FFFFFF"/>
        </w:rPr>
        <w:t xml:space="preserve">Still, one ought to be cautious of changes </w:t>
      </w:r>
      <w:r w:rsidR="00C641EB" w:rsidRPr="009E6775">
        <w:rPr>
          <w:rFonts w:ascii="Times New Roman" w:hAnsi="Times New Roman" w:cs="Times New Roman"/>
          <w:sz w:val="24"/>
          <w:szCs w:val="24"/>
          <w:shd w:val="clear" w:color="auto" w:fill="FFFFFF"/>
        </w:rPr>
        <w:t xml:space="preserve">or transformations </w:t>
      </w:r>
      <w:r w:rsidR="0083143B" w:rsidRPr="009E6775">
        <w:rPr>
          <w:rFonts w:ascii="Times New Roman" w:hAnsi="Times New Roman" w:cs="Times New Roman"/>
          <w:sz w:val="24"/>
          <w:szCs w:val="24"/>
          <w:shd w:val="clear" w:color="auto" w:fill="FFFFFF"/>
        </w:rPr>
        <w:t>made for the alleged benefit of the population</w:t>
      </w:r>
      <w:r w:rsidR="00413E00" w:rsidRPr="009E6775">
        <w:rPr>
          <w:rFonts w:ascii="Times New Roman" w:hAnsi="Times New Roman" w:cs="Times New Roman"/>
          <w:sz w:val="24"/>
          <w:szCs w:val="24"/>
          <w:shd w:val="clear" w:color="auto" w:fill="FFFFFF"/>
        </w:rPr>
        <w:t>,</w:t>
      </w:r>
      <w:r w:rsidR="00256590" w:rsidRPr="009E6775">
        <w:rPr>
          <w:rStyle w:val="aa"/>
          <w:rFonts w:ascii="Times New Roman" w:hAnsi="Times New Roman" w:cs="Times New Roman"/>
          <w:sz w:val="24"/>
          <w:szCs w:val="24"/>
          <w:shd w:val="clear" w:color="auto" w:fill="FFFFFF"/>
        </w:rPr>
        <w:footnoteReference w:id="107"/>
      </w:r>
      <w:r w:rsidR="00413E00" w:rsidRPr="009E6775">
        <w:rPr>
          <w:rFonts w:ascii="Times New Roman" w:hAnsi="Times New Roman" w:cs="Times New Roman"/>
          <w:sz w:val="24"/>
          <w:szCs w:val="24"/>
          <w:shd w:val="clear" w:color="auto" w:fill="FFFFFF"/>
        </w:rPr>
        <w:t xml:space="preserve"> lest this might be perceived as </w:t>
      </w:r>
      <w:r w:rsidR="00815986" w:rsidRPr="009E6775">
        <w:rPr>
          <w:rFonts w:ascii="Times New Roman" w:hAnsi="Times New Roman" w:cs="Times New Roman"/>
          <w:sz w:val="24"/>
          <w:szCs w:val="24"/>
          <w:shd w:val="clear" w:color="auto" w:fill="FFFFFF"/>
        </w:rPr>
        <w:t>smacking of colonialism</w:t>
      </w:r>
      <w:r w:rsidR="00413E00" w:rsidRPr="009E6775">
        <w:rPr>
          <w:rFonts w:ascii="Times New Roman" w:hAnsi="Times New Roman" w:cs="Times New Roman"/>
          <w:sz w:val="24"/>
          <w:szCs w:val="24"/>
          <w:shd w:val="clear" w:color="auto" w:fill="FFFFFF"/>
        </w:rPr>
        <w:t>.</w:t>
      </w:r>
      <w:r w:rsidR="0083143B" w:rsidRPr="009E6775">
        <w:rPr>
          <w:rFonts w:ascii="Times New Roman" w:hAnsi="Times New Roman" w:cs="Times New Roman"/>
          <w:sz w:val="24"/>
          <w:szCs w:val="24"/>
          <w:shd w:val="clear" w:color="auto" w:fill="FFFFFF"/>
        </w:rPr>
        <w:t xml:space="preserve"> </w:t>
      </w:r>
      <w:r w:rsidR="00413E00" w:rsidRPr="009E6775">
        <w:rPr>
          <w:rFonts w:ascii="Times New Roman" w:hAnsi="Times New Roman" w:cs="Times New Roman"/>
          <w:sz w:val="24"/>
          <w:szCs w:val="24"/>
          <w:shd w:val="clear" w:color="auto" w:fill="FFFFFF"/>
        </w:rPr>
        <w:t xml:space="preserve">In this respect, </w:t>
      </w:r>
      <w:r w:rsidR="0083143B" w:rsidRPr="009E6775">
        <w:rPr>
          <w:rFonts w:ascii="Times New Roman" w:hAnsi="Times New Roman" w:cs="Times New Roman"/>
          <w:sz w:val="24"/>
          <w:szCs w:val="24"/>
          <w:shd w:val="clear" w:color="auto" w:fill="FFFFFF"/>
        </w:rPr>
        <w:t>Justice Sussman</w:t>
      </w:r>
      <w:r w:rsidR="00413E00" w:rsidRPr="009E6775">
        <w:rPr>
          <w:rFonts w:ascii="Times New Roman" w:hAnsi="Times New Roman" w:cs="Times New Roman"/>
          <w:sz w:val="24"/>
          <w:szCs w:val="24"/>
          <w:shd w:val="clear" w:color="auto" w:fill="FFFFFF"/>
        </w:rPr>
        <w:t>’s reasoning</w:t>
      </w:r>
      <w:r w:rsidR="0083143B" w:rsidRPr="009E6775">
        <w:rPr>
          <w:rFonts w:ascii="Times New Roman" w:hAnsi="Times New Roman" w:cs="Times New Roman"/>
          <w:sz w:val="24"/>
          <w:szCs w:val="24"/>
          <w:shd w:val="clear" w:color="auto" w:fill="FFFFFF"/>
        </w:rPr>
        <w:t xml:space="preserve"> in </w:t>
      </w:r>
      <w:r w:rsidR="00413E00" w:rsidRPr="009E6775">
        <w:rPr>
          <w:rFonts w:ascii="Times New Roman" w:hAnsi="Times New Roman" w:cs="Times New Roman"/>
          <w:i/>
          <w:iCs/>
          <w:sz w:val="24"/>
          <w:szCs w:val="24"/>
        </w:rPr>
        <w:t xml:space="preserve">Christian Society </w:t>
      </w:r>
      <w:r w:rsidR="0083143B" w:rsidRPr="009E6775">
        <w:rPr>
          <w:rFonts w:ascii="Times New Roman" w:hAnsi="Times New Roman" w:cs="Times New Roman"/>
          <w:sz w:val="24"/>
          <w:szCs w:val="24"/>
          <w:shd w:val="clear" w:color="auto" w:fill="FFFFFF"/>
        </w:rPr>
        <w:t>that the concept of ‘</w:t>
      </w:r>
      <w:r w:rsidR="00BD7964" w:rsidRPr="009E6775">
        <w:rPr>
          <w:rFonts w:ascii="Times New Roman" w:hAnsi="Times New Roman" w:cs="Times New Roman"/>
          <w:sz w:val="24"/>
          <w:szCs w:val="24"/>
          <w:shd w:val="clear" w:color="auto" w:fill="FFFFFF"/>
        </w:rPr>
        <w:t xml:space="preserve">absolutely prevented’ </w:t>
      </w:r>
      <w:r w:rsidR="0083143B" w:rsidRPr="009E6775">
        <w:rPr>
          <w:rFonts w:ascii="Times New Roman" w:hAnsi="Times New Roman" w:cs="Times New Roman"/>
          <w:sz w:val="24"/>
          <w:szCs w:val="24"/>
          <w:shd w:val="clear" w:color="auto" w:fill="FFFFFF"/>
        </w:rPr>
        <w:t>could be considered to exist whenever the existing local laws in the occupied territories do not enable the occupying authority to fulfil the duty to ensure the ‘public order and safety’</w:t>
      </w:r>
      <w:r w:rsidR="00D31D64" w:rsidRPr="009E6775">
        <w:rPr>
          <w:rFonts w:ascii="Times New Roman" w:hAnsi="Times New Roman" w:cs="Times New Roman"/>
          <w:sz w:val="24"/>
          <w:szCs w:val="24"/>
          <w:shd w:val="clear" w:color="auto" w:fill="FFFFFF"/>
        </w:rPr>
        <w:t xml:space="preserve"> ought to be criticised.</w:t>
      </w:r>
      <w:r w:rsidR="00D60617" w:rsidRPr="009E6775">
        <w:rPr>
          <w:rStyle w:val="aa"/>
          <w:rFonts w:ascii="Times New Roman" w:hAnsi="Times New Roman" w:cs="Times New Roman"/>
          <w:sz w:val="24"/>
          <w:szCs w:val="24"/>
          <w:shd w:val="clear" w:color="auto" w:fill="FFFFFF"/>
        </w:rPr>
        <w:footnoteReference w:id="108"/>
      </w:r>
      <w:r w:rsidR="0083143B" w:rsidRPr="009E6775">
        <w:rPr>
          <w:rFonts w:ascii="Times New Roman" w:hAnsi="Times New Roman" w:cs="Times New Roman"/>
          <w:sz w:val="24"/>
          <w:szCs w:val="24"/>
          <w:shd w:val="clear" w:color="auto" w:fill="FFFFFF"/>
        </w:rPr>
        <w:t xml:space="preserve"> </w:t>
      </w:r>
      <w:r w:rsidR="00413E00" w:rsidRPr="009E6775">
        <w:rPr>
          <w:rFonts w:ascii="Times New Roman" w:hAnsi="Times New Roman" w:cs="Times New Roman"/>
          <w:sz w:val="24"/>
          <w:szCs w:val="24"/>
          <w:shd w:val="clear" w:color="auto" w:fill="FFFFFF"/>
        </w:rPr>
        <w:t xml:space="preserve">This reasoning, in </w:t>
      </w:r>
      <w:r w:rsidR="00815986" w:rsidRPr="009E6775">
        <w:rPr>
          <w:rFonts w:ascii="Times New Roman" w:hAnsi="Times New Roman" w:cs="Times New Roman"/>
          <w:sz w:val="24"/>
          <w:szCs w:val="24"/>
          <w:shd w:val="clear" w:color="auto" w:fill="FFFFFF"/>
        </w:rPr>
        <w:t xml:space="preserve">this </w:t>
      </w:r>
      <w:r w:rsidR="00413E00" w:rsidRPr="009E6775">
        <w:rPr>
          <w:rFonts w:ascii="Times New Roman" w:hAnsi="Times New Roman" w:cs="Times New Roman"/>
          <w:sz w:val="24"/>
          <w:szCs w:val="24"/>
          <w:shd w:val="clear" w:color="auto" w:fill="FFFFFF"/>
        </w:rPr>
        <w:t>author’s view, would</w:t>
      </w:r>
      <w:r w:rsidR="00A200E5" w:rsidRPr="009E6775">
        <w:rPr>
          <w:rFonts w:ascii="Times New Roman" w:hAnsi="Times New Roman" w:cs="Times New Roman"/>
          <w:sz w:val="24"/>
          <w:szCs w:val="24"/>
          <w:shd w:val="clear" w:color="auto" w:fill="FFFFFF"/>
        </w:rPr>
        <w:t xml:space="preserve"> result </w:t>
      </w:r>
      <w:r w:rsidR="00413E00" w:rsidRPr="009E6775">
        <w:rPr>
          <w:rFonts w:ascii="Times New Roman" w:hAnsi="Times New Roman" w:cs="Times New Roman"/>
          <w:sz w:val="24"/>
          <w:szCs w:val="24"/>
          <w:shd w:val="clear" w:color="auto" w:fill="FFFFFF"/>
        </w:rPr>
        <w:t>in</w:t>
      </w:r>
      <w:r w:rsidR="00A200E5" w:rsidRPr="009E6775">
        <w:rPr>
          <w:rFonts w:ascii="Times New Roman" w:hAnsi="Times New Roman" w:cs="Times New Roman"/>
          <w:sz w:val="24"/>
          <w:szCs w:val="24"/>
          <w:shd w:val="clear" w:color="auto" w:fill="FFFFFF"/>
        </w:rPr>
        <w:t xml:space="preserve"> </w:t>
      </w:r>
      <w:r w:rsidR="00720A22" w:rsidRPr="009E6775">
        <w:rPr>
          <w:rFonts w:ascii="Times New Roman" w:hAnsi="Times New Roman" w:cs="Times New Roman"/>
          <w:sz w:val="24"/>
          <w:szCs w:val="24"/>
          <w:shd w:val="clear" w:color="auto" w:fill="FFFFFF"/>
        </w:rPr>
        <w:t xml:space="preserve">the permutation of the general principle (status quo) and the exception (change). </w:t>
      </w:r>
      <w:r w:rsidR="00EB7257" w:rsidRPr="009E6775">
        <w:rPr>
          <w:rFonts w:ascii="Times New Roman" w:hAnsi="Times New Roman" w:cs="Times New Roman"/>
          <w:sz w:val="24"/>
          <w:szCs w:val="24"/>
          <w:shd w:val="clear" w:color="auto" w:fill="FFFFFF"/>
        </w:rPr>
        <w:t xml:space="preserve">The more cogent view is to </w:t>
      </w:r>
      <w:r w:rsidR="005919B3" w:rsidRPr="009E6775">
        <w:rPr>
          <w:rFonts w:ascii="Times New Roman" w:hAnsi="Times New Roman" w:cs="Times New Roman"/>
          <w:sz w:val="24"/>
          <w:szCs w:val="24"/>
          <w:shd w:val="clear" w:color="auto" w:fill="FFFFFF"/>
        </w:rPr>
        <w:t>suggest</w:t>
      </w:r>
      <w:r w:rsidR="00EB7257" w:rsidRPr="009E6775">
        <w:rPr>
          <w:rFonts w:ascii="Times New Roman" w:hAnsi="Times New Roman" w:cs="Times New Roman"/>
          <w:sz w:val="24"/>
          <w:szCs w:val="24"/>
          <w:shd w:val="clear" w:color="auto" w:fill="FFFFFF"/>
        </w:rPr>
        <w:t xml:space="preserve"> that it</w:t>
      </w:r>
      <w:r w:rsidR="00720A22" w:rsidRPr="009E6775">
        <w:rPr>
          <w:rFonts w:ascii="Times New Roman" w:hAnsi="Times New Roman" w:cs="Times New Roman"/>
          <w:sz w:val="24"/>
          <w:szCs w:val="24"/>
          <w:shd w:val="clear" w:color="auto" w:fill="FFFFFF"/>
        </w:rPr>
        <w:t xml:space="preserve"> is </w:t>
      </w:r>
      <w:r w:rsidR="00A200E5" w:rsidRPr="009E6775">
        <w:rPr>
          <w:rFonts w:ascii="Times New Roman" w:hAnsi="Times New Roman" w:cs="Times New Roman"/>
          <w:sz w:val="24"/>
          <w:szCs w:val="24"/>
          <w:shd w:val="clear" w:color="auto" w:fill="FFFFFF"/>
        </w:rPr>
        <w:t xml:space="preserve">the </w:t>
      </w:r>
      <w:r w:rsidR="00EB7257" w:rsidRPr="009E6775">
        <w:rPr>
          <w:rFonts w:ascii="Times New Roman" w:hAnsi="Times New Roman" w:cs="Times New Roman"/>
          <w:sz w:val="24"/>
          <w:szCs w:val="24"/>
          <w:shd w:val="clear" w:color="auto" w:fill="FFFFFF"/>
        </w:rPr>
        <w:t>determining of the</w:t>
      </w:r>
      <w:r w:rsidR="00A200E5" w:rsidRPr="009E6775">
        <w:rPr>
          <w:rFonts w:ascii="Times New Roman" w:hAnsi="Times New Roman" w:cs="Times New Roman"/>
          <w:sz w:val="24"/>
          <w:szCs w:val="24"/>
          <w:shd w:val="clear" w:color="auto" w:fill="FFFFFF"/>
        </w:rPr>
        <w:t xml:space="preserve"> meaning of </w:t>
      </w:r>
      <w:r w:rsidR="00BD7964" w:rsidRPr="009E6775">
        <w:rPr>
          <w:rFonts w:ascii="Times New Roman" w:hAnsi="Times New Roman" w:cs="Times New Roman"/>
          <w:sz w:val="24"/>
          <w:szCs w:val="24"/>
          <w:shd w:val="clear" w:color="auto" w:fill="FFFFFF"/>
        </w:rPr>
        <w:t xml:space="preserve">the phrase </w:t>
      </w:r>
      <w:r w:rsidR="00A200E5" w:rsidRPr="009E6775">
        <w:rPr>
          <w:rFonts w:ascii="Times New Roman" w:hAnsi="Times New Roman" w:cs="Times New Roman"/>
          <w:sz w:val="24"/>
          <w:szCs w:val="24"/>
          <w:shd w:val="clear" w:color="auto" w:fill="FFFFFF"/>
        </w:rPr>
        <w:t xml:space="preserve">‘public order and safety’ </w:t>
      </w:r>
      <w:r w:rsidR="00720A22" w:rsidRPr="009E6775">
        <w:rPr>
          <w:rFonts w:ascii="Times New Roman" w:hAnsi="Times New Roman" w:cs="Times New Roman"/>
          <w:sz w:val="24"/>
          <w:szCs w:val="24"/>
          <w:shd w:val="clear" w:color="auto" w:fill="FFFFFF"/>
        </w:rPr>
        <w:t>that</w:t>
      </w:r>
      <w:r w:rsidR="00A200E5" w:rsidRPr="009E6775">
        <w:rPr>
          <w:rFonts w:ascii="Times New Roman" w:hAnsi="Times New Roman" w:cs="Times New Roman"/>
          <w:sz w:val="24"/>
          <w:szCs w:val="24"/>
          <w:shd w:val="clear" w:color="auto" w:fill="FFFFFF"/>
        </w:rPr>
        <w:t xml:space="preserve"> </w:t>
      </w:r>
      <w:r w:rsidR="00720A22" w:rsidRPr="009E6775">
        <w:rPr>
          <w:rFonts w:ascii="Times New Roman" w:hAnsi="Times New Roman" w:cs="Times New Roman"/>
          <w:sz w:val="24"/>
          <w:szCs w:val="24"/>
          <w:shd w:val="clear" w:color="auto" w:fill="FFFFFF"/>
        </w:rPr>
        <w:t xml:space="preserve">is </w:t>
      </w:r>
      <w:r w:rsidR="00C641EB" w:rsidRPr="009E6775">
        <w:rPr>
          <w:rFonts w:ascii="Times New Roman" w:hAnsi="Times New Roman" w:cs="Times New Roman"/>
          <w:sz w:val="24"/>
          <w:szCs w:val="24"/>
          <w:shd w:val="clear" w:color="auto" w:fill="FFFFFF"/>
        </w:rPr>
        <w:t>pivotal</w:t>
      </w:r>
      <w:r w:rsidR="00720A22" w:rsidRPr="009E6775">
        <w:rPr>
          <w:rFonts w:ascii="Times New Roman" w:hAnsi="Times New Roman" w:cs="Times New Roman"/>
          <w:sz w:val="24"/>
          <w:szCs w:val="24"/>
          <w:shd w:val="clear" w:color="auto" w:fill="FFFFFF"/>
        </w:rPr>
        <w:t xml:space="preserve"> </w:t>
      </w:r>
      <w:r w:rsidR="00413E00" w:rsidRPr="009E6775">
        <w:rPr>
          <w:rFonts w:ascii="Times New Roman" w:hAnsi="Times New Roman" w:cs="Times New Roman"/>
          <w:sz w:val="24"/>
          <w:szCs w:val="24"/>
          <w:shd w:val="clear" w:color="auto" w:fill="FFFFFF"/>
        </w:rPr>
        <w:t>in</w:t>
      </w:r>
      <w:r w:rsidR="00720A22" w:rsidRPr="009E6775">
        <w:rPr>
          <w:rFonts w:ascii="Times New Roman" w:hAnsi="Times New Roman" w:cs="Times New Roman"/>
          <w:sz w:val="24"/>
          <w:szCs w:val="24"/>
          <w:shd w:val="clear" w:color="auto" w:fill="FFFFFF"/>
        </w:rPr>
        <w:t xml:space="preserve"> set</w:t>
      </w:r>
      <w:r w:rsidR="00413E00" w:rsidRPr="009E6775">
        <w:rPr>
          <w:rFonts w:ascii="Times New Roman" w:hAnsi="Times New Roman" w:cs="Times New Roman"/>
          <w:sz w:val="24"/>
          <w:szCs w:val="24"/>
          <w:shd w:val="clear" w:color="auto" w:fill="FFFFFF"/>
        </w:rPr>
        <w:t>ting</w:t>
      </w:r>
      <w:r w:rsidR="00720A22" w:rsidRPr="009E6775">
        <w:rPr>
          <w:rFonts w:ascii="Times New Roman" w:hAnsi="Times New Roman" w:cs="Times New Roman"/>
          <w:sz w:val="24"/>
          <w:szCs w:val="24"/>
          <w:shd w:val="clear" w:color="auto" w:fill="FFFFFF"/>
        </w:rPr>
        <w:t xml:space="preserve"> </w:t>
      </w:r>
      <w:r w:rsidR="00A200E5" w:rsidRPr="009E6775">
        <w:rPr>
          <w:rFonts w:ascii="Times New Roman" w:hAnsi="Times New Roman" w:cs="Times New Roman"/>
          <w:sz w:val="24"/>
          <w:szCs w:val="24"/>
          <w:shd w:val="clear" w:color="auto" w:fill="FFFFFF"/>
        </w:rPr>
        <w:t xml:space="preserve">correlatively </w:t>
      </w:r>
      <w:r w:rsidR="00BD7964" w:rsidRPr="009E6775">
        <w:rPr>
          <w:rFonts w:ascii="Times New Roman" w:hAnsi="Times New Roman" w:cs="Times New Roman"/>
          <w:sz w:val="24"/>
          <w:szCs w:val="24"/>
          <w:shd w:val="clear" w:color="auto" w:fill="FFFFFF"/>
        </w:rPr>
        <w:t xml:space="preserve">the outer boundaries of </w:t>
      </w:r>
      <w:r w:rsidR="00A200E5" w:rsidRPr="009E6775">
        <w:rPr>
          <w:rFonts w:ascii="Times New Roman" w:hAnsi="Times New Roman" w:cs="Times New Roman"/>
          <w:sz w:val="24"/>
          <w:szCs w:val="24"/>
          <w:shd w:val="clear" w:color="auto" w:fill="FFFFFF"/>
        </w:rPr>
        <w:t>the exception ‘</w:t>
      </w:r>
      <w:r w:rsidR="00BD7964" w:rsidRPr="009E6775">
        <w:rPr>
          <w:rFonts w:ascii="Times New Roman" w:hAnsi="Times New Roman" w:cs="Times New Roman"/>
          <w:sz w:val="24"/>
          <w:szCs w:val="24"/>
          <w:shd w:val="clear" w:color="auto" w:fill="FFFFFF"/>
        </w:rPr>
        <w:t>absolutely prevented’</w:t>
      </w:r>
      <w:r w:rsidR="00A200E5" w:rsidRPr="009E6775">
        <w:rPr>
          <w:rFonts w:ascii="Times New Roman" w:hAnsi="Times New Roman" w:cs="Times New Roman"/>
          <w:sz w:val="24"/>
          <w:szCs w:val="24"/>
          <w:shd w:val="clear" w:color="auto" w:fill="FFFFFF"/>
        </w:rPr>
        <w:t>.</w:t>
      </w:r>
      <w:r w:rsidR="00233AFE" w:rsidRPr="009E6775">
        <w:rPr>
          <w:rStyle w:val="aa"/>
          <w:rFonts w:ascii="Times New Roman" w:hAnsi="Times New Roman" w:cs="Times New Roman"/>
          <w:sz w:val="24"/>
          <w:szCs w:val="24"/>
          <w:shd w:val="clear" w:color="auto" w:fill="FFFFFF"/>
        </w:rPr>
        <w:footnoteReference w:id="109"/>
      </w:r>
      <w:r w:rsidR="00D67333" w:rsidRPr="009E6775">
        <w:rPr>
          <w:rFonts w:ascii="Times New Roman" w:hAnsi="Times New Roman" w:cs="Times New Roman"/>
          <w:sz w:val="24"/>
          <w:szCs w:val="24"/>
          <w:shd w:val="clear" w:color="auto" w:fill="FFFFFF"/>
        </w:rPr>
        <w:t xml:space="preserve"> </w:t>
      </w:r>
    </w:p>
    <w:p w14:paraId="5C8BDE34" w14:textId="2683B5A1" w:rsidR="00B00E5C" w:rsidRPr="009E6775" w:rsidRDefault="00B00E5C" w:rsidP="0081540D">
      <w:pPr>
        <w:rPr>
          <w:rFonts w:ascii="Times New Roman" w:hAnsi="Times New Roman" w:cs="Times New Roman"/>
          <w:sz w:val="24"/>
          <w:szCs w:val="24"/>
          <w:shd w:val="clear" w:color="auto" w:fill="FFFFFF"/>
        </w:rPr>
      </w:pPr>
    </w:p>
    <w:p w14:paraId="25DBB662" w14:textId="1D53ACA6" w:rsidR="00815986" w:rsidRPr="008156BB" w:rsidRDefault="00815986" w:rsidP="008156BB">
      <w:pPr>
        <w:pStyle w:val="a3"/>
        <w:numPr>
          <w:ilvl w:val="0"/>
          <w:numId w:val="17"/>
        </w:numPr>
        <w:ind w:leftChars="0"/>
        <w:rPr>
          <w:rFonts w:ascii="Times New Roman" w:hAnsi="Times New Roman" w:cs="Times New Roman"/>
          <w:b/>
          <w:bCs/>
          <w:sz w:val="24"/>
          <w:szCs w:val="24"/>
          <w:shd w:val="clear" w:color="auto" w:fill="FFFFFF"/>
        </w:rPr>
      </w:pPr>
      <w:r w:rsidRPr="008156BB">
        <w:rPr>
          <w:rFonts w:ascii="Times New Roman" w:hAnsi="Times New Roman" w:cs="Times New Roman"/>
          <w:b/>
          <w:bCs/>
          <w:sz w:val="24"/>
          <w:szCs w:val="24"/>
          <w:shd w:val="clear" w:color="auto" w:fill="FFFFFF"/>
        </w:rPr>
        <w:t>The ‘</w:t>
      </w:r>
      <w:r w:rsidR="005919B3" w:rsidRPr="008156BB">
        <w:rPr>
          <w:rFonts w:ascii="Times New Roman" w:hAnsi="Times New Roman" w:cs="Times New Roman"/>
          <w:b/>
          <w:bCs/>
          <w:sz w:val="24"/>
          <w:szCs w:val="24"/>
          <w:shd w:val="clear" w:color="auto" w:fill="FFFFFF"/>
        </w:rPr>
        <w:t>D</w:t>
      </w:r>
      <w:r w:rsidRPr="008156BB">
        <w:rPr>
          <w:rFonts w:ascii="Times New Roman" w:hAnsi="Times New Roman" w:cs="Times New Roman"/>
          <w:b/>
          <w:bCs/>
          <w:sz w:val="24"/>
          <w:szCs w:val="24"/>
          <w:shd w:val="clear" w:color="auto" w:fill="FFFFFF"/>
        </w:rPr>
        <w:t xml:space="preserve">ominant </w:t>
      </w:r>
      <w:r w:rsidR="005919B3" w:rsidRPr="008156BB">
        <w:rPr>
          <w:rFonts w:ascii="Times New Roman" w:hAnsi="Times New Roman" w:cs="Times New Roman"/>
          <w:b/>
          <w:bCs/>
          <w:sz w:val="24"/>
          <w:szCs w:val="24"/>
          <w:shd w:val="clear" w:color="auto" w:fill="FFFFFF"/>
        </w:rPr>
        <w:t>F</w:t>
      </w:r>
      <w:r w:rsidRPr="008156BB">
        <w:rPr>
          <w:rFonts w:ascii="Times New Roman" w:hAnsi="Times New Roman" w:cs="Times New Roman"/>
          <w:b/>
          <w:bCs/>
          <w:sz w:val="24"/>
          <w:szCs w:val="24"/>
          <w:shd w:val="clear" w:color="auto" w:fill="FFFFFF"/>
        </w:rPr>
        <w:t xml:space="preserve">actor’ </w:t>
      </w:r>
      <w:r w:rsidR="005919B3" w:rsidRPr="008156BB">
        <w:rPr>
          <w:rFonts w:ascii="Times New Roman" w:hAnsi="Times New Roman" w:cs="Times New Roman"/>
          <w:b/>
          <w:bCs/>
          <w:sz w:val="24"/>
          <w:szCs w:val="24"/>
          <w:shd w:val="clear" w:color="auto" w:fill="FFFFFF"/>
        </w:rPr>
        <w:t>T</w:t>
      </w:r>
      <w:r w:rsidRPr="008156BB">
        <w:rPr>
          <w:rFonts w:ascii="Times New Roman" w:hAnsi="Times New Roman" w:cs="Times New Roman"/>
          <w:b/>
          <w:bCs/>
          <w:sz w:val="24"/>
          <w:szCs w:val="24"/>
          <w:shd w:val="clear" w:color="auto" w:fill="FFFFFF"/>
        </w:rPr>
        <w:t>est</w:t>
      </w:r>
    </w:p>
    <w:p w14:paraId="22B72DB6" w14:textId="188B95D4" w:rsidR="00424158" w:rsidRPr="009E6775" w:rsidRDefault="000B45DE" w:rsidP="0081540D">
      <w:pPr>
        <w:rPr>
          <w:rFonts w:ascii="Times New Roman" w:hAnsi="Times New Roman" w:cs="Times New Roman"/>
          <w:sz w:val="24"/>
          <w:szCs w:val="24"/>
          <w:shd w:val="clear" w:color="auto" w:fill="FFFFFF"/>
        </w:rPr>
      </w:pPr>
      <w:r w:rsidRPr="009E6775">
        <w:rPr>
          <w:rFonts w:ascii="Times New Roman" w:hAnsi="Times New Roman" w:cs="Times New Roman"/>
          <w:sz w:val="24"/>
          <w:szCs w:val="24"/>
          <w:shd w:val="clear" w:color="auto" w:fill="FFFFFF"/>
        </w:rPr>
        <w:t xml:space="preserve">When confronted with diverging interests of different ‘stakeholders’, the </w:t>
      </w:r>
      <w:r w:rsidR="00413E00" w:rsidRPr="009E6775">
        <w:rPr>
          <w:rFonts w:ascii="Times New Roman" w:hAnsi="Times New Roman" w:cs="Times New Roman"/>
          <w:sz w:val="24"/>
          <w:szCs w:val="24"/>
          <w:shd w:val="clear" w:color="auto" w:fill="FFFFFF"/>
        </w:rPr>
        <w:t>SC</w:t>
      </w:r>
      <w:r w:rsidRPr="009E6775">
        <w:rPr>
          <w:rFonts w:ascii="Times New Roman" w:hAnsi="Times New Roman" w:cs="Times New Roman"/>
          <w:sz w:val="24"/>
          <w:szCs w:val="24"/>
          <w:shd w:val="clear" w:color="auto" w:fill="FFFFFF"/>
        </w:rPr>
        <w:t xml:space="preserve"> has developed a useful allocative</w:t>
      </w:r>
      <w:r w:rsidR="00862064" w:rsidRPr="009E6775">
        <w:rPr>
          <w:rFonts w:ascii="Times New Roman" w:hAnsi="Times New Roman" w:cs="Times New Roman"/>
          <w:sz w:val="24"/>
          <w:szCs w:val="24"/>
          <w:shd w:val="clear" w:color="auto" w:fill="FFFFFF"/>
        </w:rPr>
        <w:t xml:space="preserve"> benchmark</w:t>
      </w:r>
      <w:r w:rsidRPr="009E6775">
        <w:rPr>
          <w:rFonts w:ascii="Times New Roman" w:hAnsi="Times New Roman" w:cs="Times New Roman"/>
          <w:sz w:val="24"/>
          <w:szCs w:val="24"/>
          <w:shd w:val="clear" w:color="auto" w:fill="FFFFFF"/>
        </w:rPr>
        <w:t xml:space="preserve"> to assist its cost-benefit analyses under Article 43 Hague Regulations</w:t>
      </w:r>
      <w:r w:rsidR="00862064" w:rsidRPr="009E6775">
        <w:rPr>
          <w:rFonts w:ascii="Times New Roman" w:hAnsi="Times New Roman" w:cs="Times New Roman"/>
          <w:sz w:val="24"/>
          <w:szCs w:val="24"/>
          <w:shd w:val="clear" w:color="auto" w:fill="FFFFFF"/>
        </w:rPr>
        <w:t xml:space="preserve">:  the ‘dominant </w:t>
      </w:r>
      <w:r w:rsidR="00D034FB" w:rsidRPr="009E6775">
        <w:rPr>
          <w:rFonts w:ascii="Times New Roman" w:hAnsi="Times New Roman" w:cs="Times New Roman"/>
          <w:sz w:val="24"/>
          <w:szCs w:val="24"/>
          <w:shd w:val="clear" w:color="auto" w:fill="FFFFFF"/>
        </w:rPr>
        <w:t xml:space="preserve">factor’ </w:t>
      </w:r>
      <w:r w:rsidR="00862064" w:rsidRPr="009E6775">
        <w:rPr>
          <w:rFonts w:ascii="Times New Roman" w:hAnsi="Times New Roman" w:cs="Times New Roman"/>
          <w:sz w:val="24"/>
          <w:szCs w:val="24"/>
          <w:shd w:val="clear" w:color="auto" w:fill="FFFFFF"/>
        </w:rPr>
        <w:t>test</w:t>
      </w:r>
      <w:r w:rsidR="000E11B7" w:rsidRPr="009E6775">
        <w:rPr>
          <w:rFonts w:ascii="Times New Roman" w:hAnsi="Times New Roman" w:cs="Times New Roman"/>
          <w:sz w:val="24"/>
          <w:szCs w:val="24"/>
          <w:shd w:val="clear" w:color="auto" w:fill="FFFFFF"/>
        </w:rPr>
        <w:t>.</w:t>
      </w:r>
      <w:r w:rsidR="000E11B7" w:rsidRPr="009E6775">
        <w:rPr>
          <w:rStyle w:val="aa"/>
          <w:rFonts w:ascii="Times New Roman" w:hAnsi="Times New Roman" w:cs="Times New Roman"/>
          <w:sz w:val="24"/>
          <w:szCs w:val="24"/>
          <w:shd w:val="clear" w:color="auto" w:fill="FFFFFF"/>
        </w:rPr>
        <w:footnoteReference w:id="110"/>
      </w:r>
      <w:r w:rsidR="000E11B7" w:rsidRPr="009E6775">
        <w:rPr>
          <w:rFonts w:ascii="Times New Roman" w:hAnsi="Times New Roman" w:cs="Times New Roman"/>
          <w:sz w:val="24"/>
          <w:szCs w:val="24"/>
          <w:shd w:val="clear" w:color="auto" w:fill="FFFFFF"/>
        </w:rPr>
        <w:t xml:space="preserve"> </w:t>
      </w:r>
      <w:r w:rsidR="00C641EB" w:rsidRPr="009E6775">
        <w:rPr>
          <w:rFonts w:ascii="Times New Roman" w:hAnsi="Times New Roman" w:cs="Times New Roman"/>
          <w:sz w:val="24"/>
          <w:szCs w:val="24"/>
          <w:shd w:val="clear" w:color="auto" w:fill="FFFFFF"/>
        </w:rPr>
        <w:t>As explained by Weil, this test asks</w:t>
      </w:r>
      <w:r w:rsidR="00D62D36" w:rsidRPr="009E6775">
        <w:rPr>
          <w:rFonts w:ascii="Times New Roman" w:hAnsi="Times New Roman" w:cs="Times New Roman"/>
          <w:sz w:val="24"/>
          <w:szCs w:val="24"/>
          <w:shd w:val="clear" w:color="auto" w:fill="FFFFFF"/>
        </w:rPr>
        <w:t xml:space="preserve"> if </w:t>
      </w:r>
      <w:r w:rsidR="00DB0992" w:rsidRPr="009E6775">
        <w:rPr>
          <w:rFonts w:ascii="Times New Roman" w:hAnsi="Times New Roman" w:cs="Times New Roman"/>
          <w:sz w:val="24"/>
          <w:szCs w:val="24"/>
          <w:shd w:val="clear" w:color="auto" w:fill="FFFFFF"/>
        </w:rPr>
        <w:t xml:space="preserve">the two main factors, namely, the benefit for the local population and (military) necessity, are </w:t>
      </w:r>
      <w:r w:rsidR="00661B1A" w:rsidRPr="009E6775">
        <w:rPr>
          <w:rFonts w:ascii="Times New Roman" w:hAnsi="Times New Roman" w:cs="Times New Roman"/>
          <w:sz w:val="24"/>
          <w:szCs w:val="24"/>
          <w:shd w:val="clear" w:color="auto" w:fill="FFFFFF"/>
        </w:rPr>
        <w:t xml:space="preserve">intended to be </w:t>
      </w:r>
      <w:r w:rsidR="004F3408" w:rsidRPr="009E6775">
        <w:rPr>
          <w:rFonts w:ascii="Times New Roman" w:hAnsi="Times New Roman" w:cs="Times New Roman"/>
          <w:sz w:val="24"/>
          <w:szCs w:val="24"/>
          <w:shd w:val="clear" w:color="auto" w:fill="FFFFFF"/>
        </w:rPr>
        <w:t>the</w:t>
      </w:r>
      <w:r w:rsidR="00661B1A" w:rsidRPr="009E6775">
        <w:rPr>
          <w:rFonts w:ascii="Times New Roman" w:hAnsi="Times New Roman" w:cs="Times New Roman"/>
          <w:sz w:val="24"/>
          <w:szCs w:val="24"/>
          <w:shd w:val="clear" w:color="auto" w:fill="FFFFFF"/>
        </w:rPr>
        <w:t xml:space="preserve"> rationale or motive that is </w:t>
      </w:r>
      <w:r w:rsidR="00862064" w:rsidRPr="009E6775">
        <w:rPr>
          <w:rFonts w:ascii="Times New Roman" w:hAnsi="Times New Roman" w:cs="Times New Roman"/>
          <w:sz w:val="24"/>
          <w:szCs w:val="24"/>
          <w:shd w:val="clear" w:color="auto" w:fill="FFFFFF"/>
        </w:rPr>
        <w:t xml:space="preserve">dominant </w:t>
      </w:r>
      <w:r w:rsidR="00661B1A" w:rsidRPr="009E6775">
        <w:rPr>
          <w:rFonts w:ascii="Times New Roman" w:hAnsi="Times New Roman" w:cs="Times New Roman"/>
          <w:sz w:val="24"/>
          <w:szCs w:val="24"/>
          <w:shd w:val="clear" w:color="auto" w:fill="FFFFFF"/>
        </w:rPr>
        <w:t>rather than minor or secondary</w:t>
      </w:r>
      <w:r w:rsidR="000C1B45" w:rsidRPr="009E6775">
        <w:rPr>
          <w:rFonts w:ascii="Times New Roman" w:hAnsi="Times New Roman" w:cs="Times New Roman"/>
          <w:sz w:val="24"/>
          <w:szCs w:val="24"/>
          <w:shd w:val="clear" w:color="auto" w:fill="FFFFFF"/>
        </w:rPr>
        <w:t xml:space="preserve"> in relation to the occupying power’s own political interests.</w:t>
      </w:r>
      <w:r w:rsidR="000C1B45" w:rsidRPr="009E6775">
        <w:rPr>
          <w:rStyle w:val="aa"/>
          <w:rFonts w:ascii="Times New Roman" w:hAnsi="Times New Roman" w:cs="Times New Roman"/>
          <w:sz w:val="24"/>
          <w:szCs w:val="24"/>
          <w:shd w:val="clear" w:color="auto" w:fill="FFFFFF"/>
        </w:rPr>
        <w:footnoteReference w:id="111"/>
      </w:r>
      <w:r w:rsidR="00D77667" w:rsidRPr="009E6775">
        <w:rPr>
          <w:rFonts w:ascii="Times New Roman" w:hAnsi="Times New Roman" w:cs="Times New Roman"/>
          <w:sz w:val="24"/>
          <w:szCs w:val="24"/>
          <w:shd w:val="clear" w:color="auto" w:fill="FFFFFF"/>
        </w:rPr>
        <w:t xml:space="preserve"> </w:t>
      </w:r>
      <w:r w:rsidR="00424158" w:rsidRPr="009E6775">
        <w:rPr>
          <w:rFonts w:ascii="Times New Roman" w:hAnsi="Times New Roman" w:cs="Times New Roman"/>
          <w:sz w:val="24"/>
          <w:szCs w:val="24"/>
          <w:shd w:val="clear" w:color="auto" w:fill="FFFFFF"/>
        </w:rPr>
        <w:t xml:space="preserve">The dominant factor test has promising potential </w:t>
      </w:r>
      <w:r w:rsidR="002C6FC4" w:rsidRPr="009E6775">
        <w:rPr>
          <w:rFonts w:ascii="Times New Roman" w:hAnsi="Times New Roman" w:cs="Times New Roman"/>
          <w:sz w:val="24"/>
          <w:szCs w:val="24"/>
          <w:shd w:val="clear" w:color="auto" w:fill="FFFFFF"/>
        </w:rPr>
        <w:t>in</w:t>
      </w:r>
      <w:r w:rsidR="00424158" w:rsidRPr="009E6775">
        <w:rPr>
          <w:rFonts w:ascii="Times New Roman" w:hAnsi="Times New Roman" w:cs="Times New Roman"/>
          <w:sz w:val="24"/>
          <w:szCs w:val="24"/>
          <w:shd w:val="clear" w:color="auto" w:fill="FFFFFF"/>
        </w:rPr>
        <w:t xml:space="preserve"> clarifying whose interests should be prioritized when assessing the legality of measures under Article 43 Hague Regulations. </w:t>
      </w:r>
    </w:p>
    <w:p w14:paraId="654CE8D0" w14:textId="77777777" w:rsidR="00424158" w:rsidRPr="009E6775" w:rsidRDefault="00424158" w:rsidP="0081540D">
      <w:pPr>
        <w:rPr>
          <w:rFonts w:ascii="Times New Roman" w:hAnsi="Times New Roman" w:cs="Times New Roman"/>
          <w:sz w:val="24"/>
          <w:szCs w:val="24"/>
          <w:shd w:val="clear" w:color="auto" w:fill="FFFFFF"/>
        </w:rPr>
      </w:pPr>
    </w:p>
    <w:p w14:paraId="45EA6CDD" w14:textId="2EAE38F8" w:rsidR="005A638B" w:rsidRPr="009E6775" w:rsidRDefault="00B81237" w:rsidP="0081540D">
      <w:pPr>
        <w:rPr>
          <w:rFonts w:ascii="Times New Roman" w:hAnsi="Times New Roman" w:cs="Times New Roman"/>
          <w:sz w:val="24"/>
          <w:szCs w:val="24"/>
          <w:shd w:val="clear" w:color="auto" w:fill="FFFFFF"/>
        </w:rPr>
      </w:pPr>
      <w:r w:rsidRPr="009E6775">
        <w:rPr>
          <w:rFonts w:ascii="Times New Roman" w:hAnsi="Times New Roman" w:cs="Times New Roman"/>
          <w:sz w:val="24"/>
          <w:szCs w:val="24"/>
          <w:shd w:val="clear" w:color="auto" w:fill="FFFFFF"/>
        </w:rPr>
        <w:t xml:space="preserve">Yet, </w:t>
      </w:r>
      <w:r w:rsidR="002B4E4C" w:rsidRPr="009E6775">
        <w:rPr>
          <w:rFonts w:ascii="Times New Roman" w:hAnsi="Times New Roman" w:cs="Times New Roman"/>
          <w:sz w:val="24"/>
          <w:szCs w:val="24"/>
          <w:shd w:val="clear" w:color="auto" w:fill="FFFFFF"/>
        </w:rPr>
        <w:t xml:space="preserve">what compounds the assessment of the dominant factor test is the </w:t>
      </w:r>
      <w:r w:rsidR="00D62D36" w:rsidRPr="009E6775">
        <w:rPr>
          <w:rFonts w:ascii="Times New Roman" w:hAnsi="Times New Roman" w:cs="Times New Roman"/>
          <w:sz w:val="24"/>
          <w:szCs w:val="24"/>
          <w:shd w:val="clear" w:color="auto" w:fill="FFFFFF"/>
        </w:rPr>
        <w:t xml:space="preserve">SC’s </w:t>
      </w:r>
      <w:r w:rsidR="002B4E4C" w:rsidRPr="009E6775">
        <w:rPr>
          <w:rFonts w:ascii="Times New Roman" w:hAnsi="Times New Roman" w:cs="Times New Roman"/>
          <w:sz w:val="24"/>
          <w:szCs w:val="24"/>
          <w:shd w:val="clear" w:color="auto" w:fill="FFFFFF"/>
        </w:rPr>
        <w:t xml:space="preserve">gradual policy shift to embracing the factor </w:t>
      </w:r>
      <w:r w:rsidR="00F0303D" w:rsidRPr="009E6775">
        <w:rPr>
          <w:rFonts w:ascii="Times New Roman" w:hAnsi="Times New Roman" w:cs="Times New Roman"/>
          <w:sz w:val="24"/>
          <w:szCs w:val="24"/>
          <w:shd w:val="clear" w:color="auto" w:fill="FFFFFF"/>
        </w:rPr>
        <w:t xml:space="preserve">that </w:t>
      </w:r>
      <w:r w:rsidR="00720A22" w:rsidRPr="009E6775">
        <w:rPr>
          <w:rFonts w:ascii="Times New Roman" w:hAnsi="Times New Roman" w:cs="Times New Roman"/>
          <w:sz w:val="24"/>
          <w:szCs w:val="24"/>
          <w:shd w:val="clear" w:color="auto" w:fill="FFFFFF"/>
        </w:rPr>
        <w:t xml:space="preserve">is not </w:t>
      </w:r>
      <w:r w:rsidR="002B4E4C" w:rsidRPr="009E6775">
        <w:rPr>
          <w:rFonts w:ascii="Times New Roman" w:hAnsi="Times New Roman" w:cs="Times New Roman"/>
          <w:sz w:val="24"/>
          <w:szCs w:val="24"/>
          <w:shd w:val="clear" w:color="auto" w:fill="FFFFFF"/>
        </w:rPr>
        <w:t>prioritized in the law of occupation</w:t>
      </w:r>
      <w:r w:rsidR="00D62D36" w:rsidRPr="009E6775">
        <w:rPr>
          <w:rFonts w:ascii="Times New Roman" w:hAnsi="Times New Roman" w:cs="Times New Roman"/>
          <w:sz w:val="24"/>
          <w:szCs w:val="24"/>
          <w:shd w:val="clear" w:color="auto" w:fill="FFFFFF"/>
        </w:rPr>
        <w:t xml:space="preserve">, namely, the </w:t>
      </w:r>
      <w:r w:rsidR="00234153" w:rsidRPr="009E6775">
        <w:rPr>
          <w:rFonts w:ascii="Times New Roman" w:hAnsi="Times New Roman" w:cs="Times New Roman"/>
          <w:sz w:val="24"/>
          <w:szCs w:val="24"/>
          <w:shd w:val="clear" w:color="auto" w:fill="FFFFFF"/>
        </w:rPr>
        <w:t xml:space="preserve">human </w:t>
      </w:r>
      <w:r w:rsidR="002B7A07" w:rsidRPr="009E6775">
        <w:rPr>
          <w:rFonts w:ascii="Times New Roman" w:hAnsi="Times New Roman" w:cs="Times New Roman"/>
          <w:sz w:val="24"/>
          <w:szCs w:val="24"/>
          <w:shd w:val="clear" w:color="auto" w:fill="FFFFFF"/>
        </w:rPr>
        <w:t xml:space="preserve">rights </w:t>
      </w:r>
      <w:r w:rsidR="00815986" w:rsidRPr="009E6775">
        <w:rPr>
          <w:rFonts w:ascii="Times New Roman" w:hAnsi="Times New Roman" w:cs="Times New Roman"/>
          <w:sz w:val="24"/>
          <w:szCs w:val="24"/>
          <w:shd w:val="clear" w:color="auto" w:fill="FFFFFF"/>
        </w:rPr>
        <w:t xml:space="preserve">concerning </w:t>
      </w:r>
      <w:r w:rsidR="002B7A07" w:rsidRPr="009E6775">
        <w:rPr>
          <w:rFonts w:ascii="Times New Roman" w:hAnsi="Times New Roman" w:cs="Times New Roman"/>
          <w:sz w:val="24"/>
          <w:szCs w:val="24"/>
          <w:shd w:val="clear" w:color="auto" w:fill="FFFFFF"/>
        </w:rPr>
        <w:t xml:space="preserve">the </w:t>
      </w:r>
      <w:r w:rsidR="00234153" w:rsidRPr="009E6775">
        <w:rPr>
          <w:rFonts w:ascii="Times New Roman" w:hAnsi="Times New Roman" w:cs="Times New Roman"/>
          <w:sz w:val="24"/>
          <w:szCs w:val="24"/>
          <w:shd w:val="clear" w:color="auto" w:fill="FFFFFF"/>
        </w:rPr>
        <w:t xml:space="preserve">general </w:t>
      </w:r>
      <w:r w:rsidR="002B7A07" w:rsidRPr="009E6775">
        <w:rPr>
          <w:rFonts w:ascii="Times New Roman" w:hAnsi="Times New Roman" w:cs="Times New Roman"/>
          <w:sz w:val="24"/>
          <w:szCs w:val="24"/>
          <w:shd w:val="clear" w:color="auto" w:fill="FFFFFF"/>
        </w:rPr>
        <w:t xml:space="preserve">wellbeing </w:t>
      </w:r>
      <w:r w:rsidR="00EB7257" w:rsidRPr="009E6775">
        <w:rPr>
          <w:rFonts w:ascii="Times New Roman" w:hAnsi="Times New Roman" w:cs="Times New Roman"/>
          <w:sz w:val="24"/>
          <w:szCs w:val="24"/>
          <w:shd w:val="clear" w:color="auto" w:fill="FFFFFF"/>
        </w:rPr>
        <w:t xml:space="preserve">of Jewish settlers </w:t>
      </w:r>
      <w:r w:rsidR="00F72427" w:rsidRPr="009E6775">
        <w:rPr>
          <w:rFonts w:ascii="Times New Roman" w:hAnsi="Times New Roman" w:cs="Times New Roman"/>
          <w:sz w:val="24"/>
          <w:szCs w:val="24"/>
          <w:shd w:val="clear" w:color="auto" w:fill="FFFFFF"/>
        </w:rPr>
        <w:t xml:space="preserve">(and </w:t>
      </w:r>
      <w:r w:rsidR="00EB7257" w:rsidRPr="009E6775">
        <w:rPr>
          <w:rFonts w:ascii="Times New Roman" w:hAnsi="Times New Roman" w:cs="Times New Roman"/>
          <w:sz w:val="24"/>
          <w:szCs w:val="24"/>
          <w:shd w:val="clear" w:color="auto" w:fill="FFFFFF"/>
        </w:rPr>
        <w:t xml:space="preserve">hence </w:t>
      </w:r>
      <w:r w:rsidR="00F72427" w:rsidRPr="009E6775">
        <w:rPr>
          <w:rFonts w:ascii="Times New Roman" w:hAnsi="Times New Roman" w:cs="Times New Roman"/>
          <w:sz w:val="24"/>
          <w:szCs w:val="24"/>
          <w:shd w:val="clear" w:color="auto" w:fill="FFFFFF"/>
        </w:rPr>
        <w:t>not their life or bodily security)</w:t>
      </w:r>
      <w:r w:rsidR="002B7A07" w:rsidRPr="009E6775">
        <w:rPr>
          <w:rFonts w:ascii="Times New Roman" w:hAnsi="Times New Roman" w:cs="Times New Roman"/>
          <w:sz w:val="24"/>
          <w:szCs w:val="24"/>
          <w:shd w:val="clear" w:color="auto" w:fill="FFFFFF"/>
        </w:rPr>
        <w:t xml:space="preserve">. </w:t>
      </w:r>
      <w:r w:rsidR="004F3408" w:rsidRPr="009E6775">
        <w:rPr>
          <w:rFonts w:ascii="Times New Roman" w:hAnsi="Times New Roman" w:cs="Times New Roman"/>
          <w:sz w:val="24"/>
          <w:szCs w:val="24"/>
          <w:shd w:val="clear" w:color="auto" w:fill="FFFFFF"/>
        </w:rPr>
        <w:t xml:space="preserve">This implies that </w:t>
      </w:r>
      <w:r w:rsidR="00D77667" w:rsidRPr="009E6775">
        <w:rPr>
          <w:rFonts w:ascii="Times New Roman" w:hAnsi="Times New Roman" w:cs="Times New Roman"/>
          <w:sz w:val="24"/>
          <w:szCs w:val="24"/>
          <w:shd w:val="clear" w:color="auto" w:fill="FFFFFF"/>
        </w:rPr>
        <w:t xml:space="preserve">the dominant benefits </w:t>
      </w:r>
      <w:r w:rsidR="008E24C9" w:rsidRPr="009E6775">
        <w:rPr>
          <w:rFonts w:ascii="Times New Roman" w:hAnsi="Times New Roman" w:cs="Times New Roman"/>
          <w:sz w:val="24"/>
          <w:szCs w:val="24"/>
          <w:shd w:val="clear" w:color="auto" w:fill="FFFFFF"/>
        </w:rPr>
        <w:t>for</w:t>
      </w:r>
      <w:r w:rsidR="00D77667" w:rsidRPr="009E6775">
        <w:rPr>
          <w:rFonts w:ascii="Times New Roman" w:hAnsi="Times New Roman" w:cs="Times New Roman"/>
          <w:sz w:val="24"/>
          <w:szCs w:val="24"/>
          <w:shd w:val="clear" w:color="auto" w:fill="FFFFFF"/>
        </w:rPr>
        <w:t xml:space="preserve"> the </w:t>
      </w:r>
      <w:r w:rsidR="00D62D36" w:rsidRPr="009E6775">
        <w:rPr>
          <w:rFonts w:ascii="Times New Roman" w:hAnsi="Times New Roman" w:cs="Times New Roman"/>
          <w:sz w:val="24"/>
          <w:szCs w:val="24"/>
          <w:shd w:val="clear" w:color="auto" w:fill="FFFFFF"/>
        </w:rPr>
        <w:t>welfare</w:t>
      </w:r>
      <w:r w:rsidR="002B7A07" w:rsidRPr="009E6775">
        <w:rPr>
          <w:rFonts w:ascii="Times New Roman" w:hAnsi="Times New Roman" w:cs="Times New Roman"/>
          <w:sz w:val="24"/>
          <w:szCs w:val="24"/>
          <w:shd w:val="clear" w:color="auto" w:fill="FFFFFF"/>
        </w:rPr>
        <w:t xml:space="preserve"> of the </w:t>
      </w:r>
      <w:r w:rsidR="00D77667" w:rsidRPr="009E6775">
        <w:rPr>
          <w:rFonts w:ascii="Times New Roman" w:hAnsi="Times New Roman" w:cs="Times New Roman"/>
          <w:sz w:val="24"/>
          <w:szCs w:val="24"/>
          <w:shd w:val="clear" w:color="auto" w:fill="FFFFFF"/>
        </w:rPr>
        <w:t xml:space="preserve">local population </w:t>
      </w:r>
      <w:r w:rsidR="00B2335D" w:rsidRPr="009E6775">
        <w:rPr>
          <w:rFonts w:ascii="Times New Roman" w:hAnsi="Times New Roman" w:cs="Times New Roman"/>
          <w:sz w:val="24"/>
          <w:szCs w:val="24"/>
          <w:shd w:val="clear" w:color="auto" w:fill="FFFFFF"/>
        </w:rPr>
        <w:t>may be</w:t>
      </w:r>
      <w:r w:rsidR="00D77667" w:rsidRPr="009E6775">
        <w:rPr>
          <w:rFonts w:ascii="Times New Roman" w:hAnsi="Times New Roman" w:cs="Times New Roman"/>
          <w:sz w:val="24"/>
          <w:szCs w:val="24"/>
          <w:shd w:val="clear" w:color="auto" w:fill="FFFFFF"/>
        </w:rPr>
        <w:t xml:space="preserve"> gauged on the basis of the aggregate of the </w:t>
      </w:r>
      <w:r w:rsidR="00D62D36" w:rsidRPr="009E6775">
        <w:rPr>
          <w:rFonts w:ascii="Times New Roman" w:hAnsi="Times New Roman" w:cs="Times New Roman"/>
          <w:sz w:val="24"/>
          <w:szCs w:val="24"/>
          <w:shd w:val="clear" w:color="auto" w:fill="FFFFFF"/>
        </w:rPr>
        <w:t>‘</w:t>
      </w:r>
      <w:r w:rsidR="00D77667" w:rsidRPr="009E6775">
        <w:rPr>
          <w:rFonts w:ascii="Times New Roman" w:hAnsi="Times New Roman" w:cs="Times New Roman"/>
          <w:sz w:val="24"/>
          <w:szCs w:val="24"/>
          <w:shd w:val="clear" w:color="auto" w:fill="FFFFFF"/>
        </w:rPr>
        <w:t>local</w:t>
      </w:r>
      <w:r w:rsidR="00D62D36" w:rsidRPr="009E6775">
        <w:rPr>
          <w:rFonts w:ascii="Times New Roman" w:hAnsi="Times New Roman" w:cs="Times New Roman"/>
          <w:sz w:val="24"/>
          <w:szCs w:val="24"/>
          <w:shd w:val="clear" w:color="auto" w:fill="FFFFFF"/>
        </w:rPr>
        <w:t>’</w:t>
      </w:r>
      <w:r w:rsidR="00D77667" w:rsidRPr="009E6775">
        <w:rPr>
          <w:rFonts w:ascii="Times New Roman" w:hAnsi="Times New Roman" w:cs="Times New Roman"/>
          <w:sz w:val="24"/>
          <w:szCs w:val="24"/>
          <w:shd w:val="clear" w:color="auto" w:fill="FFFFFF"/>
        </w:rPr>
        <w:t xml:space="preserve"> </w:t>
      </w:r>
      <w:r w:rsidR="004F3408" w:rsidRPr="009E6775">
        <w:rPr>
          <w:rFonts w:ascii="Times New Roman" w:hAnsi="Times New Roman" w:cs="Times New Roman"/>
          <w:sz w:val="24"/>
          <w:szCs w:val="24"/>
          <w:shd w:val="clear" w:color="auto" w:fill="FFFFFF"/>
        </w:rPr>
        <w:t>inhabitants</w:t>
      </w:r>
      <w:r w:rsidR="002B7A07" w:rsidRPr="009E6775">
        <w:rPr>
          <w:rFonts w:ascii="Times New Roman" w:hAnsi="Times New Roman" w:cs="Times New Roman"/>
          <w:sz w:val="24"/>
          <w:szCs w:val="24"/>
          <w:shd w:val="clear" w:color="auto" w:fill="FFFFFF"/>
        </w:rPr>
        <w:t xml:space="preserve">, with no distinction between the ‘indigenous’ Palestinian inhabitants and </w:t>
      </w:r>
      <w:r w:rsidR="00D62D36" w:rsidRPr="009E6775">
        <w:rPr>
          <w:rFonts w:ascii="Times New Roman" w:hAnsi="Times New Roman" w:cs="Times New Roman"/>
          <w:sz w:val="24"/>
          <w:szCs w:val="24"/>
          <w:shd w:val="clear" w:color="auto" w:fill="FFFFFF"/>
        </w:rPr>
        <w:t xml:space="preserve">the </w:t>
      </w:r>
      <w:r w:rsidR="002B7A07" w:rsidRPr="009E6775">
        <w:rPr>
          <w:rFonts w:ascii="Times New Roman" w:hAnsi="Times New Roman" w:cs="Times New Roman"/>
          <w:sz w:val="24"/>
          <w:szCs w:val="24"/>
          <w:shd w:val="clear" w:color="auto" w:fill="FFFFFF"/>
        </w:rPr>
        <w:t>post-</w:t>
      </w:r>
      <w:r w:rsidR="00D555AB" w:rsidRPr="009E6775">
        <w:rPr>
          <w:rFonts w:ascii="Times New Roman" w:hAnsi="Times New Roman" w:cs="Times New Roman"/>
          <w:sz w:val="24"/>
          <w:szCs w:val="24"/>
          <w:shd w:val="clear" w:color="auto" w:fill="FFFFFF"/>
        </w:rPr>
        <w:t>Six-Day-War (June 1967)</w:t>
      </w:r>
      <w:r w:rsidR="002B7A07" w:rsidRPr="009E6775">
        <w:rPr>
          <w:rFonts w:ascii="Times New Roman" w:hAnsi="Times New Roman" w:cs="Times New Roman"/>
          <w:sz w:val="24"/>
          <w:szCs w:val="24"/>
          <w:shd w:val="clear" w:color="auto" w:fill="FFFFFF"/>
        </w:rPr>
        <w:t xml:space="preserve"> Israeli settlers</w:t>
      </w:r>
      <w:r w:rsidR="00D77667" w:rsidRPr="009E6775">
        <w:rPr>
          <w:rFonts w:ascii="Times New Roman" w:hAnsi="Times New Roman" w:cs="Times New Roman"/>
          <w:sz w:val="24"/>
          <w:szCs w:val="24"/>
          <w:shd w:val="clear" w:color="auto" w:fill="FFFFFF"/>
        </w:rPr>
        <w:t>.</w:t>
      </w:r>
      <w:r w:rsidR="002B7A07" w:rsidRPr="009E6775">
        <w:rPr>
          <w:rStyle w:val="aa"/>
          <w:rFonts w:ascii="Times New Roman" w:hAnsi="Times New Roman" w:cs="Times New Roman"/>
          <w:sz w:val="24"/>
          <w:szCs w:val="24"/>
          <w:shd w:val="clear" w:color="auto" w:fill="FFFFFF"/>
        </w:rPr>
        <w:footnoteReference w:id="112"/>
      </w:r>
      <w:r w:rsidR="00D77667" w:rsidRPr="009E6775">
        <w:rPr>
          <w:rFonts w:ascii="Times New Roman" w:hAnsi="Times New Roman" w:cs="Times New Roman"/>
          <w:sz w:val="24"/>
          <w:szCs w:val="24"/>
          <w:shd w:val="clear" w:color="auto" w:fill="FFFFFF"/>
        </w:rPr>
        <w:t xml:space="preserve"> </w:t>
      </w:r>
      <w:r w:rsidR="002B7A07" w:rsidRPr="009E6775">
        <w:rPr>
          <w:rFonts w:ascii="Times New Roman" w:hAnsi="Times New Roman" w:cs="Times New Roman"/>
          <w:sz w:val="24"/>
          <w:szCs w:val="24"/>
          <w:shd w:val="clear" w:color="auto" w:fill="FFFFFF"/>
        </w:rPr>
        <w:t>Here come</w:t>
      </w:r>
      <w:r w:rsidR="004101EC" w:rsidRPr="009E6775">
        <w:rPr>
          <w:rFonts w:ascii="Times New Roman" w:hAnsi="Times New Roman" w:cs="Times New Roman"/>
          <w:sz w:val="24"/>
          <w:szCs w:val="24"/>
          <w:shd w:val="clear" w:color="auto" w:fill="FFFFFF"/>
        </w:rPr>
        <w:t>s</w:t>
      </w:r>
      <w:r w:rsidR="002B7A07" w:rsidRPr="009E6775">
        <w:rPr>
          <w:rFonts w:ascii="Times New Roman" w:hAnsi="Times New Roman" w:cs="Times New Roman"/>
          <w:sz w:val="24"/>
          <w:szCs w:val="24"/>
          <w:shd w:val="clear" w:color="auto" w:fill="FFFFFF"/>
        </w:rPr>
        <w:t xml:space="preserve"> </w:t>
      </w:r>
      <w:r w:rsidR="00D77667" w:rsidRPr="009E6775">
        <w:rPr>
          <w:rFonts w:ascii="Times New Roman" w:hAnsi="Times New Roman" w:cs="Times New Roman"/>
          <w:sz w:val="24"/>
          <w:szCs w:val="24"/>
          <w:shd w:val="clear" w:color="auto" w:fill="FFFFFF"/>
        </w:rPr>
        <w:t xml:space="preserve">a </w:t>
      </w:r>
      <w:r w:rsidR="00FB24E9" w:rsidRPr="009E6775">
        <w:rPr>
          <w:rFonts w:ascii="Times New Roman" w:hAnsi="Times New Roman" w:cs="Times New Roman"/>
          <w:sz w:val="24"/>
          <w:szCs w:val="24"/>
          <w:shd w:val="clear" w:color="auto" w:fill="FFFFFF"/>
        </w:rPr>
        <w:t xml:space="preserve">potential </w:t>
      </w:r>
      <w:r w:rsidR="00D77667" w:rsidRPr="009E6775">
        <w:rPr>
          <w:rFonts w:ascii="Times New Roman" w:hAnsi="Times New Roman" w:cs="Times New Roman"/>
          <w:sz w:val="24"/>
          <w:szCs w:val="24"/>
          <w:shd w:val="clear" w:color="auto" w:fill="FFFFFF"/>
        </w:rPr>
        <w:t xml:space="preserve">risk </w:t>
      </w:r>
      <w:r w:rsidR="004101EC" w:rsidRPr="009E6775">
        <w:rPr>
          <w:rFonts w:ascii="Times New Roman" w:hAnsi="Times New Roman" w:cs="Times New Roman"/>
          <w:sz w:val="24"/>
          <w:szCs w:val="24"/>
          <w:shd w:val="clear" w:color="auto" w:fill="FFFFFF"/>
        </w:rPr>
        <w:t>that there may be</w:t>
      </w:r>
      <w:r w:rsidR="00D77667" w:rsidRPr="009E6775">
        <w:rPr>
          <w:rFonts w:ascii="Times New Roman" w:hAnsi="Times New Roman" w:cs="Times New Roman"/>
          <w:sz w:val="24"/>
          <w:szCs w:val="24"/>
          <w:shd w:val="clear" w:color="auto" w:fill="FFFFFF"/>
        </w:rPr>
        <w:t xml:space="preserve"> </w:t>
      </w:r>
      <w:r w:rsidR="00945E42" w:rsidRPr="009E6775">
        <w:rPr>
          <w:rFonts w:ascii="Times New Roman" w:hAnsi="Times New Roman" w:cs="Times New Roman"/>
          <w:sz w:val="24"/>
          <w:szCs w:val="24"/>
          <w:shd w:val="clear" w:color="auto" w:fill="FFFFFF"/>
        </w:rPr>
        <w:t xml:space="preserve">a disproportionate allocation of anticipated benefit for the sake of the Jewish settlers or even a </w:t>
      </w:r>
      <w:r w:rsidR="00564F19" w:rsidRPr="009E6775">
        <w:rPr>
          <w:rFonts w:ascii="Times New Roman" w:hAnsi="Times New Roman" w:cs="Times New Roman"/>
          <w:sz w:val="24"/>
          <w:szCs w:val="24"/>
          <w:shd w:val="clear" w:color="auto" w:fill="FFFFFF"/>
        </w:rPr>
        <w:t xml:space="preserve">‘trade-off’ between the </w:t>
      </w:r>
      <w:r w:rsidR="004101EC" w:rsidRPr="009E6775">
        <w:rPr>
          <w:rFonts w:ascii="Times New Roman" w:hAnsi="Times New Roman" w:cs="Times New Roman"/>
          <w:sz w:val="24"/>
          <w:szCs w:val="24"/>
          <w:shd w:val="clear" w:color="auto" w:fill="FFFFFF"/>
        </w:rPr>
        <w:t>rights</w:t>
      </w:r>
      <w:r w:rsidR="00564F19" w:rsidRPr="009E6775">
        <w:rPr>
          <w:rFonts w:ascii="Times New Roman" w:hAnsi="Times New Roman" w:cs="Times New Roman"/>
          <w:sz w:val="24"/>
          <w:szCs w:val="24"/>
          <w:shd w:val="clear" w:color="auto" w:fill="FFFFFF"/>
        </w:rPr>
        <w:t xml:space="preserve"> of the ‘indigenous’ Palestinians and </w:t>
      </w:r>
      <w:r w:rsidR="004101EC" w:rsidRPr="009E6775">
        <w:rPr>
          <w:rFonts w:ascii="Times New Roman" w:hAnsi="Times New Roman" w:cs="Times New Roman"/>
          <w:sz w:val="24"/>
          <w:szCs w:val="24"/>
          <w:shd w:val="clear" w:color="auto" w:fill="FFFFFF"/>
        </w:rPr>
        <w:t>those</w:t>
      </w:r>
      <w:r w:rsidR="00564F19" w:rsidRPr="009E6775">
        <w:rPr>
          <w:rFonts w:ascii="Times New Roman" w:hAnsi="Times New Roman" w:cs="Times New Roman"/>
          <w:sz w:val="24"/>
          <w:szCs w:val="24"/>
          <w:shd w:val="clear" w:color="auto" w:fill="FFFFFF"/>
        </w:rPr>
        <w:t xml:space="preserve"> of the settlers within such a composite notion of the </w:t>
      </w:r>
      <w:r w:rsidR="000E59D4" w:rsidRPr="009E6775">
        <w:rPr>
          <w:rFonts w:ascii="Times New Roman" w:hAnsi="Times New Roman" w:cs="Times New Roman"/>
          <w:sz w:val="24"/>
          <w:szCs w:val="24"/>
          <w:shd w:val="clear" w:color="auto" w:fill="FFFFFF"/>
        </w:rPr>
        <w:t>‘</w:t>
      </w:r>
      <w:r w:rsidR="00564F19" w:rsidRPr="009E6775">
        <w:rPr>
          <w:rFonts w:ascii="Times New Roman" w:hAnsi="Times New Roman" w:cs="Times New Roman"/>
          <w:sz w:val="24"/>
          <w:szCs w:val="24"/>
          <w:shd w:val="clear" w:color="auto" w:fill="FFFFFF"/>
        </w:rPr>
        <w:t xml:space="preserve">local </w:t>
      </w:r>
      <w:r w:rsidR="000E59D4" w:rsidRPr="009E6775">
        <w:rPr>
          <w:rFonts w:ascii="Times New Roman" w:hAnsi="Times New Roman" w:cs="Times New Roman"/>
          <w:sz w:val="24"/>
          <w:szCs w:val="24"/>
          <w:shd w:val="clear" w:color="auto" w:fill="FFFFFF"/>
        </w:rPr>
        <w:t>inhabitants’</w:t>
      </w:r>
      <w:r w:rsidR="00945E42" w:rsidRPr="009E6775">
        <w:rPr>
          <w:rFonts w:ascii="Times New Roman" w:hAnsi="Times New Roman" w:cs="Times New Roman"/>
          <w:sz w:val="24"/>
          <w:szCs w:val="24"/>
          <w:shd w:val="clear" w:color="auto" w:fill="FFFFFF"/>
        </w:rPr>
        <w:t>.</w:t>
      </w:r>
      <w:r w:rsidR="00D77667" w:rsidRPr="009E6775">
        <w:rPr>
          <w:rFonts w:ascii="Times New Roman" w:hAnsi="Times New Roman" w:cs="Times New Roman"/>
          <w:sz w:val="24"/>
          <w:szCs w:val="24"/>
          <w:shd w:val="clear" w:color="auto" w:fill="FFFFFF"/>
        </w:rPr>
        <w:t xml:space="preserve"> </w:t>
      </w:r>
    </w:p>
    <w:p w14:paraId="55DE7E23" w14:textId="77777777" w:rsidR="005A638B" w:rsidRPr="009E6775" w:rsidRDefault="005A638B" w:rsidP="0081540D">
      <w:pPr>
        <w:rPr>
          <w:rFonts w:ascii="Times New Roman" w:hAnsi="Times New Roman" w:cs="Times New Roman"/>
          <w:sz w:val="24"/>
          <w:szCs w:val="24"/>
          <w:shd w:val="clear" w:color="auto" w:fill="FFFFFF"/>
        </w:rPr>
      </w:pPr>
    </w:p>
    <w:p w14:paraId="75F59F06" w14:textId="6815B7B6" w:rsidR="00513196" w:rsidRPr="009E6775" w:rsidRDefault="00815986" w:rsidP="0081540D">
      <w:pPr>
        <w:rPr>
          <w:rFonts w:ascii="Times New Roman" w:hAnsi="Times New Roman" w:cs="Times New Roman"/>
          <w:sz w:val="24"/>
          <w:szCs w:val="24"/>
          <w:shd w:val="clear" w:color="auto" w:fill="FFFFFF"/>
        </w:rPr>
      </w:pPr>
      <w:r w:rsidRPr="009E6775">
        <w:rPr>
          <w:rFonts w:ascii="Times New Roman" w:hAnsi="Times New Roman" w:cs="Times New Roman"/>
          <w:sz w:val="24"/>
          <w:szCs w:val="24"/>
          <w:shd w:val="clear" w:color="auto" w:fill="FFFFFF"/>
        </w:rPr>
        <w:t>According to Kretzmer and Ronen, such</w:t>
      </w:r>
      <w:r w:rsidR="00FB24E9" w:rsidRPr="009E6775">
        <w:rPr>
          <w:rFonts w:ascii="Times New Roman" w:hAnsi="Times New Roman" w:cs="Times New Roman"/>
          <w:sz w:val="24"/>
          <w:szCs w:val="24"/>
          <w:shd w:val="clear" w:color="auto" w:fill="FFFFFF"/>
        </w:rPr>
        <w:t xml:space="preserve"> a potential danger seems to be warranted by the </w:t>
      </w:r>
      <w:r w:rsidR="005A638B" w:rsidRPr="009E6775">
        <w:rPr>
          <w:rFonts w:ascii="Times New Roman" w:hAnsi="Times New Roman" w:cs="Times New Roman"/>
          <w:sz w:val="24"/>
          <w:szCs w:val="24"/>
          <w:shd w:val="clear" w:color="auto" w:fill="FFFFFF"/>
        </w:rPr>
        <w:t>incongruent</w:t>
      </w:r>
      <w:r w:rsidR="00FB24E9" w:rsidRPr="009E6775">
        <w:rPr>
          <w:rFonts w:ascii="Times New Roman" w:hAnsi="Times New Roman" w:cs="Times New Roman"/>
          <w:sz w:val="24"/>
          <w:szCs w:val="24"/>
          <w:shd w:val="clear" w:color="auto" w:fill="FFFFFF"/>
        </w:rPr>
        <w:t xml:space="preserve"> </w:t>
      </w:r>
      <w:r w:rsidR="003719E3" w:rsidRPr="009E6775">
        <w:rPr>
          <w:rFonts w:ascii="Times New Roman" w:hAnsi="Times New Roman" w:cs="Times New Roman"/>
          <w:sz w:val="24"/>
          <w:szCs w:val="24"/>
          <w:shd w:val="clear" w:color="auto" w:fill="FFFFFF"/>
        </w:rPr>
        <w:t xml:space="preserve">trajectory of </w:t>
      </w:r>
      <w:r w:rsidR="005A638B" w:rsidRPr="009E6775">
        <w:rPr>
          <w:rFonts w:ascii="Times New Roman" w:hAnsi="Times New Roman" w:cs="Times New Roman"/>
          <w:sz w:val="24"/>
          <w:szCs w:val="24"/>
          <w:shd w:val="clear" w:color="auto" w:fill="FFFFFF"/>
        </w:rPr>
        <w:t>how this test has been applied.</w:t>
      </w:r>
      <w:r w:rsidR="009A0442" w:rsidRPr="009E6775">
        <w:rPr>
          <w:rStyle w:val="aa"/>
          <w:rFonts w:ascii="Times New Roman" w:hAnsi="Times New Roman" w:cs="Times New Roman"/>
          <w:sz w:val="24"/>
          <w:szCs w:val="24"/>
          <w:shd w:val="clear" w:color="auto" w:fill="FFFFFF"/>
        </w:rPr>
        <w:footnoteReference w:id="113"/>
      </w:r>
      <w:r w:rsidR="009A0442" w:rsidRPr="009E6775">
        <w:rPr>
          <w:rFonts w:ascii="Times New Roman" w:hAnsi="Times New Roman" w:cs="Times New Roman"/>
          <w:sz w:val="24"/>
          <w:szCs w:val="24"/>
          <w:shd w:val="clear" w:color="auto" w:fill="FFFFFF"/>
        </w:rPr>
        <w:t xml:space="preserve"> </w:t>
      </w:r>
      <w:r w:rsidR="00F96BCB" w:rsidRPr="009E6775">
        <w:rPr>
          <w:rFonts w:ascii="Times New Roman" w:hAnsi="Times New Roman" w:cs="Times New Roman"/>
          <w:sz w:val="24"/>
          <w:szCs w:val="24"/>
          <w:shd w:val="clear" w:color="auto" w:fill="FFFFFF"/>
        </w:rPr>
        <w:t xml:space="preserve">In </w:t>
      </w:r>
      <w:r w:rsidR="000D5D93" w:rsidRPr="009E6775">
        <w:rPr>
          <w:rFonts w:ascii="Times New Roman" w:hAnsi="Times New Roman" w:cs="Times New Roman"/>
          <w:sz w:val="24"/>
          <w:szCs w:val="24"/>
          <w:shd w:val="clear" w:color="auto" w:fill="FFFFFF"/>
        </w:rPr>
        <w:t xml:space="preserve">some cases as in </w:t>
      </w:r>
      <w:r w:rsidR="00F96BCB" w:rsidRPr="009E6775">
        <w:rPr>
          <w:rFonts w:ascii="Times New Roman" w:hAnsi="Times New Roman" w:cs="Times New Roman"/>
          <w:i/>
          <w:iCs/>
          <w:sz w:val="24"/>
          <w:szCs w:val="24"/>
          <w:shd w:val="clear" w:color="auto" w:fill="FFFFFF"/>
        </w:rPr>
        <w:t>Electricity Co (No.1)</w:t>
      </w:r>
      <w:r w:rsidR="00F96BCB" w:rsidRPr="009E6775">
        <w:rPr>
          <w:rFonts w:ascii="Times New Roman" w:hAnsi="Times New Roman" w:cs="Times New Roman"/>
          <w:sz w:val="24"/>
          <w:szCs w:val="24"/>
          <w:shd w:val="clear" w:color="auto" w:fill="FFFFFF"/>
        </w:rPr>
        <w:t xml:space="preserve"> (1972),</w:t>
      </w:r>
      <w:r w:rsidR="00401BCC" w:rsidRPr="009E6775">
        <w:rPr>
          <w:rStyle w:val="aa"/>
          <w:rFonts w:ascii="Times New Roman" w:hAnsi="Times New Roman" w:cs="Times New Roman"/>
          <w:sz w:val="24"/>
          <w:szCs w:val="24"/>
          <w:shd w:val="clear" w:color="auto" w:fill="FFFFFF"/>
        </w:rPr>
        <w:footnoteReference w:id="114"/>
      </w:r>
      <w:r w:rsidR="00F96BCB" w:rsidRPr="009E6775">
        <w:rPr>
          <w:rFonts w:ascii="Times New Roman" w:hAnsi="Times New Roman" w:cs="Times New Roman"/>
          <w:sz w:val="24"/>
          <w:szCs w:val="24"/>
          <w:shd w:val="clear" w:color="auto" w:fill="FFFFFF"/>
        </w:rPr>
        <w:t xml:space="preserve"> </w:t>
      </w:r>
      <w:r w:rsidR="00FA3995" w:rsidRPr="009E6775">
        <w:rPr>
          <w:rFonts w:ascii="Times New Roman" w:hAnsi="Times New Roman" w:cs="Times New Roman"/>
          <w:sz w:val="24"/>
          <w:szCs w:val="24"/>
          <w:shd w:val="clear" w:color="auto" w:fill="FFFFFF"/>
        </w:rPr>
        <w:t>the</w:t>
      </w:r>
      <w:bookmarkStart w:id="0" w:name="_Hlk83096262"/>
      <w:r w:rsidR="000D5D93" w:rsidRPr="009E6775">
        <w:rPr>
          <w:rFonts w:ascii="Times New Roman" w:hAnsi="Times New Roman" w:cs="Times New Roman"/>
          <w:sz w:val="24"/>
          <w:szCs w:val="24"/>
          <w:shd w:val="clear" w:color="auto" w:fill="FFFFFF"/>
        </w:rPr>
        <w:t xml:space="preserve"> </w:t>
      </w:r>
      <w:r w:rsidR="00A33CC7" w:rsidRPr="009E6775">
        <w:rPr>
          <w:rFonts w:ascii="Times New Roman" w:hAnsi="Times New Roman" w:cs="Times New Roman"/>
          <w:sz w:val="24"/>
          <w:szCs w:val="24"/>
          <w:shd w:val="clear" w:color="auto" w:fill="FFFFFF"/>
        </w:rPr>
        <w:t xml:space="preserve">specific outcome of the </w:t>
      </w:r>
      <w:r w:rsidR="000D5D93" w:rsidRPr="009E6775">
        <w:rPr>
          <w:rFonts w:ascii="Times New Roman" w:hAnsi="Times New Roman" w:cs="Times New Roman"/>
          <w:sz w:val="24"/>
          <w:szCs w:val="24"/>
          <w:shd w:val="clear" w:color="auto" w:fill="FFFFFF"/>
        </w:rPr>
        <w:t xml:space="preserve">dominant factor test </w:t>
      </w:r>
      <w:r w:rsidRPr="009E6775">
        <w:rPr>
          <w:rFonts w:ascii="Times New Roman" w:hAnsi="Times New Roman" w:cs="Times New Roman"/>
          <w:sz w:val="24"/>
          <w:szCs w:val="24"/>
          <w:shd w:val="clear" w:color="auto" w:fill="FFFFFF"/>
        </w:rPr>
        <w:t xml:space="preserve">may be </w:t>
      </w:r>
      <w:r w:rsidR="00EB7257" w:rsidRPr="009E6775">
        <w:rPr>
          <w:rFonts w:ascii="Times New Roman" w:hAnsi="Times New Roman" w:cs="Times New Roman"/>
          <w:sz w:val="24"/>
          <w:szCs w:val="24"/>
          <w:shd w:val="clear" w:color="auto" w:fill="FFFFFF"/>
        </w:rPr>
        <w:t>criticised</w:t>
      </w:r>
      <w:r w:rsidRPr="009E6775">
        <w:rPr>
          <w:rFonts w:ascii="Times New Roman" w:hAnsi="Times New Roman" w:cs="Times New Roman"/>
          <w:sz w:val="24"/>
          <w:szCs w:val="24"/>
          <w:shd w:val="clear" w:color="auto" w:fill="FFFFFF"/>
        </w:rPr>
        <w:t xml:space="preserve"> as </w:t>
      </w:r>
      <w:r w:rsidR="00F96BCB" w:rsidRPr="009E6775">
        <w:rPr>
          <w:rFonts w:ascii="Times New Roman" w:hAnsi="Times New Roman" w:cs="Times New Roman"/>
          <w:sz w:val="24"/>
          <w:szCs w:val="24"/>
          <w:shd w:val="clear" w:color="auto" w:fill="FFFFFF"/>
        </w:rPr>
        <w:t xml:space="preserve">distortion in </w:t>
      </w:r>
      <w:r w:rsidR="009B0B32" w:rsidRPr="009E6775">
        <w:rPr>
          <w:rFonts w:ascii="Times New Roman" w:hAnsi="Times New Roman" w:cs="Times New Roman"/>
          <w:sz w:val="24"/>
          <w:szCs w:val="24"/>
          <w:shd w:val="clear" w:color="auto" w:fill="FFFFFF"/>
        </w:rPr>
        <w:t>its</w:t>
      </w:r>
      <w:r w:rsidR="00F96BCB" w:rsidRPr="009E6775">
        <w:rPr>
          <w:rFonts w:ascii="Times New Roman" w:hAnsi="Times New Roman" w:cs="Times New Roman"/>
          <w:sz w:val="24"/>
          <w:szCs w:val="24"/>
          <w:shd w:val="clear" w:color="auto" w:fill="FFFFFF"/>
        </w:rPr>
        <w:t xml:space="preserve"> distributive justice </w:t>
      </w:r>
      <w:r w:rsidR="009B0B32" w:rsidRPr="009E6775">
        <w:rPr>
          <w:rFonts w:ascii="Times New Roman" w:hAnsi="Times New Roman" w:cs="Times New Roman"/>
          <w:sz w:val="24"/>
          <w:szCs w:val="24"/>
          <w:shd w:val="clear" w:color="auto" w:fill="FFFFFF"/>
        </w:rPr>
        <w:t xml:space="preserve">evaluations </w:t>
      </w:r>
      <w:r w:rsidR="00D31D64" w:rsidRPr="009E6775">
        <w:rPr>
          <w:rFonts w:ascii="Times New Roman" w:hAnsi="Times New Roman" w:cs="Times New Roman"/>
          <w:sz w:val="24"/>
          <w:szCs w:val="24"/>
          <w:shd w:val="clear" w:color="auto" w:fill="FFFFFF"/>
        </w:rPr>
        <w:t>due to</w:t>
      </w:r>
      <w:r w:rsidR="00F96BCB" w:rsidRPr="009E6775">
        <w:rPr>
          <w:rFonts w:ascii="Times New Roman" w:hAnsi="Times New Roman" w:cs="Times New Roman"/>
          <w:sz w:val="24"/>
          <w:szCs w:val="24"/>
          <w:shd w:val="clear" w:color="auto" w:fill="FFFFFF"/>
        </w:rPr>
        <w:t xml:space="preserve"> emphas</w:t>
      </w:r>
      <w:r w:rsidR="005A638B" w:rsidRPr="009E6775">
        <w:rPr>
          <w:rFonts w:ascii="Times New Roman" w:hAnsi="Times New Roman" w:cs="Times New Roman"/>
          <w:sz w:val="24"/>
          <w:szCs w:val="24"/>
          <w:shd w:val="clear" w:color="auto" w:fill="FFFFFF"/>
        </w:rPr>
        <w:t>i</w:t>
      </w:r>
      <w:r w:rsidR="000D5D93" w:rsidRPr="009E6775">
        <w:rPr>
          <w:rFonts w:ascii="Times New Roman" w:hAnsi="Times New Roman" w:cs="Times New Roman"/>
          <w:sz w:val="24"/>
          <w:szCs w:val="24"/>
          <w:shd w:val="clear" w:color="auto" w:fill="FFFFFF"/>
        </w:rPr>
        <w:t>s on</w:t>
      </w:r>
      <w:r w:rsidR="005A638B" w:rsidRPr="009E6775">
        <w:rPr>
          <w:rFonts w:ascii="Times New Roman" w:hAnsi="Times New Roman" w:cs="Times New Roman"/>
          <w:sz w:val="24"/>
          <w:szCs w:val="24"/>
          <w:shd w:val="clear" w:color="auto" w:fill="FFFFFF"/>
        </w:rPr>
        <w:t xml:space="preserve"> </w:t>
      </w:r>
      <w:r w:rsidR="00F96BCB" w:rsidRPr="009E6775">
        <w:rPr>
          <w:rFonts w:ascii="Times New Roman" w:hAnsi="Times New Roman" w:cs="Times New Roman"/>
          <w:sz w:val="24"/>
          <w:szCs w:val="24"/>
          <w:shd w:val="clear" w:color="auto" w:fill="FFFFFF"/>
        </w:rPr>
        <w:t>the short-term material gains without taking heed of the Palestinian population’s long-term political interests.</w:t>
      </w:r>
      <w:r w:rsidR="00F96BCB" w:rsidRPr="009E6775">
        <w:rPr>
          <w:rStyle w:val="aa"/>
          <w:rFonts w:ascii="Times New Roman" w:hAnsi="Times New Roman" w:cs="Times New Roman"/>
          <w:sz w:val="24"/>
          <w:szCs w:val="24"/>
          <w:shd w:val="clear" w:color="auto" w:fill="FFFFFF"/>
        </w:rPr>
        <w:footnoteReference w:id="115"/>
      </w:r>
      <w:r w:rsidR="00FA3995" w:rsidRPr="009E6775">
        <w:rPr>
          <w:rFonts w:ascii="Times New Roman" w:hAnsi="Times New Roman" w:cs="Times New Roman"/>
          <w:sz w:val="24"/>
          <w:szCs w:val="24"/>
          <w:shd w:val="clear" w:color="auto" w:fill="FFFFFF"/>
        </w:rPr>
        <w:t xml:space="preserve"> </w:t>
      </w:r>
      <w:bookmarkEnd w:id="0"/>
      <w:r w:rsidR="00513196" w:rsidRPr="009E6775">
        <w:rPr>
          <w:rFonts w:ascii="Times New Roman" w:hAnsi="Times New Roman" w:cs="Times New Roman"/>
          <w:sz w:val="24"/>
          <w:szCs w:val="24"/>
          <w:shd w:val="clear" w:color="auto" w:fill="FFFFFF"/>
        </w:rPr>
        <w:t>In</w:t>
      </w:r>
      <w:r w:rsidR="002D4801" w:rsidRPr="009E6775">
        <w:rPr>
          <w:rFonts w:ascii="Times New Roman" w:hAnsi="Times New Roman" w:cs="Times New Roman"/>
          <w:sz w:val="24"/>
          <w:szCs w:val="24"/>
          <w:shd w:val="clear" w:color="auto" w:fill="FFFFFF"/>
        </w:rPr>
        <w:t xml:space="preserve"> </w:t>
      </w:r>
      <w:r w:rsidR="000246E8" w:rsidRPr="009E6775">
        <w:rPr>
          <w:rFonts w:ascii="Times New Roman" w:hAnsi="Times New Roman" w:cs="Times New Roman"/>
          <w:i/>
          <w:iCs/>
          <w:sz w:val="24"/>
          <w:szCs w:val="24"/>
          <w:shd w:val="clear" w:color="auto" w:fill="FFFFFF"/>
        </w:rPr>
        <w:t>Abu Safiya</w:t>
      </w:r>
      <w:r w:rsidR="003719E3" w:rsidRPr="009E6775">
        <w:rPr>
          <w:rFonts w:ascii="Times New Roman" w:hAnsi="Times New Roman" w:cs="Times New Roman"/>
          <w:sz w:val="24"/>
          <w:szCs w:val="24"/>
          <w:shd w:val="clear" w:color="auto" w:fill="FFFFFF"/>
        </w:rPr>
        <w:t xml:space="preserve"> (2009)</w:t>
      </w:r>
      <w:r w:rsidR="000246E8" w:rsidRPr="009E6775">
        <w:rPr>
          <w:rFonts w:ascii="Times New Roman" w:hAnsi="Times New Roman" w:cs="Times New Roman"/>
          <w:sz w:val="24"/>
          <w:szCs w:val="24"/>
          <w:shd w:val="clear" w:color="auto" w:fill="FFFFFF"/>
        </w:rPr>
        <w:t>,</w:t>
      </w:r>
      <w:r w:rsidR="000246E8" w:rsidRPr="009E6775">
        <w:rPr>
          <w:rStyle w:val="aa"/>
          <w:rFonts w:ascii="Times New Roman" w:hAnsi="Times New Roman" w:cs="Times New Roman"/>
          <w:sz w:val="24"/>
          <w:szCs w:val="24"/>
          <w:shd w:val="clear" w:color="auto" w:fill="FFFFFF"/>
        </w:rPr>
        <w:footnoteReference w:id="116"/>
      </w:r>
      <w:r w:rsidR="00684927" w:rsidRPr="009E6775">
        <w:rPr>
          <w:rFonts w:ascii="Times New Roman" w:hAnsi="Times New Roman" w:cs="Times New Roman"/>
          <w:sz w:val="24"/>
          <w:szCs w:val="24"/>
          <w:shd w:val="clear" w:color="auto" w:fill="FFFFFF"/>
        </w:rPr>
        <w:t xml:space="preserve"> </w:t>
      </w:r>
      <w:r w:rsidR="002D4801" w:rsidRPr="009E6775">
        <w:rPr>
          <w:rFonts w:ascii="Times New Roman" w:hAnsi="Times New Roman" w:cs="Times New Roman"/>
          <w:sz w:val="24"/>
          <w:szCs w:val="24"/>
          <w:shd w:val="clear" w:color="auto" w:fill="FFFFFF"/>
        </w:rPr>
        <w:t>the</w:t>
      </w:r>
      <w:r w:rsidR="005A638B" w:rsidRPr="009E6775">
        <w:rPr>
          <w:rFonts w:ascii="Times New Roman" w:hAnsi="Times New Roman" w:cs="Times New Roman"/>
          <w:sz w:val="24"/>
          <w:szCs w:val="24"/>
        </w:rPr>
        <w:t xml:space="preserve"> SC</w:t>
      </w:r>
      <w:r w:rsidR="00513196" w:rsidRPr="009E6775">
        <w:rPr>
          <w:rFonts w:ascii="Times New Roman" w:hAnsi="Times New Roman" w:cs="Times New Roman"/>
          <w:sz w:val="24"/>
          <w:szCs w:val="24"/>
        </w:rPr>
        <w:t xml:space="preserve"> struck down a military order banning Palestinian vehicles on Highway 443</w:t>
      </w:r>
      <w:r w:rsidR="002D4801" w:rsidRPr="009E6775">
        <w:rPr>
          <w:rFonts w:ascii="Times New Roman" w:hAnsi="Times New Roman" w:cs="Times New Roman"/>
          <w:sz w:val="24"/>
          <w:szCs w:val="24"/>
        </w:rPr>
        <w:t xml:space="preserve"> that connected through the occupied territories. The </w:t>
      </w:r>
      <w:r w:rsidR="00513196" w:rsidRPr="009E6775">
        <w:rPr>
          <w:rFonts w:ascii="Times New Roman" w:hAnsi="Times New Roman" w:cs="Times New Roman"/>
          <w:sz w:val="24"/>
          <w:szCs w:val="24"/>
        </w:rPr>
        <w:t xml:space="preserve">exclusion of the Palestinian vehicles </w:t>
      </w:r>
      <w:r w:rsidR="002D4801" w:rsidRPr="009E6775">
        <w:rPr>
          <w:rFonts w:ascii="Times New Roman" w:hAnsi="Times New Roman" w:cs="Times New Roman"/>
          <w:sz w:val="24"/>
          <w:szCs w:val="24"/>
        </w:rPr>
        <w:t xml:space="preserve">was </w:t>
      </w:r>
      <w:r w:rsidR="00513196" w:rsidRPr="009E6775">
        <w:rPr>
          <w:rFonts w:ascii="Times New Roman" w:hAnsi="Times New Roman" w:cs="Times New Roman"/>
          <w:sz w:val="24"/>
          <w:szCs w:val="24"/>
        </w:rPr>
        <w:t>held to exceed the authority of the commander and to flout proportionality.</w:t>
      </w:r>
      <w:r w:rsidR="002D4801" w:rsidRPr="009E6775">
        <w:rPr>
          <w:rFonts w:ascii="Times New Roman" w:hAnsi="Times New Roman" w:cs="Times New Roman"/>
          <w:sz w:val="24"/>
          <w:szCs w:val="24"/>
        </w:rPr>
        <w:t xml:space="preserve"> </w:t>
      </w:r>
      <w:r w:rsidR="005A638B" w:rsidRPr="009E6775">
        <w:rPr>
          <w:rFonts w:ascii="Times New Roman" w:hAnsi="Times New Roman" w:cs="Times New Roman"/>
          <w:sz w:val="24"/>
          <w:szCs w:val="24"/>
        </w:rPr>
        <w:t xml:space="preserve">While </w:t>
      </w:r>
      <w:r w:rsidR="002D4801" w:rsidRPr="009E6775">
        <w:rPr>
          <w:rFonts w:ascii="Times New Roman" w:hAnsi="Times New Roman" w:cs="Times New Roman"/>
          <w:sz w:val="24"/>
          <w:szCs w:val="24"/>
        </w:rPr>
        <w:t xml:space="preserve">salutary, this decision </w:t>
      </w:r>
      <w:r w:rsidR="005A638B" w:rsidRPr="009E6775">
        <w:rPr>
          <w:rFonts w:ascii="Times New Roman" w:hAnsi="Times New Roman" w:cs="Times New Roman"/>
          <w:sz w:val="24"/>
          <w:szCs w:val="24"/>
        </w:rPr>
        <w:t>was built on a t</w:t>
      </w:r>
      <w:r w:rsidR="002D4801" w:rsidRPr="009E6775">
        <w:rPr>
          <w:rFonts w:ascii="Times New Roman" w:hAnsi="Times New Roman" w:cs="Times New Roman"/>
          <w:sz w:val="24"/>
          <w:szCs w:val="24"/>
        </w:rPr>
        <w:t>acit</w:t>
      </w:r>
      <w:r w:rsidR="005A638B" w:rsidRPr="009E6775">
        <w:rPr>
          <w:rFonts w:ascii="Times New Roman" w:hAnsi="Times New Roman" w:cs="Times New Roman"/>
          <w:sz w:val="24"/>
          <w:szCs w:val="24"/>
        </w:rPr>
        <w:t xml:space="preserve"> premise </w:t>
      </w:r>
      <w:r w:rsidR="002D4801" w:rsidRPr="009E6775">
        <w:rPr>
          <w:rFonts w:ascii="Times New Roman" w:hAnsi="Times New Roman" w:cs="Times New Roman"/>
          <w:sz w:val="24"/>
          <w:szCs w:val="24"/>
        </w:rPr>
        <w:t xml:space="preserve">that the main beneficiaries </w:t>
      </w:r>
      <w:r w:rsidR="005A638B" w:rsidRPr="009E6775">
        <w:rPr>
          <w:rFonts w:ascii="Times New Roman" w:hAnsi="Times New Roman" w:cs="Times New Roman"/>
          <w:sz w:val="24"/>
          <w:szCs w:val="24"/>
        </w:rPr>
        <w:t>were</w:t>
      </w:r>
      <w:r w:rsidR="002D4801" w:rsidRPr="009E6775">
        <w:rPr>
          <w:rFonts w:ascii="Times New Roman" w:hAnsi="Times New Roman" w:cs="Times New Roman"/>
          <w:sz w:val="24"/>
          <w:szCs w:val="24"/>
        </w:rPr>
        <w:t xml:space="preserve"> indeed the Israeli drivers who had the right of </w:t>
      </w:r>
      <w:r w:rsidR="000D5D93" w:rsidRPr="009E6775">
        <w:rPr>
          <w:rFonts w:ascii="Times New Roman" w:hAnsi="Times New Roman" w:cs="Times New Roman"/>
          <w:sz w:val="24"/>
          <w:szCs w:val="24"/>
        </w:rPr>
        <w:t>unbridled</w:t>
      </w:r>
      <w:r w:rsidR="002D4801" w:rsidRPr="009E6775">
        <w:rPr>
          <w:rFonts w:ascii="Times New Roman" w:hAnsi="Times New Roman" w:cs="Times New Roman"/>
          <w:sz w:val="24"/>
          <w:szCs w:val="24"/>
        </w:rPr>
        <w:t xml:space="preserve"> use of this highway, as compared with the Palestinians </w:t>
      </w:r>
      <w:r w:rsidR="00A33CC7" w:rsidRPr="009E6775">
        <w:rPr>
          <w:rFonts w:ascii="Times New Roman" w:hAnsi="Times New Roman" w:cs="Times New Roman"/>
          <w:sz w:val="24"/>
          <w:szCs w:val="24"/>
        </w:rPr>
        <w:t xml:space="preserve">subjected to the regime of </w:t>
      </w:r>
      <w:r w:rsidR="002D4801" w:rsidRPr="009E6775">
        <w:rPr>
          <w:rFonts w:ascii="Times New Roman" w:hAnsi="Times New Roman" w:cs="Times New Roman"/>
          <w:sz w:val="24"/>
          <w:szCs w:val="24"/>
        </w:rPr>
        <w:t>restricted movement.</w:t>
      </w:r>
      <w:r w:rsidR="002D4801" w:rsidRPr="009E6775">
        <w:rPr>
          <w:rStyle w:val="aa"/>
          <w:rFonts w:ascii="Times New Roman" w:hAnsi="Times New Roman" w:cs="Times New Roman"/>
          <w:sz w:val="24"/>
          <w:szCs w:val="24"/>
        </w:rPr>
        <w:footnoteReference w:id="117"/>
      </w:r>
      <w:r w:rsidR="002D4801" w:rsidRPr="009E6775">
        <w:rPr>
          <w:rFonts w:ascii="Times New Roman" w:hAnsi="Times New Roman" w:cs="Times New Roman"/>
          <w:sz w:val="24"/>
          <w:szCs w:val="24"/>
        </w:rPr>
        <w:t xml:space="preserve"> </w:t>
      </w:r>
      <w:r w:rsidR="009B0B32" w:rsidRPr="009E6775">
        <w:rPr>
          <w:rFonts w:ascii="Times New Roman" w:hAnsi="Times New Roman" w:cs="Times New Roman"/>
          <w:sz w:val="24"/>
          <w:szCs w:val="24"/>
        </w:rPr>
        <w:t xml:space="preserve">As Weil </w:t>
      </w:r>
      <w:r w:rsidR="000D5D93" w:rsidRPr="009E6775">
        <w:rPr>
          <w:rFonts w:ascii="Times New Roman" w:hAnsi="Times New Roman" w:cs="Times New Roman"/>
          <w:sz w:val="24"/>
          <w:szCs w:val="24"/>
        </w:rPr>
        <w:t>criticises</w:t>
      </w:r>
      <w:r w:rsidR="002D4801" w:rsidRPr="009E6775">
        <w:rPr>
          <w:rFonts w:ascii="Times New Roman" w:hAnsi="Times New Roman" w:cs="Times New Roman"/>
          <w:sz w:val="24"/>
          <w:szCs w:val="24"/>
        </w:rPr>
        <w:t>,</w:t>
      </w:r>
      <w:r w:rsidR="009B0B32" w:rsidRPr="009E6775">
        <w:rPr>
          <w:rStyle w:val="aa"/>
          <w:rFonts w:ascii="Times New Roman" w:hAnsi="Times New Roman" w:cs="Times New Roman"/>
          <w:sz w:val="24"/>
          <w:szCs w:val="24"/>
        </w:rPr>
        <w:footnoteReference w:id="118"/>
      </w:r>
      <w:r w:rsidR="002D4801" w:rsidRPr="009E6775">
        <w:rPr>
          <w:rFonts w:ascii="Times New Roman" w:hAnsi="Times New Roman" w:cs="Times New Roman"/>
          <w:sz w:val="24"/>
          <w:szCs w:val="24"/>
        </w:rPr>
        <w:t xml:space="preserve"> </w:t>
      </w:r>
      <w:r w:rsidR="009B0B32" w:rsidRPr="009E6775">
        <w:rPr>
          <w:rFonts w:ascii="Times New Roman" w:hAnsi="Times New Roman" w:cs="Times New Roman"/>
          <w:sz w:val="24"/>
          <w:szCs w:val="24"/>
        </w:rPr>
        <w:t>such an implied</w:t>
      </w:r>
      <w:r w:rsidR="002D4801" w:rsidRPr="009E6775">
        <w:rPr>
          <w:rFonts w:ascii="Times New Roman" w:hAnsi="Times New Roman" w:cs="Times New Roman"/>
          <w:sz w:val="24"/>
          <w:szCs w:val="24"/>
        </w:rPr>
        <w:t xml:space="preserve"> assumption </w:t>
      </w:r>
      <w:r w:rsidR="009B0B32" w:rsidRPr="009E6775">
        <w:rPr>
          <w:rFonts w:ascii="Times New Roman" w:hAnsi="Times New Roman" w:cs="Times New Roman"/>
          <w:sz w:val="24"/>
          <w:szCs w:val="24"/>
        </w:rPr>
        <w:t xml:space="preserve">is </w:t>
      </w:r>
      <w:proofErr w:type="gramStart"/>
      <w:r w:rsidR="009B0B32" w:rsidRPr="009E6775">
        <w:rPr>
          <w:rFonts w:ascii="Times New Roman" w:hAnsi="Times New Roman" w:cs="Times New Roman"/>
          <w:sz w:val="24"/>
          <w:szCs w:val="24"/>
        </w:rPr>
        <w:t>all the more</w:t>
      </w:r>
      <w:proofErr w:type="gramEnd"/>
      <w:r w:rsidR="009B0B32" w:rsidRPr="009E6775">
        <w:rPr>
          <w:rFonts w:ascii="Times New Roman" w:hAnsi="Times New Roman" w:cs="Times New Roman"/>
          <w:sz w:val="24"/>
          <w:szCs w:val="24"/>
        </w:rPr>
        <w:t xml:space="preserve"> problematic as it </w:t>
      </w:r>
      <w:r w:rsidR="003719E3" w:rsidRPr="009E6775">
        <w:rPr>
          <w:rFonts w:ascii="Times New Roman" w:hAnsi="Times New Roman" w:cs="Times New Roman"/>
          <w:sz w:val="24"/>
          <w:szCs w:val="24"/>
        </w:rPr>
        <w:t xml:space="preserve">disproves </w:t>
      </w:r>
      <w:r w:rsidR="002D4801" w:rsidRPr="009E6775">
        <w:rPr>
          <w:rFonts w:ascii="Times New Roman" w:hAnsi="Times New Roman" w:cs="Times New Roman"/>
          <w:sz w:val="24"/>
          <w:szCs w:val="24"/>
        </w:rPr>
        <w:t xml:space="preserve">the </w:t>
      </w:r>
      <w:r w:rsidRPr="009E6775">
        <w:rPr>
          <w:rFonts w:ascii="Times New Roman" w:hAnsi="Times New Roman" w:cs="Times New Roman"/>
          <w:sz w:val="24"/>
          <w:szCs w:val="24"/>
        </w:rPr>
        <w:t xml:space="preserve">SC’s </w:t>
      </w:r>
      <w:r w:rsidR="003719E3" w:rsidRPr="009E6775">
        <w:rPr>
          <w:rFonts w:ascii="Times New Roman" w:hAnsi="Times New Roman" w:cs="Times New Roman"/>
          <w:sz w:val="24"/>
          <w:szCs w:val="24"/>
        </w:rPr>
        <w:t>earlier finding</w:t>
      </w:r>
      <w:r w:rsidR="002D4801" w:rsidRPr="009E6775">
        <w:rPr>
          <w:rFonts w:ascii="Times New Roman" w:hAnsi="Times New Roman" w:cs="Times New Roman"/>
          <w:sz w:val="24"/>
          <w:szCs w:val="24"/>
        </w:rPr>
        <w:t xml:space="preserve"> in </w:t>
      </w:r>
      <w:r w:rsidR="002D4801" w:rsidRPr="009E6775">
        <w:rPr>
          <w:rFonts w:ascii="Times New Roman" w:hAnsi="Times New Roman" w:cs="Times New Roman"/>
          <w:i/>
          <w:iCs/>
          <w:sz w:val="24"/>
          <w:szCs w:val="24"/>
        </w:rPr>
        <w:t>Jam’iyat Iskan</w:t>
      </w:r>
      <w:r w:rsidR="008169F7" w:rsidRPr="009E6775">
        <w:rPr>
          <w:rStyle w:val="aa"/>
          <w:rFonts w:ascii="Times New Roman" w:hAnsi="Times New Roman" w:cs="Times New Roman"/>
          <w:i/>
          <w:iCs/>
          <w:sz w:val="24"/>
          <w:szCs w:val="24"/>
        </w:rPr>
        <w:footnoteReference w:id="119"/>
      </w:r>
      <w:r w:rsidR="002D4801" w:rsidRPr="009E6775">
        <w:rPr>
          <w:rFonts w:ascii="Times New Roman" w:hAnsi="Times New Roman" w:cs="Times New Roman"/>
          <w:i/>
          <w:iCs/>
          <w:sz w:val="24"/>
          <w:szCs w:val="24"/>
        </w:rPr>
        <w:t xml:space="preserve"> </w:t>
      </w:r>
      <w:r w:rsidR="002D4801" w:rsidRPr="009E6775">
        <w:rPr>
          <w:rFonts w:ascii="Times New Roman" w:hAnsi="Times New Roman" w:cs="Times New Roman"/>
          <w:sz w:val="24"/>
          <w:szCs w:val="24"/>
        </w:rPr>
        <w:t xml:space="preserve">that </w:t>
      </w:r>
      <w:r w:rsidR="009B0B32" w:rsidRPr="009E6775">
        <w:rPr>
          <w:rFonts w:ascii="Times New Roman" w:hAnsi="Times New Roman" w:cs="Times New Roman"/>
          <w:sz w:val="24"/>
          <w:szCs w:val="24"/>
        </w:rPr>
        <w:t xml:space="preserve">the construction of </w:t>
      </w:r>
      <w:r w:rsidR="003719E3" w:rsidRPr="009E6775">
        <w:rPr>
          <w:rFonts w:ascii="Times New Roman" w:hAnsi="Times New Roman" w:cs="Times New Roman"/>
          <w:sz w:val="24"/>
          <w:szCs w:val="24"/>
        </w:rPr>
        <w:t>this motorway was intended</w:t>
      </w:r>
      <w:r w:rsidR="002D4801" w:rsidRPr="009E6775">
        <w:rPr>
          <w:rFonts w:ascii="Times New Roman" w:hAnsi="Times New Roman" w:cs="Times New Roman"/>
          <w:sz w:val="24"/>
          <w:szCs w:val="24"/>
        </w:rPr>
        <w:t xml:space="preserve"> </w:t>
      </w:r>
      <w:r w:rsidR="003719E3" w:rsidRPr="009E6775">
        <w:rPr>
          <w:rFonts w:ascii="Times New Roman" w:hAnsi="Times New Roman" w:cs="Times New Roman"/>
          <w:sz w:val="24"/>
          <w:szCs w:val="24"/>
        </w:rPr>
        <w:t>dominantly</w:t>
      </w:r>
      <w:r w:rsidR="002D4801" w:rsidRPr="009E6775">
        <w:rPr>
          <w:rFonts w:ascii="Times New Roman" w:hAnsi="Times New Roman" w:cs="Times New Roman"/>
          <w:sz w:val="24"/>
          <w:szCs w:val="24"/>
        </w:rPr>
        <w:t xml:space="preserve"> for the Palestinians’ benefit.</w:t>
      </w:r>
    </w:p>
    <w:p w14:paraId="45198154" w14:textId="22ADEC5C" w:rsidR="00073596" w:rsidRPr="009E6775" w:rsidRDefault="00073596" w:rsidP="0081540D">
      <w:pPr>
        <w:tabs>
          <w:tab w:val="left" w:pos="6551"/>
        </w:tabs>
        <w:rPr>
          <w:rFonts w:ascii="Times New Roman" w:hAnsi="Times New Roman" w:cs="Times New Roman"/>
          <w:sz w:val="24"/>
          <w:szCs w:val="24"/>
          <w:shd w:val="clear" w:color="auto" w:fill="FFFFFF"/>
        </w:rPr>
      </w:pPr>
    </w:p>
    <w:p w14:paraId="47C65E27" w14:textId="52AAA23C" w:rsidR="00855ECE" w:rsidRPr="009E6775" w:rsidRDefault="009E76A7" w:rsidP="0081540D">
      <w:pPr>
        <w:rPr>
          <w:rFonts w:ascii="Times New Roman" w:hAnsi="Times New Roman" w:cs="Times New Roman"/>
          <w:sz w:val="24"/>
          <w:szCs w:val="24"/>
          <w:shd w:val="clear" w:color="auto" w:fill="FFFFFF"/>
        </w:rPr>
      </w:pPr>
      <w:r w:rsidRPr="009E6775">
        <w:rPr>
          <w:rFonts w:ascii="Times New Roman" w:hAnsi="Times New Roman" w:cs="Times New Roman"/>
          <w:sz w:val="24"/>
          <w:szCs w:val="24"/>
          <w:shd w:val="clear" w:color="auto" w:fill="FFFFFF"/>
        </w:rPr>
        <w:t xml:space="preserve">Ultimately the heart of the </w:t>
      </w:r>
      <w:r w:rsidR="005919B3" w:rsidRPr="009E6775">
        <w:rPr>
          <w:rFonts w:ascii="Times New Roman" w:hAnsi="Times New Roman" w:cs="Times New Roman"/>
          <w:sz w:val="24"/>
          <w:szCs w:val="24"/>
          <w:shd w:val="clear" w:color="auto" w:fill="FFFFFF"/>
        </w:rPr>
        <w:t>issue</w:t>
      </w:r>
      <w:r w:rsidRPr="009E6775">
        <w:rPr>
          <w:rFonts w:ascii="Times New Roman" w:hAnsi="Times New Roman" w:cs="Times New Roman"/>
          <w:sz w:val="24"/>
          <w:szCs w:val="24"/>
          <w:shd w:val="clear" w:color="auto" w:fill="FFFFFF"/>
        </w:rPr>
        <w:t xml:space="preserve"> is for whose dominant benefit </w:t>
      </w:r>
      <w:r w:rsidR="00C1476D" w:rsidRPr="009E6775">
        <w:rPr>
          <w:rFonts w:ascii="Times New Roman" w:hAnsi="Times New Roman" w:cs="Times New Roman"/>
          <w:sz w:val="24"/>
          <w:szCs w:val="24"/>
          <w:shd w:val="clear" w:color="auto" w:fill="FFFFFF"/>
        </w:rPr>
        <w:t xml:space="preserve">the </w:t>
      </w:r>
      <w:r w:rsidRPr="009E6775">
        <w:rPr>
          <w:rFonts w:ascii="Times New Roman" w:hAnsi="Times New Roman" w:cs="Times New Roman"/>
          <w:sz w:val="24"/>
          <w:szCs w:val="24"/>
          <w:shd w:val="clear" w:color="auto" w:fill="FFFFFF"/>
        </w:rPr>
        <w:t xml:space="preserve">commanders should </w:t>
      </w:r>
      <w:r w:rsidRPr="009E6775">
        <w:rPr>
          <w:rFonts w:ascii="Times New Roman" w:hAnsi="Times New Roman" w:cs="Times New Roman"/>
          <w:sz w:val="24"/>
          <w:szCs w:val="24"/>
          <w:shd w:val="clear" w:color="auto" w:fill="FFFFFF"/>
        </w:rPr>
        <w:lastRenderedPageBreak/>
        <w:t>reckon with when exercising their discretion conferred upon them under the law of belligerent occupation.</w:t>
      </w:r>
      <w:r w:rsidRPr="009E6775">
        <w:rPr>
          <w:rStyle w:val="aa"/>
          <w:rFonts w:ascii="Times New Roman" w:hAnsi="Times New Roman" w:cs="Times New Roman"/>
          <w:sz w:val="24"/>
          <w:szCs w:val="24"/>
          <w:shd w:val="clear" w:color="auto" w:fill="FFFFFF"/>
        </w:rPr>
        <w:footnoteReference w:id="120"/>
      </w:r>
      <w:r w:rsidRPr="009E6775">
        <w:rPr>
          <w:rFonts w:ascii="Times New Roman" w:hAnsi="Times New Roman" w:cs="Times New Roman"/>
          <w:sz w:val="24"/>
          <w:szCs w:val="24"/>
          <w:shd w:val="clear" w:color="auto" w:fill="FFFFFF"/>
        </w:rPr>
        <w:t xml:space="preserve"> </w:t>
      </w:r>
      <w:r w:rsidR="009B0B32" w:rsidRPr="009E6775">
        <w:rPr>
          <w:rFonts w:ascii="Times New Roman" w:hAnsi="Times New Roman" w:cs="Times New Roman"/>
          <w:sz w:val="24"/>
          <w:szCs w:val="24"/>
          <w:shd w:val="clear" w:color="auto" w:fill="FFFFFF"/>
        </w:rPr>
        <w:t>A</w:t>
      </w:r>
      <w:r w:rsidRPr="009E6775">
        <w:rPr>
          <w:rFonts w:ascii="Times New Roman" w:hAnsi="Times New Roman" w:cs="Times New Roman"/>
          <w:sz w:val="24"/>
          <w:szCs w:val="24"/>
          <w:shd w:val="clear" w:color="auto" w:fill="FFFFFF"/>
        </w:rPr>
        <w:t xml:space="preserve">gain this </w:t>
      </w:r>
      <w:r w:rsidR="009B0B32" w:rsidRPr="009E6775">
        <w:rPr>
          <w:rFonts w:ascii="Times New Roman" w:hAnsi="Times New Roman" w:cs="Times New Roman"/>
          <w:sz w:val="24"/>
          <w:szCs w:val="24"/>
          <w:shd w:val="clear" w:color="auto" w:fill="FFFFFF"/>
        </w:rPr>
        <w:t>assessment</w:t>
      </w:r>
      <w:r w:rsidRPr="009E6775">
        <w:rPr>
          <w:rFonts w:ascii="Times New Roman" w:hAnsi="Times New Roman" w:cs="Times New Roman"/>
          <w:sz w:val="24"/>
          <w:szCs w:val="24"/>
          <w:shd w:val="clear" w:color="auto" w:fill="FFFFFF"/>
        </w:rPr>
        <w:t xml:space="preserve"> is overshadowed by the judicial policy of subsuming the rights </w:t>
      </w:r>
      <w:r w:rsidR="00D31D64" w:rsidRPr="009E6775">
        <w:rPr>
          <w:rFonts w:ascii="Times New Roman" w:hAnsi="Times New Roman" w:cs="Times New Roman"/>
          <w:sz w:val="24"/>
          <w:szCs w:val="24"/>
          <w:shd w:val="clear" w:color="auto" w:fill="FFFFFF"/>
        </w:rPr>
        <w:t>of</w:t>
      </w:r>
      <w:r w:rsidRPr="009E6775">
        <w:rPr>
          <w:rFonts w:ascii="Times New Roman" w:hAnsi="Times New Roman" w:cs="Times New Roman"/>
          <w:sz w:val="24"/>
          <w:szCs w:val="24"/>
          <w:shd w:val="clear" w:color="auto" w:fill="FFFFFF"/>
        </w:rPr>
        <w:t xml:space="preserve"> </w:t>
      </w:r>
      <w:r w:rsidR="005919B3" w:rsidRPr="009E6775">
        <w:rPr>
          <w:rFonts w:ascii="Times New Roman" w:hAnsi="Times New Roman" w:cs="Times New Roman"/>
          <w:sz w:val="24"/>
          <w:szCs w:val="24"/>
          <w:shd w:val="clear" w:color="auto" w:fill="FFFFFF"/>
        </w:rPr>
        <w:t xml:space="preserve">settlers’ </w:t>
      </w:r>
      <w:r w:rsidRPr="009E6775">
        <w:rPr>
          <w:rFonts w:ascii="Times New Roman" w:hAnsi="Times New Roman" w:cs="Times New Roman"/>
          <w:sz w:val="24"/>
          <w:szCs w:val="24"/>
          <w:shd w:val="clear" w:color="auto" w:fill="FFFFFF"/>
        </w:rPr>
        <w:t xml:space="preserve">wellbeing into the amalgamated interest of the local population. </w:t>
      </w:r>
      <w:r w:rsidR="00855ECE" w:rsidRPr="009E6775">
        <w:rPr>
          <w:rFonts w:ascii="Times New Roman" w:hAnsi="Times New Roman" w:cs="Times New Roman"/>
          <w:sz w:val="24"/>
          <w:szCs w:val="24"/>
        </w:rPr>
        <w:t xml:space="preserve">Nonetheless, </w:t>
      </w:r>
      <w:proofErr w:type="gramStart"/>
      <w:r w:rsidR="00855ECE" w:rsidRPr="009E6775">
        <w:rPr>
          <w:rFonts w:ascii="Times New Roman" w:hAnsi="Times New Roman" w:cs="Times New Roman"/>
          <w:sz w:val="24"/>
          <w:szCs w:val="24"/>
        </w:rPr>
        <w:t>it should be</w:t>
      </w:r>
      <w:r w:rsidR="00A33CC7" w:rsidRPr="009E6775">
        <w:rPr>
          <w:rFonts w:ascii="Times New Roman" w:hAnsi="Times New Roman" w:cs="Times New Roman"/>
          <w:sz w:val="24"/>
          <w:szCs w:val="24"/>
        </w:rPr>
        <w:t xml:space="preserve"> </w:t>
      </w:r>
      <w:r w:rsidR="00EB7257" w:rsidRPr="009E6775">
        <w:rPr>
          <w:rFonts w:ascii="Times New Roman" w:hAnsi="Times New Roman" w:cs="Times New Roman"/>
          <w:sz w:val="24"/>
          <w:szCs w:val="24"/>
        </w:rPr>
        <w:t xml:space="preserve">pointed out </w:t>
      </w:r>
      <w:r w:rsidR="00855ECE" w:rsidRPr="009E6775">
        <w:rPr>
          <w:rFonts w:ascii="Times New Roman" w:hAnsi="Times New Roman" w:cs="Times New Roman"/>
          <w:sz w:val="24"/>
          <w:szCs w:val="24"/>
        </w:rPr>
        <w:t>that the</w:t>
      </w:r>
      <w:proofErr w:type="gramEnd"/>
      <w:r w:rsidR="00855ECE" w:rsidRPr="009E6775">
        <w:rPr>
          <w:rFonts w:ascii="Times New Roman" w:hAnsi="Times New Roman" w:cs="Times New Roman"/>
          <w:sz w:val="24"/>
          <w:szCs w:val="24"/>
        </w:rPr>
        <w:t xml:space="preserve"> </w:t>
      </w:r>
      <w:r w:rsidR="000D5D93" w:rsidRPr="009E6775">
        <w:rPr>
          <w:rFonts w:ascii="Times New Roman" w:hAnsi="Times New Roman" w:cs="Times New Roman"/>
          <w:sz w:val="24"/>
          <w:szCs w:val="24"/>
        </w:rPr>
        <w:t xml:space="preserve">SC </w:t>
      </w:r>
      <w:r w:rsidR="00855ECE" w:rsidRPr="009E6775">
        <w:rPr>
          <w:rFonts w:ascii="Times New Roman" w:hAnsi="Times New Roman" w:cs="Times New Roman"/>
          <w:sz w:val="24"/>
          <w:szCs w:val="24"/>
        </w:rPr>
        <w:t>has not abandoned the framework of this test as an evaluative tool.</w:t>
      </w:r>
      <w:r w:rsidR="00855ECE" w:rsidRPr="009E6775">
        <w:rPr>
          <w:rStyle w:val="aa"/>
          <w:rFonts w:ascii="Times New Roman" w:hAnsi="Times New Roman" w:cs="Times New Roman"/>
          <w:sz w:val="24"/>
          <w:szCs w:val="24"/>
        </w:rPr>
        <w:footnoteReference w:id="121"/>
      </w:r>
      <w:r w:rsidR="00855ECE" w:rsidRPr="009E6775">
        <w:rPr>
          <w:rFonts w:ascii="Times New Roman" w:hAnsi="Times New Roman" w:cs="Times New Roman"/>
          <w:sz w:val="24"/>
          <w:szCs w:val="24"/>
        </w:rPr>
        <w:t xml:space="preserve"> </w:t>
      </w:r>
      <w:r w:rsidR="00815986" w:rsidRPr="009E6775">
        <w:rPr>
          <w:rFonts w:ascii="Times New Roman" w:hAnsi="Times New Roman" w:cs="Times New Roman"/>
          <w:sz w:val="24"/>
          <w:szCs w:val="24"/>
        </w:rPr>
        <w:t>Crucially, it</w:t>
      </w:r>
      <w:r w:rsidR="00855ECE" w:rsidRPr="009E6775">
        <w:rPr>
          <w:rFonts w:ascii="Times New Roman" w:hAnsi="Times New Roman" w:cs="Times New Roman"/>
          <w:sz w:val="24"/>
          <w:szCs w:val="24"/>
        </w:rPr>
        <w:t xml:space="preserve"> continues to engage in scrutinizing whether or not measures sacrificing the IHL rights of Palestinians in the occupied territories are intended exclusively for the benefit of the Israelis.</w:t>
      </w:r>
      <w:r w:rsidR="00855ECE" w:rsidRPr="009E6775">
        <w:rPr>
          <w:rStyle w:val="aa"/>
          <w:rFonts w:ascii="Times New Roman" w:hAnsi="Times New Roman" w:cs="Times New Roman"/>
          <w:sz w:val="24"/>
          <w:szCs w:val="24"/>
        </w:rPr>
        <w:footnoteReference w:id="122"/>
      </w:r>
    </w:p>
    <w:p w14:paraId="420EAC9F" w14:textId="77777777" w:rsidR="009E76A7" w:rsidRPr="009E6775" w:rsidRDefault="009E76A7" w:rsidP="0081540D">
      <w:pPr>
        <w:rPr>
          <w:rFonts w:ascii="Times New Roman" w:hAnsi="Times New Roman" w:cs="Times New Roman"/>
          <w:sz w:val="24"/>
          <w:szCs w:val="24"/>
          <w:shd w:val="clear" w:color="auto" w:fill="FFFFFF"/>
        </w:rPr>
      </w:pPr>
    </w:p>
    <w:p w14:paraId="1EC11759" w14:textId="1563AC96" w:rsidR="00A16188" w:rsidRPr="00E31CD6" w:rsidRDefault="006C6087" w:rsidP="00E31CD6">
      <w:pPr>
        <w:pStyle w:val="a3"/>
        <w:numPr>
          <w:ilvl w:val="0"/>
          <w:numId w:val="17"/>
        </w:numPr>
        <w:ind w:leftChars="0"/>
        <w:rPr>
          <w:rFonts w:ascii="Times New Roman" w:hAnsi="Times New Roman" w:cs="Times New Roman"/>
          <w:b/>
          <w:bCs/>
          <w:sz w:val="24"/>
          <w:szCs w:val="24"/>
        </w:rPr>
      </w:pPr>
      <w:r w:rsidRPr="00E31CD6">
        <w:rPr>
          <w:rFonts w:ascii="Times New Roman" w:hAnsi="Times New Roman" w:cs="Times New Roman"/>
          <w:b/>
          <w:bCs/>
          <w:sz w:val="24"/>
          <w:szCs w:val="24"/>
        </w:rPr>
        <w:t xml:space="preserve">The </w:t>
      </w:r>
      <w:r w:rsidR="002070E8" w:rsidRPr="00E31CD6">
        <w:rPr>
          <w:rFonts w:ascii="Times New Roman" w:hAnsi="Times New Roman" w:cs="Times New Roman"/>
          <w:b/>
          <w:bCs/>
          <w:sz w:val="24"/>
          <w:szCs w:val="24"/>
        </w:rPr>
        <w:t>A</w:t>
      </w:r>
      <w:r w:rsidRPr="00E31CD6">
        <w:rPr>
          <w:rFonts w:ascii="Times New Roman" w:hAnsi="Times New Roman" w:cs="Times New Roman"/>
          <w:b/>
          <w:bCs/>
          <w:sz w:val="24"/>
          <w:szCs w:val="24"/>
        </w:rPr>
        <w:t xml:space="preserve">pproach of </w:t>
      </w:r>
      <w:r w:rsidR="002070E8" w:rsidRPr="00E31CD6">
        <w:rPr>
          <w:rFonts w:ascii="Times New Roman" w:hAnsi="Times New Roman" w:cs="Times New Roman"/>
          <w:b/>
          <w:bCs/>
          <w:sz w:val="24"/>
          <w:szCs w:val="24"/>
        </w:rPr>
        <w:t>G</w:t>
      </w:r>
      <w:r w:rsidRPr="00E31CD6">
        <w:rPr>
          <w:rFonts w:ascii="Times New Roman" w:hAnsi="Times New Roman" w:cs="Times New Roman"/>
          <w:b/>
          <w:bCs/>
          <w:sz w:val="24"/>
          <w:szCs w:val="24"/>
        </w:rPr>
        <w:t xml:space="preserve">rafting the </w:t>
      </w:r>
      <w:r w:rsidR="002070E8" w:rsidRPr="00E31CD6">
        <w:rPr>
          <w:rFonts w:ascii="Times New Roman" w:hAnsi="Times New Roman" w:cs="Times New Roman"/>
          <w:b/>
          <w:bCs/>
          <w:sz w:val="24"/>
          <w:szCs w:val="24"/>
        </w:rPr>
        <w:t>G</w:t>
      </w:r>
      <w:r w:rsidRPr="00E31CD6">
        <w:rPr>
          <w:rFonts w:ascii="Times New Roman" w:hAnsi="Times New Roman" w:cs="Times New Roman"/>
          <w:b/>
          <w:bCs/>
          <w:sz w:val="24"/>
          <w:szCs w:val="24"/>
        </w:rPr>
        <w:t>eneral</w:t>
      </w:r>
      <w:r w:rsidR="002070E8" w:rsidRPr="00E31CD6">
        <w:rPr>
          <w:rFonts w:ascii="Times New Roman" w:hAnsi="Times New Roman" w:cs="Times New Roman"/>
          <w:b/>
          <w:bCs/>
          <w:sz w:val="24"/>
          <w:szCs w:val="24"/>
        </w:rPr>
        <w:t xml:space="preserve"> N</w:t>
      </w:r>
      <w:r w:rsidR="00A16188" w:rsidRPr="00E31CD6">
        <w:rPr>
          <w:rFonts w:ascii="Times New Roman" w:hAnsi="Times New Roman" w:cs="Times New Roman"/>
          <w:b/>
          <w:bCs/>
          <w:sz w:val="24"/>
          <w:szCs w:val="24"/>
        </w:rPr>
        <w:t xml:space="preserve">ecessity </w:t>
      </w:r>
      <w:r w:rsidR="002070E8" w:rsidRPr="00E31CD6">
        <w:rPr>
          <w:rFonts w:ascii="Times New Roman" w:hAnsi="Times New Roman" w:cs="Times New Roman"/>
          <w:b/>
          <w:bCs/>
          <w:sz w:val="24"/>
          <w:szCs w:val="24"/>
        </w:rPr>
        <w:t xml:space="preserve">Exception </w:t>
      </w:r>
      <w:r w:rsidRPr="00E31CD6">
        <w:rPr>
          <w:rFonts w:ascii="Times New Roman" w:hAnsi="Times New Roman" w:cs="Times New Roman"/>
          <w:b/>
          <w:bCs/>
          <w:sz w:val="24"/>
          <w:szCs w:val="24"/>
        </w:rPr>
        <w:t>on</w:t>
      </w:r>
      <w:r w:rsidR="00A16188" w:rsidRPr="00E31CD6">
        <w:rPr>
          <w:rFonts w:ascii="Times New Roman" w:hAnsi="Times New Roman" w:cs="Times New Roman"/>
          <w:b/>
          <w:bCs/>
          <w:sz w:val="24"/>
          <w:szCs w:val="24"/>
        </w:rPr>
        <w:t xml:space="preserve">to a </w:t>
      </w:r>
      <w:r w:rsidR="002070E8" w:rsidRPr="00E31CD6">
        <w:rPr>
          <w:rFonts w:ascii="Times New Roman" w:hAnsi="Times New Roman" w:cs="Times New Roman"/>
          <w:b/>
          <w:bCs/>
          <w:sz w:val="24"/>
          <w:szCs w:val="24"/>
        </w:rPr>
        <w:t>S</w:t>
      </w:r>
      <w:r w:rsidR="00A16188" w:rsidRPr="00E31CD6">
        <w:rPr>
          <w:rFonts w:ascii="Times New Roman" w:hAnsi="Times New Roman" w:cs="Times New Roman"/>
          <w:b/>
          <w:bCs/>
          <w:sz w:val="24"/>
          <w:szCs w:val="24"/>
        </w:rPr>
        <w:t xml:space="preserve">pecific </w:t>
      </w:r>
      <w:r w:rsidR="002070E8" w:rsidRPr="00E31CD6">
        <w:rPr>
          <w:rFonts w:ascii="Times New Roman" w:hAnsi="Times New Roman" w:cs="Times New Roman"/>
          <w:b/>
          <w:bCs/>
          <w:sz w:val="24"/>
          <w:szCs w:val="24"/>
        </w:rPr>
        <w:t>P</w:t>
      </w:r>
      <w:r w:rsidR="00A16188" w:rsidRPr="00E31CD6">
        <w:rPr>
          <w:rFonts w:ascii="Times New Roman" w:hAnsi="Times New Roman" w:cs="Times New Roman"/>
          <w:b/>
          <w:bCs/>
          <w:sz w:val="24"/>
          <w:szCs w:val="24"/>
        </w:rPr>
        <w:t xml:space="preserve">rovision </w:t>
      </w:r>
      <w:r w:rsidR="002070E8" w:rsidRPr="00E31CD6">
        <w:rPr>
          <w:rFonts w:ascii="Times New Roman" w:hAnsi="Times New Roman" w:cs="Times New Roman"/>
          <w:b/>
          <w:bCs/>
          <w:sz w:val="24"/>
          <w:szCs w:val="24"/>
        </w:rPr>
        <w:t>to Amplify Exceptions to the Status-Quo Principle</w:t>
      </w:r>
    </w:p>
    <w:p w14:paraId="720E3990" w14:textId="22342826" w:rsidR="00A16188" w:rsidRPr="009E6775" w:rsidRDefault="00A16188" w:rsidP="0081540D">
      <w:pPr>
        <w:rPr>
          <w:rFonts w:ascii="Times New Roman" w:hAnsi="Times New Roman" w:cs="Times New Roman"/>
          <w:sz w:val="24"/>
          <w:szCs w:val="24"/>
        </w:rPr>
      </w:pPr>
      <w:r w:rsidRPr="009E6775">
        <w:rPr>
          <w:rFonts w:ascii="Times New Roman" w:hAnsi="Times New Roman" w:cs="Times New Roman"/>
          <w:sz w:val="24"/>
          <w:szCs w:val="24"/>
        </w:rPr>
        <w:t xml:space="preserve">In </w:t>
      </w:r>
      <w:r w:rsidRPr="009E6775">
        <w:rPr>
          <w:rFonts w:ascii="Times New Roman" w:hAnsi="Times New Roman" w:cs="Times New Roman"/>
          <w:i/>
          <w:iCs/>
          <w:sz w:val="24"/>
          <w:szCs w:val="24"/>
        </w:rPr>
        <w:t xml:space="preserve">Beit El </w:t>
      </w:r>
      <w:r w:rsidRPr="009E6775">
        <w:rPr>
          <w:rFonts w:ascii="Times New Roman" w:hAnsi="Times New Roman" w:cs="Times New Roman"/>
          <w:sz w:val="24"/>
          <w:szCs w:val="24"/>
        </w:rPr>
        <w:t>(1979),</w:t>
      </w:r>
      <w:r w:rsidRPr="009E6775">
        <w:rPr>
          <w:rStyle w:val="aa"/>
          <w:rFonts w:ascii="Times New Roman" w:hAnsi="Times New Roman" w:cs="Times New Roman"/>
          <w:sz w:val="24"/>
          <w:szCs w:val="24"/>
        </w:rPr>
        <w:footnoteReference w:id="123"/>
      </w:r>
      <w:r w:rsidRPr="009E6775">
        <w:rPr>
          <w:rFonts w:ascii="Times New Roman" w:hAnsi="Times New Roman" w:cs="Times New Roman"/>
          <w:sz w:val="24"/>
          <w:szCs w:val="24"/>
        </w:rPr>
        <w:t xml:space="preserve"> by invoking the ‘power </w:t>
      </w:r>
      <w:r w:rsidRPr="009E6775">
        <w:rPr>
          <w:rFonts w:ascii="Times New Roman" w:hAnsi="Times New Roman" w:cs="Times New Roman"/>
          <w:sz w:val="24"/>
          <w:szCs w:val="24"/>
          <w:shd w:val="clear" w:color="auto" w:fill="FFFFFF"/>
        </w:rPr>
        <w:t xml:space="preserve">to restore, and ensure, as far as possible, public order and safety’ </w:t>
      </w:r>
      <w:r w:rsidRPr="009E6775">
        <w:rPr>
          <w:rFonts w:ascii="Times New Roman" w:hAnsi="Times New Roman" w:cs="Times New Roman"/>
          <w:sz w:val="24"/>
          <w:szCs w:val="24"/>
        </w:rPr>
        <w:t xml:space="preserve">under Article 43 Hague Regulations, the </w:t>
      </w:r>
      <w:r w:rsidR="00AF327F" w:rsidRPr="009E6775">
        <w:rPr>
          <w:rFonts w:ascii="Times New Roman" w:hAnsi="Times New Roman" w:cs="Times New Roman"/>
          <w:sz w:val="24"/>
          <w:szCs w:val="24"/>
        </w:rPr>
        <w:t>SC</w:t>
      </w:r>
      <w:r w:rsidRPr="009E6775">
        <w:rPr>
          <w:rFonts w:ascii="Times New Roman" w:hAnsi="Times New Roman" w:cs="Times New Roman"/>
          <w:sz w:val="24"/>
          <w:szCs w:val="24"/>
        </w:rPr>
        <w:t xml:space="preserve"> endorsed the authority’s claim that </w:t>
      </w:r>
      <w:r w:rsidR="00AF327F" w:rsidRPr="009E6775">
        <w:rPr>
          <w:rFonts w:ascii="Times New Roman" w:hAnsi="Times New Roman" w:cs="Times New Roman"/>
          <w:sz w:val="24"/>
          <w:szCs w:val="24"/>
        </w:rPr>
        <w:t xml:space="preserve">establishing </w:t>
      </w:r>
      <w:r w:rsidRPr="009E6775">
        <w:rPr>
          <w:rFonts w:ascii="Times New Roman" w:hAnsi="Times New Roman" w:cs="Times New Roman"/>
          <w:sz w:val="24"/>
          <w:szCs w:val="24"/>
        </w:rPr>
        <w:t xml:space="preserve">a civilian settlement in a strategic position would serve </w:t>
      </w:r>
      <w:r w:rsidR="0066747F" w:rsidRPr="009E6775">
        <w:rPr>
          <w:rFonts w:ascii="Times New Roman" w:hAnsi="Times New Roman" w:cs="Times New Roman"/>
          <w:sz w:val="24"/>
          <w:szCs w:val="24"/>
        </w:rPr>
        <w:t xml:space="preserve">the </w:t>
      </w:r>
      <w:r w:rsidRPr="009E6775">
        <w:rPr>
          <w:rFonts w:ascii="Times New Roman" w:hAnsi="Times New Roman" w:cs="Times New Roman"/>
          <w:sz w:val="24"/>
          <w:szCs w:val="24"/>
        </w:rPr>
        <w:t xml:space="preserve">defence of the area. Hence, </w:t>
      </w:r>
      <w:r w:rsidR="00AF327F" w:rsidRPr="009E6775">
        <w:rPr>
          <w:rFonts w:ascii="Times New Roman" w:hAnsi="Times New Roman" w:cs="Times New Roman"/>
          <w:sz w:val="24"/>
          <w:szCs w:val="24"/>
        </w:rPr>
        <w:t xml:space="preserve">this </w:t>
      </w:r>
      <w:r w:rsidRPr="009E6775">
        <w:rPr>
          <w:rFonts w:ascii="Times New Roman" w:hAnsi="Times New Roman" w:cs="Times New Roman"/>
          <w:sz w:val="24"/>
          <w:szCs w:val="24"/>
        </w:rPr>
        <w:t xml:space="preserve">was </w:t>
      </w:r>
      <w:r w:rsidR="00AF327F" w:rsidRPr="009E6775">
        <w:rPr>
          <w:rFonts w:ascii="Times New Roman" w:hAnsi="Times New Roman" w:cs="Times New Roman"/>
          <w:sz w:val="24"/>
          <w:szCs w:val="24"/>
        </w:rPr>
        <w:t xml:space="preserve">found to meet </w:t>
      </w:r>
      <w:r w:rsidRPr="009E6775">
        <w:rPr>
          <w:rFonts w:ascii="Times New Roman" w:hAnsi="Times New Roman" w:cs="Times New Roman"/>
          <w:sz w:val="24"/>
          <w:szCs w:val="24"/>
        </w:rPr>
        <w:t xml:space="preserve">‘the </w:t>
      </w:r>
      <w:r w:rsidRPr="009E6775">
        <w:rPr>
          <w:rFonts w:ascii="Times New Roman" w:hAnsi="Times New Roman" w:cs="Times New Roman"/>
          <w:sz w:val="24"/>
          <w:szCs w:val="24"/>
          <w:shd w:val="clear" w:color="auto" w:fill="FFFFFF"/>
        </w:rPr>
        <w:t>needs of the army of occupation</w:t>
      </w:r>
      <w:r w:rsidRPr="009E6775">
        <w:rPr>
          <w:rFonts w:ascii="Times New Roman" w:hAnsi="Times New Roman" w:cs="Times New Roman"/>
          <w:sz w:val="24"/>
          <w:szCs w:val="24"/>
        </w:rPr>
        <w:t xml:space="preserve">’, </w:t>
      </w:r>
      <w:r w:rsidR="00AF327F" w:rsidRPr="009E6775">
        <w:rPr>
          <w:rFonts w:ascii="Times New Roman" w:hAnsi="Times New Roman" w:cs="Times New Roman"/>
          <w:sz w:val="24"/>
          <w:szCs w:val="24"/>
        </w:rPr>
        <w:t xml:space="preserve">the rider </w:t>
      </w:r>
      <w:r w:rsidR="00531BDE" w:rsidRPr="009E6775">
        <w:rPr>
          <w:rFonts w:ascii="Times New Roman" w:hAnsi="Times New Roman" w:cs="Times New Roman"/>
          <w:sz w:val="24"/>
          <w:szCs w:val="24"/>
        </w:rPr>
        <w:t xml:space="preserve">under Article 52 Hague Regulations, which </w:t>
      </w:r>
      <w:r w:rsidR="00AF327F" w:rsidRPr="009E6775">
        <w:rPr>
          <w:rFonts w:ascii="Times New Roman" w:hAnsi="Times New Roman" w:cs="Times New Roman"/>
          <w:sz w:val="24"/>
          <w:szCs w:val="24"/>
        </w:rPr>
        <w:t xml:space="preserve">can </w:t>
      </w:r>
      <w:r w:rsidRPr="009E6775">
        <w:rPr>
          <w:rFonts w:ascii="Times New Roman" w:hAnsi="Times New Roman" w:cs="Times New Roman"/>
          <w:sz w:val="24"/>
          <w:szCs w:val="24"/>
        </w:rPr>
        <w:t xml:space="preserve">justify requisition of private land. </w:t>
      </w:r>
      <w:r w:rsidR="001173F9" w:rsidRPr="009E6775">
        <w:rPr>
          <w:rFonts w:ascii="Times New Roman" w:hAnsi="Times New Roman" w:cs="Times New Roman"/>
          <w:sz w:val="24"/>
          <w:szCs w:val="24"/>
        </w:rPr>
        <w:t xml:space="preserve">The </w:t>
      </w:r>
      <w:r w:rsidR="00531BDE" w:rsidRPr="009E6775">
        <w:rPr>
          <w:rFonts w:ascii="Times New Roman" w:hAnsi="Times New Roman" w:cs="Times New Roman"/>
          <w:sz w:val="24"/>
          <w:szCs w:val="24"/>
        </w:rPr>
        <w:t xml:space="preserve">SC’s </w:t>
      </w:r>
      <w:r w:rsidRPr="009E6775">
        <w:rPr>
          <w:rFonts w:ascii="Times New Roman" w:hAnsi="Times New Roman" w:cs="Times New Roman"/>
          <w:sz w:val="24"/>
          <w:szCs w:val="24"/>
        </w:rPr>
        <w:t>interpretive tactic</w:t>
      </w:r>
      <w:r w:rsidR="00531BDE" w:rsidRPr="009E6775">
        <w:rPr>
          <w:rFonts w:ascii="Times New Roman" w:hAnsi="Times New Roman" w:cs="Times New Roman"/>
          <w:sz w:val="24"/>
          <w:szCs w:val="24"/>
        </w:rPr>
        <w:t>s</w:t>
      </w:r>
      <w:r w:rsidR="00AF327F" w:rsidRPr="009E6775">
        <w:rPr>
          <w:rFonts w:ascii="Times New Roman" w:hAnsi="Times New Roman" w:cs="Times New Roman"/>
          <w:sz w:val="24"/>
          <w:szCs w:val="24"/>
        </w:rPr>
        <w:t xml:space="preserve"> </w:t>
      </w:r>
      <w:r w:rsidR="001173F9" w:rsidRPr="009E6775">
        <w:rPr>
          <w:rFonts w:ascii="Times New Roman" w:hAnsi="Times New Roman" w:cs="Times New Roman"/>
          <w:sz w:val="24"/>
          <w:szCs w:val="24"/>
        </w:rPr>
        <w:t xml:space="preserve">operate </w:t>
      </w:r>
      <w:r w:rsidR="00531BDE" w:rsidRPr="009E6775">
        <w:rPr>
          <w:rFonts w:ascii="Times New Roman" w:hAnsi="Times New Roman" w:cs="Times New Roman"/>
          <w:sz w:val="24"/>
          <w:szCs w:val="24"/>
        </w:rPr>
        <w:t xml:space="preserve">in </w:t>
      </w:r>
      <w:r w:rsidR="00EB7257" w:rsidRPr="009E6775">
        <w:rPr>
          <w:rFonts w:ascii="Times New Roman" w:hAnsi="Times New Roman" w:cs="Times New Roman"/>
          <w:sz w:val="24"/>
          <w:szCs w:val="24"/>
        </w:rPr>
        <w:t>t</w:t>
      </w:r>
      <w:r w:rsidR="00531BDE" w:rsidRPr="009E6775">
        <w:rPr>
          <w:rFonts w:ascii="Times New Roman" w:hAnsi="Times New Roman" w:cs="Times New Roman"/>
          <w:sz w:val="24"/>
          <w:szCs w:val="24"/>
        </w:rPr>
        <w:t xml:space="preserve">wo steps. First, the SC </w:t>
      </w:r>
      <w:r w:rsidR="001173F9" w:rsidRPr="009E6775">
        <w:rPr>
          <w:rFonts w:ascii="Times New Roman" w:hAnsi="Times New Roman" w:cs="Times New Roman"/>
          <w:sz w:val="24"/>
          <w:szCs w:val="24"/>
        </w:rPr>
        <w:t xml:space="preserve">has </w:t>
      </w:r>
      <w:r w:rsidRPr="009E6775">
        <w:rPr>
          <w:rFonts w:ascii="Times New Roman" w:hAnsi="Times New Roman" w:cs="Times New Roman"/>
          <w:sz w:val="24"/>
          <w:szCs w:val="24"/>
        </w:rPr>
        <w:t>confirm</w:t>
      </w:r>
      <w:r w:rsidR="00531BDE" w:rsidRPr="009E6775">
        <w:rPr>
          <w:rFonts w:ascii="Times New Roman" w:hAnsi="Times New Roman" w:cs="Times New Roman"/>
          <w:sz w:val="24"/>
          <w:szCs w:val="24"/>
        </w:rPr>
        <w:t>ed</w:t>
      </w:r>
      <w:r w:rsidRPr="009E6775">
        <w:rPr>
          <w:rFonts w:ascii="Times New Roman" w:hAnsi="Times New Roman" w:cs="Times New Roman"/>
          <w:sz w:val="24"/>
          <w:szCs w:val="24"/>
        </w:rPr>
        <w:t xml:space="preserve"> t</w:t>
      </w:r>
      <w:r w:rsidR="005919B3" w:rsidRPr="009E6775">
        <w:rPr>
          <w:rFonts w:ascii="Times New Roman" w:hAnsi="Times New Roman" w:cs="Times New Roman"/>
          <w:sz w:val="24"/>
          <w:szCs w:val="24"/>
        </w:rPr>
        <w:t>hat t</w:t>
      </w:r>
      <w:r w:rsidRPr="009E6775">
        <w:rPr>
          <w:rFonts w:ascii="Times New Roman" w:hAnsi="Times New Roman" w:cs="Times New Roman"/>
          <w:sz w:val="24"/>
          <w:szCs w:val="24"/>
        </w:rPr>
        <w:t xml:space="preserve">he wide discretionary power </w:t>
      </w:r>
      <w:r w:rsidR="001173F9" w:rsidRPr="009E6775">
        <w:rPr>
          <w:rFonts w:ascii="Times New Roman" w:hAnsi="Times New Roman" w:cs="Times New Roman"/>
          <w:sz w:val="24"/>
          <w:szCs w:val="24"/>
        </w:rPr>
        <w:t>is</w:t>
      </w:r>
      <w:r w:rsidR="005919B3"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conferred upon the occupying authorities within the </w:t>
      </w:r>
      <w:r w:rsidR="008728B6" w:rsidRPr="009E6775">
        <w:rPr>
          <w:rFonts w:ascii="Times New Roman" w:hAnsi="Times New Roman" w:cs="Times New Roman"/>
          <w:sz w:val="24"/>
          <w:szCs w:val="24"/>
        </w:rPr>
        <w:t>notion of a (military) necessity to ensure ‘</w:t>
      </w:r>
      <w:r w:rsidRPr="009E6775">
        <w:rPr>
          <w:rFonts w:ascii="Times New Roman" w:hAnsi="Times New Roman" w:cs="Times New Roman"/>
          <w:sz w:val="24"/>
          <w:szCs w:val="24"/>
        </w:rPr>
        <w:t xml:space="preserve">public order and safety’ under the general clause (Article 43). </w:t>
      </w:r>
      <w:r w:rsidR="00EB7257" w:rsidRPr="009E6775">
        <w:rPr>
          <w:rFonts w:ascii="Times New Roman" w:hAnsi="Times New Roman" w:cs="Times New Roman"/>
          <w:sz w:val="24"/>
          <w:szCs w:val="24"/>
        </w:rPr>
        <w:t>Second, it</w:t>
      </w:r>
      <w:r w:rsidR="001173F9" w:rsidRPr="009E6775">
        <w:rPr>
          <w:rFonts w:ascii="Times New Roman" w:hAnsi="Times New Roman" w:cs="Times New Roman"/>
          <w:sz w:val="24"/>
          <w:szCs w:val="24"/>
        </w:rPr>
        <w:t xml:space="preserve"> has</w:t>
      </w:r>
      <w:r w:rsidR="00EB7257" w:rsidRPr="009E6775">
        <w:rPr>
          <w:rFonts w:ascii="Times New Roman" w:hAnsi="Times New Roman" w:cs="Times New Roman"/>
          <w:sz w:val="24"/>
          <w:szCs w:val="24"/>
        </w:rPr>
        <w:t xml:space="preserve"> </w:t>
      </w:r>
      <w:r w:rsidRPr="009E6775">
        <w:rPr>
          <w:rFonts w:ascii="Times New Roman" w:hAnsi="Times New Roman" w:cs="Times New Roman"/>
          <w:sz w:val="24"/>
          <w:szCs w:val="24"/>
        </w:rPr>
        <w:t>applie</w:t>
      </w:r>
      <w:r w:rsidR="00531BDE" w:rsidRPr="009E6775">
        <w:rPr>
          <w:rFonts w:ascii="Times New Roman" w:hAnsi="Times New Roman" w:cs="Times New Roman"/>
          <w:sz w:val="24"/>
          <w:szCs w:val="24"/>
        </w:rPr>
        <w:t>d</w:t>
      </w:r>
      <w:r w:rsidRPr="009E6775">
        <w:rPr>
          <w:rFonts w:ascii="Times New Roman" w:hAnsi="Times New Roman" w:cs="Times New Roman"/>
          <w:sz w:val="24"/>
          <w:szCs w:val="24"/>
        </w:rPr>
        <w:t xml:space="preserve"> the notion of necessity to the specific provisions </w:t>
      </w:r>
      <w:r w:rsidR="00AF327F" w:rsidRPr="009E6775">
        <w:rPr>
          <w:rFonts w:ascii="Times New Roman" w:hAnsi="Times New Roman" w:cs="Times New Roman"/>
          <w:sz w:val="24"/>
          <w:szCs w:val="24"/>
        </w:rPr>
        <w:t>of the Hague Regulations</w:t>
      </w:r>
      <w:r w:rsidRPr="009E6775">
        <w:rPr>
          <w:rFonts w:ascii="Times New Roman" w:hAnsi="Times New Roman" w:cs="Times New Roman"/>
          <w:sz w:val="24"/>
          <w:szCs w:val="24"/>
        </w:rPr>
        <w:t xml:space="preserve">. </w:t>
      </w:r>
      <w:r w:rsidR="001173F9" w:rsidRPr="009E6775">
        <w:rPr>
          <w:rFonts w:ascii="Times New Roman" w:hAnsi="Times New Roman" w:cs="Times New Roman"/>
          <w:sz w:val="24"/>
          <w:szCs w:val="24"/>
        </w:rPr>
        <w:t xml:space="preserve">This </w:t>
      </w:r>
      <w:r w:rsidR="005919B3" w:rsidRPr="009E6775">
        <w:rPr>
          <w:rFonts w:ascii="Times New Roman" w:hAnsi="Times New Roman" w:cs="Times New Roman"/>
          <w:sz w:val="24"/>
          <w:szCs w:val="24"/>
        </w:rPr>
        <w:t xml:space="preserve">two-step </w:t>
      </w:r>
      <w:r w:rsidR="00531BDE" w:rsidRPr="009E6775">
        <w:rPr>
          <w:rFonts w:ascii="Times New Roman" w:hAnsi="Times New Roman" w:cs="Times New Roman"/>
          <w:sz w:val="24"/>
          <w:szCs w:val="24"/>
        </w:rPr>
        <w:t>approach</w:t>
      </w:r>
      <w:r w:rsidR="001173F9" w:rsidRPr="009E6775">
        <w:rPr>
          <w:rFonts w:ascii="Times New Roman" w:hAnsi="Times New Roman" w:cs="Times New Roman"/>
          <w:sz w:val="24"/>
          <w:szCs w:val="24"/>
        </w:rPr>
        <w:t xml:space="preserve"> suggests </w:t>
      </w:r>
      <w:r w:rsidRPr="009E6775">
        <w:rPr>
          <w:rFonts w:ascii="Times New Roman" w:hAnsi="Times New Roman" w:cs="Times New Roman"/>
          <w:sz w:val="24"/>
          <w:szCs w:val="24"/>
        </w:rPr>
        <w:t xml:space="preserve">that the general clause of Article 43 can be invoked to have </w:t>
      </w:r>
      <w:r w:rsidR="00F43594" w:rsidRPr="009E6775">
        <w:rPr>
          <w:rFonts w:ascii="Times New Roman" w:hAnsi="Times New Roman" w:cs="Times New Roman"/>
          <w:sz w:val="24"/>
          <w:szCs w:val="24"/>
        </w:rPr>
        <w:t>decisive leverage</w:t>
      </w:r>
      <w:r w:rsidR="00047ACA" w:rsidRPr="009E6775">
        <w:rPr>
          <w:rFonts w:ascii="Times New Roman" w:hAnsi="Times New Roman" w:cs="Times New Roman"/>
          <w:sz w:val="24"/>
          <w:szCs w:val="24"/>
        </w:rPr>
        <w:t xml:space="preserve"> </w:t>
      </w:r>
      <w:r w:rsidRPr="009E6775">
        <w:rPr>
          <w:rFonts w:ascii="Times New Roman" w:hAnsi="Times New Roman" w:cs="Times New Roman"/>
          <w:sz w:val="24"/>
          <w:szCs w:val="24"/>
        </w:rPr>
        <w:t>o</w:t>
      </w:r>
      <w:r w:rsidR="00D27E08" w:rsidRPr="009E6775">
        <w:rPr>
          <w:rFonts w:ascii="Times New Roman" w:hAnsi="Times New Roman" w:cs="Times New Roman"/>
          <w:sz w:val="24"/>
          <w:szCs w:val="24"/>
        </w:rPr>
        <w:t>ver</w:t>
      </w:r>
      <w:r w:rsidRPr="009E6775">
        <w:rPr>
          <w:rFonts w:ascii="Times New Roman" w:hAnsi="Times New Roman" w:cs="Times New Roman"/>
          <w:sz w:val="24"/>
          <w:szCs w:val="24"/>
        </w:rPr>
        <w:t xml:space="preserve"> interpreting all specific provisions of the Hague Regulations</w:t>
      </w:r>
      <w:r w:rsidR="00242D82" w:rsidRPr="009E6775">
        <w:rPr>
          <w:rFonts w:ascii="Times New Roman" w:hAnsi="Times New Roman" w:cs="Times New Roman"/>
          <w:sz w:val="24"/>
          <w:szCs w:val="24"/>
        </w:rPr>
        <w:t xml:space="preserve"> and to diminish </w:t>
      </w:r>
      <w:r w:rsidR="00047ACA" w:rsidRPr="009E6775">
        <w:rPr>
          <w:rFonts w:ascii="Times New Roman" w:hAnsi="Times New Roman" w:cs="Times New Roman"/>
          <w:sz w:val="24"/>
          <w:szCs w:val="24"/>
        </w:rPr>
        <w:t>limitative condition</w:t>
      </w:r>
      <w:r w:rsidR="00242D82" w:rsidRPr="009E6775">
        <w:rPr>
          <w:rFonts w:ascii="Times New Roman" w:hAnsi="Times New Roman" w:cs="Times New Roman"/>
          <w:sz w:val="24"/>
          <w:szCs w:val="24"/>
        </w:rPr>
        <w:t>s</w:t>
      </w:r>
      <w:r w:rsidR="00047ACA"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included in </w:t>
      </w:r>
      <w:r w:rsidR="00AF327F" w:rsidRPr="009E6775">
        <w:rPr>
          <w:rFonts w:ascii="Times New Roman" w:hAnsi="Times New Roman" w:cs="Times New Roman"/>
          <w:sz w:val="24"/>
          <w:szCs w:val="24"/>
        </w:rPr>
        <w:t xml:space="preserve">those </w:t>
      </w:r>
      <w:r w:rsidRPr="009E6775">
        <w:rPr>
          <w:rFonts w:ascii="Times New Roman" w:hAnsi="Times New Roman" w:cs="Times New Roman"/>
          <w:sz w:val="24"/>
          <w:szCs w:val="24"/>
        </w:rPr>
        <w:t>provisions</w:t>
      </w:r>
      <w:r w:rsidR="00AF327F" w:rsidRPr="009E6775">
        <w:rPr>
          <w:rFonts w:ascii="Times New Roman" w:hAnsi="Times New Roman" w:cs="Times New Roman"/>
          <w:sz w:val="24"/>
          <w:szCs w:val="24"/>
        </w:rPr>
        <w:t>.</w:t>
      </w:r>
      <w:r w:rsidRPr="009E6775">
        <w:rPr>
          <w:rStyle w:val="aa"/>
          <w:rFonts w:ascii="Times New Roman" w:hAnsi="Times New Roman" w:cs="Times New Roman"/>
          <w:sz w:val="24"/>
          <w:szCs w:val="24"/>
        </w:rPr>
        <w:footnoteReference w:id="124"/>
      </w:r>
      <w:r w:rsidRPr="009E6775">
        <w:rPr>
          <w:rFonts w:ascii="Times New Roman" w:hAnsi="Times New Roman" w:cs="Times New Roman"/>
          <w:sz w:val="24"/>
          <w:szCs w:val="24"/>
        </w:rPr>
        <w:t xml:space="preserve"> </w:t>
      </w:r>
      <w:r w:rsidR="00504424" w:rsidRPr="009E6775">
        <w:rPr>
          <w:rFonts w:ascii="Times New Roman" w:hAnsi="Times New Roman" w:cs="Times New Roman"/>
          <w:sz w:val="24"/>
          <w:szCs w:val="24"/>
        </w:rPr>
        <w:t xml:space="preserve">In short, this is an approach of ‘grafting’ the general limitation clause of Article 43 onto specific provisions of the Hague Regulations with a view to recognising wider exceptions to the status-quo principle underlying those specific provisions. </w:t>
      </w:r>
      <w:r w:rsidR="00531BDE" w:rsidRPr="009E6775">
        <w:rPr>
          <w:rFonts w:ascii="Times New Roman" w:hAnsi="Times New Roman" w:cs="Times New Roman"/>
          <w:sz w:val="24"/>
          <w:szCs w:val="24"/>
        </w:rPr>
        <w:t xml:space="preserve">Such a legal outcome </w:t>
      </w:r>
      <w:r w:rsidR="005502F2" w:rsidRPr="009E6775">
        <w:rPr>
          <w:rFonts w:ascii="Times New Roman" w:hAnsi="Times New Roman" w:cs="Times New Roman"/>
          <w:sz w:val="24"/>
          <w:szCs w:val="24"/>
        </w:rPr>
        <w:t>may</w:t>
      </w:r>
      <w:r w:rsidR="00531BDE" w:rsidRPr="009E6775">
        <w:rPr>
          <w:rFonts w:ascii="Times New Roman" w:hAnsi="Times New Roman" w:cs="Times New Roman"/>
          <w:sz w:val="24"/>
          <w:szCs w:val="24"/>
        </w:rPr>
        <w:t xml:space="preserve"> be</w:t>
      </w:r>
      <w:r w:rsidRPr="009E6775">
        <w:rPr>
          <w:rFonts w:ascii="Times New Roman" w:hAnsi="Times New Roman" w:cs="Times New Roman"/>
          <w:sz w:val="24"/>
          <w:szCs w:val="24"/>
        </w:rPr>
        <w:t xml:space="preserve"> reinforced</w:t>
      </w:r>
      <w:r w:rsidR="005919B3" w:rsidRPr="009E6775">
        <w:rPr>
          <w:rFonts w:ascii="Times New Roman" w:hAnsi="Times New Roman" w:cs="Times New Roman"/>
          <w:sz w:val="24"/>
          <w:szCs w:val="24"/>
        </w:rPr>
        <w:t>,</w:t>
      </w:r>
      <w:r w:rsidRPr="009E6775">
        <w:rPr>
          <w:rFonts w:ascii="Times New Roman" w:hAnsi="Times New Roman" w:cs="Times New Roman"/>
          <w:sz w:val="24"/>
          <w:szCs w:val="24"/>
        </w:rPr>
        <w:t xml:space="preserve"> </w:t>
      </w:r>
      <w:r w:rsidR="005919B3" w:rsidRPr="009E6775">
        <w:rPr>
          <w:rFonts w:ascii="Times New Roman" w:hAnsi="Times New Roman" w:cs="Times New Roman"/>
          <w:sz w:val="24"/>
          <w:szCs w:val="24"/>
        </w:rPr>
        <w:t>as</w:t>
      </w:r>
      <w:r w:rsidR="005502F2" w:rsidRPr="009E6775">
        <w:rPr>
          <w:rFonts w:ascii="Times New Roman" w:hAnsi="Times New Roman" w:cs="Times New Roman"/>
          <w:sz w:val="24"/>
          <w:szCs w:val="24"/>
        </w:rPr>
        <w:t xml:space="preserve"> it transpires </w:t>
      </w:r>
      <w:proofErr w:type="gramStart"/>
      <w:r w:rsidR="005502F2" w:rsidRPr="009E6775">
        <w:rPr>
          <w:rFonts w:ascii="Times New Roman" w:hAnsi="Times New Roman" w:cs="Times New Roman"/>
          <w:sz w:val="24"/>
          <w:szCs w:val="24"/>
        </w:rPr>
        <w:t>in reality that</w:t>
      </w:r>
      <w:proofErr w:type="gramEnd"/>
      <w:r w:rsidR="005919B3" w:rsidRPr="009E6775">
        <w:rPr>
          <w:rFonts w:ascii="Times New Roman" w:hAnsi="Times New Roman" w:cs="Times New Roman"/>
          <w:sz w:val="24"/>
          <w:szCs w:val="24"/>
        </w:rPr>
        <w:t xml:space="preserve"> </w:t>
      </w:r>
      <w:r w:rsidR="00205DB6" w:rsidRPr="009E6775">
        <w:rPr>
          <w:rFonts w:ascii="Times New Roman" w:hAnsi="Times New Roman" w:cs="Times New Roman"/>
          <w:sz w:val="24"/>
          <w:szCs w:val="24"/>
        </w:rPr>
        <w:t>any</w:t>
      </w:r>
      <w:r w:rsidRPr="009E6775">
        <w:rPr>
          <w:rFonts w:ascii="Times New Roman" w:hAnsi="Times New Roman" w:cs="Times New Roman"/>
          <w:sz w:val="24"/>
          <w:szCs w:val="24"/>
        </w:rPr>
        <w:t xml:space="preserve"> occupying authority</w:t>
      </w:r>
      <w:r w:rsidR="005502F2" w:rsidRPr="009E6775">
        <w:rPr>
          <w:rFonts w:ascii="Times New Roman" w:hAnsi="Times New Roman" w:cs="Times New Roman"/>
          <w:sz w:val="24"/>
          <w:szCs w:val="24"/>
        </w:rPr>
        <w:t xml:space="preserve"> prefers to reserve to itself</w:t>
      </w:r>
      <w:r w:rsidRPr="009E6775">
        <w:rPr>
          <w:rFonts w:ascii="Times New Roman" w:hAnsi="Times New Roman" w:cs="Times New Roman"/>
          <w:sz w:val="24"/>
          <w:szCs w:val="24"/>
        </w:rPr>
        <w:t xml:space="preserve"> </w:t>
      </w:r>
      <w:r w:rsidR="005A3A08" w:rsidRPr="009E6775">
        <w:rPr>
          <w:rFonts w:ascii="Times New Roman" w:hAnsi="Times New Roman" w:cs="Times New Roman"/>
          <w:sz w:val="24"/>
          <w:szCs w:val="24"/>
        </w:rPr>
        <w:t>amplified latitudes</w:t>
      </w:r>
      <w:r w:rsidR="00047ACA" w:rsidRPr="009E6775">
        <w:rPr>
          <w:rFonts w:ascii="Times New Roman" w:hAnsi="Times New Roman" w:cs="Times New Roman"/>
          <w:sz w:val="24"/>
          <w:szCs w:val="24"/>
        </w:rPr>
        <w:t xml:space="preserve"> of</w:t>
      </w:r>
      <w:r w:rsidRPr="009E6775">
        <w:rPr>
          <w:rFonts w:ascii="Times New Roman" w:hAnsi="Times New Roman" w:cs="Times New Roman"/>
          <w:sz w:val="24"/>
          <w:szCs w:val="24"/>
        </w:rPr>
        <w:t xml:space="preserve"> discretion under the general clause (Article 43 Hague Regulations).</w:t>
      </w:r>
    </w:p>
    <w:p w14:paraId="12BF4DAD" w14:textId="1B54D489" w:rsidR="008058EB" w:rsidRPr="009E6775" w:rsidRDefault="008058EB" w:rsidP="0081540D">
      <w:pPr>
        <w:rPr>
          <w:rFonts w:ascii="Times New Roman" w:hAnsi="Times New Roman" w:cs="Times New Roman"/>
          <w:sz w:val="24"/>
          <w:szCs w:val="24"/>
        </w:rPr>
      </w:pPr>
    </w:p>
    <w:p w14:paraId="3367B1C3" w14:textId="34D61808" w:rsidR="00504424" w:rsidRPr="009E6775" w:rsidRDefault="008C5872" w:rsidP="004472A3">
      <w:pPr>
        <w:rPr>
          <w:rFonts w:ascii="Times New Roman" w:hAnsi="Times New Roman" w:cs="Times New Roman"/>
          <w:sz w:val="24"/>
          <w:szCs w:val="24"/>
        </w:rPr>
      </w:pPr>
      <w:r w:rsidRPr="009E6775">
        <w:rPr>
          <w:rFonts w:ascii="Times New Roman" w:hAnsi="Times New Roman" w:cs="Times New Roman"/>
          <w:sz w:val="24"/>
          <w:szCs w:val="24"/>
        </w:rPr>
        <w:t xml:space="preserve">However, it should be submitted here that this interpretive approach reveals some </w:t>
      </w:r>
      <w:r w:rsidRPr="009E6775">
        <w:rPr>
          <w:rFonts w:ascii="Times New Roman" w:hAnsi="Times New Roman" w:cs="Times New Roman"/>
          <w:sz w:val="24"/>
          <w:szCs w:val="24"/>
        </w:rPr>
        <w:lastRenderedPageBreak/>
        <w:t>incongruency.</w:t>
      </w:r>
      <w:r w:rsidRPr="009E6775">
        <w:rPr>
          <w:rStyle w:val="aa"/>
          <w:rFonts w:ascii="Times New Roman" w:hAnsi="Times New Roman" w:cs="Times New Roman"/>
          <w:sz w:val="24"/>
          <w:szCs w:val="24"/>
        </w:rPr>
        <w:footnoteReference w:id="125"/>
      </w:r>
      <w:r w:rsidRPr="009E6775">
        <w:rPr>
          <w:rFonts w:ascii="Times New Roman" w:hAnsi="Times New Roman" w:cs="Times New Roman"/>
          <w:sz w:val="24"/>
          <w:szCs w:val="24"/>
        </w:rPr>
        <w:t xml:space="preserve"> S</w:t>
      </w:r>
      <w:r w:rsidR="00286690" w:rsidRPr="009E6775">
        <w:rPr>
          <w:rFonts w:ascii="Times New Roman" w:hAnsi="Times New Roman" w:cs="Times New Roman"/>
          <w:sz w:val="24"/>
          <w:szCs w:val="24"/>
        </w:rPr>
        <w:t>everal</w:t>
      </w:r>
      <w:r w:rsidR="006C6087" w:rsidRPr="009E6775">
        <w:rPr>
          <w:rFonts w:ascii="Times New Roman" w:hAnsi="Times New Roman" w:cs="Times New Roman"/>
          <w:sz w:val="24"/>
          <w:szCs w:val="24"/>
        </w:rPr>
        <w:t xml:space="preserve"> specific provisions </w:t>
      </w:r>
      <w:r w:rsidRPr="009E6775">
        <w:rPr>
          <w:rFonts w:ascii="Times New Roman" w:hAnsi="Times New Roman" w:cs="Times New Roman"/>
          <w:sz w:val="24"/>
          <w:szCs w:val="24"/>
        </w:rPr>
        <w:t xml:space="preserve">of the Hague Regulations, </w:t>
      </w:r>
      <w:r w:rsidR="006C6087" w:rsidRPr="009E6775">
        <w:rPr>
          <w:rFonts w:ascii="Times New Roman" w:hAnsi="Times New Roman" w:cs="Times New Roman"/>
          <w:sz w:val="24"/>
          <w:szCs w:val="24"/>
        </w:rPr>
        <w:t xml:space="preserve">such as Articles </w:t>
      </w:r>
      <w:r w:rsidR="00286690" w:rsidRPr="009E6775">
        <w:rPr>
          <w:rFonts w:ascii="Times New Roman" w:hAnsi="Times New Roman" w:cs="Times New Roman"/>
          <w:sz w:val="24"/>
          <w:szCs w:val="24"/>
        </w:rPr>
        <w:t>49, 52-54</w:t>
      </w:r>
      <w:r w:rsidRPr="009E6775">
        <w:rPr>
          <w:rFonts w:ascii="Times New Roman" w:hAnsi="Times New Roman" w:cs="Times New Roman"/>
          <w:sz w:val="24"/>
          <w:szCs w:val="24"/>
        </w:rPr>
        <w:t>,</w:t>
      </w:r>
      <w:r w:rsidR="00286690" w:rsidRPr="009E6775">
        <w:rPr>
          <w:rFonts w:ascii="Times New Roman" w:hAnsi="Times New Roman" w:cs="Times New Roman"/>
          <w:sz w:val="24"/>
          <w:szCs w:val="24"/>
        </w:rPr>
        <w:t xml:space="preserve"> already contain </w:t>
      </w:r>
      <w:r w:rsidRPr="009E6775">
        <w:rPr>
          <w:rFonts w:ascii="Times New Roman" w:hAnsi="Times New Roman" w:cs="Times New Roman"/>
          <w:sz w:val="24"/>
          <w:szCs w:val="24"/>
        </w:rPr>
        <w:t xml:space="preserve">express </w:t>
      </w:r>
      <w:r w:rsidR="00D976B4" w:rsidRPr="009E6775">
        <w:rPr>
          <w:rFonts w:ascii="Times New Roman" w:hAnsi="Times New Roman" w:cs="Times New Roman"/>
          <w:sz w:val="24"/>
          <w:szCs w:val="24"/>
        </w:rPr>
        <w:t>‘</w:t>
      </w:r>
      <w:r w:rsidR="00286690" w:rsidRPr="009E6775">
        <w:rPr>
          <w:rFonts w:ascii="Times New Roman" w:hAnsi="Times New Roman" w:cs="Times New Roman"/>
          <w:sz w:val="24"/>
          <w:szCs w:val="24"/>
        </w:rPr>
        <w:t>escape valves</w:t>
      </w:r>
      <w:r w:rsidR="00D976B4" w:rsidRPr="009E6775">
        <w:rPr>
          <w:rFonts w:ascii="Times New Roman" w:hAnsi="Times New Roman" w:cs="Times New Roman"/>
          <w:sz w:val="24"/>
          <w:szCs w:val="24"/>
        </w:rPr>
        <w:t>’</w:t>
      </w:r>
      <w:r w:rsidR="00286690" w:rsidRPr="009E6775">
        <w:rPr>
          <w:rFonts w:ascii="Times New Roman" w:hAnsi="Times New Roman" w:cs="Times New Roman"/>
          <w:sz w:val="24"/>
          <w:szCs w:val="24"/>
        </w:rPr>
        <w:t xml:space="preserve"> based on the concept </w:t>
      </w:r>
      <w:r w:rsidR="008728B6" w:rsidRPr="009E6775">
        <w:rPr>
          <w:rFonts w:ascii="Times New Roman" w:hAnsi="Times New Roman" w:cs="Times New Roman"/>
          <w:sz w:val="24"/>
          <w:szCs w:val="24"/>
        </w:rPr>
        <w:t>equivalent to that of</w:t>
      </w:r>
      <w:r w:rsidR="00286690" w:rsidRPr="009E6775">
        <w:rPr>
          <w:rFonts w:ascii="Times New Roman" w:hAnsi="Times New Roman" w:cs="Times New Roman"/>
          <w:sz w:val="24"/>
          <w:szCs w:val="24"/>
        </w:rPr>
        <w:t xml:space="preserve"> (military) necessity. </w:t>
      </w:r>
      <w:r w:rsidR="00F0303D" w:rsidRPr="009E6775">
        <w:rPr>
          <w:rFonts w:ascii="Times New Roman" w:hAnsi="Times New Roman" w:cs="Times New Roman"/>
          <w:sz w:val="24"/>
          <w:szCs w:val="24"/>
        </w:rPr>
        <w:t>The thrust of th</w:t>
      </w:r>
      <w:r w:rsidR="00276D6A" w:rsidRPr="009E6775">
        <w:rPr>
          <w:rFonts w:ascii="Times New Roman" w:hAnsi="Times New Roman" w:cs="Times New Roman"/>
          <w:sz w:val="24"/>
          <w:szCs w:val="24"/>
        </w:rPr>
        <w:t xml:space="preserve">e </w:t>
      </w:r>
      <w:r w:rsidR="00400FA6" w:rsidRPr="009E6775">
        <w:rPr>
          <w:rFonts w:ascii="Times New Roman" w:hAnsi="Times New Roman" w:cs="Times New Roman"/>
          <w:sz w:val="24"/>
          <w:szCs w:val="24"/>
        </w:rPr>
        <w:t>SC’s</w:t>
      </w:r>
      <w:r w:rsidR="00276D6A" w:rsidRPr="009E6775">
        <w:rPr>
          <w:rFonts w:ascii="Times New Roman" w:hAnsi="Times New Roman" w:cs="Times New Roman"/>
          <w:sz w:val="24"/>
          <w:szCs w:val="24"/>
        </w:rPr>
        <w:t xml:space="preserve"> approach </w:t>
      </w:r>
      <w:r w:rsidR="00F0303D" w:rsidRPr="009E6775">
        <w:rPr>
          <w:rFonts w:ascii="Times New Roman" w:hAnsi="Times New Roman" w:cs="Times New Roman"/>
          <w:sz w:val="24"/>
          <w:szCs w:val="24"/>
        </w:rPr>
        <w:t>is that</w:t>
      </w:r>
      <w:r w:rsidR="00286690" w:rsidRPr="009E6775">
        <w:rPr>
          <w:rFonts w:ascii="Times New Roman" w:hAnsi="Times New Roman" w:cs="Times New Roman"/>
          <w:sz w:val="24"/>
          <w:szCs w:val="24"/>
        </w:rPr>
        <w:t xml:space="preserve"> even </w:t>
      </w:r>
      <w:r w:rsidR="006D3B17" w:rsidRPr="009E6775">
        <w:rPr>
          <w:rFonts w:ascii="Times New Roman" w:hAnsi="Times New Roman" w:cs="Times New Roman"/>
          <w:sz w:val="24"/>
          <w:szCs w:val="24"/>
        </w:rPr>
        <w:t>where</w:t>
      </w:r>
      <w:r w:rsidR="00A16188" w:rsidRPr="009E6775">
        <w:rPr>
          <w:rFonts w:ascii="Times New Roman" w:hAnsi="Times New Roman" w:cs="Times New Roman"/>
          <w:sz w:val="24"/>
          <w:szCs w:val="24"/>
        </w:rPr>
        <w:t xml:space="preserve"> </w:t>
      </w:r>
      <w:r w:rsidR="00047ACA" w:rsidRPr="009E6775">
        <w:rPr>
          <w:rFonts w:ascii="Times New Roman" w:hAnsi="Times New Roman" w:cs="Times New Roman"/>
          <w:sz w:val="24"/>
          <w:szCs w:val="24"/>
        </w:rPr>
        <w:t xml:space="preserve">the rider contained in such an escape valve is not sufficiently met </w:t>
      </w:r>
      <w:r w:rsidR="006D3B17" w:rsidRPr="009E6775">
        <w:rPr>
          <w:rFonts w:ascii="Times New Roman" w:hAnsi="Times New Roman" w:cs="Times New Roman"/>
          <w:sz w:val="24"/>
          <w:szCs w:val="24"/>
        </w:rPr>
        <w:t xml:space="preserve">to justify </w:t>
      </w:r>
      <w:r w:rsidR="00286690" w:rsidRPr="009E6775">
        <w:rPr>
          <w:rFonts w:ascii="Times New Roman" w:hAnsi="Times New Roman" w:cs="Times New Roman"/>
          <w:sz w:val="24"/>
          <w:szCs w:val="24"/>
        </w:rPr>
        <w:t xml:space="preserve">modifications of </w:t>
      </w:r>
      <w:r w:rsidR="006D3B17" w:rsidRPr="009E6775">
        <w:rPr>
          <w:rFonts w:ascii="Times New Roman" w:hAnsi="Times New Roman" w:cs="Times New Roman"/>
          <w:sz w:val="24"/>
          <w:szCs w:val="24"/>
        </w:rPr>
        <w:t xml:space="preserve">the local law, the occupying power </w:t>
      </w:r>
      <w:r w:rsidR="00504424" w:rsidRPr="009E6775">
        <w:rPr>
          <w:rFonts w:ascii="Times New Roman" w:hAnsi="Times New Roman" w:cs="Times New Roman"/>
          <w:sz w:val="24"/>
          <w:szCs w:val="24"/>
        </w:rPr>
        <w:t>would</w:t>
      </w:r>
      <w:r w:rsidR="00D976B4" w:rsidRPr="009E6775">
        <w:rPr>
          <w:rFonts w:ascii="Times New Roman" w:hAnsi="Times New Roman" w:cs="Times New Roman"/>
          <w:sz w:val="24"/>
          <w:szCs w:val="24"/>
        </w:rPr>
        <w:t xml:space="preserve"> always </w:t>
      </w:r>
      <w:r w:rsidR="00504424" w:rsidRPr="009E6775">
        <w:rPr>
          <w:rFonts w:ascii="Times New Roman" w:hAnsi="Times New Roman" w:cs="Times New Roman"/>
          <w:sz w:val="24"/>
          <w:szCs w:val="24"/>
        </w:rPr>
        <w:t xml:space="preserve">be able to </w:t>
      </w:r>
      <w:r w:rsidR="0015165C" w:rsidRPr="009E6775">
        <w:rPr>
          <w:rFonts w:ascii="Times New Roman" w:hAnsi="Times New Roman" w:cs="Times New Roman"/>
          <w:sz w:val="24"/>
          <w:szCs w:val="24"/>
        </w:rPr>
        <w:t xml:space="preserve">fall back on </w:t>
      </w:r>
      <w:r w:rsidR="00047ACA" w:rsidRPr="009E6775">
        <w:rPr>
          <w:rFonts w:ascii="Times New Roman" w:hAnsi="Times New Roman" w:cs="Times New Roman"/>
          <w:sz w:val="24"/>
          <w:szCs w:val="24"/>
        </w:rPr>
        <w:t>the</w:t>
      </w:r>
      <w:r w:rsidR="00A16188" w:rsidRPr="009E6775">
        <w:rPr>
          <w:rFonts w:ascii="Times New Roman" w:hAnsi="Times New Roman" w:cs="Times New Roman"/>
          <w:sz w:val="24"/>
          <w:szCs w:val="24"/>
        </w:rPr>
        <w:t xml:space="preserve"> general </w:t>
      </w:r>
      <w:r w:rsidR="00504424" w:rsidRPr="009E6775">
        <w:rPr>
          <w:rFonts w:ascii="Times New Roman" w:hAnsi="Times New Roman" w:cs="Times New Roman"/>
          <w:sz w:val="24"/>
          <w:szCs w:val="24"/>
        </w:rPr>
        <w:t>necessity clause</w:t>
      </w:r>
      <w:r w:rsidR="00A16188" w:rsidRPr="009E6775">
        <w:rPr>
          <w:rFonts w:ascii="Times New Roman" w:hAnsi="Times New Roman" w:cs="Times New Roman"/>
          <w:sz w:val="24"/>
          <w:szCs w:val="24"/>
        </w:rPr>
        <w:t xml:space="preserve"> </w:t>
      </w:r>
      <w:r w:rsidR="00504424" w:rsidRPr="009E6775">
        <w:rPr>
          <w:rFonts w:ascii="Times New Roman" w:hAnsi="Times New Roman" w:cs="Times New Roman"/>
          <w:sz w:val="24"/>
          <w:szCs w:val="24"/>
        </w:rPr>
        <w:t xml:space="preserve">under </w:t>
      </w:r>
      <w:r w:rsidR="00A16188" w:rsidRPr="009E6775">
        <w:rPr>
          <w:rFonts w:ascii="Times New Roman" w:hAnsi="Times New Roman" w:cs="Times New Roman"/>
          <w:sz w:val="24"/>
          <w:szCs w:val="24"/>
        </w:rPr>
        <w:t>Article 43 Hague Regulations.</w:t>
      </w:r>
      <w:r w:rsidR="004472A3" w:rsidRPr="009E6775">
        <w:rPr>
          <w:rFonts w:ascii="Times New Roman" w:hAnsi="Times New Roman" w:cs="Times New Roman"/>
          <w:sz w:val="24"/>
          <w:szCs w:val="24"/>
        </w:rPr>
        <w:t xml:space="preserve"> The </w:t>
      </w:r>
      <w:r w:rsidR="00504424" w:rsidRPr="009E6775">
        <w:rPr>
          <w:rFonts w:ascii="Times New Roman" w:hAnsi="Times New Roman" w:cs="Times New Roman"/>
          <w:sz w:val="24"/>
          <w:szCs w:val="24"/>
        </w:rPr>
        <w:t xml:space="preserve">effect of such an interpretive tactic is to enable the occupying power to have ‘the second bite of the apple’ when demarcating the parameters of its discretion to derogate from the status quo principle. </w:t>
      </w:r>
      <w:r w:rsidR="004472A3" w:rsidRPr="009E6775">
        <w:rPr>
          <w:rFonts w:ascii="Times New Roman" w:hAnsi="Times New Roman" w:cs="Times New Roman"/>
          <w:sz w:val="24"/>
          <w:szCs w:val="24"/>
        </w:rPr>
        <w:t>Further</w:t>
      </w:r>
      <w:r w:rsidR="00504424" w:rsidRPr="009E6775">
        <w:rPr>
          <w:rFonts w:ascii="Times New Roman" w:hAnsi="Times New Roman" w:cs="Times New Roman"/>
          <w:sz w:val="24"/>
          <w:szCs w:val="24"/>
        </w:rPr>
        <w:t xml:space="preserve">, if one were to follow the ICJ’s reasoning in </w:t>
      </w:r>
      <w:proofErr w:type="gramStart"/>
      <w:r w:rsidR="00504424" w:rsidRPr="009E6775">
        <w:rPr>
          <w:rFonts w:ascii="Times New Roman" w:hAnsi="Times New Roman" w:cs="Times New Roman"/>
          <w:i/>
          <w:iCs/>
          <w:sz w:val="24"/>
          <w:szCs w:val="24"/>
        </w:rPr>
        <w:t>Nuclear Weapons</w:t>
      </w:r>
      <w:proofErr w:type="gramEnd"/>
      <w:r w:rsidR="00504424" w:rsidRPr="009E6775">
        <w:rPr>
          <w:rFonts w:ascii="Times New Roman" w:hAnsi="Times New Roman" w:cs="Times New Roman"/>
          <w:i/>
          <w:iCs/>
          <w:sz w:val="24"/>
          <w:szCs w:val="24"/>
        </w:rPr>
        <w:t xml:space="preserve"> </w:t>
      </w:r>
      <w:r w:rsidR="00504424" w:rsidRPr="009E6775">
        <w:rPr>
          <w:rFonts w:ascii="Times New Roman" w:hAnsi="Times New Roman" w:cs="Times New Roman"/>
          <w:sz w:val="24"/>
          <w:szCs w:val="24"/>
        </w:rPr>
        <w:t>Advisory Opinion, one might contemplate even a hypothesis of ‘three bites of the apple’. On top of those two necessity exceptions which are ingrained in the Hague Regulations,</w:t>
      </w:r>
      <w:r w:rsidR="00504424" w:rsidRPr="009E6775">
        <w:rPr>
          <w:rStyle w:val="aa"/>
          <w:rFonts w:ascii="Times New Roman" w:hAnsi="Times New Roman" w:cs="Times New Roman"/>
          <w:sz w:val="24"/>
          <w:szCs w:val="24"/>
        </w:rPr>
        <w:footnoteReference w:id="126"/>
      </w:r>
      <w:r w:rsidR="00504424" w:rsidRPr="009E6775">
        <w:rPr>
          <w:rFonts w:ascii="Times New Roman" w:hAnsi="Times New Roman" w:cs="Times New Roman"/>
          <w:sz w:val="24"/>
          <w:szCs w:val="24"/>
        </w:rPr>
        <w:t xml:space="preserve"> there might operate the concept of ‘necessity’ under the general law of State responsibility,</w:t>
      </w:r>
      <w:r w:rsidR="00504424" w:rsidRPr="009E6775">
        <w:rPr>
          <w:rStyle w:val="aa"/>
          <w:rFonts w:ascii="Times New Roman" w:hAnsi="Times New Roman" w:cs="Times New Roman"/>
          <w:sz w:val="24"/>
          <w:szCs w:val="24"/>
        </w:rPr>
        <w:footnoteReference w:id="127"/>
      </w:r>
      <w:r w:rsidR="00504424" w:rsidRPr="009E6775">
        <w:rPr>
          <w:rFonts w:ascii="Times New Roman" w:hAnsi="Times New Roman" w:cs="Times New Roman"/>
          <w:sz w:val="24"/>
          <w:szCs w:val="24"/>
        </w:rPr>
        <w:t xml:space="preserve"> even though such a hypothesis has not materialised. </w:t>
      </w:r>
    </w:p>
    <w:p w14:paraId="1B2F66B2" w14:textId="547EC8AB" w:rsidR="007614E3" w:rsidRPr="009E6775" w:rsidRDefault="007614E3" w:rsidP="0081540D">
      <w:pPr>
        <w:rPr>
          <w:rFonts w:ascii="Times New Roman" w:hAnsi="Times New Roman" w:cs="Times New Roman"/>
          <w:sz w:val="24"/>
          <w:szCs w:val="24"/>
          <w:shd w:val="clear" w:color="auto" w:fill="FFFFFF"/>
        </w:rPr>
      </w:pPr>
    </w:p>
    <w:p w14:paraId="57EAB4D2" w14:textId="2ED618F7" w:rsidR="005A375A" w:rsidRPr="00E31CD6" w:rsidRDefault="009B385F" w:rsidP="00E31CD6">
      <w:pPr>
        <w:pStyle w:val="a3"/>
        <w:numPr>
          <w:ilvl w:val="0"/>
          <w:numId w:val="13"/>
        </w:numPr>
        <w:ind w:leftChars="0"/>
        <w:rPr>
          <w:rFonts w:ascii="Times New Roman" w:hAnsi="Times New Roman" w:cs="Times New Roman"/>
          <w:b/>
          <w:bCs/>
          <w:sz w:val="24"/>
          <w:szCs w:val="24"/>
        </w:rPr>
      </w:pPr>
      <w:r w:rsidRPr="00E31CD6">
        <w:rPr>
          <w:rFonts w:ascii="Times New Roman" w:hAnsi="Times New Roman" w:cs="Times New Roman"/>
          <w:b/>
          <w:sz w:val="24"/>
          <w:szCs w:val="24"/>
        </w:rPr>
        <w:t xml:space="preserve">Controversial </w:t>
      </w:r>
      <w:r w:rsidR="005A375A" w:rsidRPr="00E31CD6">
        <w:rPr>
          <w:rFonts w:ascii="Times New Roman" w:hAnsi="Times New Roman" w:cs="Times New Roman"/>
          <w:b/>
          <w:sz w:val="24"/>
          <w:szCs w:val="24"/>
        </w:rPr>
        <w:t xml:space="preserve">Interpretations Adduced by </w:t>
      </w:r>
      <w:r w:rsidR="00261CCE" w:rsidRPr="00E31CD6">
        <w:rPr>
          <w:rFonts w:ascii="Times New Roman" w:hAnsi="Times New Roman" w:cs="Times New Roman"/>
          <w:b/>
          <w:sz w:val="24"/>
          <w:szCs w:val="24"/>
        </w:rPr>
        <w:t xml:space="preserve">the </w:t>
      </w:r>
      <w:r w:rsidRPr="00E31CD6">
        <w:rPr>
          <w:rFonts w:ascii="Times New Roman" w:hAnsi="Times New Roman" w:cs="Times New Roman"/>
          <w:b/>
          <w:sz w:val="24"/>
          <w:szCs w:val="24"/>
        </w:rPr>
        <w:t>Israeli Supreme Court</w:t>
      </w:r>
      <w:r w:rsidR="00261CCE" w:rsidRPr="00E31CD6">
        <w:rPr>
          <w:rFonts w:ascii="Times New Roman" w:hAnsi="Times New Roman" w:cs="Times New Roman"/>
          <w:b/>
          <w:sz w:val="24"/>
          <w:szCs w:val="24"/>
        </w:rPr>
        <w:t xml:space="preserve"> </w:t>
      </w:r>
    </w:p>
    <w:p w14:paraId="35776755" w14:textId="29F12693" w:rsidR="009B385F" w:rsidRPr="00E31CD6" w:rsidRDefault="009B385F" w:rsidP="00E31CD6">
      <w:pPr>
        <w:pStyle w:val="a3"/>
        <w:numPr>
          <w:ilvl w:val="0"/>
          <w:numId w:val="18"/>
        </w:numPr>
        <w:ind w:leftChars="0"/>
        <w:rPr>
          <w:rFonts w:ascii="Times New Roman" w:hAnsi="Times New Roman" w:cs="Times New Roman"/>
          <w:b/>
          <w:bCs/>
          <w:sz w:val="24"/>
          <w:szCs w:val="24"/>
        </w:rPr>
      </w:pPr>
      <w:r w:rsidRPr="00E31CD6">
        <w:rPr>
          <w:rFonts w:ascii="Times New Roman" w:hAnsi="Times New Roman" w:cs="Times New Roman"/>
          <w:b/>
          <w:bCs/>
          <w:sz w:val="24"/>
          <w:szCs w:val="24"/>
        </w:rPr>
        <w:t>Overview</w:t>
      </w:r>
    </w:p>
    <w:p w14:paraId="1A46A299" w14:textId="694C9116" w:rsidR="005A375A" w:rsidRPr="009E6775" w:rsidRDefault="005A375A" w:rsidP="0081540D">
      <w:pPr>
        <w:rPr>
          <w:rFonts w:ascii="Times New Roman" w:hAnsi="Times New Roman" w:cs="Times New Roman"/>
          <w:sz w:val="24"/>
          <w:szCs w:val="24"/>
        </w:rPr>
      </w:pPr>
      <w:r w:rsidRPr="009E6775">
        <w:rPr>
          <w:rFonts w:ascii="Times New Roman" w:hAnsi="Times New Roman" w:cs="Times New Roman"/>
          <w:sz w:val="24"/>
          <w:szCs w:val="24"/>
        </w:rPr>
        <w:t xml:space="preserve">The extensive survey carried out by </w:t>
      </w:r>
      <w:proofErr w:type="gramStart"/>
      <w:r w:rsidRPr="009E6775">
        <w:rPr>
          <w:rFonts w:ascii="Times New Roman" w:hAnsi="Times New Roman" w:cs="Times New Roman"/>
          <w:sz w:val="24"/>
          <w:szCs w:val="24"/>
        </w:rPr>
        <w:t>Kretzmer</w:t>
      </w:r>
      <w:proofErr w:type="gramEnd"/>
      <w:r w:rsidRPr="009E6775">
        <w:rPr>
          <w:rFonts w:ascii="Times New Roman" w:hAnsi="Times New Roman" w:cs="Times New Roman"/>
          <w:sz w:val="24"/>
          <w:szCs w:val="24"/>
        </w:rPr>
        <w:t xml:space="preserve"> and Ronen reveals the Israeli SC</w:t>
      </w:r>
      <w:r w:rsidR="00946BD2" w:rsidRPr="009E6775">
        <w:rPr>
          <w:rFonts w:ascii="Times New Roman" w:hAnsi="Times New Roman" w:cs="Times New Roman"/>
          <w:sz w:val="24"/>
          <w:szCs w:val="24"/>
        </w:rPr>
        <w:t>’s rather</w:t>
      </w:r>
      <w:r w:rsidRPr="009E6775">
        <w:rPr>
          <w:rFonts w:ascii="Times New Roman" w:hAnsi="Times New Roman" w:cs="Times New Roman"/>
          <w:sz w:val="24"/>
          <w:szCs w:val="24"/>
        </w:rPr>
        <w:t xml:space="preserve"> controversial interpretations </w:t>
      </w:r>
      <w:r w:rsidR="00946BD2" w:rsidRPr="009E6775">
        <w:rPr>
          <w:rFonts w:ascii="Times New Roman" w:hAnsi="Times New Roman" w:cs="Times New Roman"/>
          <w:sz w:val="24"/>
          <w:szCs w:val="24"/>
        </w:rPr>
        <w:t xml:space="preserve">of the relevant laws </w:t>
      </w:r>
      <w:r w:rsidR="006B7684" w:rsidRPr="009E6775">
        <w:rPr>
          <w:rFonts w:ascii="Times New Roman" w:hAnsi="Times New Roman" w:cs="Times New Roman"/>
          <w:sz w:val="24"/>
          <w:szCs w:val="24"/>
        </w:rPr>
        <w:t xml:space="preserve">especially when dealing with </w:t>
      </w:r>
      <w:r w:rsidRPr="009E6775">
        <w:rPr>
          <w:rFonts w:ascii="Times New Roman" w:hAnsi="Times New Roman" w:cs="Times New Roman"/>
          <w:sz w:val="24"/>
          <w:szCs w:val="24"/>
        </w:rPr>
        <w:t xml:space="preserve">issues </w:t>
      </w:r>
      <w:r w:rsidR="006B7684" w:rsidRPr="009E6775">
        <w:rPr>
          <w:rFonts w:ascii="Times New Roman" w:hAnsi="Times New Roman" w:cs="Times New Roman"/>
          <w:sz w:val="24"/>
          <w:szCs w:val="24"/>
        </w:rPr>
        <w:t>connected to</w:t>
      </w:r>
      <w:r w:rsidR="00946BD2" w:rsidRPr="009E6775">
        <w:rPr>
          <w:rFonts w:ascii="Times New Roman" w:hAnsi="Times New Roman" w:cs="Times New Roman"/>
          <w:sz w:val="24"/>
          <w:szCs w:val="24"/>
        </w:rPr>
        <w:t xml:space="preserve"> </w:t>
      </w:r>
      <w:r w:rsidRPr="009E6775">
        <w:rPr>
          <w:rFonts w:ascii="Times New Roman" w:hAnsi="Times New Roman" w:cs="Times New Roman"/>
          <w:sz w:val="24"/>
          <w:szCs w:val="24"/>
        </w:rPr>
        <w:t>settlements</w:t>
      </w:r>
      <w:r w:rsidR="006B7684" w:rsidRPr="009E6775">
        <w:rPr>
          <w:rFonts w:ascii="Times New Roman" w:hAnsi="Times New Roman" w:cs="Times New Roman"/>
          <w:sz w:val="24"/>
          <w:szCs w:val="24"/>
        </w:rPr>
        <w:t xml:space="preserve"> </w:t>
      </w:r>
      <w:r w:rsidR="00946BD2" w:rsidRPr="009E6775">
        <w:rPr>
          <w:rFonts w:ascii="Times New Roman" w:hAnsi="Times New Roman" w:cs="Times New Roman"/>
          <w:sz w:val="24"/>
          <w:szCs w:val="24"/>
        </w:rPr>
        <w:t xml:space="preserve">and deportation. </w:t>
      </w:r>
      <w:r w:rsidR="00E001F9" w:rsidRPr="009E6775">
        <w:rPr>
          <w:rFonts w:ascii="Times New Roman" w:hAnsi="Times New Roman" w:cs="Times New Roman"/>
          <w:sz w:val="24"/>
          <w:szCs w:val="24"/>
        </w:rPr>
        <w:t>For sure, there is no coincidence that these</w:t>
      </w:r>
      <w:r w:rsidR="00946BD2" w:rsidRPr="009E6775">
        <w:rPr>
          <w:rFonts w:ascii="Times New Roman" w:hAnsi="Times New Roman" w:cs="Times New Roman"/>
          <w:sz w:val="24"/>
          <w:szCs w:val="24"/>
        </w:rPr>
        <w:t xml:space="preserve"> are all sensitive matters</w:t>
      </w:r>
      <w:r w:rsidR="00E001F9" w:rsidRPr="009E6775">
        <w:rPr>
          <w:rFonts w:ascii="Times New Roman" w:hAnsi="Times New Roman" w:cs="Times New Roman"/>
          <w:sz w:val="24"/>
          <w:szCs w:val="24"/>
        </w:rPr>
        <w:t xml:space="preserve"> in internal Israeli politics</w:t>
      </w:r>
      <w:r w:rsidR="00946BD2" w:rsidRPr="009E6775">
        <w:rPr>
          <w:rFonts w:ascii="Times New Roman" w:hAnsi="Times New Roman" w:cs="Times New Roman"/>
          <w:sz w:val="24"/>
          <w:szCs w:val="24"/>
        </w:rPr>
        <w:t xml:space="preserve">. </w:t>
      </w:r>
    </w:p>
    <w:p w14:paraId="20011738" w14:textId="77777777" w:rsidR="00946BD2" w:rsidRPr="009E6775" w:rsidRDefault="00946BD2" w:rsidP="0081540D">
      <w:pPr>
        <w:rPr>
          <w:rFonts w:ascii="Times New Roman" w:hAnsi="Times New Roman" w:cs="Times New Roman"/>
          <w:sz w:val="24"/>
          <w:szCs w:val="24"/>
        </w:rPr>
      </w:pPr>
    </w:p>
    <w:p w14:paraId="2E88BB84" w14:textId="240A753B" w:rsidR="00EE1483" w:rsidRPr="00E31CD6" w:rsidRDefault="00B57085" w:rsidP="00E31CD6">
      <w:pPr>
        <w:pStyle w:val="a3"/>
        <w:numPr>
          <w:ilvl w:val="0"/>
          <w:numId w:val="18"/>
        </w:numPr>
        <w:ind w:leftChars="0"/>
        <w:rPr>
          <w:rFonts w:ascii="Times New Roman" w:hAnsi="Times New Roman" w:cs="Times New Roman"/>
          <w:b/>
          <w:bCs/>
          <w:sz w:val="24"/>
          <w:szCs w:val="24"/>
        </w:rPr>
      </w:pPr>
      <w:r w:rsidRPr="00E31CD6">
        <w:rPr>
          <w:rFonts w:ascii="Times New Roman" w:hAnsi="Times New Roman" w:cs="Times New Roman"/>
          <w:b/>
          <w:bCs/>
          <w:sz w:val="24"/>
          <w:szCs w:val="24"/>
        </w:rPr>
        <w:t>Settlements</w:t>
      </w:r>
      <w:r w:rsidR="00350701" w:rsidRPr="00E31CD6">
        <w:rPr>
          <w:rFonts w:ascii="Times New Roman" w:hAnsi="Times New Roman" w:cs="Times New Roman"/>
          <w:b/>
          <w:bCs/>
          <w:sz w:val="24"/>
          <w:szCs w:val="24"/>
        </w:rPr>
        <w:t xml:space="preserve">, </w:t>
      </w:r>
      <w:proofErr w:type="gramStart"/>
      <w:r w:rsidR="00F0303D" w:rsidRPr="00E31CD6">
        <w:rPr>
          <w:rFonts w:ascii="Times New Roman" w:hAnsi="Times New Roman" w:cs="Times New Roman"/>
          <w:b/>
          <w:bCs/>
          <w:sz w:val="24"/>
          <w:szCs w:val="24"/>
        </w:rPr>
        <w:t>S</w:t>
      </w:r>
      <w:r w:rsidRPr="00E31CD6">
        <w:rPr>
          <w:rFonts w:ascii="Times New Roman" w:hAnsi="Times New Roman" w:cs="Times New Roman"/>
          <w:b/>
          <w:bCs/>
          <w:sz w:val="24"/>
          <w:szCs w:val="24"/>
        </w:rPr>
        <w:t>ettlers</w:t>
      </w:r>
      <w:proofErr w:type="gramEnd"/>
      <w:r w:rsidR="00350701" w:rsidRPr="00E31CD6">
        <w:rPr>
          <w:rFonts w:ascii="Times New Roman" w:hAnsi="Times New Roman" w:cs="Times New Roman"/>
          <w:b/>
          <w:bCs/>
          <w:sz w:val="24"/>
          <w:szCs w:val="24"/>
        </w:rPr>
        <w:t xml:space="preserve"> and Creeping Colonization</w:t>
      </w:r>
      <w:r w:rsidR="00771F05" w:rsidRPr="00E31CD6">
        <w:rPr>
          <w:rFonts w:ascii="Times New Roman" w:hAnsi="Times New Roman" w:cs="Times New Roman"/>
          <w:b/>
          <w:bCs/>
          <w:sz w:val="24"/>
          <w:szCs w:val="24"/>
        </w:rPr>
        <w:t xml:space="preserve"> through Planning Policies in Area C</w:t>
      </w:r>
    </w:p>
    <w:p w14:paraId="08F291AF" w14:textId="6D801E9F" w:rsidR="00827D2C" w:rsidRPr="009E6775" w:rsidRDefault="00350701" w:rsidP="0081540D">
      <w:pPr>
        <w:rPr>
          <w:rFonts w:ascii="Times New Roman" w:hAnsi="Times New Roman" w:cs="Times New Roman"/>
          <w:sz w:val="24"/>
          <w:szCs w:val="24"/>
        </w:rPr>
      </w:pPr>
      <w:r w:rsidRPr="009E6775">
        <w:rPr>
          <w:rFonts w:ascii="Times New Roman" w:hAnsi="Times New Roman" w:cs="Times New Roman"/>
          <w:sz w:val="24"/>
          <w:szCs w:val="24"/>
        </w:rPr>
        <w:lastRenderedPageBreak/>
        <w:t>With respect to</w:t>
      </w:r>
      <w:r w:rsidR="00C2464F" w:rsidRPr="009E6775">
        <w:rPr>
          <w:rFonts w:ascii="Times New Roman" w:hAnsi="Times New Roman" w:cs="Times New Roman"/>
          <w:sz w:val="24"/>
          <w:szCs w:val="24"/>
        </w:rPr>
        <w:t xml:space="preserve"> planning and building in Area C, Israel retains full powers over land, including planning and building.</w:t>
      </w:r>
      <w:r w:rsidR="00C2464F" w:rsidRPr="009E6775">
        <w:rPr>
          <w:rStyle w:val="aa"/>
          <w:rFonts w:ascii="Times New Roman" w:hAnsi="Times New Roman" w:cs="Times New Roman"/>
          <w:sz w:val="24"/>
          <w:szCs w:val="24"/>
        </w:rPr>
        <w:footnoteReference w:id="128"/>
      </w:r>
      <w:r w:rsidR="00C2464F" w:rsidRPr="009E6775">
        <w:rPr>
          <w:rFonts w:ascii="Times New Roman" w:hAnsi="Times New Roman" w:cs="Times New Roman"/>
          <w:sz w:val="24"/>
          <w:szCs w:val="24"/>
        </w:rPr>
        <w:t xml:space="preserve"> </w:t>
      </w:r>
      <w:r w:rsidR="00827D2C" w:rsidRPr="009E6775">
        <w:rPr>
          <w:rFonts w:ascii="Times New Roman" w:hAnsi="Times New Roman" w:cs="Times New Roman"/>
          <w:sz w:val="24"/>
          <w:szCs w:val="24"/>
        </w:rPr>
        <w:t xml:space="preserve">In </w:t>
      </w:r>
      <w:r w:rsidR="00C2464F" w:rsidRPr="009E6775">
        <w:rPr>
          <w:rFonts w:ascii="Times New Roman" w:hAnsi="Times New Roman" w:cs="Times New Roman"/>
          <w:sz w:val="24"/>
          <w:szCs w:val="24"/>
        </w:rPr>
        <w:t>the wake of the Israeli occupation of the West Bank and the Gaza Strip, the military commander appointed a Custodian of Government Property, who is authorized to take possession of government property and</w:t>
      </w:r>
      <w:r w:rsidR="00E001F9" w:rsidRPr="009E6775">
        <w:rPr>
          <w:rFonts w:ascii="Times New Roman" w:hAnsi="Times New Roman" w:cs="Times New Roman"/>
          <w:sz w:val="24"/>
          <w:szCs w:val="24"/>
        </w:rPr>
        <w:t xml:space="preserve"> to</w:t>
      </w:r>
      <w:r w:rsidR="00C2464F" w:rsidRPr="009E6775">
        <w:rPr>
          <w:rFonts w:ascii="Times New Roman" w:hAnsi="Times New Roman" w:cs="Times New Roman"/>
          <w:sz w:val="24"/>
          <w:szCs w:val="24"/>
        </w:rPr>
        <w:t xml:space="preserve"> regulate its use. Subsequently, the custodian </w:t>
      </w:r>
      <w:r w:rsidR="00827D2C" w:rsidRPr="009E6775">
        <w:rPr>
          <w:rFonts w:ascii="Times New Roman" w:hAnsi="Times New Roman" w:cs="Times New Roman"/>
          <w:sz w:val="24"/>
          <w:szCs w:val="24"/>
        </w:rPr>
        <w:t>has been</w:t>
      </w:r>
      <w:r w:rsidR="00C2464F" w:rsidRPr="009E6775">
        <w:rPr>
          <w:rFonts w:ascii="Times New Roman" w:hAnsi="Times New Roman" w:cs="Times New Roman"/>
          <w:sz w:val="24"/>
          <w:szCs w:val="24"/>
        </w:rPr>
        <w:t xml:space="preserve"> granted the power to presume the absentees’ land as government property. Under this scheme, the onus is imposed on those claiming land rights to establish that the land is not government lands. </w:t>
      </w:r>
      <w:r w:rsidR="00252C07" w:rsidRPr="009E6775">
        <w:rPr>
          <w:rFonts w:ascii="Times New Roman" w:hAnsi="Times New Roman" w:cs="Times New Roman"/>
          <w:sz w:val="24"/>
          <w:szCs w:val="24"/>
        </w:rPr>
        <w:t xml:space="preserve">As </w:t>
      </w:r>
      <w:r w:rsidR="00C2464F" w:rsidRPr="009E6775">
        <w:rPr>
          <w:rFonts w:ascii="Times New Roman" w:hAnsi="Times New Roman" w:cs="Times New Roman"/>
          <w:sz w:val="24"/>
          <w:szCs w:val="24"/>
        </w:rPr>
        <w:t xml:space="preserve">held by Justice Shamgar in </w:t>
      </w:r>
      <w:r w:rsidR="00C2464F" w:rsidRPr="009E6775">
        <w:rPr>
          <w:rFonts w:ascii="Times New Roman" w:hAnsi="Times New Roman" w:cs="Times New Roman"/>
          <w:i/>
          <w:iCs/>
          <w:sz w:val="24"/>
          <w:szCs w:val="24"/>
          <w:shd w:val="clear" w:color="auto" w:fill="FFFFFF"/>
        </w:rPr>
        <w:t>Al-Nazeer</w:t>
      </w:r>
      <w:r w:rsidR="00827D2C" w:rsidRPr="009E6775">
        <w:rPr>
          <w:rFonts w:ascii="Times New Roman" w:hAnsi="Times New Roman" w:cs="Times New Roman"/>
          <w:i/>
          <w:iCs/>
          <w:sz w:val="24"/>
          <w:szCs w:val="24"/>
          <w:shd w:val="clear" w:color="auto" w:fill="FFFFFF"/>
        </w:rPr>
        <w:t xml:space="preserve"> </w:t>
      </w:r>
      <w:r w:rsidR="00C2464F" w:rsidRPr="009E6775">
        <w:rPr>
          <w:rFonts w:ascii="Times New Roman" w:hAnsi="Times New Roman" w:cs="Times New Roman"/>
          <w:sz w:val="24"/>
          <w:szCs w:val="24"/>
          <w:shd w:val="clear" w:color="auto" w:fill="FFFFFF"/>
        </w:rPr>
        <w:t>(1982),</w:t>
      </w:r>
      <w:r w:rsidR="00C2464F" w:rsidRPr="009E6775">
        <w:rPr>
          <w:rStyle w:val="aa"/>
          <w:rFonts w:ascii="Times New Roman" w:hAnsi="Times New Roman" w:cs="Times New Roman"/>
          <w:sz w:val="24"/>
          <w:szCs w:val="24"/>
          <w:shd w:val="clear" w:color="auto" w:fill="FFFFFF"/>
        </w:rPr>
        <w:footnoteReference w:id="129"/>
      </w:r>
      <w:r w:rsidR="00C2464F" w:rsidRPr="009E6775">
        <w:rPr>
          <w:rFonts w:ascii="Times New Roman" w:hAnsi="Times New Roman" w:cs="Times New Roman"/>
          <w:sz w:val="24"/>
          <w:szCs w:val="24"/>
          <w:shd w:val="clear" w:color="auto" w:fill="FFFFFF"/>
        </w:rPr>
        <w:t xml:space="preserve"> in case of doubt over the public or private nature of the property, this is presumed public until proven otherwise.</w:t>
      </w:r>
      <w:r w:rsidR="00C2464F" w:rsidRPr="009E6775">
        <w:rPr>
          <w:rStyle w:val="aa"/>
          <w:rFonts w:ascii="Times New Roman" w:hAnsi="Times New Roman" w:cs="Times New Roman"/>
          <w:sz w:val="24"/>
          <w:szCs w:val="24"/>
          <w:shd w:val="clear" w:color="auto" w:fill="FFFFFF"/>
        </w:rPr>
        <w:footnoteReference w:id="130"/>
      </w:r>
      <w:r w:rsidR="00C2464F" w:rsidRPr="009E6775">
        <w:rPr>
          <w:rFonts w:ascii="Times New Roman" w:hAnsi="Times New Roman" w:cs="Times New Roman"/>
          <w:sz w:val="24"/>
          <w:szCs w:val="24"/>
          <w:shd w:val="clear" w:color="auto" w:fill="FFFFFF"/>
        </w:rPr>
        <w:t xml:space="preserve"> </w:t>
      </w:r>
      <w:r w:rsidR="006B7684" w:rsidRPr="009E6775">
        <w:rPr>
          <w:rFonts w:ascii="Times New Roman" w:hAnsi="Times New Roman" w:cs="Times New Roman"/>
          <w:sz w:val="24"/>
          <w:szCs w:val="24"/>
          <w:shd w:val="clear" w:color="auto" w:fill="FFFFFF"/>
        </w:rPr>
        <w:t>Not only s</w:t>
      </w:r>
      <w:r w:rsidR="00252C07" w:rsidRPr="009E6775">
        <w:rPr>
          <w:rFonts w:ascii="Times New Roman" w:hAnsi="Times New Roman" w:cs="Times New Roman"/>
          <w:sz w:val="24"/>
          <w:szCs w:val="24"/>
          <w:shd w:val="clear" w:color="auto" w:fill="FFFFFF"/>
        </w:rPr>
        <w:t xml:space="preserve">uch </w:t>
      </w:r>
      <w:r w:rsidR="00C2464F" w:rsidRPr="009E6775">
        <w:rPr>
          <w:rFonts w:ascii="Times New Roman" w:hAnsi="Times New Roman" w:cs="Times New Roman"/>
          <w:sz w:val="24"/>
          <w:szCs w:val="24"/>
        </w:rPr>
        <w:t xml:space="preserve">presumption is irreconcilable with the underlying assumption of the law of occupation – preservation of the </w:t>
      </w:r>
      <w:r w:rsidR="00C2464F" w:rsidRPr="009E6775">
        <w:rPr>
          <w:rFonts w:ascii="Times New Roman" w:hAnsi="Times New Roman" w:cs="Times New Roman"/>
          <w:i/>
          <w:iCs/>
          <w:sz w:val="24"/>
          <w:szCs w:val="24"/>
        </w:rPr>
        <w:t xml:space="preserve">status quo ante </w:t>
      </w:r>
      <w:r w:rsidR="00C2464F" w:rsidRPr="009E6775">
        <w:rPr>
          <w:rFonts w:ascii="Times New Roman" w:hAnsi="Times New Roman" w:cs="Times New Roman"/>
          <w:sz w:val="24"/>
          <w:szCs w:val="24"/>
        </w:rPr>
        <w:t>as far as possible. What is</w:t>
      </w:r>
      <w:r w:rsidR="006B7684" w:rsidRPr="009E6775">
        <w:rPr>
          <w:rFonts w:ascii="Times New Roman" w:hAnsi="Times New Roman" w:cs="Times New Roman"/>
          <w:sz w:val="24"/>
          <w:szCs w:val="24"/>
        </w:rPr>
        <w:t xml:space="preserve"> even</w:t>
      </w:r>
      <w:r w:rsidR="00C2464F" w:rsidRPr="009E6775">
        <w:rPr>
          <w:rFonts w:ascii="Times New Roman" w:hAnsi="Times New Roman" w:cs="Times New Roman"/>
          <w:sz w:val="24"/>
          <w:szCs w:val="24"/>
        </w:rPr>
        <w:t xml:space="preserve"> more disconcerting is the policy that such property, once presumed public, is used dominantly for the sake of the citizens of the occupying power</w:t>
      </w:r>
      <w:r w:rsidR="00C2464F" w:rsidRPr="009E6775">
        <w:rPr>
          <w:rStyle w:val="aa"/>
          <w:rFonts w:ascii="Times New Roman" w:hAnsi="Times New Roman" w:cs="Times New Roman"/>
          <w:sz w:val="24"/>
          <w:szCs w:val="24"/>
        </w:rPr>
        <w:footnoteReference w:id="131"/>
      </w:r>
      <w:r w:rsidR="00C2464F" w:rsidRPr="009E6775">
        <w:rPr>
          <w:rFonts w:ascii="Times New Roman" w:hAnsi="Times New Roman" w:cs="Times New Roman"/>
          <w:sz w:val="24"/>
          <w:szCs w:val="24"/>
        </w:rPr>
        <w:t xml:space="preserve"> </w:t>
      </w:r>
      <w:r w:rsidR="00760CC6" w:rsidRPr="009E6775">
        <w:rPr>
          <w:rFonts w:ascii="Times New Roman" w:hAnsi="Times New Roman" w:cs="Times New Roman"/>
          <w:sz w:val="24"/>
          <w:szCs w:val="24"/>
        </w:rPr>
        <w:t xml:space="preserve">or even ‘exclusively to serve Israeli </w:t>
      </w:r>
      <w:proofErr w:type="gramStart"/>
      <w:r w:rsidR="00760CC6" w:rsidRPr="009E6775">
        <w:rPr>
          <w:rFonts w:ascii="Times New Roman" w:hAnsi="Times New Roman" w:cs="Times New Roman"/>
          <w:sz w:val="24"/>
          <w:szCs w:val="24"/>
        </w:rPr>
        <w:t>settlements’</w:t>
      </w:r>
      <w:proofErr w:type="gramEnd"/>
      <w:r w:rsidR="00760CC6" w:rsidRPr="009E6775">
        <w:rPr>
          <w:rFonts w:ascii="Times New Roman" w:hAnsi="Times New Roman" w:cs="Times New Roman"/>
          <w:sz w:val="24"/>
          <w:szCs w:val="24"/>
        </w:rPr>
        <w:t>.</w:t>
      </w:r>
      <w:r w:rsidR="00760CC6" w:rsidRPr="009E6775">
        <w:rPr>
          <w:rStyle w:val="aa"/>
          <w:rFonts w:ascii="Times New Roman" w:hAnsi="Times New Roman" w:cs="Times New Roman"/>
          <w:sz w:val="24"/>
          <w:szCs w:val="24"/>
        </w:rPr>
        <w:footnoteReference w:id="132"/>
      </w:r>
      <w:r w:rsidR="00760CC6" w:rsidRPr="009E6775">
        <w:rPr>
          <w:rFonts w:ascii="Times New Roman" w:hAnsi="Times New Roman" w:cs="Times New Roman"/>
          <w:sz w:val="24"/>
          <w:szCs w:val="24"/>
        </w:rPr>
        <w:t xml:space="preserve"> </w:t>
      </w:r>
      <w:r w:rsidR="00B22435" w:rsidRPr="009E6775">
        <w:rPr>
          <w:rFonts w:ascii="Times New Roman" w:hAnsi="Times New Roman" w:cs="Times New Roman"/>
          <w:sz w:val="24"/>
          <w:szCs w:val="24"/>
        </w:rPr>
        <w:t xml:space="preserve">Some Israeli </w:t>
      </w:r>
      <w:r w:rsidR="009108A3" w:rsidRPr="009E6775">
        <w:rPr>
          <w:rFonts w:ascii="Times New Roman" w:hAnsi="Times New Roman" w:cs="Times New Roman"/>
          <w:sz w:val="24"/>
          <w:szCs w:val="24"/>
        </w:rPr>
        <w:t>scholars’</w:t>
      </w:r>
      <w:r w:rsidR="00302B0C" w:rsidRPr="009E6775">
        <w:rPr>
          <w:rFonts w:ascii="Times New Roman" w:hAnsi="Times New Roman" w:cs="Times New Roman"/>
          <w:sz w:val="24"/>
          <w:szCs w:val="24"/>
        </w:rPr>
        <w:t xml:space="preserve"> views</w:t>
      </w:r>
      <w:r w:rsidR="00B22435" w:rsidRPr="009E6775">
        <w:rPr>
          <w:rFonts w:ascii="Times New Roman" w:hAnsi="Times New Roman" w:cs="Times New Roman"/>
          <w:sz w:val="24"/>
          <w:szCs w:val="24"/>
        </w:rPr>
        <w:t xml:space="preserve"> are </w:t>
      </w:r>
      <w:r w:rsidR="00566254" w:rsidRPr="009E6775">
        <w:rPr>
          <w:rFonts w:ascii="Times New Roman" w:hAnsi="Times New Roman" w:cs="Times New Roman"/>
          <w:sz w:val="24"/>
          <w:szCs w:val="24"/>
        </w:rPr>
        <w:t xml:space="preserve">unapologetically </w:t>
      </w:r>
      <w:r w:rsidR="00B22435" w:rsidRPr="009E6775">
        <w:rPr>
          <w:rFonts w:ascii="Times New Roman" w:hAnsi="Times New Roman" w:cs="Times New Roman"/>
          <w:sz w:val="24"/>
          <w:szCs w:val="24"/>
        </w:rPr>
        <w:t xml:space="preserve">stern. </w:t>
      </w:r>
      <w:r w:rsidR="00E001F9" w:rsidRPr="009E6775">
        <w:rPr>
          <w:rFonts w:ascii="Times New Roman" w:hAnsi="Times New Roman" w:cs="Times New Roman"/>
          <w:sz w:val="24"/>
          <w:szCs w:val="24"/>
        </w:rPr>
        <w:t>In their opinions, by</w:t>
      </w:r>
      <w:r w:rsidR="00B22435" w:rsidRPr="009E6775">
        <w:rPr>
          <w:rFonts w:ascii="Times New Roman" w:hAnsi="Times New Roman" w:cs="Times New Roman"/>
          <w:sz w:val="24"/>
          <w:szCs w:val="24"/>
        </w:rPr>
        <w:t xml:space="preserve"> </w:t>
      </w:r>
      <w:r w:rsidR="00760CC6" w:rsidRPr="009E6775">
        <w:rPr>
          <w:rFonts w:ascii="Times New Roman" w:hAnsi="Times New Roman" w:cs="Times New Roman"/>
          <w:sz w:val="24"/>
          <w:szCs w:val="24"/>
        </w:rPr>
        <w:t>endorsing the military authorities’ decisions on such inequitable distribution of the land through the narrower reading of Articles 49(1) and (6) GCIV,</w:t>
      </w:r>
      <w:r w:rsidR="00760CC6" w:rsidRPr="009E6775">
        <w:rPr>
          <w:rStyle w:val="aa"/>
          <w:rFonts w:ascii="Times New Roman" w:hAnsi="Times New Roman" w:cs="Times New Roman"/>
          <w:sz w:val="24"/>
          <w:szCs w:val="24"/>
        </w:rPr>
        <w:footnoteReference w:id="133"/>
      </w:r>
      <w:r w:rsidR="00760CC6" w:rsidRPr="009E6775">
        <w:rPr>
          <w:rFonts w:ascii="Times New Roman" w:hAnsi="Times New Roman" w:cs="Times New Roman"/>
          <w:sz w:val="24"/>
          <w:szCs w:val="24"/>
        </w:rPr>
        <w:t xml:space="preserve"> the SC has played a complicit role in transforming the occupied territories into a ‘segregated regime’</w:t>
      </w:r>
      <w:r w:rsidR="00760CC6" w:rsidRPr="009E6775">
        <w:rPr>
          <w:rStyle w:val="aa"/>
          <w:rFonts w:ascii="Times New Roman" w:hAnsi="Times New Roman" w:cs="Times New Roman"/>
          <w:sz w:val="24"/>
          <w:szCs w:val="24"/>
        </w:rPr>
        <w:footnoteReference w:id="134"/>
      </w:r>
      <w:r w:rsidR="00760CC6" w:rsidRPr="009E6775">
        <w:rPr>
          <w:rFonts w:ascii="Times New Roman" w:hAnsi="Times New Roman" w:cs="Times New Roman"/>
          <w:sz w:val="24"/>
          <w:szCs w:val="24"/>
        </w:rPr>
        <w:t xml:space="preserve"> or ‘settler colonial regime’</w:t>
      </w:r>
      <w:r w:rsidR="00760CC6" w:rsidRPr="009E6775">
        <w:rPr>
          <w:rStyle w:val="aa"/>
          <w:rFonts w:ascii="Times New Roman" w:hAnsi="Times New Roman" w:cs="Times New Roman"/>
          <w:sz w:val="24"/>
          <w:szCs w:val="24"/>
        </w:rPr>
        <w:footnoteReference w:id="135"/>
      </w:r>
      <w:r w:rsidR="00760CC6" w:rsidRPr="009E6775">
        <w:rPr>
          <w:rFonts w:ascii="Times New Roman" w:hAnsi="Times New Roman" w:cs="Times New Roman"/>
          <w:sz w:val="24"/>
          <w:szCs w:val="24"/>
        </w:rPr>
        <w:t xml:space="preserve"> </w:t>
      </w:r>
    </w:p>
    <w:p w14:paraId="3514F5A4" w14:textId="17927224" w:rsidR="00C2464F" w:rsidRPr="009E6775" w:rsidRDefault="00C2464F" w:rsidP="0081540D">
      <w:pPr>
        <w:rPr>
          <w:rFonts w:ascii="Times New Roman" w:hAnsi="Times New Roman" w:cs="Times New Roman"/>
          <w:sz w:val="24"/>
          <w:szCs w:val="24"/>
        </w:rPr>
      </w:pPr>
    </w:p>
    <w:p w14:paraId="4D7BBDFE" w14:textId="1FD9770B" w:rsidR="00E1028E" w:rsidRPr="00E31CD6" w:rsidRDefault="00E1028E" w:rsidP="00E31CD6">
      <w:pPr>
        <w:pStyle w:val="a3"/>
        <w:numPr>
          <w:ilvl w:val="0"/>
          <w:numId w:val="18"/>
        </w:numPr>
        <w:ind w:leftChars="0"/>
        <w:rPr>
          <w:rFonts w:ascii="Times New Roman" w:hAnsi="Times New Roman" w:cs="Times New Roman"/>
          <w:b/>
          <w:bCs/>
          <w:sz w:val="24"/>
          <w:szCs w:val="24"/>
        </w:rPr>
      </w:pPr>
      <w:r w:rsidRPr="00E31CD6">
        <w:rPr>
          <w:rFonts w:ascii="Times New Roman" w:hAnsi="Times New Roman" w:cs="Times New Roman"/>
          <w:b/>
          <w:bCs/>
          <w:sz w:val="24"/>
          <w:szCs w:val="24"/>
        </w:rPr>
        <w:t>Deportation</w:t>
      </w:r>
    </w:p>
    <w:p w14:paraId="1F348F71" w14:textId="414CCB89" w:rsidR="00E1028E" w:rsidRPr="009E6775" w:rsidRDefault="00E1028E" w:rsidP="0081540D">
      <w:pPr>
        <w:rPr>
          <w:rFonts w:ascii="Times New Roman" w:hAnsi="Times New Roman" w:cs="Times New Roman"/>
          <w:sz w:val="24"/>
          <w:szCs w:val="24"/>
        </w:rPr>
      </w:pPr>
      <w:r w:rsidRPr="009E6775">
        <w:rPr>
          <w:rFonts w:ascii="Times New Roman" w:hAnsi="Times New Roman" w:cs="Times New Roman"/>
          <w:sz w:val="24"/>
          <w:szCs w:val="24"/>
        </w:rPr>
        <w:t>With regard to issues of deportation, on one hand, as briefly discussed above, the SC has applied the restrictive interpretation of Article 49(1) GC IV,</w:t>
      </w:r>
      <w:r w:rsidRPr="009E6775">
        <w:rPr>
          <w:rStyle w:val="aa"/>
          <w:rFonts w:ascii="Times New Roman" w:hAnsi="Times New Roman" w:cs="Times New Roman"/>
          <w:sz w:val="24"/>
          <w:szCs w:val="24"/>
        </w:rPr>
        <w:footnoteReference w:id="136"/>
      </w:r>
      <w:r w:rsidRPr="009E6775">
        <w:rPr>
          <w:rFonts w:ascii="Times New Roman" w:hAnsi="Times New Roman" w:cs="Times New Roman"/>
          <w:sz w:val="24"/>
          <w:szCs w:val="24"/>
        </w:rPr>
        <w:t xml:space="preserve"> ruling that this provision forbids only the Nazi-type massive deportation.</w:t>
      </w:r>
      <w:r w:rsidRPr="009E6775">
        <w:rPr>
          <w:rStyle w:val="aa"/>
          <w:rFonts w:ascii="Times New Roman" w:hAnsi="Times New Roman" w:cs="Times New Roman"/>
          <w:sz w:val="24"/>
          <w:szCs w:val="24"/>
        </w:rPr>
        <w:footnoteReference w:id="137"/>
      </w:r>
      <w:r w:rsidRPr="009E6775">
        <w:rPr>
          <w:rFonts w:ascii="Times New Roman" w:hAnsi="Times New Roman" w:cs="Times New Roman"/>
          <w:sz w:val="24"/>
          <w:szCs w:val="24"/>
        </w:rPr>
        <w:t xml:space="preserve"> A similarly narrow construction typifies the decisions relating to the order of </w:t>
      </w:r>
      <w:r w:rsidRPr="009E6775">
        <w:rPr>
          <w:rFonts w:ascii="Times New Roman" w:hAnsi="Times New Roman" w:cs="Times New Roman"/>
          <w:sz w:val="24"/>
          <w:szCs w:val="24"/>
          <w:shd w:val="clear" w:color="auto" w:fill="FFFFFF"/>
        </w:rPr>
        <w:t xml:space="preserve">assigned residence, which enjoined the West </w:t>
      </w:r>
      <w:r w:rsidRPr="009E6775">
        <w:rPr>
          <w:rFonts w:ascii="Times New Roman" w:hAnsi="Times New Roman" w:cs="Times New Roman"/>
          <w:sz w:val="24"/>
          <w:szCs w:val="24"/>
          <w:shd w:val="clear" w:color="auto" w:fill="FFFFFF"/>
        </w:rPr>
        <w:lastRenderedPageBreak/>
        <w:t>Bank residents to reside in Gaza.</w:t>
      </w:r>
      <w:r w:rsidRPr="009E6775">
        <w:rPr>
          <w:rStyle w:val="aa"/>
          <w:rFonts w:ascii="Times New Roman" w:hAnsi="Times New Roman" w:cs="Times New Roman"/>
          <w:sz w:val="24"/>
          <w:szCs w:val="24"/>
          <w:shd w:val="clear" w:color="auto" w:fill="FFFFFF"/>
        </w:rPr>
        <w:footnoteReference w:id="138"/>
      </w:r>
      <w:r w:rsidRPr="009E6775">
        <w:rPr>
          <w:rFonts w:ascii="Times New Roman" w:hAnsi="Times New Roman" w:cs="Times New Roman"/>
          <w:sz w:val="24"/>
          <w:szCs w:val="24"/>
          <w:shd w:val="clear" w:color="auto" w:fill="FFFFFF"/>
        </w:rPr>
        <w:t xml:space="preserve"> </w:t>
      </w:r>
      <w:r w:rsidRPr="009E6775">
        <w:rPr>
          <w:rFonts w:ascii="Times New Roman" w:hAnsi="Times New Roman" w:cs="Times New Roman"/>
          <w:sz w:val="24"/>
          <w:szCs w:val="24"/>
        </w:rPr>
        <w:t>Such a seemingly ‘intra-occupied territory’ displacement appears to be defensible when the text of Article 49 GCIV is read literally</w:t>
      </w:r>
      <w:r w:rsidR="00E001F9" w:rsidRPr="009E6775">
        <w:rPr>
          <w:rFonts w:ascii="Times New Roman" w:hAnsi="Times New Roman" w:cs="Times New Roman"/>
          <w:sz w:val="24"/>
          <w:szCs w:val="24"/>
        </w:rPr>
        <w:t>. This provision forbids only</w:t>
      </w:r>
      <w:r w:rsidRPr="009E6775">
        <w:rPr>
          <w:rFonts w:ascii="Times New Roman" w:hAnsi="Times New Roman" w:cs="Times New Roman"/>
          <w:sz w:val="24"/>
          <w:szCs w:val="24"/>
        </w:rPr>
        <w:t xml:space="preserve"> ‘d</w:t>
      </w:r>
      <w:r w:rsidRPr="009E6775">
        <w:rPr>
          <w:rFonts w:ascii="Times New Roman" w:hAnsi="Times New Roman" w:cs="Times New Roman"/>
          <w:sz w:val="24"/>
          <w:szCs w:val="24"/>
          <w:shd w:val="clear" w:color="auto" w:fill="FFFFFF"/>
        </w:rPr>
        <w:t>eportations of protected persons from occupied territory to the territory of the Occupying Power or to that of any other country’. Further, Article XI of the 1995 Interim Agreement</w:t>
      </w:r>
      <w:r w:rsidRPr="009E6775">
        <w:rPr>
          <w:rStyle w:val="aa"/>
          <w:rFonts w:ascii="Times New Roman" w:hAnsi="Times New Roman" w:cs="Times New Roman"/>
          <w:sz w:val="24"/>
          <w:szCs w:val="24"/>
          <w:shd w:val="clear" w:color="auto" w:fill="FFFFFF"/>
        </w:rPr>
        <w:footnoteReference w:id="139"/>
      </w:r>
      <w:r w:rsidRPr="009E6775">
        <w:rPr>
          <w:rFonts w:ascii="Times New Roman" w:hAnsi="Times New Roman" w:cs="Times New Roman"/>
          <w:sz w:val="24"/>
          <w:szCs w:val="24"/>
          <w:shd w:val="clear" w:color="auto" w:fill="FFFFFF"/>
        </w:rPr>
        <w:t xml:space="preserve"> refers to the West Bank and the Gaza Strip as a single territorial unit.</w:t>
      </w:r>
      <w:r w:rsidRPr="009E6775">
        <w:rPr>
          <w:rStyle w:val="aa"/>
          <w:rFonts w:ascii="Times New Roman" w:hAnsi="Times New Roman" w:cs="Times New Roman"/>
          <w:sz w:val="24"/>
          <w:szCs w:val="24"/>
          <w:shd w:val="clear" w:color="auto" w:fill="FFFFFF"/>
        </w:rPr>
        <w:footnoteReference w:id="140"/>
      </w:r>
      <w:r w:rsidRPr="009E6775">
        <w:rPr>
          <w:rFonts w:ascii="Times New Roman" w:hAnsi="Times New Roman" w:cs="Times New Roman"/>
          <w:sz w:val="24"/>
          <w:szCs w:val="24"/>
          <w:shd w:val="clear" w:color="auto" w:fill="FFFFFF"/>
        </w:rPr>
        <w:t xml:space="preserve"> Nevertheless, </w:t>
      </w:r>
      <w:r w:rsidR="009108A3" w:rsidRPr="009E6775">
        <w:rPr>
          <w:rFonts w:ascii="Times New Roman" w:hAnsi="Times New Roman" w:cs="Times New Roman"/>
          <w:sz w:val="24"/>
          <w:szCs w:val="24"/>
          <w:shd w:val="clear" w:color="auto" w:fill="FFFFFF"/>
        </w:rPr>
        <w:t xml:space="preserve">one should not overlook </w:t>
      </w:r>
      <w:r w:rsidRPr="009E6775">
        <w:rPr>
          <w:rFonts w:ascii="Times New Roman" w:hAnsi="Times New Roman" w:cs="Times New Roman"/>
          <w:sz w:val="24"/>
          <w:szCs w:val="24"/>
          <w:shd w:val="clear" w:color="auto" w:fill="FFFFFF"/>
        </w:rPr>
        <w:t>that Israel forestalled the freedom of intra-Palestin</w:t>
      </w:r>
      <w:r w:rsidR="00302B0C" w:rsidRPr="009E6775">
        <w:rPr>
          <w:rFonts w:ascii="Times New Roman" w:hAnsi="Times New Roman" w:cs="Times New Roman"/>
          <w:sz w:val="24"/>
          <w:szCs w:val="24"/>
          <w:shd w:val="clear" w:color="auto" w:fill="FFFFFF"/>
        </w:rPr>
        <w:t xml:space="preserve">e </w:t>
      </w:r>
      <w:r w:rsidRPr="009E6775">
        <w:rPr>
          <w:rFonts w:ascii="Times New Roman" w:hAnsi="Times New Roman" w:cs="Times New Roman"/>
          <w:sz w:val="24"/>
          <w:szCs w:val="24"/>
          <w:shd w:val="clear" w:color="auto" w:fill="FFFFFF"/>
        </w:rPr>
        <w:t xml:space="preserve">movement between the West Bank and Gaza. Further, </w:t>
      </w:r>
      <w:r w:rsidR="006B7684" w:rsidRPr="009E6775">
        <w:rPr>
          <w:rFonts w:ascii="Times New Roman" w:hAnsi="Times New Roman" w:cs="Times New Roman"/>
          <w:sz w:val="24"/>
          <w:szCs w:val="24"/>
          <w:shd w:val="clear" w:color="auto" w:fill="FFFFFF"/>
        </w:rPr>
        <w:t xml:space="preserve">it can be suggested that </w:t>
      </w:r>
      <w:r w:rsidRPr="009E6775">
        <w:rPr>
          <w:rFonts w:ascii="Times New Roman" w:hAnsi="Times New Roman" w:cs="Times New Roman"/>
          <w:sz w:val="24"/>
          <w:szCs w:val="24"/>
          <w:shd w:val="clear" w:color="auto" w:fill="FFFFFF"/>
        </w:rPr>
        <w:t xml:space="preserve">Article 78 GC IV </w:t>
      </w:r>
      <w:r w:rsidR="006B7684" w:rsidRPr="009E6775">
        <w:rPr>
          <w:rFonts w:ascii="Times New Roman" w:hAnsi="Times New Roman" w:cs="Times New Roman"/>
          <w:sz w:val="24"/>
          <w:szCs w:val="24"/>
          <w:shd w:val="clear" w:color="auto" w:fill="FFFFFF"/>
        </w:rPr>
        <w:t xml:space="preserve">assumes </w:t>
      </w:r>
      <w:r w:rsidRPr="009E6775">
        <w:rPr>
          <w:rFonts w:ascii="Times New Roman" w:hAnsi="Times New Roman" w:cs="Times New Roman"/>
          <w:sz w:val="24"/>
          <w:szCs w:val="24"/>
          <w:shd w:val="clear" w:color="auto" w:fill="FFFFFF"/>
        </w:rPr>
        <w:t>that administrative detainees be allowed to receive visit from their family members</w:t>
      </w:r>
      <w:r w:rsidR="006B7684" w:rsidRPr="009E6775">
        <w:rPr>
          <w:rFonts w:ascii="Times New Roman" w:hAnsi="Times New Roman" w:cs="Times New Roman"/>
          <w:sz w:val="24"/>
          <w:szCs w:val="24"/>
          <w:shd w:val="clear" w:color="auto" w:fill="FFFFFF"/>
        </w:rPr>
        <w:t xml:space="preserve"> with due respect for family rights.</w:t>
      </w:r>
      <w:r w:rsidRPr="009E6775">
        <w:rPr>
          <w:rStyle w:val="aa"/>
          <w:rFonts w:ascii="Times New Roman" w:hAnsi="Times New Roman" w:cs="Times New Roman"/>
          <w:sz w:val="24"/>
          <w:szCs w:val="24"/>
          <w:shd w:val="clear" w:color="auto" w:fill="FFFFFF"/>
        </w:rPr>
        <w:footnoteReference w:id="141"/>
      </w:r>
      <w:r w:rsidRPr="009E6775">
        <w:rPr>
          <w:rFonts w:ascii="Times New Roman" w:hAnsi="Times New Roman" w:cs="Times New Roman"/>
          <w:sz w:val="24"/>
          <w:szCs w:val="24"/>
          <w:shd w:val="clear" w:color="auto" w:fill="FFFFFF"/>
        </w:rPr>
        <w:t xml:space="preserve"> </w:t>
      </w:r>
    </w:p>
    <w:p w14:paraId="68317C55" w14:textId="77777777" w:rsidR="00E1028E" w:rsidRPr="009E6775" w:rsidRDefault="00E1028E" w:rsidP="0081540D">
      <w:pPr>
        <w:rPr>
          <w:rFonts w:ascii="Times New Roman" w:hAnsi="Times New Roman" w:cs="Times New Roman"/>
          <w:sz w:val="24"/>
          <w:szCs w:val="24"/>
        </w:rPr>
      </w:pPr>
    </w:p>
    <w:p w14:paraId="30AB193E" w14:textId="73E0213C" w:rsidR="00771F05" w:rsidRPr="009E6775" w:rsidRDefault="00E001F9" w:rsidP="00E31CD6">
      <w:pPr>
        <w:pStyle w:val="a3"/>
        <w:numPr>
          <w:ilvl w:val="0"/>
          <w:numId w:val="13"/>
        </w:numPr>
        <w:ind w:leftChars="0"/>
        <w:rPr>
          <w:rFonts w:ascii="Times New Roman" w:hAnsi="Times New Roman" w:cs="Times New Roman"/>
          <w:b/>
          <w:bCs/>
          <w:sz w:val="24"/>
          <w:szCs w:val="24"/>
        </w:rPr>
      </w:pPr>
      <w:r w:rsidRPr="009E6775">
        <w:rPr>
          <w:rFonts w:ascii="Times New Roman" w:hAnsi="Times New Roman" w:cs="Times New Roman"/>
          <w:b/>
          <w:bCs/>
          <w:sz w:val="24"/>
          <w:szCs w:val="24"/>
        </w:rPr>
        <w:t xml:space="preserve">Areas where the </w:t>
      </w:r>
      <w:r w:rsidR="00537967">
        <w:rPr>
          <w:rFonts w:ascii="Times New Roman" w:hAnsi="Times New Roman" w:cs="Times New Roman"/>
          <w:b/>
          <w:bCs/>
          <w:sz w:val="24"/>
          <w:szCs w:val="24"/>
        </w:rPr>
        <w:t xml:space="preserve">Israeli </w:t>
      </w:r>
      <w:r w:rsidRPr="009E6775">
        <w:rPr>
          <w:rFonts w:ascii="Times New Roman" w:hAnsi="Times New Roman" w:cs="Times New Roman"/>
          <w:b/>
          <w:bCs/>
          <w:sz w:val="24"/>
          <w:szCs w:val="24"/>
        </w:rPr>
        <w:t xml:space="preserve">Supreme Court’s Policy </w:t>
      </w:r>
      <w:r w:rsidR="00332A60">
        <w:rPr>
          <w:rFonts w:ascii="Times New Roman" w:hAnsi="Times New Roman" w:cs="Times New Roman"/>
          <w:b/>
          <w:bCs/>
          <w:sz w:val="24"/>
          <w:szCs w:val="24"/>
        </w:rPr>
        <w:t>Has Shown</w:t>
      </w:r>
      <w:r w:rsidRPr="009E6775">
        <w:rPr>
          <w:rFonts w:ascii="Times New Roman" w:hAnsi="Times New Roman" w:cs="Times New Roman"/>
          <w:b/>
          <w:bCs/>
          <w:sz w:val="24"/>
          <w:szCs w:val="24"/>
        </w:rPr>
        <w:t xml:space="preserve"> the Mixture of </w:t>
      </w:r>
      <w:r w:rsidR="00771F05" w:rsidRPr="009E6775">
        <w:rPr>
          <w:rFonts w:ascii="Times New Roman" w:hAnsi="Times New Roman" w:cs="Times New Roman"/>
          <w:b/>
          <w:bCs/>
          <w:sz w:val="24"/>
          <w:szCs w:val="24"/>
        </w:rPr>
        <w:t xml:space="preserve">Restrictive Interpretation </w:t>
      </w:r>
      <w:r w:rsidRPr="009E6775">
        <w:rPr>
          <w:rFonts w:ascii="Times New Roman" w:hAnsi="Times New Roman" w:cs="Times New Roman"/>
          <w:b/>
          <w:bCs/>
          <w:sz w:val="24"/>
          <w:szCs w:val="24"/>
        </w:rPr>
        <w:t xml:space="preserve">and </w:t>
      </w:r>
      <w:r w:rsidR="00771F05" w:rsidRPr="009E6775">
        <w:rPr>
          <w:rFonts w:ascii="Times New Roman" w:hAnsi="Times New Roman" w:cs="Times New Roman"/>
          <w:b/>
          <w:bCs/>
          <w:sz w:val="24"/>
          <w:szCs w:val="24"/>
        </w:rPr>
        <w:t>Some Progressive Tendencies</w:t>
      </w:r>
    </w:p>
    <w:p w14:paraId="60C922FE" w14:textId="62D0FDED" w:rsidR="001E264A" w:rsidRPr="00E31CD6" w:rsidRDefault="001E264A" w:rsidP="00E31CD6">
      <w:pPr>
        <w:pStyle w:val="a3"/>
        <w:numPr>
          <w:ilvl w:val="0"/>
          <w:numId w:val="19"/>
        </w:numPr>
        <w:ind w:leftChars="0"/>
        <w:rPr>
          <w:rFonts w:ascii="Times New Roman" w:hAnsi="Times New Roman" w:cs="Times New Roman"/>
          <w:b/>
          <w:bCs/>
          <w:sz w:val="24"/>
          <w:szCs w:val="24"/>
        </w:rPr>
      </w:pPr>
      <w:r w:rsidRPr="00E31CD6">
        <w:rPr>
          <w:rFonts w:ascii="Times New Roman" w:hAnsi="Times New Roman" w:cs="Times New Roman"/>
          <w:b/>
          <w:bCs/>
          <w:sz w:val="24"/>
          <w:szCs w:val="24"/>
        </w:rPr>
        <w:t>Overview</w:t>
      </w:r>
    </w:p>
    <w:p w14:paraId="3C48B12E" w14:textId="73CC031C" w:rsidR="007D71E8" w:rsidRPr="009E6775" w:rsidRDefault="00E65970" w:rsidP="0081540D">
      <w:pPr>
        <w:rPr>
          <w:rFonts w:ascii="Times New Roman" w:hAnsi="Times New Roman" w:cs="Times New Roman"/>
          <w:sz w:val="24"/>
          <w:szCs w:val="24"/>
        </w:rPr>
      </w:pPr>
      <w:bookmarkStart w:id="1" w:name="makakei"/>
      <w:bookmarkEnd w:id="1"/>
      <w:r w:rsidRPr="009E6775">
        <w:rPr>
          <w:rFonts w:ascii="Times New Roman" w:hAnsi="Times New Roman" w:cs="Times New Roman"/>
          <w:sz w:val="24"/>
          <w:szCs w:val="24"/>
        </w:rPr>
        <w:t>Next</w:t>
      </w:r>
      <w:r w:rsidR="001E264A" w:rsidRPr="009E6775">
        <w:rPr>
          <w:rFonts w:ascii="Times New Roman" w:hAnsi="Times New Roman" w:cs="Times New Roman"/>
          <w:sz w:val="24"/>
          <w:szCs w:val="24"/>
        </w:rPr>
        <w:t xml:space="preserve">, reading Kretzmer’s and Ronen’s </w:t>
      </w:r>
      <w:r w:rsidR="00C7379C" w:rsidRPr="009E6775">
        <w:rPr>
          <w:rFonts w:ascii="Times New Roman" w:hAnsi="Times New Roman" w:cs="Times New Roman"/>
          <w:sz w:val="24"/>
          <w:szCs w:val="24"/>
        </w:rPr>
        <w:t xml:space="preserve">rigorous analyses of the SC’s case-law </w:t>
      </w:r>
      <w:r w:rsidR="001E264A" w:rsidRPr="009E6775">
        <w:rPr>
          <w:rFonts w:ascii="Times New Roman" w:hAnsi="Times New Roman" w:cs="Times New Roman"/>
          <w:sz w:val="24"/>
          <w:szCs w:val="24"/>
        </w:rPr>
        <w:t xml:space="preserve">reveals </w:t>
      </w:r>
      <w:r w:rsidR="00C7379C" w:rsidRPr="009E6775">
        <w:rPr>
          <w:rFonts w:ascii="Times New Roman" w:hAnsi="Times New Roman" w:cs="Times New Roman"/>
          <w:sz w:val="24"/>
          <w:szCs w:val="24"/>
        </w:rPr>
        <w:t>what this author considers to be a</w:t>
      </w:r>
      <w:r w:rsidRPr="009E6775">
        <w:rPr>
          <w:rFonts w:ascii="Times New Roman" w:hAnsi="Times New Roman" w:cs="Times New Roman"/>
          <w:sz w:val="24"/>
          <w:szCs w:val="24"/>
        </w:rPr>
        <w:t xml:space="preserve"> nuanced approach</w:t>
      </w:r>
      <w:r w:rsidR="00BA13A5" w:rsidRPr="009E6775">
        <w:rPr>
          <w:rFonts w:ascii="Times New Roman" w:hAnsi="Times New Roman" w:cs="Times New Roman"/>
          <w:sz w:val="24"/>
          <w:szCs w:val="24"/>
        </w:rPr>
        <w:t xml:space="preserve"> that is </w:t>
      </w:r>
      <w:r w:rsidRPr="009E6775">
        <w:rPr>
          <w:rFonts w:ascii="Times New Roman" w:hAnsi="Times New Roman" w:cs="Times New Roman"/>
          <w:sz w:val="24"/>
          <w:szCs w:val="24"/>
        </w:rPr>
        <w:t xml:space="preserve">marked by </w:t>
      </w:r>
      <w:r w:rsidR="007D71E8" w:rsidRPr="009E6775">
        <w:rPr>
          <w:rFonts w:ascii="Times New Roman" w:hAnsi="Times New Roman" w:cs="Times New Roman"/>
          <w:sz w:val="24"/>
          <w:szCs w:val="24"/>
        </w:rPr>
        <w:t xml:space="preserve">the mixture of </w:t>
      </w:r>
      <w:r w:rsidRPr="009E6775">
        <w:rPr>
          <w:rFonts w:ascii="Times New Roman" w:hAnsi="Times New Roman" w:cs="Times New Roman"/>
          <w:sz w:val="24"/>
          <w:szCs w:val="24"/>
        </w:rPr>
        <w:t xml:space="preserve">both </w:t>
      </w:r>
      <w:r w:rsidR="00830085" w:rsidRPr="009E6775">
        <w:rPr>
          <w:rFonts w:ascii="Times New Roman" w:hAnsi="Times New Roman" w:cs="Times New Roman"/>
          <w:sz w:val="24"/>
          <w:szCs w:val="24"/>
        </w:rPr>
        <w:t xml:space="preserve">some </w:t>
      </w:r>
      <w:r w:rsidRPr="009E6775">
        <w:rPr>
          <w:rFonts w:ascii="Times New Roman" w:hAnsi="Times New Roman" w:cs="Times New Roman"/>
          <w:sz w:val="24"/>
          <w:szCs w:val="24"/>
        </w:rPr>
        <w:t>regressive</w:t>
      </w:r>
      <w:r w:rsidR="00C7379C" w:rsidRPr="009E6775">
        <w:rPr>
          <w:rFonts w:ascii="Times New Roman" w:hAnsi="Times New Roman" w:cs="Times New Roman"/>
          <w:sz w:val="24"/>
          <w:szCs w:val="24"/>
        </w:rPr>
        <w:t xml:space="preserve"> elements</w:t>
      </w:r>
      <w:r w:rsidRPr="009E6775">
        <w:rPr>
          <w:rFonts w:ascii="Times New Roman" w:hAnsi="Times New Roman" w:cs="Times New Roman"/>
          <w:sz w:val="24"/>
          <w:szCs w:val="24"/>
        </w:rPr>
        <w:t xml:space="preserve"> and progressive propensities. </w:t>
      </w:r>
      <w:r w:rsidR="00C7379C" w:rsidRPr="009E6775">
        <w:rPr>
          <w:rFonts w:ascii="Times New Roman" w:hAnsi="Times New Roman" w:cs="Times New Roman"/>
          <w:sz w:val="24"/>
          <w:szCs w:val="24"/>
        </w:rPr>
        <w:t>Here</w:t>
      </w:r>
      <w:r w:rsidR="007D71E8" w:rsidRPr="009E6775">
        <w:rPr>
          <w:rFonts w:ascii="Times New Roman" w:hAnsi="Times New Roman" w:cs="Times New Roman"/>
          <w:sz w:val="24"/>
          <w:szCs w:val="24"/>
        </w:rPr>
        <w:t xml:space="preserve">, inquiries </w:t>
      </w:r>
      <w:r w:rsidR="00830085" w:rsidRPr="009E6775">
        <w:rPr>
          <w:rFonts w:ascii="Times New Roman" w:hAnsi="Times New Roman" w:cs="Times New Roman"/>
          <w:sz w:val="24"/>
          <w:szCs w:val="24"/>
        </w:rPr>
        <w:t>will</w:t>
      </w:r>
      <w:r w:rsidR="007D71E8" w:rsidRPr="009E6775">
        <w:rPr>
          <w:rFonts w:ascii="Times New Roman" w:hAnsi="Times New Roman" w:cs="Times New Roman"/>
          <w:sz w:val="24"/>
          <w:szCs w:val="24"/>
        </w:rPr>
        <w:t xml:space="preserve"> be made into the SC’s </w:t>
      </w:r>
      <w:r w:rsidR="00BA13A5" w:rsidRPr="009E6775">
        <w:rPr>
          <w:rFonts w:ascii="Times New Roman" w:hAnsi="Times New Roman" w:cs="Times New Roman"/>
          <w:sz w:val="24"/>
          <w:szCs w:val="24"/>
        </w:rPr>
        <w:t>policy</w:t>
      </w:r>
      <w:r w:rsidR="00830085" w:rsidRPr="009E6775">
        <w:rPr>
          <w:rFonts w:ascii="Times New Roman" w:hAnsi="Times New Roman" w:cs="Times New Roman"/>
          <w:sz w:val="24"/>
          <w:szCs w:val="24"/>
        </w:rPr>
        <w:t xml:space="preserve"> of reviewing </w:t>
      </w:r>
      <w:r w:rsidR="007D71E8" w:rsidRPr="009E6775">
        <w:rPr>
          <w:rFonts w:ascii="Times New Roman" w:hAnsi="Times New Roman" w:cs="Times New Roman"/>
          <w:sz w:val="24"/>
          <w:szCs w:val="24"/>
        </w:rPr>
        <w:t xml:space="preserve">issues </w:t>
      </w:r>
      <w:r w:rsidR="00830085" w:rsidRPr="009E6775">
        <w:rPr>
          <w:rFonts w:ascii="Times New Roman" w:hAnsi="Times New Roman" w:cs="Times New Roman"/>
          <w:sz w:val="24"/>
          <w:szCs w:val="24"/>
        </w:rPr>
        <w:t>relating to</w:t>
      </w:r>
      <w:r w:rsidR="00C7379C" w:rsidRPr="009E6775">
        <w:rPr>
          <w:rFonts w:ascii="Times New Roman" w:hAnsi="Times New Roman" w:cs="Times New Roman"/>
          <w:sz w:val="24"/>
          <w:szCs w:val="24"/>
        </w:rPr>
        <w:t xml:space="preserve"> </w:t>
      </w:r>
      <w:r w:rsidR="00830085" w:rsidRPr="009E6775">
        <w:rPr>
          <w:rFonts w:ascii="Times New Roman" w:hAnsi="Times New Roman" w:cs="Times New Roman"/>
          <w:sz w:val="24"/>
          <w:szCs w:val="24"/>
        </w:rPr>
        <w:t>the</w:t>
      </w:r>
      <w:r w:rsidR="007D71E8" w:rsidRPr="009E6775">
        <w:rPr>
          <w:rFonts w:ascii="Times New Roman" w:hAnsi="Times New Roman" w:cs="Times New Roman"/>
          <w:sz w:val="24"/>
          <w:szCs w:val="24"/>
        </w:rPr>
        <w:t xml:space="preserve"> methods of interrogation</w:t>
      </w:r>
      <w:r w:rsidR="00830085" w:rsidRPr="009E6775">
        <w:rPr>
          <w:rFonts w:ascii="Times New Roman" w:hAnsi="Times New Roman" w:cs="Times New Roman"/>
          <w:sz w:val="24"/>
          <w:szCs w:val="24"/>
        </w:rPr>
        <w:t xml:space="preserve"> and </w:t>
      </w:r>
      <w:r w:rsidR="00BA13A5" w:rsidRPr="009E6775">
        <w:rPr>
          <w:rFonts w:ascii="Times New Roman" w:hAnsi="Times New Roman" w:cs="Times New Roman"/>
          <w:sz w:val="24"/>
          <w:szCs w:val="24"/>
        </w:rPr>
        <w:t xml:space="preserve">the </w:t>
      </w:r>
      <w:r w:rsidR="00830085" w:rsidRPr="009E6775">
        <w:rPr>
          <w:rFonts w:ascii="Times New Roman" w:hAnsi="Times New Roman" w:cs="Times New Roman"/>
          <w:sz w:val="24"/>
          <w:szCs w:val="24"/>
        </w:rPr>
        <w:t>security barrier.</w:t>
      </w:r>
    </w:p>
    <w:p w14:paraId="6FFC9DFA" w14:textId="0DE0E6FF" w:rsidR="007D71E8" w:rsidRPr="009E6775" w:rsidRDefault="007D71E8" w:rsidP="0081540D">
      <w:pPr>
        <w:rPr>
          <w:rFonts w:ascii="Times New Roman" w:hAnsi="Times New Roman" w:cs="Times New Roman"/>
          <w:sz w:val="24"/>
          <w:szCs w:val="24"/>
        </w:rPr>
      </w:pPr>
    </w:p>
    <w:p w14:paraId="080A8AA0" w14:textId="32007840" w:rsidR="001E264A" w:rsidRPr="00E31CD6" w:rsidRDefault="001E264A" w:rsidP="00E31CD6">
      <w:pPr>
        <w:pStyle w:val="a3"/>
        <w:numPr>
          <w:ilvl w:val="0"/>
          <w:numId w:val="19"/>
        </w:numPr>
        <w:ind w:leftChars="0"/>
        <w:rPr>
          <w:rFonts w:ascii="Times New Roman" w:hAnsi="Times New Roman" w:cs="Times New Roman"/>
          <w:b/>
          <w:bCs/>
          <w:sz w:val="24"/>
          <w:szCs w:val="24"/>
        </w:rPr>
      </w:pPr>
      <w:r w:rsidRPr="00E31CD6">
        <w:rPr>
          <w:rFonts w:ascii="Times New Roman" w:hAnsi="Times New Roman" w:cs="Times New Roman"/>
          <w:b/>
          <w:bCs/>
          <w:sz w:val="24"/>
          <w:szCs w:val="24"/>
        </w:rPr>
        <w:t>Interrogation Techniques</w:t>
      </w:r>
    </w:p>
    <w:p w14:paraId="17375E56" w14:textId="27EC5F05" w:rsidR="00BA13A5" w:rsidRPr="009E6775" w:rsidRDefault="00771F05" w:rsidP="0081540D">
      <w:pPr>
        <w:rPr>
          <w:rFonts w:ascii="Times New Roman" w:hAnsi="Times New Roman" w:cs="Times New Roman"/>
          <w:sz w:val="24"/>
          <w:szCs w:val="24"/>
        </w:rPr>
      </w:pPr>
      <w:r w:rsidRPr="009E6775">
        <w:rPr>
          <w:rFonts w:ascii="Times New Roman" w:hAnsi="Times New Roman" w:cs="Times New Roman"/>
          <w:sz w:val="24"/>
          <w:szCs w:val="24"/>
        </w:rPr>
        <w:t xml:space="preserve">In relation to issues of interrogation practices, </w:t>
      </w:r>
      <w:r w:rsidR="00E65970" w:rsidRPr="009E6775">
        <w:rPr>
          <w:rFonts w:ascii="Times New Roman" w:hAnsi="Times New Roman" w:cs="Times New Roman"/>
          <w:sz w:val="24"/>
          <w:szCs w:val="24"/>
        </w:rPr>
        <w:t xml:space="preserve">in </w:t>
      </w:r>
      <w:r w:rsidRPr="009E6775">
        <w:rPr>
          <w:rFonts w:ascii="Times New Roman" w:hAnsi="Times New Roman" w:cs="Times New Roman"/>
          <w:sz w:val="24"/>
          <w:szCs w:val="24"/>
        </w:rPr>
        <w:t xml:space="preserve">the </w:t>
      </w:r>
      <w:r w:rsidRPr="009E6775">
        <w:rPr>
          <w:rFonts w:ascii="Times New Roman" w:hAnsi="Times New Roman" w:cs="Times New Roman"/>
          <w:i/>
          <w:iCs/>
          <w:sz w:val="24"/>
          <w:szCs w:val="24"/>
        </w:rPr>
        <w:t xml:space="preserve">Public Committee against Torture in Israel </w:t>
      </w:r>
      <w:r w:rsidRPr="009E6775">
        <w:rPr>
          <w:rFonts w:ascii="Times New Roman" w:hAnsi="Times New Roman" w:cs="Times New Roman"/>
          <w:sz w:val="24"/>
          <w:szCs w:val="24"/>
        </w:rPr>
        <w:t>case (</w:t>
      </w:r>
      <w:r w:rsidRPr="009E6775">
        <w:rPr>
          <w:rFonts w:ascii="Times New Roman" w:hAnsi="Times New Roman" w:cs="Times New Roman"/>
          <w:i/>
          <w:iCs/>
          <w:sz w:val="24"/>
          <w:szCs w:val="24"/>
        </w:rPr>
        <w:t>PCATI</w:t>
      </w:r>
      <w:r w:rsidRPr="009E6775">
        <w:rPr>
          <w:rFonts w:ascii="Times New Roman" w:hAnsi="Times New Roman" w:cs="Times New Roman"/>
          <w:sz w:val="24"/>
          <w:szCs w:val="24"/>
        </w:rPr>
        <w:t xml:space="preserve"> case) (1999)</w:t>
      </w:r>
      <w:r w:rsidR="00E65970"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the </w:t>
      </w:r>
      <w:r w:rsidR="00E65970" w:rsidRPr="009E6775">
        <w:rPr>
          <w:rFonts w:ascii="Times New Roman" w:hAnsi="Times New Roman" w:cs="Times New Roman"/>
          <w:sz w:val="24"/>
          <w:szCs w:val="24"/>
        </w:rPr>
        <w:t>SC</w:t>
      </w:r>
      <w:r w:rsidRPr="009E6775">
        <w:rPr>
          <w:rFonts w:ascii="Times New Roman" w:hAnsi="Times New Roman" w:cs="Times New Roman"/>
          <w:sz w:val="24"/>
          <w:szCs w:val="24"/>
        </w:rPr>
        <w:t xml:space="preserve"> found that the government and the Israeli Security Agency (ISA) had no authority to ‘lay down guidelines, rules or permits for use of physical means in the course of investigating those suspected of hostile terrorist activity’.</w:t>
      </w:r>
      <w:r w:rsidRPr="009E6775">
        <w:rPr>
          <w:rStyle w:val="aa"/>
          <w:rFonts w:ascii="Times New Roman" w:hAnsi="Times New Roman" w:cs="Times New Roman"/>
          <w:sz w:val="24"/>
          <w:szCs w:val="24"/>
        </w:rPr>
        <w:footnoteReference w:id="142"/>
      </w:r>
      <w:r w:rsidRPr="009E6775">
        <w:rPr>
          <w:rFonts w:ascii="Times New Roman" w:hAnsi="Times New Roman" w:cs="Times New Roman"/>
          <w:sz w:val="24"/>
          <w:szCs w:val="24"/>
        </w:rPr>
        <w:t xml:space="preserve"> This judgment </w:t>
      </w:r>
      <w:r w:rsidR="00BA13A5" w:rsidRPr="009E6775">
        <w:rPr>
          <w:rFonts w:ascii="Times New Roman" w:hAnsi="Times New Roman" w:cs="Times New Roman"/>
          <w:sz w:val="24"/>
          <w:szCs w:val="24"/>
        </w:rPr>
        <w:t>can be</w:t>
      </w:r>
      <w:r w:rsidRPr="009E6775">
        <w:rPr>
          <w:rFonts w:ascii="Times New Roman" w:hAnsi="Times New Roman" w:cs="Times New Roman"/>
          <w:sz w:val="24"/>
          <w:szCs w:val="24"/>
        </w:rPr>
        <w:t xml:space="preserve"> hailed as a refreshingly salutary move to </w:t>
      </w:r>
      <w:r w:rsidR="00B06EE7" w:rsidRPr="009E6775">
        <w:rPr>
          <w:rFonts w:ascii="Times New Roman" w:hAnsi="Times New Roman" w:cs="Times New Roman"/>
          <w:sz w:val="24"/>
          <w:szCs w:val="24"/>
        </w:rPr>
        <w:t>vindicate</w:t>
      </w:r>
      <w:r w:rsidRPr="009E6775">
        <w:rPr>
          <w:rFonts w:ascii="Times New Roman" w:hAnsi="Times New Roman" w:cs="Times New Roman"/>
          <w:sz w:val="24"/>
          <w:szCs w:val="24"/>
        </w:rPr>
        <w:t xml:space="preserve"> the </w:t>
      </w:r>
      <w:r w:rsidR="007D71E8" w:rsidRPr="009E6775">
        <w:rPr>
          <w:rFonts w:ascii="Times New Roman" w:hAnsi="Times New Roman" w:cs="Times New Roman"/>
          <w:sz w:val="24"/>
          <w:szCs w:val="24"/>
        </w:rPr>
        <w:t>SC’s</w:t>
      </w:r>
      <w:r w:rsidRPr="009E6775">
        <w:rPr>
          <w:rFonts w:ascii="Times New Roman" w:hAnsi="Times New Roman" w:cs="Times New Roman"/>
          <w:sz w:val="24"/>
          <w:szCs w:val="24"/>
        </w:rPr>
        <w:t xml:space="preserve"> ‘clear and unequivocal position on a substantive question of a principle’.</w:t>
      </w:r>
      <w:r w:rsidRPr="009E6775">
        <w:rPr>
          <w:rStyle w:val="aa"/>
          <w:rFonts w:ascii="Times New Roman" w:hAnsi="Times New Roman" w:cs="Times New Roman"/>
          <w:sz w:val="24"/>
          <w:szCs w:val="24"/>
        </w:rPr>
        <w:footnoteReference w:id="143"/>
      </w:r>
      <w:r w:rsidRPr="009E6775">
        <w:rPr>
          <w:rFonts w:ascii="Times New Roman" w:hAnsi="Times New Roman" w:cs="Times New Roman"/>
          <w:sz w:val="24"/>
          <w:szCs w:val="24"/>
        </w:rPr>
        <w:t xml:space="preserve"> </w:t>
      </w:r>
      <w:r w:rsidR="00E65970" w:rsidRPr="009E6775">
        <w:rPr>
          <w:rFonts w:ascii="Times New Roman" w:hAnsi="Times New Roman" w:cs="Times New Roman"/>
          <w:sz w:val="24"/>
          <w:szCs w:val="24"/>
        </w:rPr>
        <w:t>Plausibly, the SC felt</w:t>
      </w:r>
      <w:r w:rsidRPr="009E6775">
        <w:rPr>
          <w:rFonts w:ascii="Times New Roman" w:hAnsi="Times New Roman" w:cs="Times New Roman"/>
          <w:sz w:val="24"/>
          <w:szCs w:val="24"/>
        </w:rPr>
        <w:t xml:space="preserve"> the need to curb the slippery slope of the ‘special methods of </w:t>
      </w:r>
      <w:r w:rsidRPr="009E6775">
        <w:rPr>
          <w:rFonts w:ascii="Times New Roman" w:hAnsi="Times New Roman" w:cs="Times New Roman"/>
          <w:sz w:val="24"/>
          <w:szCs w:val="24"/>
        </w:rPr>
        <w:lastRenderedPageBreak/>
        <w:t>interrogation’</w:t>
      </w:r>
      <w:r w:rsidR="00E65970" w:rsidRPr="009E6775">
        <w:rPr>
          <w:rFonts w:ascii="Times New Roman" w:hAnsi="Times New Roman" w:cs="Times New Roman"/>
          <w:sz w:val="24"/>
          <w:szCs w:val="24"/>
        </w:rPr>
        <w:t xml:space="preserve">, which </w:t>
      </w:r>
      <w:r w:rsidR="00B06EE7" w:rsidRPr="009E6775">
        <w:rPr>
          <w:rFonts w:ascii="Times New Roman" w:hAnsi="Times New Roman" w:cs="Times New Roman"/>
          <w:sz w:val="24"/>
          <w:szCs w:val="24"/>
        </w:rPr>
        <w:t>were</w:t>
      </w:r>
      <w:r w:rsidRPr="009E6775">
        <w:rPr>
          <w:rFonts w:ascii="Times New Roman" w:hAnsi="Times New Roman" w:cs="Times New Roman"/>
          <w:sz w:val="24"/>
          <w:szCs w:val="24"/>
        </w:rPr>
        <w:t xml:space="preserve"> recognized as the lesser evil in the Landau Report (1987)</w:t>
      </w:r>
      <w:r w:rsidR="00B06EE7" w:rsidRPr="009E6775">
        <w:rPr>
          <w:rFonts w:ascii="Times New Roman" w:hAnsi="Times New Roman" w:cs="Times New Roman"/>
          <w:sz w:val="24"/>
          <w:szCs w:val="24"/>
        </w:rPr>
        <w:t>.</w:t>
      </w:r>
      <w:r w:rsidRPr="009E6775">
        <w:rPr>
          <w:rStyle w:val="aa"/>
          <w:rFonts w:ascii="Times New Roman" w:hAnsi="Times New Roman" w:cs="Times New Roman"/>
          <w:sz w:val="24"/>
          <w:szCs w:val="24"/>
        </w:rPr>
        <w:footnoteReference w:id="144"/>
      </w:r>
      <w:r w:rsidRPr="009E6775">
        <w:rPr>
          <w:rFonts w:ascii="Times New Roman" w:hAnsi="Times New Roman" w:cs="Times New Roman"/>
          <w:sz w:val="24"/>
          <w:szCs w:val="24"/>
        </w:rPr>
        <w:t xml:space="preserve"> </w:t>
      </w:r>
      <w:r w:rsidR="00B06EE7" w:rsidRPr="009E6775">
        <w:rPr>
          <w:rFonts w:ascii="Times New Roman" w:hAnsi="Times New Roman" w:cs="Times New Roman"/>
          <w:sz w:val="24"/>
          <w:szCs w:val="24"/>
        </w:rPr>
        <w:t xml:space="preserve">According to </w:t>
      </w:r>
      <w:r w:rsidR="003F06D6" w:rsidRPr="009E6775">
        <w:rPr>
          <w:rFonts w:ascii="Times New Roman" w:hAnsi="Times New Roman" w:cs="Times New Roman"/>
          <w:sz w:val="24"/>
          <w:szCs w:val="24"/>
        </w:rPr>
        <w:t>progressive Israeli scholars</w:t>
      </w:r>
      <w:r w:rsidR="00B06EE7" w:rsidRPr="009E6775">
        <w:rPr>
          <w:rFonts w:ascii="Times New Roman" w:hAnsi="Times New Roman" w:cs="Times New Roman"/>
          <w:sz w:val="24"/>
          <w:szCs w:val="24"/>
        </w:rPr>
        <w:t xml:space="preserve">, such methods </w:t>
      </w:r>
      <w:r w:rsidR="00BA13A5" w:rsidRPr="009E6775">
        <w:rPr>
          <w:rFonts w:ascii="Times New Roman" w:hAnsi="Times New Roman" w:cs="Times New Roman"/>
          <w:sz w:val="24"/>
          <w:szCs w:val="24"/>
        </w:rPr>
        <w:t>have become</w:t>
      </w:r>
      <w:r w:rsidR="00E65970" w:rsidRPr="009E6775">
        <w:rPr>
          <w:rFonts w:ascii="Times New Roman" w:hAnsi="Times New Roman" w:cs="Times New Roman"/>
          <w:sz w:val="24"/>
          <w:szCs w:val="24"/>
        </w:rPr>
        <w:t xml:space="preserve"> </w:t>
      </w:r>
      <w:r w:rsidRPr="009E6775">
        <w:rPr>
          <w:rFonts w:ascii="Times New Roman" w:hAnsi="Times New Roman" w:cs="Times New Roman"/>
          <w:sz w:val="24"/>
          <w:szCs w:val="24"/>
        </w:rPr>
        <w:t>the ‘almost standard practice’ in interrogating Palestinians even outside the ‘ticking bomb’ situations.</w:t>
      </w:r>
      <w:r w:rsidRPr="009E6775">
        <w:rPr>
          <w:rStyle w:val="aa"/>
          <w:rFonts w:ascii="Times New Roman" w:hAnsi="Times New Roman" w:cs="Times New Roman"/>
          <w:sz w:val="24"/>
          <w:szCs w:val="24"/>
        </w:rPr>
        <w:footnoteReference w:id="145"/>
      </w:r>
      <w:r w:rsidRPr="009E6775">
        <w:rPr>
          <w:rFonts w:ascii="Times New Roman" w:hAnsi="Times New Roman" w:cs="Times New Roman"/>
          <w:sz w:val="24"/>
          <w:szCs w:val="24"/>
        </w:rPr>
        <w:t xml:space="preserve"> </w:t>
      </w:r>
    </w:p>
    <w:p w14:paraId="7EE6D5DF" w14:textId="77777777" w:rsidR="00BA13A5" w:rsidRPr="009E6775" w:rsidRDefault="00BA13A5" w:rsidP="0081540D">
      <w:pPr>
        <w:rPr>
          <w:rFonts w:ascii="Times New Roman" w:hAnsi="Times New Roman" w:cs="Times New Roman"/>
          <w:sz w:val="24"/>
          <w:szCs w:val="24"/>
        </w:rPr>
      </w:pPr>
    </w:p>
    <w:p w14:paraId="06D23E56" w14:textId="2E255D65" w:rsidR="00771F05" w:rsidRPr="009E6775" w:rsidRDefault="003E6C61" w:rsidP="0081540D">
      <w:pPr>
        <w:rPr>
          <w:rFonts w:ascii="Times New Roman" w:hAnsi="Times New Roman" w:cs="Times New Roman"/>
          <w:sz w:val="24"/>
          <w:szCs w:val="24"/>
        </w:rPr>
      </w:pPr>
      <w:r w:rsidRPr="009E6775">
        <w:rPr>
          <w:rFonts w:ascii="Times New Roman" w:hAnsi="Times New Roman" w:cs="Times New Roman"/>
          <w:sz w:val="24"/>
          <w:szCs w:val="24"/>
        </w:rPr>
        <w:t>Still</w:t>
      </w:r>
      <w:r w:rsidR="00771F05" w:rsidRPr="009E6775">
        <w:rPr>
          <w:rFonts w:ascii="Times New Roman" w:hAnsi="Times New Roman" w:cs="Times New Roman"/>
          <w:sz w:val="24"/>
          <w:szCs w:val="24"/>
        </w:rPr>
        <w:t xml:space="preserve">, </w:t>
      </w:r>
      <w:r w:rsidR="00BA13A5" w:rsidRPr="009E6775">
        <w:rPr>
          <w:rFonts w:ascii="Times New Roman" w:hAnsi="Times New Roman" w:cs="Times New Roman"/>
          <w:sz w:val="24"/>
          <w:szCs w:val="24"/>
        </w:rPr>
        <w:t xml:space="preserve">Israeli critics </w:t>
      </w:r>
      <w:r w:rsidR="00E65970" w:rsidRPr="009E6775">
        <w:rPr>
          <w:rFonts w:ascii="Times New Roman" w:hAnsi="Times New Roman" w:cs="Times New Roman"/>
          <w:sz w:val="24"/>
          <w:szCs w:val="24"/>
        </w:rPr>
        <w:t>point out</w:t>
      </w:r>
      <w:r w:rsidRPr="009E6775">
        <w:rPr>
          <w:rFonts w:ascii="Times New Roman" w:hAnsi="Times New Roman" w:cs="Times New Roman"/>
          <w:sz w:val="24"/>
          <w:szCs w:val="24"/>
        </w:rPr>
        <w:t xml:space="preserve"> that</w:t>
      </w:r>
      <w:r w:rsidR="00E65970" w:rsidRPr="009E6775">
        <w:rPr>
          <w:rFonts w:ascii="Times New Roman" w:hAnsi="Times New Roman" w:cs="Times New Roman"/>
          <w:sz w:val="24"/>
          <w:szCs w:val="24"/>
        </w:rPr>
        <w:t xml:space="preserve"> </w:t>
      </w:r>
      <w:r w:rsidR="00771F05" w:rsidRPr="009E6775">
        <w:rPr>
          <w:rFonts w:ascii="Times New Roman" w:hAnsi="Times New Roman" w:cs="Times New Roman"/>
          <w:sz w:val="24"/>
          <w:szCs w:val="24"/>
        </w:rPr>
        <w:t xml:space="preserve">two </w:t>
      </w:r>
      <w:r w:rsidR="00BA13A5" w:rsidRPr="009E6775">
        <w:rPr>
          <w:rFonts w:ascii="Times New Roman" w:hAnsi="Times New Roman" w:cs="Times New Roman"/>
          <w:sz w:val="24"/>
          <w:szCs w:val="24"/>
        </w:rPr>
        <w:t>interconnected analytical flaws</w:t>
      </w:r>
      <w:r w:rsidR="00771F05" w:rsidRPr="009E6775">
        <w:rPr>
          <w:rFonts w:ascii="Times New Roman" w:hAnsi="Times New Roman" w:cs="Times New Roman"/>
          <w:sz w:val="24"/>
          <w:szCs w:val="24"/>
        </w:rPr>
        <w:t xml:space="preserve"> </w:t>
      </w:r>
      <w:r w:rsidRPr="009E6775">
        <w:rPr>
          <w:rFonts w:ascii="Times New Roman" w:hAnsi="Times New Roman" w:cs="Times New Roman"/>
          <w:sz w:val="24"/>
          <w:szCs w:val="24"/>
        </w:rPr>
        <w:t>impair</w:t>
      </w:r>
      <w:r w:rsidR="00771F05"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this </w:t>
      </w:r>
      <w:r w:rsidR="00771F05" w:rsidRPr="009E6775">
        <w:rPr>
          <w:rFonts w:ascii="Times New Roman" w:hAnsi="Times New Roman" w:cs="Times New Roman"/>
          <w:sz w:val="24"/>
          <w:szCs w:val="24"/>
        </w:rPr>
        <w:t xml:space="preserve">judicial reasoning. First, the SC’s otherwise clear message against the risk of throttling the absolute prohibition of torture is contradicted by </w:t>
      </w:r>
      <w:r w:rsidR="002C2574" w:rsidRPr="009E6775">
        <w:rPr>
          <w:rFonts w:ascii="Times New Roman" w:hAnsi="Times New Roman" w:cs="Times New Roman"/>
          <w:sz w:val="24"/>
          <w:szCs w:val="24"/>
        </w:rPr>
        <w:t xml:space="preserve">its </w:t>
      </w:r>
      <w:r w:rsidR="00771F05" w:rsidRPr="009E6775">
        <w:rPr>
          <w:rFonts w:ascii="Times New Roman" w:hAnsi="Times New Roman" w:cs="Times New Roman"/>
          <w:sz w:val="24"/>
          <w:szCs w:val="24"/>
        </w:rPr>
        <w:t xml:space="preserve">holding that the Knesset had the power to </w:t>
      </w:r>
      <w:r w:rsidR="002C2574" w:rsidRPr="009E6775">
        <w:rPr>
          <w:rFonts w:ascii="Times New Roman" w:hAnsi="Times New Roman" w:cs="Times New Roman"/>
          <w:sz w:val="24"/>
          <w:szCs w:val="24"/>
        </w:rPr>
        <w:t>enact</w:t>
      </w:r>
      <w:r w:rsidR="00771F05" w:rsidRPr="009E6775">
        <w:rPr>
          <w:rFonts w:ascii="Times New Roman" w:hAnsi="Times New Roman" w:cs="Times New Roman"/>
          <w:sz w:val="24"/>
          <w:szCs w:val="24"/>
        </w:rPr>
        <w:t xml:space="preserve"> a law that would enable the ISA to use special methods of interrogation forbidden by the SC.</w:t>
      </w:r>
      <w:r w:rsidR="00771F05" w:rsidRPr="009E6775">
        <w:rPr>
          <w:rStyle w:val="aa"/>
          <w:rFonts w:ascii="Times New Roman" w:hAnsi="Times New Roman" w:cs="Times New Roman"/>
          <w:sz w:val="24"/>
          <w:szCs w:val="24"/>
        </w:rPr>
        <w:footnoteReference w:id="146"/>
      </w:r>
      <w:r w:rsidR="00771F05" w:rsidRPr="009E6775">
        <w:rPr>
          <w:rFonts w:ascii="Times New Roman" w:hAnsi="Times New Roman" w:cs="Times New Roman"/>
          <w:sz w:val="24"/>
          <w:szCs w:val="24"/>
        </w:rPr>
        <w:t xml:space="preserve"> Second, a loophole </w:t>
      </w:r>
      <w:r w:rsidR="00966C29" w:rsidRPr="009E6775">
        <w:rPr>
          <w:rFonts w:ascii="Times New Roman" w:hAnsi="Times New Roman" w:cs="Times New Roman"/>
          <w:sz w:val="24"/>
          <w:szCs w:val="24"/>
        </w:rPr>
        <w:t xml:space="preserve">or ‘backdoor’ </w:t>
      </w:r>
      <w:r w:rsidR="00E001F9" w:rsidRPr="009E6775">
        <w:rPr>
          <w:rFonts w:ascii="Times New Roman" w:hAnsi="Times New Roman" w:cs="Times New Roman"/>
          <w:sz w:val="24"/>
          <w:szCs w:val="24"/>
        </w:rPr>
        <w:t>is</w:t>
      </w:r>
      <w:r w:rsidR="00E65970" w:rsidRPr="009E6775">
        <w:rPr>
          <w:rFonts w:ascii="Times New Roman" w:hAnsi="Times New Roman" w:cs="Times New Roman"/>
          <w:sz w:val="24"/>
          <w:szCs w:val="24"/>
        </w:rPr>
        <w:t xml:space="preserve"> left </w:t>
      </w:r>
      <w:r w:rsidR="00966C29" w:rsidRPr="009E6775">
        <w:rPr>
          <w:rFonts w:ascii="Times New Roman" w:hAnsi="Times New Roman" w:cs="Times New Roman"/>
          <w:sz w:val="24"/>
          <w:szCs w:val="24"/>
        </w:rPr>
        <w:t xml:space="preserve">open </w:t>
      </w:r>
      <w:r w:rsidR="00771F05" w:rsidRPr="009E6775">
        <w:rPr>
          <w:rFonts w:ascii="Times New Roman" w:hAnsi="Times New Roman" w:cs="Times New Roman"/>
          <w:sz w:val="24"/>
          <w:szCs w:val="24"/>
        </w:rPr>
        <w:t xml:space="preserve">for the necessity defence </w:t>
      </w:r>
      <w:r w:rsidR="00966C29" w:rsidRPr="009E6775">
        <w:rPr>
          <w:rFonts w:ascii="Times New Roman" w:hAnsi="Times New Roman" w:cs="Times New Roman"/>
          <w:sz w:val="24"/>
          <w:szCs w:val="24"/>
        </w:rPr>
        <w:t xml:space="preserve">against ill-treatment </w:t>
      </w:r>
      <w:r w:rsidR="00E001F9" w:rsidRPr="009E6775">
        <w:rPr>
          <w:rFonts w:ascii="Times New Roman" w:hAnsi="Times New Roman" w:cs="Times New Roman"/>
          <w:sz w:val="24"/>
          <w:szCs w:val="24"/>
        </w:rPr>
        <w:t xml:space="preserve">of the kind that falls </w:t>
      </w:r>
      <w:r w:rsidR="00966C29" w:rsidRPr="009E6775">
        <w:rPr>
          <w:rFonts w:ascii="Times New Roman" w:hAnsi="Times New Roman" w:cs="Times New Roman"/>
          <w:sz w:val="24"/>
          <w:szCs w:val="24"/>
        </w:rPr>
        <w:t>short of the threshold of torture</w:t>
      </w:r>
      <w:r w:rsidR="00A10DF5" w:rsidRPr="009E6775">
        <w:rPr>
          <w:rFonts w:ascii="Times New Roman" w:hAnsi="Times New Roman" w:cs="Times New Roman"/>
          <w:sz w:val="24"/>
          <w:szCs w:val="24"/>
        </w:rPr>
        <w:t>.</w:t>
      </w:r>
      <w:r w:rsidR="00771F05" w:rsidRPr="009E6775">
        <w:rPr>
          <w:rStyle w:val="aa"/>
          <w:rFonts w:ascii="Times New Roman" w:hAnsi="Times New Roman" w:cs="Times New Roman"/>
          <w:sz w:val="24"/>
          <w:szCs w:val="24"/>
        </w:rPr>
        <w:footnoteReference w:id="147"/>
      </w:r>
      <w:r w:rsidR="00771F05" w:rsidRPr="009E6775">
        <w:rPr>
          <w:rFonts w:ascii="Times New Roman" w:hAnsi="Times New Roman" w:cs="Times New Roman"/>
          <w:sz w:val="24"/>
          <w:szCs w:val="24"/>
        </w:rPr>
        <w:t xml:space="preserve"> </w:t>
      </w:r>
      <w:r w:rsidR="00E65970" w:rsidRPr="009E6775">
        <w:rPr>
          <w:rFonts w:ascii="Times New Roman" w:hAnsi="Times New Roman" w:cs="Times New Roman"/>
          <w:sz w:val="24"/>
          <w:szCs w:val="24"/>
        </w:rPr>
        <w:t xml:space="preserve">This </w:t>
      </w:r>
      <w:r w:rsidR="00E001F9" w:rsidRPr="009E6775">
        <w:rPr>
          <w:rFonts w:ascii="Times New Roman" w:hAnsi="Times New Roman" w:cs="Times New Roman"/>
          <w:sz w:val="24"/>
          <w:szCs w:val="24"/>
        </w:rPr>
        <w:t>is</w:t>
      </w:r>
      <w:r w:rsidR="00E65970" w:rsidRPr="009E6775">
        <w:rPr>
          <w:rFonts w:ascii="Times New Roman" w:hAnsi="Times New Roman" w:cs="Times New Roman"/>
          <w:sz w:val="24"/>
          <w:szCs w:val="24"/>
        </w:rPr>
        <w:t xml:space="preserve"> the</w:t>
      </w:r>
      <w:r w:rsidR="00771F05" w:rsidRPr="009E6775">
        <w:rPr>
          <w:rFonts w:ascii="Times New Roman" w:hAnsi="Times New Roman" w:cs="Times New Roman"/>
          <w:sz w:val="24"/>
          <w:szCs w:val="24"/>
        </w:rPr>
        <w:t xml:space="preserve"> ‘Achiless’ heel of the judgment’</w:t>
      </w:r>
      <w:r w:rsidR="00D5270E" w:rsidRPr="009E6775">
        <w:rPr>
          <w:rFonts w:ascii="Times New Roman" w:hAnsi="Times New Roman" w:cs="Times New Roman"/>
          <w:sz w:val="24"/>
          <w:szCs w:val="24"/>
        </w:rPr>
        <w:t>,</w:t>
      </w:r>
      <w:r w:rsidR="00771F05" w:rsidRPr="009E6775">
        <w:rPr>
          <w:rStyle w:val="aa"/>
          <w:rFonts w:ascii="Times New Roman" w:hAnsi="Times New Roman" w:cs="Times New Roman"/>
          <w:sz w:val="24"/>
          <w:szCs w:val="24"/>
        </w:rPr>
        <w:footnoteReference w:id="148"/>
      </w:r>
      <w:r w:rsidR="00771F05" w:rsidRPr="009E6775">
        <w:rPr>
          <w:rFonts w:ascii="Times New Roman" w:hAnsi="Times New Roman" w:cs="Times New Roman"/>
          <w:sz w:val="24"/>
          <w:szCs w:val="24"/>
        </w:rPr>
        <w:t xml:space="preserve"> </w:t>
      </w:r>
      <w:r w:rsidR="00D5270E" w:rsidRPr="009E6775">
        <w:rPr>
          <w:rFonts w:ascii="Times New Roman" w:hAnsi="Times New Roman" w:cs="Times New Roman"/>
          <w:sz w:val="24"/>
          <w:szCs w:val="24"/>
        </w:rPr>
        <w:t>as</w:t>
      </w:r>
      <w:r w:rsidR="00771F05" w:rsidRPr="009E6775">
        <w:rPr>
          <w:rFonts w:ascii="Times New Roman" w:hAnsi="Times New Roman" w:cs="Times New Roman"/>
          <w:sz w:val="24"/>
          <w:szCs w:val="24"/>
        </w:rPr>
        <w:t xml:space="preserve"> </w:t>
      </w:r>
      <w:r w:rsidR="00E001F9" w:rsidRPr="009E6775">
        <w:rPr>
          <w:rFonts w:ascii="Times New Roman" w:hAnsi="Times New Roman" w:cs="Times New Roman"/>
          <w:sz w:val="24"/>
          <w:szCs w:val="24"/>
        </w:rPr>
        <w:t xml:space="preserve">revealed </w:t>
      </w:r>
      <w:r w:rsidR="00771F05" w:rsidRPr="009E6775">
        <w:rPr>
          <w:rFonts w:ascii="Times New Roman" w:hAnsi="Times New Roman" w:cs="Times New Roman"/>
          <w:sz w:val="24"/>
          <w:szCs w:val="24"/>
        </w:rPr>
        <w:t xml:space="preserve">in the </w:t>
      </w:r>
      <w:r w:rsidR="003F06D6" w:rsidRPr="009E6775">
        <w:rPr>
          <w:rFonts w:ascii="Times New Roman" w:hAnsi="Times New Roman" w:cs="Times New Roman"/>
          <w:sz w:val="24"/>
          <w:szCs w:val="24"/>
        </w:rPr>
        <w:t>subsequent</w:t>
      </w:r>
      <w:r w:rsidR="00771F05" w:rsidRPr="009E6775">
        <w:rPr>
          <w:rFonts w:ascii="Times New Roman" w:hAnsi="Times New Roman" w:cs="Times New Roman"/>
          <w:sz w:val="24"/>
          <w:szCs w:val="24"/>
        </w:rPr>
        <w:t xml:space="preserve"> case</w:t>
      </w:r>
      <w:r w:rsidR="00FD1764" w:rsidRPr="009E6775">
        <w:rPr>
          <w:rFonts w:ascii="Times New Roman" w:hAnsi="Times New Roman" w:cs="Times New Roman"/>
          <w:sz w:val="24"/>
          <w:szCs w:val="24"/>
        </w:rPr>
        <w:t xml:space="preserve"> of </w:t>
      </w:r>
      <w:r w:rsidR="00FD1764" w:rsidRPr="009E6775">
        <w:rPr>
          <w:rFonts w:ascii="Times New Roman" w:hAnsi="Times New Roman" w:cs="Times New Roman"/>
          <w:i/>
          <w:iCs/>
          <w:sz w:val="24"/>
          <w:szCs w:val="24"/>
        </w:rPr>
        <w:t xml:space="preserve">Abu Ghosh </w:t>
      </w:r>
      <w:r w:rsidR="00FD1764" w:rsidRPr="009E6775">
        <w:rPr>
          <w:rFonts w:ascii="Times New Roman" w:hAnsi="Times New Roman" w:cs="Times New Roman"/>
          <w:sz w:val="24"/>
          <w:szCs w:val="24"/>
        </w:rPr>
        <w:t>(2017).</w:t>
      </w:r>
      <w:r w:rsidR="00A10DF5" w:rsidRPr="009E6775">
        <w:rPr>
          <w:rStyle w:val="aa"/>
          <w:rFonts w:ascii="Times New Roman" w:hAnsi="Times New Roman" w:cs="Times New Roman"/>
          <w:sz w:val="24"/>
          <w:szCs w:val="24"/>
        </w:rPr>
        <w:footnoteReference w:id="149"/>
      </w:r>
      <w:r w:rsidR="00FD1764" w:rsidRPr="009E6775">
        <w:rPr>
          <w:rFonts w:ascii="Times New Roman" w:hAnsi="Times New Roman" w:cs="Times New Roman"/>
          <w:sz w:val="24"/>
          <w:szCs w:val="24"/>
        </w:rPr>
        <w:t xml:space="preserve"> In </w:t>
      </w:r>
      <w:r w:rsidR="00A10DF5" w:rsidRPr="009E6775">
        <w:rPr>
          <w:rFonts w:ascii="Times New Roman" w:hAnsi="Times New Roman" w:cs="Times New Roman"/>
          <w:sz w:val="24"/>
          <w:szCs w:val="24"/>
        </w:rPr>
        <w:t xml:space="preserve">that </w:t>
      </w:r>
      <w:r w:rsidR="00FD1764" w:rsidRPr="009E6775">
        <w:rPr>
          <w:rFonts w:ascii="Times New Roman" w:hAnsi="Times New Roman" w:cs="Times New Roman"/>
          <w:sz w:val="24"/>
          <w:szCs w:val="24"/>
        </w:rPr>
        <w:t xml:space="preserve">case, the SC </w:t>
      </w:r>
      <w:r w:rsidR="00A10DF5" w:rsidRPr="009E6775">
        <w:rPr>
          <w:rFonts w:ascii="Times New Roman" w:hAnsi="Times New Roman" w:cs="Times New Roman"/>
          <w:sz w:val="24"/>
          <w:szCs w:val="24"/>
        </w:rPr>
        <w:t>endorsed</w:t>
      </w:r>
      <w:r w:rsidR="00FD1764" w:rsidRPr="009E6775">
        <w:rPr>
          <w:rFonts w:ascii="Times New Roman" w:hAnsi="Times New Roman" w:cs="Times New Roman"/>
          <w:sz w:val="24"/>
          <w:szCs w:val="24"/>
        </w:rPr>
        <w:t xml:space="preserve"> the decision of the Attorney-General not to prosecute the interrogators that used ‘pressure techniques’ to the petitioner who was a Hamas member residing in </w:t>
      </w:r>
      <w:r w:rsidR="00B51309" w:rsidRPr="009E6775">
        <w:rPr>
          <w:rFonts w:ascii="Times New Roman" w:hAnsi="Times New Roman" w:cs="Times New Roman"/>
          <w:sz w:val="24"/>
          <w:szCs w:val="24"/>
        </w:rPr>
        <w:t>the West Bank</w:t>
      </w:r>
      <w:r w:rsidR="00FD1764" w:rsidRPr="009E6775">
        <w:rPr>
          <w:rFonts w:ascii="Times New Roman" w:hAnsi="Times New Roman" w:cs="Times New Roman"/>
          <w:sz w:val="24"/>
          <w:szCs w:val="24"/>
        </w:rPr>
        <w:t>.</w:t>
      </w:r>
      <w:r w:rsidR="00771F05" w:rsidRPr="009E6775">
        <w:rPr>
          <w:rStyle w:val="aa"/>
          <w:rFonts w:ascii="Times New Roman" w:hAnsi="Times New Roman" w:cs="Times New Roman"/>
          <w:sz w:val="24"/>
          <w:szCs w:val="24"/>
        </w:rPr>
        <w:footnoteReference w:id="150"/>
      </w:r>
      <w:r w:rsidR="00847470" w:rsidRPr="009E6775">
        <w:rPr>
          <w:rFonts w:ascii="Times New Roman" w:hAnsi="Times New Roman" w:cs="Times New Roman"/>
          <w:sz w:val="24"/>
          <w:szCs w:val="24"/>
        </w:rPr>
        <w:t xml:space="preserve"> </w:t>
      </w:r>
      <w:r w:rsidR="00A10DF5" w:rsidRPr="009E6775">
        <w:rPr>
          <w:rFonts w:ascii="Times New Roman" w:hAnsi="Times New Roman" w:cs="Times New Roman"/>
          <w:sz w:val="24"/>
          <w:szCs w:val="24"/>
        </w:rPr>
        <w:t xml:space="preserve">While rejecting </w:t>
      </w:r>
      <w:r w:rsidR="00A10DF5" w:rsidRPr="009E6775">
        <w:rPr>
          <w:rFonts w:ascii="Times New Roman" w:hAnsi="Times New Roman" w:cs="Times New Roman"/>
          <w:i/>
          <w:iCs/>
          <w:sz w:val="24"/>
          <w:szCs w:val="24"/>
        </w:rPr>
        <w:t xml:space="preserve">ex ante </w:t>
      </w:r>
      <w:r w:rsidR="00A10DF5" w:rsidRPr="009E6775">
        <w:rPr>
          <w:rFonts w:ascii="Times New Roman" w:hAnsi="Times New Roman" w:cs="Times New Roman"/>
          <w:sz w:val="24"/>
          <w:szCs w:val="24"/>
        </w:rPr>
        <w:t>authorization for physical interrogation methods,</w:t>
      </w:r>
      <w:r w:rsidR="00DA54F3" w:rsidRPr="009E6775">
        <w:rPr>
          <w:rFonts w:ascii="Times New Roman" w:hAnsi="Times New Roman" w:cs="Times New Roman"/>
          <w:sz w:val="24"/>
          <w:szCs w:val="24"/>
        </w:rPr>
        <w:t xml:space="preserve"> again</w:t>
      </w:r>
      <w:r w:rsidR="00A10DF5" w:rsidRPr="009E6775">
        <w:rPr>
          <w:rFonts w:ascii="Times New Roman" w:hAnsi="Times New Roman" w:cs="Times New Roman"/>
          <w:sz w:val="24"/>
          <w:szCs w:val="24"/>
        </w:rPr>
        <w:t xml:space="preserve"> the SC </w:t>
      </w:r>
      <w:r w:rsidR="005643C4" w:rsidRPr="009E6775">
        <w:rPr>
          <w:rFonts w:ascii="Times New Roman" w:hAnsi="Times New Roman" w:cs="Times New Roman"/>
          <w:sz w:val="24"/>
          <w:szCs w:val="24"/>
        </w:rPr>
        <w:t xml:space="preserve">did recognise </w:t>
      </w:r>
      <w:r w:rsidR="00D54184" w:rsidRPr="009E6775">
        <w:rPr>
          <w:rFonts w:ascii="Times New Roman" w:hAnsi="Times New Roman" w:cs="Times New Roman"/>
          <w:sz w:val="24"/>
          <w:szCs w:val="24"/>
        </w:rPr>
        <w:t xml:space="preserve">the attorney general’s </w:t>
      </w:r>
      <w:r w:rsidR="005643C4" w:rsidRPr="009E6775">
        <w:rPr>
          <w:rFonts w:ascii="Times New Roman" w:hAnsi="Times New Roman" w:cs="Times New Roman"/>
          <w:i/>
          <w:iCs/>
          <w:sz w:val="24"/>
          <w:szCs w:val="24"/>
        </w:rPr>
        <w:t xml:space="preserve">ex ante </w:t>
      </w:r>
      <w:r w:rsidR="005643C4" w:rsidRPr="009E6775">
        <w:rPr>
          <w:rFonts w:ascii="Times New Roman" w:hAnsi="Times New Roman" w:cs="Times New Roman"/>
          <w:sz w:val="24"/>
          <w:szCs w:val="24"/>
        </w:rPr>
        <w:t>regulation of the conditions for the necessity defence</w:t>
      </w:r>
      <w:r w:rsidR="00D54184" w:rsidRPr="009E6775">
        <w:rPr>
          <w:rFonts w:ascii="Times New Roman" w:hAnsi="Times New Roman" w:cs="Times New Roman"/>
          <w:sz w:val="24"/>
          <w:szCs w:val="24"/>
        </w:rPr>
        <w:t xml:space="preserve">. </w:t>
      </w:r>
      <w:r w:rsidR="0070021A" w:rsidRPr="009E6775">
        <w:rPr>
          <w:rFonts w:ascii="Times New Roman" w:hAnsi="Times New Roman" w:cs="Times New Roman"/>
          <w:sz w:val="24"/>
          <w:szCs w:val="24"/>
        </w:rPr>
        <w:t>This</w:t>
      </w:r>
      <w:r w:rsidR="00D54184" w:rsidRPr="009E6775">
        <w:rPr>
          <w:rFonts w:ascii="Times New Roman" w:hAnsi="Times New Roman" w:cs="Times New Roman"/>
          <w:sz w:val="24"/>
          <w:szCs w:val="24"/>
        </w:rPr>
        <w:t xml:space="preserve"> </w:t>
      </w:r>
      <w:r w:rsidR="00DC5D26" w:rsidRPr="009E6775">
        <w:rPr>
          <w:rFonts w:ascii="Times New Roman" w:hAnsi="Times New Roman" w:cs="Times New Roman"/>
          <w:sz w:val="24"/>
          <w:szCs w:val="24"/>
        </w:rPr>
        <w:t>reasoning s</w:t>
      </w:r>
      <w:r w:rsidR="00596367" w:rsidRPr="009E6775">
        <w:rPr>
          <w:rFonts w:ascii="Times New Roman" w:hAnsi="Times New Roman" w:cs="Times New Roman"/>
          <w:sz w:val="24"/>
          <w:szCs w:val="24"/>
        </w:rPr>
        <w:t>uggests</w:t>
      </w:r>
      <w:r w:rsidR="00D54184" w:rsidRPr="009E6775">
        <w:rPr>
          <w:rFonts w:ascii="Times New Roman" w:hAnsi="Times New Roman" w:cs="Times New Roman"/>
          <w:sz w:val="24"/>
          <w:szCs w:val="24"/>
        </w:rPr>
        <w:t xml:space="preserve"> that the SC authorised</w:t>
      </w:r>
      <w:r w:rsidR="005643C4" w:rsidRPr="009E6775">
        <w:rPr>
          <w:rFonts w:ascii="Times New Roman" w:hAnsi="Times New Roman" w:cs="Times New Roman"/>
          <w:sz w:val="24"/>
          <w:szCs w:val="24"/>
        </w:rPr>
        <w:t xml:space="preserve"> the </w:t>
      </w:r>
      <w:proofErr w:type="gramStart"/>
      <w:r w:rsidR="005643C4" w:rsidRPr="009E6775">
        <w:rPr>
          <w:rFonts w:ascii="Times New Roman" w:hAnsi="Times New Roman" w:cs="Times New Roman"/>
          <w:i/>
          <w:iCs/>
          <w:sz w:val="24"/>
          <w:szCs w:val="24"/>
        </w:rPr>
        <w:t>ex post</w:t>
      </w:r>
      <w:proofErr w:type="gramEnd"/>
      <w:r w:rsidR="005643C4" w:rsidRPr="009E6775">
        <w:rPr>
          <w:rFonts w:ascii="Times New Roman" w:hAnsi="Times New Roman" w:cs="Times New Roman"/>
          <w:i/>
          <w:iCs/>
          <w:sz w:val="24"/>
          <w:szCs w:val="24"/>
        </w:rPr>
        <w:t xml:space="preserve"> </w:t>
      </w:r>
      <w:r w:rsidR="005643C4" w:rsidRPr="009E6775">
        <w:rPr>
          <w:rFonts w:ascii="Times New Roman" w:hAnsi="Times New Roman" w:cs="Times New Roman"/>
          <w:sz w:val="24"/>
          <w:szCs w:val="24"/>
        </w:rPr>
        <w:t xml:space="preserve">exemptions from criminal liability for </w:t>
      </w:r>
      <w:r w:rsidR="0070021A" w:rsidRPr="009E6775">
        <w:rPr>
          <w:rFonts w:ascii="Times New Roman" w:hAnsi="Times New Roman" w:cs="Times New Roman"/>
          <w:sz w:val="24"/>
          <w:szCs w:val="24"/>
        </w:rPr>
        <w:t>employ</w:t>
      </w:r>
      <w:r w:rsidR="00E001F9" w:rsidRPr="009E6775">
        <w:rPr>
          <w:rFonts w:ascii="Times New Roman" w:hAnsi="Times New Roman" w:cs="Times New Roman"/>
          <w:sz w:val="24"/>
          <w:szCs w:val="24"/>
        </w:rPr>
        <w:t>ing</w:t>
      </w:r>
      <w:r w:rsidR="005643C4" w:rsidRPr="009E6775">
        <w:rPr>
          <w:rFonts w:ascii="Times New Roman" w:hAnsi="Times New Roman" w:cs="Times New Roman"/>
          <w:sz w:val="24"/>
          <w:szCs w:val="24"/>
        </w:rPr>
        <w:t xml:space="preserve"> such methods</w:t>
      </w:r>
      <w:r w:rsidR="00504EE7" w:rsidRPr="009E6775">
        <w:rPr>
          <w:rFonts w:ascii="Times New Roman" w:hAnsi="Times New Roman" w:cs="Times New Roman"/>
          <w:sz w:val="24"/>
          <w:szCs w:val="24"/>
        </w:rPr>
        <w:t>. As Chachko argues,</w:t>
      </w:r>
      <w:r w:rsidR="0088670D" w:rsidRPr="009E6775">
        <w:rPr>
          <w:rStyle w:val="aa"/>
          <w:rFonts w:ascii="Times New Roman" w:hAnsi="Times New Roman" w:cs="Times New Roman"/>
          <w:sz w:val="24"/>
          <w:szCs w:val="24"/>
        </w:rPr>
        <w:footnoteReference w:id="151"/>
      </w:r>
      <w:r w:rsidR="00504EE7" w:rsidRPr="009E6775">
        <w:rPr>
          <w:rFonts w:ascii="Times New Roman" w:hAnsi="Times New Roman" w:cs="Times New Roman"/>
          <w:sz w:val="24"/>
          <w:szCs w:val="24"/>
        </w:rPr>
        <w:t xml:space="preserve"> there is concern that </w:t>
      </w:r>
      <w:r w:rsidR="00DA54F3" w:rsidRPr="009E6775">
        <w:rPr>
          <w:rFonts w:ascii="Times New Roman" w:hAnsi="Times New Roman" w:cs="Times New Roman"/>
          <w:sz w:val="24"/>
          <w:szCs w:val="24"/>
        </w:rPr>
        <w:t>this</w:t>
      </w:r>
      <w:r w:rsidR="00504EE7" w:rsidRPr="009E6775">
        <w:rPr>
          <w:rFonts w:ascii="Times New Roman" w:hAnsi="Times New Roman" w:cs="Times New Roman"/>
          <w:sz w:val="24"/>
          <w:szCs w:val="24"/>
        </w:rPr>
        <w:t xml:space="preserve"> would </w:t>
      </w:r>
      <w:r w:rsidR="00D54184" w:rsidRPr="009E6775">
        <w:rPr>
          <w:rFonts w:ascii="Times New Roman" w:hAnsi="Times New Roman" w:cs="Times New Roman"/>
          <w:sz w:val="24"/>
          <w:szCs w:val="24"/>
        </w:rPr>
        <w:t xml:space="preserve">effectively </w:t>
      </w:r>
      <w:r w:rsidR="00596367" w:rsidRPr="009E6775">
        <w:rPr>
          <w:rFonts w:ascii="Times New Roman" w:hAnsi="Times New Roman" w:cs="Times New Roman"/>
          <w:sz w:val="24"/>
          <w:szCs w:val="24"/>
        </w:rPr>
        <w:t>achiev</w:t>
      </w:r>
      <w:r w:rsidR="00504EE7" w:rsidRPr="009E6775">
        <w:rPr>
          <w:rFonts w:ascii="Times New Roman" w:hAnsi="Times New Roman" w:cs="Times New Roman"/>
          <w:sz w:val="24"/>
          <w:szCs w:val="24"/>
        </w:rPr>
        <w:t>e</w:t>
      </w:r>
      <w:r w:rsidR="00596367" w:rsidRPr="009E6775">
        <w:rPr>
          <w:rFonts w:ascii="Times New Roman" w:hAnsi="Times New Roman" w:cs="Times New Roman"/>
          <w:sz w:val="24"/>
          <w:szCs w:val="24"/>
        </w:rPr>
        <w:t xml:space="preserve"> the same outcome </w:t>
      </w:r>
      <w:r w:rsidR="00504EE7" w:rsidRPr="009E6775">
        <w:rPr>
          <w:rFonts w:ascii="Times New Roman" w:hAnsi="Times New Roman" w:cs="Times New Roman"/>
          <w:sz w:val="24"/>
          <w:szCs w:val="24"/>
        </w:rPr>
        <w:t>as</w:t>
      </w:r>
      <w:r w:rsidR="00596367" w:rsidRPr="009E6775">
        <w:rPr>
          <w:rFonts w:ascii="Times New Roman" w:hAnsi="Times New Roman" w:cs="Times New Roman"/>
          <w:sz w:val="24"/>
          <w:szCs w:val="24"/>
        </w:rPr>
        <w:t xml:space="preserve"> </w:t>
      </w:r>
      <w:r w:rsidR="0088670D" w:rsidRPr="009E6775">
        <w:rPr>
          <w:rFonts w:ascii="Times New Roman" w:hAnsi="Times New Roman" w:cs="Times New Roman"/>
          <w:sz w:val="24"/>
          <w:szCs w:val="24"/>
        </w:rPr>
        <w:t xml:space="preserve">the </w:t>
      </w:r>
      <w:r w:rsidR="00DA54F3" w:rsidRPr="009E6775">
        <w:rPr>
          <w:rFonts w:ascii="Times New Roman" w:hAnsi="Times New Roman" w:cs="Times New Roman"/>
          <w:sz w:val="24"/>
          <w:szCs w:val="24"/>
        </w:rPr>
        <w:t xml:space="preserve">measure that the SC in </w:t>
      </w:r>
      <w:r w:rsidR="00DA54F3" w:rsidRPr="009E6775">
        <w:rPr>
          <w:rFonts w:ascii="Times New Roman" w:hAnsi="Times New Roman" w:cs="Times New Roman"/>
          <w:i/>
          <w:iCs/>
          <w:sz w:val="24"/>
          <w:szCs w:val="24"/>
        </w:rPr>
        <w:t>PCATI</w:t>
      </w:r>
      <w:r w:rsidR="00DA54F3" w:rsidRPr="009E6775">
        <w:rPr>
          <w:rFonts w:ascii="Times New Roman" w:hAnsi="Times New Roman" w:cs="Times New Roman"/>
          <w:sz w:val="24"/>
          <w:szCs w:val="24"/>
        </w:rPr>
        <w:t xml:space="preserve"> rejected, namely issuing </w:t>
      </w:r>
      <w:r w:rsidR="00596367" w:rsidRPr="009E6775">
        <w:rPr>
          <w:rFonts w:ascii="Times New Roman" w:hAnsi="Times New Roman" w:cs="Times New Roman"/>
          <w:sz w:val="24"/>
          <w:szCs w:val="24"/>
        </w:rPr>
        <w:t xml:space="preserve">the </w:t>
      </w:r>
      <w:proofErr w:type="gramStart"/>
      <w:r w:rsidR="00D54184" w:rsidRPr="009E6775">
        <w:rPr>
          <w:rFonts w:ascii="Times New Roman" w:hAnsi="Times New Roman" w:cs="Times New Roman"/>
          <w:i/>
          <w:iCs/>
          <w:sz w:val="24"/>
          <w:szCs w:val="24"/>
        </w:rPr>
        <w:t>ex ante</w:t>
      </w:r>
      <w:proofErr w:type="gramEnd"/>
      <w:r w:rsidR="00D54184" w:rsidRPr="009E6775">
        <w:rPr>
          <w:rFonts w:ascii="Times New Roman" w:hAnsi="Times New Roman" w:cs="Times New Roman"/>
          <w:i/>
          <w:iCs/>
          <w:sz w:val="24"/>
          <w:szCs w:val="24"/>
        </w:rPr>
        <w:t xml:space="preserve"> </w:t>
      </w:r>
      <w:r w:rsidR="00596367" w:rsidRPr="009E6775">
        <w:rPr>
          <w:rFonts w:ascii="Times New Roman" w:hAnsi="Times New Roman" w:cs="Times New Roman"/>
          <w:sz w:val="24"/>
          <w:szCs w:val="24"/>
        </w:rPr>
        <w:t>authorization for physical ill-treatment</w:t>
      </w:r>
      <w:r w:rsidR="00504EE7" w:rsidRPr="009E6775">
        <w:rPr>
          <w:rFonts w:ascii="Times New Roman" w:hAnsi="Times New Roman" w:cs="Times New Roman"/>
          <w:sz w:val="24"/>
          <w:szCs w:val="24"/>
        </w:rPr>
        <w:t xml:space="preserve"> that</w:t>
      </w:r>
      <w:r w:rsidR="00DA54F3" w:rsidRPr="009E6775">
        <w:rPr>
          <w:rFonts w:ascii="Times New Roman" w:hAnsi="Times New Roman" w:cs="Times New Roman"/>
          <w:sz w:val="24"/>
          <w:szCs w:val="24"/>
        </w:rPr>
        <w:t xml:space="preserve"> </w:t>
      </w:r>
      <w:r w:rsidR="00E001F9" w:rsidRPr="009E6775">
        <w:rPr>
          <w:rFonts w:ascii="Times New Roman" w:hAnsi="Times New Roman" w:cs="Times New Roman"/>
          <w:sz w:val="24"/>
          <w:szCs w:val="24"/>
        </w:rPr>
        <w:t xml:space="preserve">does not amount to </w:t>
      </w:r>
      <w:r w:rsidR="00596367" w:rsidRPr="009E6775">
        <w:rPr>
          <w:rFonts w:ascii="Times New Roman" w:hAnsi="Times New Roman" w:cs="Times New Roman"/>
          <w:sz w:val="24"/>
          <w:szCs w:val="24"/>
        </w:rPr>
        <w:t>the threshold of torture</w:t>
      </w:r>
      <w:r w:rsidR="0088670D" w:rsidRPr="009E6775">
        <w:rPr>
          <w:rFonts w:ascii="Times New Roman" w:hAnsi="Times New Roman" w:cs="Times New Roman"/>
          <w:sz w:val="24"/>
          <w:szCs w:val="24"/>
        </w:rPr>
        <w:t xml:space="preserve">. Such concern was compounded by the SC’s decision </w:t>
      </w:r>
      <w:r w:rsidR="009108A3" w:rsidRPr="009E6775">
        <w:rPr>
          <w:rFonts w:ascii="Times New Roman" w:hAnsi="Times New Roman" w:cs="Times New Roman"/>
          <w:sz w:val="24"/>
          <w:szCs w:val="24"/>
        </w:rPr>
        <w:t xml:space="preserve">in </w:t>
      </w:r>
      <w:r w:rsidR="009108A3" w:rsidRPr="009E6775">
        <w:rPr>
          <w:rFonts w:ascii="Times New Roman" w:hAnsi="Times New Roman" w:cs="Times New Roman"/>
          <w:i/>
          <w:iCs/>
          <w:sz w:val="24"/>
          <w:szCs w:val="24"/>
        </w:rPr>
        <w:t>Abu Ghosh</w:t>
      </w:r>
      <w:r w:rsidR="009108A3" w:rsidRPr="009E6775">
        <w:rPr>
          <w:rFonts w:ascii="Times New Roman" w:hAnsi="Times New Roman" w:cs="Times New Roman"/>
          <w:sz w:val="24"/>
          <w:szCs w:val="24"/>
        </w:rPr>
        <w:t xml:space="preserve"> </w:t>
      </w:r>
      <w:r w:rsidR="0088670D" w:rsidRPr="009E6775">
        <w:rPr>
          <w:rFonts w:ascii="Times New Roman" w:hAnsi="Times New Roman" w:cs="Times New Roman"/>
          <w:sz w:val="24"/>
          <w:szCs w:val="24"/>
        </w:rPr>
        <w:t xml:space="preserve">to pitch </w:t>
      </w:r>
      <w:r w:rsidR="00DA54F3" w:rsidRPr="009E6775">
        <w:rPr>
          <w:rFonts w:ascii="Times New Roman" w:hAnsi="Times New Roman" w:cs="Times New Roman"/>
          <w:sz w:val="24"/>
          <w:szCs w:val="24"/>
        </w:rPr>
        <w:t xml:space="preserve">the </w:t>
      </w:r>
      <w:r w:rsidR="0088670D" w:rsidRPr="009E6775">
        <w:rPr>
          <w:rFonts w:ascii="Times New Roman" w:hAnsi="Times New Roman" w:cs="Times New Roman"/>
          <w:sz w:val="24"/>
          <w:szCs w:val="24"/>
        </w:rPr>
        <w:t>bar for torture (as opposed to cruel, inhuman or degrading treatment/punishment</w:t>
      </w:r>
      <w:r w:rsidR="00DA54F3" w:rsidRPr="009E6775">
        <w:rPr>
          <w:rFonts w:ascii="Times New Roman" w:hAnsi="Times New Roman" w:cs="Times New Roman"/>
          <w:sz w:val="24"/>
          <w:szCs w:val="24"/>
        </w:rPr>
        <w:t xml:space="preserve"> in </w:t>
      </w:r>
      <w:r w:rsidR="00E001F9" w:rsidRPr="009E6775">
        <w:rPr>
          <w:rFonts w:ascii="Times New Roman" w:hAnsi="Times New Roman" w:cs="Times New Roman"/>
          <w:sz w:val="24"/>
          <w:szCs w:val="24"/>
        </w:rPr>
        <w:t>its</w:t>
      </w:r>
      <w:r w:rsidR="00DA54F3" w:rsidRPr="009E6775">
        <w:rPr>
          <w:rFonts w:ascii="Times New Roman" w:hAnsi="Times New Roman" w:cs="Times New Roman"/>
          <w:sz w:val="24"/>
          <w:szCs w:val="24"/>
        </w:rPr>
        <w:t xml:space="preserve"> ‘dualist’ concep</w:t>
      </w:r>
      <w:r w:rsidR="00E001F9" w:rsidRPr="009E6775">
        <w:rPr>
          <w:rFonts w:ascii="Times New Roman" w:hAnsi="Times New Roman" w:cs="Times New Roman"/>
          <w:sz w:val="24"/>
          <w:szCs w:val="24"/>
        </w:rPr>
        <w:t xml:space="preserve">tion </w:t>
      </w:r>
      <w:r w:rsidR="00DA54F3" w:rsidRPr="009E6775">
        <w:rPr>
          <w:rFonts w:ascii="Times New Roman" w:hAnsi="Times New Roman" w:cs="Times New Roman"/>
          <w:sz w:val="24"/>
          <w:szCs w:val="24"/>
        </w:rPr>
        <w:t>of proscribed ill-treatment</w:t>
      </w:r>
      <w:r w:rsidR="0088670D" w:rsidRPr="009E6775">
        <w:rPr>
          <w:rFonts w:ascii="Times New Roman" w:hAnsi="Times New Roman" w:cs="Times New Roman"/>
          <w:sz w:val="24"/>
          <w:szCs w:val="24"/>
        </w:rPr>
        <w:t>)</w:t>
      </w:r>
      <w:r w:rsidR="00E001F9" w:rsidRPr="009E6775">
        <w:rPr>
          <w:rStyle w:val="aa"/>
          <w:rFonts w:ascii="Times New Roman" w:hAnsi="Times New Roman" w:cs="Times New Roman"/>
          <w:sz w:val="24"/>
          <w:szCs w:val="24"/>
        </w:rPr>
        <w:footnoteReference w:id="152"/>
      </w:r>
      <w:r w:rsidR="0088670D" w:rsidRPr="009E6775">
        <w:rPr>
          <w:rFonts w:ascii="Times New Roman" w:hAnsi="Times New Roman" w:cs="Times New Roman"/>
          <w:sz w:val="24"/>
          <w:szCs w:val="24"/>
        </w:rPr>
        <w:t xml:space="preserve"> </w:t>
      </w:r>
      <w:r w:rsidR="00DA54F3" w:rsidRPr="009E6775">
        <w:rPr>
          <w:rFonts w:ascii="Times New Roman" w:hAnsi="Times New Roman" w:cs="Times New Roman"/>
          <w:sz w:val="24"/>
          <w:szCs w:val="24"/>
        </w:rPr>
        <w:t>considerably</w:t>
      </w:r>
      <w:r w:rsidR="00596367" w:rsidRPr="009E6775">
        <w:rPr>
          <w:rFonts w:ascii="Times New Roman" w:hAnsi="Times New Roman" w:cs="Times New Roman"/>
          <w:sz w:val="24"/>
          <w:szCs w:val="24"/>
        </w:rPr>
        <w:t xml:space="preserve"> high</w:t>
      </w:r>
      <w:r w:rsidR="005643C4" w:rsidRPr="009E6775">
        <w:rPr>
          <w:rFonts w:ascii="Times New Roman" w:hAnsi="Times New Roman" w:cs="Times New Roman"/>
          <w:sz w:val="24"/>
          <w:szCs w:val="24"/>
        </w:rPr>
        <w:t>.</w:t>
      </w:r>
      <w:r w:rsidR="00DA54F3" w:rsidRPr="009E6775">
        <w:rPr>
          <w:rStyle w:val="aa"/>
          <w:rFonts w:ascii="Times New Roman" w:hAnsi="Times New Roman" w:cs="Times New Roman"/>
          <w:sz w:val="24"/>
          <w:szCs w:val="24"/>
        </w:rPr>
        <w:footnoteReference w:id="153"/>
      </w:r>
      <w:r w:rsidR="005643C4" w:rsidRPr="009E6775">
        <w:rPr>
          <w:rFonts w:ascii="Times New Roman" w:hAnsi="Times New Roman" w:cs="Times New Roman"/>
          <w:sz w:val="24"/>
          <w:szCs w:val="24"/>
        </w:rPr>
        <w:t xml:space="preserve"> </w:t>
      </w:r>
      <w:r w:rsidR="00847470" w:rsidRPr="009E6775">
        <w:rPr>
          <w:rFonts w:ascii="Times New Roman" w:hAnsi="Times New Roman" w:cs="Times New Roman"/>
          <w:sz w:val="24"/>
          <w:szCs w:val="24"/>
        </w:rPr>
        <w:t xml:space="preserve">Yet, even </w:t>
      </w:r>
      <w:r w:rsidR="00DA54F3" w:rsidRPr="009E6775">
        <w:rPr>
          <w:rFonts w:ascii="Times New Roman" w:hAnsi="Times New Roman" w:cs="Times New Roman"/>
          <w:sz w:val="24"/>
          <w:szCs w:val="24"/>
        </w:rPr>
        <w:t>supposing</w:t>
      </w:r>
      <w:r w:rsidR="00847470" w:rsidRPr="009E6775">
        <w:rPr>
          <w:rFonts w:ascii="Times New Roman" w:hAnsi="Times New Roman" w:cs="Times New Roman"/>
          <w:sz w:val="24"/>
          <w:szCs w:val="24"/>
        </w:rPr>
        <w:t xml:space="preserve"> the </w:t>
      </w:r>
      <w:r w:rsidR="00847470" w:rsidRPr="009E6775">
        <w:rPr>
          <w:rFonts w:ascii="Times New Roman" w:hAnsi="Times New Roman" w:cs="Times New Roman"/>
          <w:sz w:val="24"/>
          <w:szCs w:val="24"/>
        </w:rPr>
        <w:lastRenderedPageBreak/>
        <w:t xml:space="preserve">‘ticking bomb’ exception might </w:t>
      </w:r>
      <w:r w:rsidR="00DA54F3" w:rsidRPr="009E6775">
        <w:rPr>
          <w:rFonts w:ascii="Times New Roman" w:hAnsi="Times New Roman" w:cs="Times New Roman"/>
          <w:sz w:val="24"/>
          <w:szCs w:val="24"/>
        </w:rPr>
        <w:t>have been</w:t>
      </w:r>
      <w:r w:rsidR="00847470" w:rsidRPr="009E6775">
        <w:rPr>
          <w:rFonts w:ascii="Times New Roman" w:hAnsi="Times New Roman" w:cs="Times New Roman"/>
          <w:sz w:val="24"/>
          <w:szCs w:val="24"/>
        </w:rPr>
        <w:t xml:space="preserve"> recognized for the ‘necessity defence’</w:t>
      </w:r>
      <w:r w:rsidR="003F06D6" w:rsidRPr="009E6775">
        <w:rPr>
          <w:rFonts w:ascii="Times New Roman" w:hAnsi="Times New Roman" w:cs="Times New Roman"/>
          <w:sz w:val="24"/>
          <w:szCs w:val="24"/>
        </w:rPr>
        <w:t xml:space="preserve"> against unlawful methods of </w:t>
      </w:r>
      <w:r w:rsidR="00DA54F3" w:rsidRPr="009E6775">
        <w:rPr>
          <w:rFonts w:ascii="Times New Roman" w:hAnsi="Times New Roman" w:cs="Times New Roman"/>
          <w:sz w:val="24"/>
          <w:szCs w:val="24"/>
        </w:rPr>
        <w:t xml:space="preserve">physical </w:t>
      </w:r>
      <w:r w:rsidR="003F06D6" w:rsidRPr="009E6775">
        <w:rPr>
          <w:rFonts w:ascii="Times New Roman" w:hAnsi="Times New Roman" w:cs="Times New Roman"/>
          <w:sz w:val="24"/>
          <w:szCs w:val="24"/>
        </w:rPr>
        <w:t xml:space="preserve">interrogations </w:t>
      </w:r>
      <w:r w:rsidR="00103699" w:rsidRPr="009E6775">
        <w:rPr>
          <w:rFonts w:ascii="Times New Roman" w:hAnsi="Times New Roman" w:cs="Times New Roman"/>
          <w:sz w:val="24"/>
          <w:szCs w:val="24"/>
        </w:rPr>
        <w:t xml:space="preserve">of the kind </w:t>
      </w:r>
      <w:r w:rsidR="003F06D6" w:rsidRPr="009E6775">
        <w:rPr>
          <w:rFonts w:ascii="Times New Roman" w:hAnsi="Times New Roman" w:cs="Times New Roman"/>
          <w:sz w:val="24"/>
          <w:szCs w:val="24"/>
        </w:rPr>
        <w:t>fa</w:t>
      </w:r>
      <w:r w:rsidR="0088670D" w:rsidRPr="009E6775">
        <w:rPr>
          <w:rFonts w:ascii="Times New Roman" w:hAnsi="Times New Roman" w:cs="Times New Roman"/>
          <w:sz w:val="24"/>
          <w:szCs w:val="24"/>
        </w:rPr>
        <w:t xml:space="preserve">iling to reach the </w:t>
      </w:r>
      <w:r w:rsidR="00DA54F3" w:rsidRPr="009E6775">
        <w:rPr>
          <w:rFonts w:ascii="Times New Roman" w:hAnsi="Times New Roman" w:cs="Times New Roman"/>
          <w:sz w:val="24"/>
          <w:szCs w:val="24"/>
        </w:rPr>
        <w:t>watershed</w:t>
      </w:r>
      <w:r w:rsidR="0088670D" w:rsidRPr="009E6775">
        <w:rPr>
          <w:rFonts w:ascii="Times New Roman" w:hAnsi="Times New Roman" w:cs="Times New Roman"/>
          <w:sz w:val="24"/>
          <w:szCs w:val="24"/>
        </w:rPr>
        <w:t xml:space="preserve"> </w:t>
      </w:r>
      <w:r w:rsidR="003F06D6" w:rsidRPr="009E6775">
        <w:rPr>
          <w:rFonts w:ascii="Times New Roman" w:hAnsi="Times New Roman" w:cs="Times New Roman"/>
          <w:sz w:val="24"/>
          <w:szCs w:val="24"/>
        </w:rPr>
        <w:t>of torture</w:t>
      </w:r>
      <w:r w:rsidR="00847470" w:rsidRPr="009E6775">
        <w:rPr>
          <w:rFonts w:ascii="Times New Roman" w:hAnsi="Times New Roman" w:cs="Times New Roman"/>
          <w:sz w:val="24"/>
          <w:szCs w:val="24"/>
        </w:rPr>
        <w:t>, it was far from clear if the condition of imminency for invoking this exception</w:t>
      </w:r>
      <w:r w:rsidR="002B3F4C" w:rsidRPr="009E6775">
        <w:rPr>
          <w:rFonts w:ascii="Times New Roman" w:hAnsi="Times New Roman" w:cs="Times New Roman"/>
          <w:sz w:val="24"/>
          <w:szCs w:val="24"/>
        </w:rPr>
        <w:t xml:space="preserve"> and hence the </w:t>
      </w:r>
      <w:r w:rsidR="00847470" w:rsidRPr="009E6775">
        <w:rPr>
          <w:rFonts w:ascii="Times New Roman" w:hAnsi="Times New Roman" w:cs="Times New Roman"/>
          <w:sz w:val="24"/>
          <w:szCs w:val="24"/>
        </w:rPr>
        <w:t>second subtest of proportionality (that of less restrictive alternative</w:t>
      </w:r>
      <w:r w:rsidR="006B0D5A" w:rsidRPr="009E6775">
        <w:rPr>
          <w:rFonts w:ascii="Times New Roman" w:hAnsi="Times New Roman" w:cs="Times New Roman"/>
          <w:sz w:val="24"/>
          <w:szCs w:val="24"/>
        </w:rPr>
        <w:t>s such as other preventive measure</w:t>
      </w:r>
      <w:r w:rsidR="00847470" w:rsidRPr="009E6775">
        <w:rPr>
          <w:rFonts w:ascii="Times New Roman" w:hAnsi="Times New Roman" w:cs="Times New Roman"/>
          <w:sz w:val="24"/>
          <w:szCs w:val="24"/>
        </w:rPr>
        <w:t xml:space="preserve">s) </w:t>
      </w:r>
      <w:r w:rsidR="002B3F4C" w:rsidRPr="009E6775">
        <w:rPr>
          <w:rFonts w:ascii="Times New Roman" w:hAnsi="Times New Roman" w:cs="Times New Roman"/>
          <w:sz w:val="24"/>
          <w:szCs w:val="24"/>
        </w:rPr>
        <w:t>were</w:t>
      </w:r>
      <w:r w:rsidR="00847470" w:rsidRPr="009E6775">
        <w:rPr>
          <w:rFonts w:ascii="Times New Roman" w:hAnsi="Times New Roman" w:cs="Times New Roman"/>
          <w:sz w:val="24"/>
          <w:szCs w:val="24"/>
        </w:rPr>
        <w:t xml:space="preserve"> satisfied in that case.</w:t>
      </w:r>
      <w:r w:rsidR="00847470" w:rsidRPr="009E6775">
        <w:rPr>
          <w:rStyle w:val="aa"/>
          <w:rFonts w:ascii="Times New Roman" w:hAnsi="Times New Roman" w:cs="Times New Roman"/>
          <w:sz w:val="24"/>
          <w:szCs w:val="24"/>
        </w:rPr>
        <w:footnoteReference w:id="154"/>
      </w:r>
    </w:p>
    <w:p w14:paraId="490D9497" w14:textId="4F79A4E8" w:rsidR="00771F05" w:rsidRPr="009E6775" w:rsidRDefault="00771F05" w:rsidP="0081540D">
      <w:pPr>
        <w:rPr>
          <w:rFonts w:ascii="Times New Roman" w:hAnsi="Times New Roman" w:cs="Times New Roman"/>
          <w:b/>
          <w:bCs/>
          <w:sz w:val="24"/>
          <w:szCs w:val="24"/>
        </w:rPr>
      </w:pPr>
    </w:p>
    <w:p w14:paraId="1684DBB1" w14:textId="60CC466C" w:rsidR="00C2464F" w:rsidRPr="00FF2DCA" w:rsidRDefault="00536996" w:rsidP="00FF2DCA">
      <w:pPr>
        <w:pStyle w:val="a3"/>
        <w:numPr>
          <w:ilvl w:val="0"/>
          <w:numId w:val="19"/>
        </w:numPr>
        <w:ind w:leftChars="0"/>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The </w:t>
      </w:r>
      <w:r w:rsidR="00E1028E" w:rsidRPr="00FF2DCA">
        <w:rPr>
          <w:rFonts w:ascii="Times New Roman" w:hAnsi="Times New Roman" w:cs="Times New Roman"/>
          <w:b/>
          <w:bCs/>
          <w:sz w:val="24"/>
          <w:szCs w:val="24"/>
          <w:shd w:val="clear" w:color="auto" w:fill="FFFFFF"/>
        </w:rPr>
        <w:t>Security Barrier</w:t>
      </w:r>
    </w:p>
    <w:p w14:paraId="330FC273" w14:textId="159A3334" w:rsidR="00830085" w:rsidRPr="009E6775" w:rsidRDefault="00830085" w:rsidP="0081540D">
      <w:pPr>
        <w:rPr>
          <w:rFonts w:ascii="Times New Roman" w:hAnsi="Times New Roman" w:cs="Times New Roman"/>
          <w:sz w:val="24"/>
          <w:szCs w:val="24"/>
        </w:rPr>
      </w:pPr>
      <w:r w:rsidRPr="009E6775">
        <w:rPr>
          <w:rFonts w:ascii="Times New Roman" w:hAnsi="Times New Roman" w:cs="Times New Roman"/>
          <w:sz w:val="24"/>
          <w:szCs w:val="24"/>
        </w:rPr>
        <w:t xml:space="preserve">Issues relating to the security barrier and its specific routes are </w:t>
      </w:r>
      <w:r w:rsidR="007A4C7B" w:rsidRPr="009E6775">
        <w:rPr>
          <w:rFonts w:ascii="Times New Roman" w:hAnsi="Times New Roman" w:cs="Times New Roman"/>
          <w:sz w:val="24"/>
          <w:szCs w:val="24"/>
        </w:rPr>
        <w:t>seen as</w:t>
      </w:r>
      <w:r w:rsidRPr="009E6775">
        <w:rPr>
          <w:rFonts w:ascii="Times New Roman" w:hAnsi="Times New Roman" w:cs="Times New Roman"/>
          <w:sz w:val="24"/>
          <w:szCs w:val="24"/>
        </w:rPr>
        <w:t xml:space="preserve"> </w:t>
      </w:r>
      <w:r w:rsidR="009F30D1" w:rsidRPr="009E6775">
        <w:rPr>
          <w:rFonts w:ascii="Times New Roman" w:hAnsi="Times New Roman" w:cs="Times New Roman"/>
          <w:sz w:val="24"/>
          <w:szCs w:val="24"/>
        </w:rPr>
        <w:t xml:space="preserve">the </w:t>
      </w:r>
      <w:r w:rsidRPr="009E6775">
        <w:rPr>
          <w:rFonts w:ascii="Times New Roman" w:hAnsi="Times New Roman" w:cs="Times New Roman"/>
          <w:sz w:val="24"/>
          <w:szCs w:val="24"/>
        </w:rPr>
        <w:t xml:space="preserve">existential matters for the two peoples living side by side for different reasons. </w:t>
      </w:r>
      <w:r w:rsidR="00CF664A" w:rsidRPr="009E6775">
        <w:rPr>
          <w:rFonts w:ascii="Times New Roman" w:hAnsi="Times New Roman" w:cs="Times New Roman"/>
          <w:sz w:val="24"/>
          <w:szCs w:val="24"/>
        </w:rPr>
        <w:t>On one hand, f</w:t>
      </w:r>
      <w:r w:rsidRPr="009E6775">
        <w:rPr>
          <w:rFonts w:ascii="Times New Roman" w:hAnsi="Times New Roman" w:cs="Times New Roman"/>
          <w:sz w:val="24"/>
          <w:szCs w:val="24"/>
        </w:rPr>
        <w:t>or the Israelis living in Israel proper, the number of serious</w:t>
      </w:r>
      <w:r w:rsidR="00103699" w:rsidRPr="009E6775">
        <w:rPr>
          <w:rFonts w:ascii="Times New Roman" w:hAnsi="Times New Roman" w:cs="Times New Roman"/>
          <w:sz w:val="24"/>
          <w:szCs w:val="24"/>
        </w:rPr>
        <w:t>ly lethal</w:t>
      </w:r>
      <w:r w:rsidRPr="009E6775">
        <w:rPr>
          <w:rFonts w:ascii="Times New Roman" w:hAnsi="Times New Roman" w:cs="Times New Roman"/>
          <w:sz w:val="24"/>
          <w:szCs w:val="24"/>
        </w:rPr>
        <w:t xml:space="preserve"> terrorist attacks has significantly dropped </w:t>
      </w:r>
      <w:r w:rsidR="00103699" w:rsidRPr="009E6775">
        <w:rPr>
          <w:rFonts w:ascii="Times New Roman" w:hAnsi="Times New Roman" w:cs="Times New Roman"/>
          <w:sz w:val="24"/>
          <w:szCs w:val="24"/>
        </w:rPr>
        <w:t>owing to</w:t>
      </w:r>
      <w:r w:rsidRPr="009E6775">
        <w:rPr>
          <w:rFonts w:ascii="Times New Roman" w:hAnsi="Times New Roman" w:cs="Times New Roman"/>
          <w:sz w:val="24"/>
          <w:szCs w:val="24"/>
        </w:rPr>
        <w:t xml:space="preserve"> the construction of the wall. </w:t>
      </w:r>
      <w:r w:rsidR="00CF664A" w:rsidRPr="009E6775">
        <w:rPr>
          <w:rFonts w:ascii="Times New Roman" w:hAnsi="Times New Roman" w:cs="Times New Roman"/>
          <w:sz w:val="24"/>
          <w:szCs w:val="24"/>
        </w:rPr>
        <w:t>On the other, f</w:t>
      </w:r>
      <w:r w:rsidRPr="009E6775">
        <w:rPr>
          <w:rFonts w:ascii="Times New Roman" w:hAnsi="Times New Roman" w:cs="Times New Roman"/>
          <w:sz w:val="24"/>
          <w:szCs w:val="24"/>
        </w:rPr>
        <w:t xml:space="preserve">or the Palestinians, the wall </w:t>
      </w:r>
      <w:r w:rsidR="00CF664A" w:rsidRPr="009E6775">
        <w:rPr>
          <w:rFonts w:ascii="Times New Roman" w:hAnsi="Times New Roman" w:cs="Times New Roman"/>
          <w:sz w:val="24"/>
          <w:szCs w:val="24"/>
        </w:rPr>
        <w:t xml:space="preserve">has created </w:t>
      </w:r>
      <w:r w:rsidRPr="009E6775">
        <w:rPr>
          <w:rFonts w:ascii="Times New Roman" w:hAnsi="Times New Roman" w:cs="Times New Roman"/>
          <w:sz w:val="24"/>
          <w:szCs w:val="24"/>
        </w:rPr>
        <w:t xml:space="preserve">not only the semi-permanent </w:t>
      </w:r>
      <w:r w:rsidR="00CF664A" w:rsidRPr="009E6775">
        <w:rPr>
          <w:rFonts w:ascii="Times New Roman" w:hAnsi="Times New Roman" w:cs="Times New Roman"/>
          <w:sz w:val="24"/>
          <w:szCs w:val="24"/>
        </w:rPr>
        <w:t xml:space="preserve">and </w:t>
      </w:r>
      <w:r w:rsidR="00CF664A" w:rsidRPr="009E6775">
        <w:rPr>
          <w:rFonts w:ascii="Times New Roman" w:hAnsi="Times New Roman" w:cs="Times New Roman"/>
          <w:i/>
          <w:iCs/>
          <w:sz w:val="24"/>
          <w:szCs w:val="24"/>
        </w:rPr>
        <w:t xml:space="preserve">de facto </w:t>
      </w:r>
      <w:r w:rsidRPr="009E6775">
        <w:rPr>
          <w:rFonts w:ascii="Times New Roman" w:hAnsi="Times New Roman" w:cs="Times New Roman"/>
          <w:sz w:val="24"/>
          <w:szCs w:val="24"/>
        </w:rPr>
        <w:t>boundaries</w:t>
      </w:r>
      <w:r w:rsidR="00CF664A" w:rsidRPr="009E6775">
        <w:rPr>
          <w:rFonts w:ascii="Times New Roman" w:hAnsi="Times New Roman" w:cs="Times New Roman"/>
          <w:sz w:val="24"/>
          <w:szCs w:val="24"/>
        </w:rPr>
        <w:t xml:space="preserve">. It has </w:t>
      </w:r>
      <w:r w:rsidRPr="009E6775">
        <w:rPr>
          <w:rFonts w:ascii="Times New Roman" w:hAnsi="Times New Roman" w:cs="Times New Roman"/>
          <w:sz w:val="24"/>
          <w:szCs w:val="24"/>
        </w:rPr>
        <w:t>also segregate</w:t>
      </w:r>
      <w:r w:rsidR="00CF664A" w:rsidRPr="009E6775">
        <w:rPr>
          <w:rFonts w:ascii="Times New Roman" w:hAnsi="Times New Roman" w:cs="Times New Roman"/>
          <w:sz w:val="24"/>
          <w:szCs w:val="24"/>
        </w:rPr>
        <w:t>d</w:t>
      </w:r>
      <w:r w:rsidRPr="009E6775">
        <w:rPr>
          <w:rFonts w:ascii="Times New Roman" w:hAnsi="Times New Roman" w:cs="Times New Roman"/>
          <w:sz w:val="24"/>
          <w:szCs w:val="24"/>
        </w:rPr>
        <w:t xml:space="preserve"> their families living across the </w:t>
      </w:r>
      <w:r w:rsidR="009F30D1" w:rsidRPr="009E6775">
        <w:rPr>
          <w:rFonts w:ascii="Times New Roman" w:hAnsi="Times New Roman" w:cs="Times New Roman"/>
          <w:sz w:val="24"/>
          <w:szCs w:val="24"/>
        </w:rPr>
        <w:t>barrier</w:t>
      </w:r>
      <w:r w:rsidRPr="009E6775">
        <w:rPr>
          <w:rFonts w:ascii="Times New Roman" w:hAnsi="Times New Roman" w:cs="Times New Roman"/>
          <w:sz w:val="24"/>
          <w:szCs w:val="24"/>
        </w:rPr>
        <w:t xml:space="preserve">. The worst fate awaits the Palestinians who are trapped in the ‘seam zone’ (namely, between the barrier and the Green Line). They are </w:t>
      </w:r>
      <w:r w:rsidR="009F30D1" w:rsidRPr="009E6775">
        <w:rPr>
          <w:rFonts w:ascii="Times New Roman" w:hAnsi="Times New Roman" w:cs="Times New Roman"/>
          <w:sz w:val="24"/>
          <w:szCs w:val="24"/>
        </w:rPr>
        <w:t>riddled</w:t>
      </w:r>
      <w:r w:rsidRPr="009E6775">
        <w:rPr>
          <w:rFonts w:ascii="Times New Roman" w:hAnsi="Times New Roman" w:cs="Times New Roman"/>
          <w:sz w:val="24"/>
          <w:szCs w:val="24"/>
        </w:rPr>
        <w:t xml:space="preserve"> with the complex entry permits regime</w:t>
      </w:r>
      <w:r w:rsidR="00CF664A" w:rsidRPr="009E6775">
        <w:rPr>
          <w:rFonts w:ascii="Times New Roman" w:hAnsi="Times New Roman" w:cs="Times New Roman"/>
          <w:sz w:val="24"/>
          <w:szCs w:val="24"/>
        </w:rPr>
        <w:t>. With their right to free movement severely curtained, this hamper</w:t>
      </w:r>
      <w:r w:rsidR="009F30D1" w:rsidRPr="009E6775">
        <w:rPr>
          <w:rFonts w:ascii="Times New Roman" w:hAnsi="Times New Roman" w:cs="Times New Roman"/>
          <w:sz w:val="24"/>
          <w:szCs w:val="24"/>
        </w:rPr>
        <w:t>s</w:t>
      </w:r>
      <w:r w:rsidR="00CF664A" w:rsidRPr="009E6775">
        <w:rPr>
          <w:rFonts w:ascii="Times New Roman" w:hAnsi="Times New Roman" w:cs="Times New Roman"/>
          <w:sz w:val="24"/>
          <w:szCs w:val="24"/>
        </w:rPr>
        <w:t xml:space="preserve"> their right to engage in </w:t>
      </w:r>
      <w:r w:rsidRPr="009E6775">
        <w:rPr>
          <w:rFonts w:ascii="Times New Roman" w:hAnsi="Times New Roman" w:cs="Times New Roman"/>
          <w:sz w:val="24"/>
          <w:szCs w:val="24"/>
        </w:rPr>
        <w:t xml:space="preserve">agricultural activities </w:t>
      </w:r>
      <w:r w:rsidR="00CF664A" w:rsidRPr="009E6775">
        <w:rPr>
          <w:rFonts w:ascii="Times New Roman" w:hAnsi="Times New Roman" w:cs="Times New Roman"/>
          <w:sz w:val="24"/>
          <w:szCs w:val="24"/>
        </w:rPr>
        <w:t xml:space="preserve">on their cut-off farmland </w:t>
      </w:r>
      <w:r w:rsidRPr="009E6775">
        <w:rPr>
          <w:rFonts w:ascii="Times New Roman" w:hAnsi="Times New Roman" w:cs="Times New Roman"/>
          <w:sz w:val="24"/>
          <w:szCs w:val="24"/>
        </w:rPr>
        <w:t>and</w:t>
      </w:r>
      <w:r w:rsidR="00C4069B" w:rsidRPr="009E6775">
        <w:rPr>
          <w:rFonts w:ascii="Times New Roman" w:hAnsi="Times New Roman" w:cs="Times New Roman"/>
          <w:sz w:val="24"/>
          <w:szCs w:val="24"/>
        </w:rPr>
        <w:t xml:space="preserve"> to </w:t>
      </w:r>
      <w:r w:rsidRPr="009E6775">
        <w:rPr>
          <w:rFonts w:ascii="Times New Roman" w:hAnsi="Times New Roman" w:cs="Times New Roman"/>
          <w:sz w:val="24"/>
          <w:szCs w:val="24"/>
        </w:rPr>
        <w:t xml:space="preserve">travel for </w:t>
      </w:r>
      <w:r w:rsidR="009F30D1" w:rsidRPr="009E6775">
        <w:rPr>
          <w:rFonts w:ascii="Times New Roman" w:hAnsi="Times New Roman" w:cs="Times New Roman"/>
          <w:sz w:val="24"/>
          <w:szCs w:val="24"/>
        </w:rPr>
        <w:t>other work,</w:t>
      </w:r>
      <w:r w:rsidR="007765F1" w:rsidRPr="009E6775">
        <w:rPr>
          <w:rFonts w:ascii="Times New Roman" w:hAnsi="Times New Roman" w:cs="Times New Roman"/>
          <w:sz w:val="24"/>
          <w:szCs w:val="24"/>
        </w:rPr>
        <w:t xml:space="preserve"> education, </w:t>
      </w:r>
      <w:r w:rsidRPr="009E6775">
        <w:rPr>
          <w:rFonts w:ascii="Times New Roman" w:hAnsi="Times New Roman" w:cs="Times New Roman"/>
          <w:sz w:val="24"/>
          <w:szCs w:val="24"/>
        </w:rPr>
        <w:t xml:space="preserve">or for medical </w:t>
      </w:r>
      <w:r w:rsidR="009F30D1" w:rsidRPr="009E6775">
        <w:rPr>
          <w:rFonts w:ascii="Times New Roman" w:hAnsi="Times New Roman" w:cs="Times New Roman"/>
          <w:sz w:val="24"/>
          <w:szCs w:val="24"/>
        </w:rPr>
        <w:t>treatment</w:t>
      </w:r>
      <w:r w:rsidRPr="009E6775">
        <w:rPr>
          <w:rFonts w:ascii="Times New Roman" w:hAnsi="Times New Roman" w:cs="Times New Roman"/>
          <w:sz w:val="24"/>
          <w:szCs w:val="24"/>
        </w:rPr>
        <w:t>.</w:t>
      </w:r>
      <w:r w:rsidR="007765F1" w:rsidRPr="009E6775">
        <w:rPr>
          <w:rStyle w:val="aa"/>
          <w:rFonts w:ascii="Times New Roman" w:hAnsi="Times New Roman" w:cs="Times New Roman"/>
          <w:sz w:val="24"/>
          <w:szCs w:val="24"/>
        </w:rPr>
        <w:footnoteReference w:id="155"/>
      </w:r>
      <w:r w:rsidRPr="009E6775">
        <w:rPr>
          <w:rFonts w:ascii="Times New Roman" w:hAnsi="Times New Roman" w:cs="Times New Roman"/>
          <w:sz w:val="24"/>
          <w:szCs w:val="24"/>
        </w:rPr>
        <w:t xml:space="preserve"> In the landmark decision in </w:t>
      </w:r>
      <w:r w:rsidRPr="009E6775">
        <w:rPr>
          <w:rFonts w:ascii="Times New Roman" w:hAnsi="Times New Roman" w:cs="Times New Roman"/>
          <w:i/>
          <w:iCs/>
          <w:sz w:val="24"/>
          <w:szCs w:val="24"/>
        </w:rPr>
        <w:t xml:space="preserve">Beit Sourik </w:t>
      </w:r>
      <w:r w:rsidRPr="009E6775">
        <w:rPr>
          <w:rFonts w:ascii="Times New Roman" w:hAnsi="Times New Roman" w:cs="Times New Roman"/>
          <w:sz w:val="24"/>
          <w:szCs w:val="24"/>
        </w:rPr>
        <w:t xml:space="preserve">(2004), handed down shortly before the ICJ’s </w:t>
      </w:r>
      <w:r w:rsidRPr="009E6775">
        <w:rPr>
          <w:rFonts w:ascii="Times New Roman" w:hAnsi="Times New Roman" w:cs="Times New Roman"/>
          <w:i/>
          <w:iCs/>
          <w:sz w:val="24"/>
          <w:szCs w:val="24"/>
        </w:rPr>
        <w:t>Wall</w:t>
      </w:r>
      <w:r w:rsidRPr="009E6775">
        <w:rPr>
          <w:rFonts w:ascii="Times New Roman" w:hAnsi="Times New Roman" w:cs="Times New Roman"/>
          <w:sz w:val="24"/>
          <w:szCs w:val="24"/>
        </w:rPr>
        <w:t xml:space="preserve"> Advisory Opinion,</w:t>
      </w:r>
      <w:r w:rsidR="006E0DA6"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the SC found that with respect to most of the </w:t>
      </w:r>
      <w:r w:rsidR="009F30D1" w:rsidRPr="009E6775">
        <w:rPr>
          <w:rFonts w:ascii="Times New Roman" w:hAnsi="Times New Roman" w:cs="Times New Roman"/>
          <w:sz w:val="24"/>
          <w:szCs w:val="24"/>
        </w:rPr>
        <w:t xml:space="preserve">relevant </w:t>
      </w:r>
      <w:r w:rsidRPr="009E6775">
        <w:rPr>
          <w:rFonts w:ascii="Times New Roman" w:hAnsi="Times New Roman" w:cs="Times New Roman"/>
          <w:sz w:val="24"/>
          <w:szCs w:val="24"/>
        </w:rPr>
        <w:t xml:space="preserve">segments of the barrier, disproportionate harm was occasioned on the Palestinian residents, and that this outweighed the security’s benefits. Hence, it revoked the land requisition orders relating to the </w:t>
      </w:r>
      <w:r w:rsidR="009F30D1" w:rsidRPr="009E6775">
        <w:rPr>
          <w:rFonts w:ascii="Times New Roman" w:hAnsi="Times New Roman" w:cs="Times New Roman"/>
          <w:sz w:val="24"/>
          <w:szCs w:val="24"/>
        </w:rPr>
        <w:t xml:space="preserve">impugned </w:t>
      </w:r>
      <w:r w:rsidRPr="009E6775">
        <w:rPr>
          <w:rFonts w:ascii="Times New Roman" w:hAnsi="Times New Roman" w:cs="Times New Roman"/>
          <w:sz w:val="24"/>
          <w:szCs w:val="24"/>
        </w:rPr>
        <w:t xml:space="preserve">segments at issue and demanded the authorities to search for an alternative route for the barrier. It was significant that this decision prompted the government to revise the route and to re-evaluate other segments of the barrier. Still, in </w:t>
      </w:r>
      <w:r w:rsidRPr="009E6775">
        <w:rPr>
          <w:rFonts w:ascii="Times New Roman" w:hAnsi="Times New Roman" w:cs="Times New Roman"/>
          <w:i/>
          <w:iCs/>
          <w:sz w:val="24"/>
          <w:szCs w:val="24"/>
        </w:rPr>
        <w:t xml:space="preserve">Beit Sourik, </w:t>
      </w:r>
      <w:r w:rsidRPr="009E6775">
        <w:rPr>
          <w:rFonts w:ascii="Times New Roman" w:hAnsi="Times New Roman" w:cs="Times New Roman"/>
          <w:sz w:val="24"/>
          <w:szCs w:val="24"/>
        </w:rPr>
        <w:t>sharp-eyed critics</w:t>
      </w:r>
      <w:r w:rsidRPr="009E6775">
        <w:rPr>
          <w:rFonts w:ascii="Times New Roman" w:hAnsi="Times New Roman" w:cs="Times New Roman"/>
          <w:i/>
          <w:iCs/>
          <w:sz w:val="24"/>
          <w:szCs w:val="24"/>
        </w:rPr>
        <w:t xml:space="preserve"> </w:t>
      </w:r>
      <w:r w:rsidRPr="009E6775">
        <w:rPr>
          <w:rFonts w:ascii="Times New Roman" w:hAnsi="Times New Roman" w:cs="Times New Roman"/>
          <w:sz w:val="24"/>
          <w:szCs w:val="24"/>
        </w:rPr>
        <w:t xml:space="preserve">point to the SC’s failure to problematize the authority’s admission that the barrier was also purported to protect </w:t>
      </w:r>
      <w:r w:rsidR="009F30D1" w:rsidRPr="009E6775">
        <w:rPr>
          <w:rFonts w:ascii="Times New Roman" w:hAnsi="Times New Roman" w:cs="Times New Roman"/>
          <w:sz w:val="24"/>
          <w:szCs w:val="24"/>
        </w:rPr>
        <w:t xml:space="preserve">some </w:t>
      </w:r>
      <w:r w:rsidRPr="009E6775">
        <w:rPr>
          <w:rFonts w:ascii="Times New Roman" w:hAnsi="Times New Roman" w:cs="Times New Roman"/>
          <w:sz w:val="24"/>
          <w:szCs w:val="24"/>
        </w:rPr>
        <w:t>Israeli settlements.</w:t>
      </w:r>
      <w:r w:rsidRPr="009E6775">
        <w:rPr>
          <w:rStyle w:val="aa"/>
          <w:rFonts w:ascii="Times New Roman" w:hAnsi="Times New Roman" w:cs="Times New Roman"/>
          <w:sz w:val="24"/>
          <w:szCs w:val="24"/>
        </w:rPr>
        <w:footnoteReference w:id="156"/>
      </w:r>
      <w:r w:rsidRPr="009E6775">
        <w:rPr>
          <w:rFonts w:ascii="Times New Roman" w:hAnsi="Times New Roman" w:cs="Times New Roman"/>
          <w:sz w:val="24"/>
          <w:szCs w:val="24"/>
        </w:rPr>
        <w:t xml:space="preserve"> Nor did the SC venture to address the key question whether there should be a barrier in the relevant segment at all. </w:t>
      </w:r>
      <w:r w:rsidR="009F30D1" w:rsidRPr="009E6775">
        <w:rPr>
          <w:rFonts w:ascii="Times New Roman" w:hAnsi="Times New Roman" w:cs="Times New Roman"/>
          <w:sz w:val="24"/>
          <w:szCs w:val="24"/>
        </w:rPr>
        <w:t xml:space="preserve">As noted by </w:t>
      </w:r>
      <w:r w:rsidRPr="009E6775">
        <w:rPr>
          <w:rFonts w:ascii="Times New Roman" w:hAnsi="Times New Roman" w:cs="Times New Roman"/>
          <w:sz w:val="24"/>
          <w:szCs w:val="24"/>
        </w:rPr>
        <w:t xml:space="preserve">Kretzmer and Ronen, the SC’s </w:t>
      </w:r>
      <w:r w:rsidR="00134F13" w:rsidRPr="009E6775">
        <w:rPr>
          <w:rFonts w:ascii="Times New Roman" w:hAnsi="Times New Roman" w:cs="Times New Roman"/>
          <w:sz w:val="24"/>
          <w:szCs w:val="24"/>
        </w:rPr>
        <w:t xml:space="preserve">prudent </w:t>
      </w:r>
      <w:r w:rsidRPr="009E6775">
        <w:rPr>
          <w:rFonts w:ascii="Times New Roman" w:hAnsi="Times New Roman" w:cs="Times New Roman"/>
          <w:sz w:val="24"/>
          <w:szCs w:val="24"/>
        </w:rPr>
        <w:t xml:space="preserve">tactic was to avoid those </w:t>
      </w:r>
      <w:r w:rsidRPr="009E6775">
        <w:rPr>
          <w:rFonts w:ascii="Times New Roman" w:hAnsi="Times New Roman" w:cs="Times New Roman"/>
          <w:i/>
          <w:iCs/>
          <w:sz w:val="24"/>
          <w:szCs w:val="24"/>
        </w:rPr>
        <w:t>policy</w:t>
      </w:r>
      <w:r w:rsidRPr="009E6775">
        <w:rPr>
          <w:rFonts w:ascii="Times New Roman" w:hAnsi="Times New Roman" w:cs="Times New Roman"/>
          <w:sz w:val="24"/>
          <w:szCs w:val="24"/>
        </w:rPr>
        <w:t xml:space="preserve"> questions while focus</w:t>
      </w:r>
      <w:r w:rsidR="0049690E" w:rsidRPr="009E6775">
        <w:rPr>
          <w:rFonts w:ascii="Times New Roman" w:hAnsi="Times New Roman" w:cs="Times New Roman"/>
          <w:sz w:val="24"/>
          <w:szCs w:val="24"/>
        </w:rPr>
        <w:t>ing</w:t>
      </w:r>
      <w:r w:rsidRPr="009E6775">
        <w:rPr>
          <w:rFonts w:ascii="Times New Roman" w:hAnsi="Times New Roman" w:cs="Times New Roman"/>
          <w:sz w:val="24"/>
          <w:szCs w:val="24"/>
        </w:rPr>
        <w:t xml:space="preserve"> its proportionality appraisal </w:t>
      </w:r>
      <w:r w:rsidR="00D1299F" w:rsidRPr="009E6775">
        <w:rPr>
          <w:rFonts w:ascii="Times New Roman" w:hAnsi="Times New Roman" w:cs="Times New Roman"/>
          <w:sz w:val="24"/>
          <w:szCs w:val="24"/>
        </w:rPr>
        <w:t xml:space="preserve">on a </w:t>
      </w:r>
      <w:r w:rsidRPr="009E6775">
        <w:rPr>
          <w:rFonts w:ascii="Times New Roman" w:hAnsi="Times New Roman" w:cs="Times New Roman"/>
          <w:sz w:val="24"/>
          <w:szCs w:val="24"/>
        </w:rPr>
        <w:t>narrow</w:t>
      </w:r>
      <w:r w:rsidR="00D1299F" w:rsidRPr="009E6775">
        <w:rPr>
          <w:rFonts w:ascii="Times New Roman" w:hAnsi="Times New Roman" w:cs="Times New Roman"/>
          <w:sz w:val="24"/>
          <w:szCs w:val="24"/>
        </w:rPr>
        <w:t xml:space="preserve"> issue of </w:t>
      </w:r>
      <w:r w:rsidRPr="009E6775">
        <w:rPr>
          <w:rFonts w:ascii="Times New Roman" w:hAnsi="Times New Roman" w:cs="Times New Roman"/>
          <w:sz w:val="24"/>
          <w:szCs w:val="24"/>
        </w:rPr>
        <w:t xml:space="preserve">detrimental impact of the segment of the barrier </w:t>
      </w:r>
      <w:r w:rsidR="00D1299F" w:rsidRPr="009E6775">
        <w:rPr>
          <w:rFonts w:ascii="Times New Roman" w:hAnsi="Times New Roman" w:cs="Times New Roman"/>
          <w:sz w:val="24"/>
          <w:szCs w:val="24"/>
        </w:rPr>
        <w:t>upon</w:t>
      </w:r>
      <w:r w:rsidRPr="009E6775">
        <w:rPr>
          <w:rFonts w:ascii="Times New Roman" w:hAnsi="Times New Roman" w:cs="Times New Roman"/>
          <w:sz w:val="24"/>
          <w:szCs w:val="24"/>
        </w:rPr>
        <w:t xml:space="preserve"> the </w:t>
      </w:r>
      <w:r w:rsidRPr="009E6775">
        <w:rPr>
          <w:rFonts w:ascii="Times New Roman" w:hAnsi="Times New Roman" w:cs="Times New Roman"/>
          <w:sz w:val="24"/>
          <w:szCs w:val="24"/>
        </w:rPr>
        <w:lastRenderedPageBreak/>
        <w:t>Palestinian villagers.</w:t>
      </w:r>
      <w:r w:rsidRPr="009E6775">
        <w:rPr>
          <w:rStyle w:val="aa"/>
          <w:rFonts w:ascii="Times New Roman" w:hAnsi="Times New Roman" w:cs="Times New Roman"/>
          <w:sz w:val="24"/>
          <w:szCs w:val="24"/>
        </w:rPr>
        <w:footnoteReference w:id="157"/>
      </w:r>
      <w:r w:rsidR="0049690E" w:rsidRPr="009E6775">
        <w:rPr>
          <w:rFonts w:ascii="Times New Roman" w:hAnsi="Times New Roman" w:cs="Times New Roman"/>
          <w:sz w:val="24"/>
          <w:szCs w:val="24"/>
        </w:rPr>
        <w:t xml:space="preserve"> This stands in tension with the ICJ’s conclusion in </w:t>
      </w:r>
      <w:r w:rsidR="0049690E" w:rsidRPr="009E6775">
        <w:rPr>
          <w:rFonts w:ascii="Times New Roman" w:hAnsi="Times New Roman" w:cs="Times New Roman"/>
          <w:i/>
          <w:iCs/>
          <w:sz w:val="24"/>
          <w:szCs w:val="24"/>
        </w:rPr>
        <w:t>Wall</w:t>
      </w:r>
      <w:r w:rsidR="0049690E" w:rsidRPr="009E6775">
        <w:rPr>
          <w:rFonts w:ascii="Times New Roman" w:hAnsi="Times New Roman" w:cs="Times New Roman"/>
          <w:sz w:val="24"/>
          <w:szCs w:val="24"/>
        </w:rPr>
        <w:t xml:space="preserve"> that ‘the construction of the wall by Israel in the Occupied Palestinian Territory is contrary to international law’.</w:t>
      </w:r>
      <w:r w:rsidR="0049690E" w:rsidRPr="009E6775">
        <w:rPr>
          <w:rStyle w:val="aa"/>
          <w:rFonts w:ascii="Times New Roman" w:hAnsi="Times New Roman" w:cs="Times New Roman"/>
          <w:sz w:val="24"/>
          <w:szCs w:val="24"/>
        </w:rPr>
        <w:footnoteReference w:id="158"/>
      </w:r>
      <w:r w:rsidR="0049690E" w:rsidRPr="009E6775">
        <w:rPr>
          <w:rFonts w:ascii="Times New Roman" w:hAnsi="Times New Roman" w:cs="Times New Roman"/>
          <w:sz w:val="24"/>
          <w:szCs w:val="24"/>
        </w:rPr>
        <w:t xml:space="preserve"> Admittedly, the ICJ’s conclusion as to the illegality of </w:t>
      </w:r>
      <w:r w:rsidR="0049690E" w:rsidRPr="009E6775">
        <w:rPr>
          <w:rFonts w:ascii="Times New Roman" w:hAnsi="Times New Roman" w:cs="Times New Roman"/>
          <w:i/>
          <w:iCs/>
          <w:sz w:val="24"/>
          <w:szCs w:val="24"/>
        </w:rPr>
        <w:t>all</w:t>
      </w:r>
      <w:r w:rsidR="0049690E" w:rsidRPr="009E6775">
        <w:rPr>
          <w:rFonts w:ascii="Times New Roman" w:hAnsi="Times New Roman" w:cs="Times New Roman"/>
          <w:sz w:val="24"/>
          <w:szCs w:val="24"/>
        </w:rPr>
        <w:t xml:space="preserve"> the segments of the barrier may be criticised for </w:t>
      </w:r>
      <w:r w:rsidR="00DC5301" w:rsidRPr="009E6775">
        <w:rPr>
          <w:rFonts w:ascii="Times New Roman" w:hAnsi="Times New Roman" w:cs="Times New Roman"/>
          <w:sz w:val="24"/>
          <w:szCs w:val="24"/>
        </w:rPr>
        <w:t>its</w:t>
      </w:r>
      <w:r w:rsidR="0049690E" w:rsidRPr="009E6775">
        <w:rPr>
          <w:rFonts w:ascii="Times New Roman" w:hAnsi="Times New Roman" w:cs="Times New Roman"/>
          <w:sz w:val="24"/>
          <w:szCs w:val="24"/>
        </w:rPr>
        <w:t xml:space="preserve"> little empathy for the Israeli’s embedded collective consciousness over security </w:t>
      </w:r>
      <w:r w:rsidR="00DC5301" w:rsidRPr="009E6775">
        <w:rPr>
          <w:rFonts w:ascii="Times New Roman" w:hAnsi="Times New Roman" w:cs="Times New Roman"/>
          <w:sz w:val="24"/>
          <w:szCs w:val="24"/>
        </w:rPr>
        <w:t>intertwined with</w:t>
      </w:r>
      <w:r w:rsidR="0049690E" w:rsidRPr="009E6775">
        <w:rPr>
          <w:rFonts w:ascii="Times New Roman" w:hAnsi="Times New Roman" w:cs="Times New Roman"/>
          <w:sz w:val="24"/>
          <w:szCs w:val="24"/>
        </w:rPr>
        <w:t xml:space="preserve"> </w:t>
      </w:r>
      <w:r w:rsidR="00DC5301" w:rsidRPr="009E6775">
        <w:rPr>
          <w:rFonts w:ascii="Times New Roman" w:hAnsi="Times New Roman" w:cs="Times New Roman"/>
          <w:sz w:val="24"/>
          <w:szCs w:val="24"/>
        </w:rPr>
        <w:t xml:space="preserve">their </w:t>
      </w:r>
      <w:r w:rsidR="0049690E" w:rsidRPr="009E6775">
        <w:rPr>
          <w:rFonts w:ascii="Times New Roman" w:hAnsi="Times New Roman" w:cs="Times New Roman"/>
          <w:sz w:val="24"/>
          <w:szCs w:val="24"/>
        </w:rPr>
        <w:t xml:space="preserve">memory of survival </w:t>
      </w:r>
      <w:r w:rsidR="00DC5301" w:rsidRPr="009E6775">
        <w:rPr>
          <w:rFonts w:ascii="Times New Roman" w:hAnsi="Times New Roman" w:cs="Times New Roman"/>
          <w:sz w:val="24"/>
          <w:szCs w:val="24"/>
        </w:rPr>
        <w:t xml:space="preserve">over </w:t>
      </w:r>
      <w:r w:rsidR="0049690E" w:rsidRPr="009E6775">
        <w:rPr>
          <w:rFonts w:ascii="Times New Roman" w:hAnsi="Times New Roman" w:cs="Times New Roman"/>
          <w:sz w:val="24"/>
          <w:szCs w:val="24"/>
        </w:rPr>
        <w:t>the Holocaust.</w:t>
      </w:r>
    </w:p>
    <w:p w14:paraId="7EA382A6" w14:textId="77777777" w:rsidR="00830085" w:rsidRPr="009E6775" w:rsidRDefault="00830085" w:rsidP="0081540D">
      <w:pPr>
        <w:rPr>
          <w:rFonts w:ascii="Times New Roman" w:hAnsi="Times New Roman" w:cs="Times New Roman"/>
          <w:sz w:val="24"/>
          <w:szCs w:val="24"/>
        </w:rPr>
      </w:pPr>
    </w:p>
    <w:p w14:paraId="08E567F7" w14:textId="77777777" w:rsidR="0049690E" w:rsidRPr="009E6775" w:rsidRDefault="00830085" w:rsidP="0081540D">
      <w:pPr>
        <w:rPr>
          <w:rFonts w:ascii="Times New Roman" w:hAnsi="Times New Roman" w:cs="Times New Roman"/>
          <w:sz w:val="24"/>
          <w:szCs w:val="24"/>
        </w:rPr>
      </w:pPr>
      <w:r w:rsidRPr="009E6775">
        <w:rPr>
          <w:rFonts w:ascii="Times New Roman" w:hAnsi="Times New Roman" w:cs="Times New Roman"/>
          <w:sz w:val="24"/>
          <w:szCs w:val="24"/>
        </w:rPr>
        <w:t xml:space="preserve">In another landmark case of </w:t>
      </w:r>
      <w:r w:rsidRPr="009E6775">
        <w:rPr>
          <w:rFonts w:ascii="Times New Roman" w:hAnsi="Times New Roman" w:cs="Times New Roman"/>
          <w:i/>
          <w:iCs/>
          <w:sz w:val="24"/>
          <w:szCs w:val="24"/>
        </w:rPr>
        <w:t>Mara’abe</w:t>
      </w:r>
      <w:r w:rsidRPr="009E6775">
        <w:rPr>
          <w:rFonts w:ascii="Times New Roman" w:hAnsi="Times New Roman" w:cs="Times New Roman"/>
          <w:sz w:val="24"/>
          <w:szCs w:val="24"/>
        </w:rPr>
        <w:t xml:space="preserve"> (August 2004) decided just after the ICJ’s </w:t>
      </w:r>
      <w:r w:rsidRPr="009E6775">
        <w:rPr>
          <w:rFonts w:ascii="Times New Roman" w:hAnsi="Times New Roman" w:cs="Times New Roman"/>
          <w:i/>
          <w:iCs/>
          <w:sz w:val="24"/>
          <w:szCs w:val="24"/>
        </w:rPr>
        <w:t>Wall</w:t>
      </w:r>
      <w:r w:rsidRPr="009E6775">
        <w:rPr>
          <w:rFonts w:ascii="Times New Roman" w:hAnsi="Times New Roman" w:cs="Times New Roman"/>
          <w:sz w:val="24"/>
          <w:szCs w:val="24"/>
        </w:rPr>
        <w:t xml:space="preserve"> Advisory Opinion, the petitioners contested </w:t>
      </w:r>
      <w:r w:rsidR="00C4069B" w:rsidRPr="009E6775">
        <w:rPr>
          <w:rFonts w:ascii="Times New Roman" w:hAnsi="Times New Roman" w:cs="Times New Roman"/>
          <w:sz w:val="24"/>
          <w:szCs w:val="24"/>
        </w:rPr>
        <w:t>a different</w:t>
      </w:r>
      <w:r w:rsidRPr="009E6775">
        <w:rPr>
          <w:rFonts w:ascii="Times New Roman" w:hAnsi="Times New Roman" w:cs="Times New Roman"/>
          <w:sz w:val="24"/>
          <w:szCs w:val="24"/>
        </w:rPr>
        <w:t xml:space="preserve"> segment of the barrier, which included rerouting to encompass a Jewish settlement on the ‘Israeli side’. When evaluating the second limb of proportionality (the </w:t>
      </w:r>
      <w:r w:rsidR="00C4069B" w:rsidRPr="009E6775">
        <w:rPr>
          <w:rFonts w:ascii="Times New Roman" w:hAnsi="Times New Roman" w:cs="Times New Roman"/>
          <w:sz w:val="24"/>
          <w:szCs w:val="24"/>
        </w:rPr>
        <w:t>sub</w:t>
      </w:r>
      <w:r w:rsidRPr="009E6775">
        <w:rPr>
          <w:rFonts w:ascii="Times New Roman" w:hAnsi="Times New Roman" w:cs="Times New Roman"/>
          <w:sz w:val="24"/>
          <w:szCs w:val="24"/>
        </w:rPr>
        <w:t xml:space="preserve">test of necessity or the less restrictive alternative </w:t>
      </w:r>
      <w:r w:rsidR="00C4069B" w:rsidRPr="009E6775">
        <w:rPr>
          <w:rFonts w:ascii="Times New Roman" w:hAnsi="Times New Roman" w:cs="Times New Roman"/>
          <w:sz w:val="24"/>
          <w:szCs w:val="24"/>
        </w:rPr>
        <w:t>sub</w:t>
      </w:r>
      <w:r w:rsidRPr="009E6775">
        <w:rPr>
          <w:rFonts w:ascii="Times New Roman" w:hAnsi="Times New Roman" w:cs="Times New Roman"/>
          <w:sz w:val="24"/>
          <w:szCs w:val="24"/>
        </w:rPr>
        <w:t>test),</w:t>
      </w:r>
      <w:r w:rsidRPr="009E6775">
        <w:rPr>
          <w:rStyle w:val="aa"/>
          <w:rFonts w:ascii="Times New Roman" w:hAnsi="Times New Roman" w:cs="Times New Roman"/>
          <w:sz w:val="24"/>
          <w:szCs w:val="24"/>
        </w:rPr>
        <w:footnoteReference w:id="159"/>
      </w:r>
      <w:r w:rsidRPr="009E6775">
        <w:rPr>
          <w:rFonts w:ascii="Times New Roman" w:hAnsi="Times New Roman" w:cs="Times New Roman"/>
          <w:sz w:val="24"/>
          <w:szCs w:val="24"/>
        </w:rPr>
        <w:t xml:space="preserve"> the SC held that the authorities failed to seek a less injurious route, ordering the evaluation of feasibility of alternative routes. </w:t>
      </w:r>
      <w:r w:rsidR="00C4069B" w:rsidRPr="009E6775">
        <w:rPr>
          <w:rFonts w:ascii="Times New Roman" w:hAnsi="Times New Roman" w:cs="Times New Roman"/>
          <w:sz w:val="24"/>
          <w:szCs w:val="24"/>
        </w:rPr>
        <w:t xml:space="preserve">Even so, </w:t>
      </w:r>
      <w:r w:rsidR="00F213FA" w:rsidRPr="009E6775">
        <w:rPr>
          <w:rFonts w:ascii="Times New Roman" w:hAnsi="Times New Roman" w:cs="Times New Roman"/>
          <w:sz w:val="24"/>
          <w:szCs w:val="24"/>
        </w:rPr>
        <w:t xml:space="preserve">the </w:t>
      </w:r>
      <w:r w:rsidRPr="009E6775">
        <w:rPr>
          <w:rFonts w:ascii="Times New Roman" w:hAnsi="Times New Roman" w:cs="Times New Roman"/>
          <w:sz w:val="24"/>
          <w:szCs w:val="24"/>
        </w:rPr>
        <w:t>SC’s recapitulation that the Israeli settlers formed part of the local population under Article 43 Hague Regulations helped</w:t>
      </w:r>
      <w:r w:rsidR="00134F13" w:rsidRPr="009E6775">
        <w:rPr>
          <w:rFonts w:ascii="Times New Roman" w:hAnsi="Times New Roman" w:cs="Times New Roman"/>
          <w:sz w:val="24"/>
          <w:szCs w:val="24"/>
        </w:rPr>
        <w:t xml:space="preserve"> again</w:t>
      </w:r>
      <w:r w:rsidRPr="009E6775">
        <w:rPr>
          <w:rFonts w:ascii="Times New Roman" w:hAnsi="Times New Roman" w:cs="Times New Roman"/>
          <w:sz w:val="24"/>
          <w:szCs w:val="24"/>
        </w:rPr>
        <w:t xml:space="preserve"> to bypass the </w:t>
      </w:r>
      <w:r w:rsidR="00C4069B" w:rsidRPr="009E6775">
        <w:rPr>
          <w:rFonts w:ascii="Times New Roman" w:hAnsi="Times New Roman" w:cs="Times New Roman"/>
          <w:sz w:val="24"/>
          <w:szCs w:val="24"/>
        </w:rPr>
        <w:t xml:space="preserve">politically thorny </w:t>
      </w:r>
      <w:r w:rsidRPr="009E6775">
        <w:rPr>
          <w:rFonts w:ascii="Times New Roman" w:hAnsi="Times New Roman" w:cs="Times New Roman"/>
          <w:sz w:val="24"/>
          <w:szCs w:val="24"/>
        </w:rPr>
        <w:t xml:space="preserve">question of the legality of the settlement. </w:t>
      </w:r>
    </w:p>
    <w:p w14:paraId="46AD653A" w14:textId="77777777" w:rsidR="00F213FA" w:rsidRPr="009E6775" w:rsidRDefault="00F213FA" w:rsidP="0081540D">
      <w:pPr>
        <w:rPr>
          <w:rFonts w:ascii="Times New Roman" w:hAnsi="Times New Roman" w:cs="Times New Roman"/>
          <w:sz w:val="24"/>
          <w:szCs w:val="24"/>
        </w:rPr>
      </w:pPr>
    </w:p>
    <w:p w14:paraId="61D82871" w14:textId="4CCBE485" w:rsidR="00830085" w:rsidRPr="009E6775" w:rsidRDefault="00830085" w:rsidP="0081540D">
      <w:pPr>
        <w:rPr>
          <w:rFonts w:ascii="Times New Roman" w:hAnsi="Times New Roman" w:cs="Times New Roman"/>
          <w:sz w:val="24"/>
          <w:szCs w:val="24"/>
        </w:rPr>
      </w:pPr>
      <w:r w:rsidRPr="009E6775">
        <w:rPr>
          <w:rFonts w:ascii="Times New Roman" w:hAnsi="Times New Roman" w:cs="Times New Roman"/>
          <w:sz w:val="24"/>
          <w:szCs w:val="24"/>
        </w:rPr>
        <w:t xml:space="preserve">Moreover, the SC’s </w:t>
      </w:r>
      <w:r w:rsidR="00A71E46" w:rsidRPr="009E6775">
        <w:rPr>
          <w:rFonts w:ascii="Times New Roman" w:hAnsi="Times New Roman" w:cs="Times New Roman"/>
          <w:sz w:val="24"/>
          <w:szCs w:val="24"/>
        </w:rPr>
        <w:t xml:space="preserve">proportionality </w:t>
      </w:r>
      <w:r w:rsidRPr="009E6775">
        <w:rPr>
          <w:rFonts w:ascii="Times New Roman" w:hAnsi="Times New Roman" w:cs="Times New Roman"/>
          <w:sz w:val="24"/>
          <w:szCs w:val="24"/>
        </w:rPr>
        <w:t xml:space="preserve">assessment of deleterious effect of the barrier was </w:t>
      </w:r>
      <w:r w:rsidR="00C4069B" w:rsidRPr="009E6775">
        <w:rPr>
          <w:rFonts w:ascii="Times New Roman" w:hAnsi="Times New Roman" w:cs="Times New Roman"/>
          <w:sz w:val="24"/>
          <w:szCs w:val="24"/>
        </w:rPr>
        <w:t>handicapped by its exclusion of</w:t>
      </w:r>
      <w:r w:rsidRPr="009E6775">
        <w:rPr>
          <w:rFonts w:ascii="Times New Roman" w:hAnsi="Times New Roman" w:cs="Times New Roman"/>
          <w:sz w:val="24"/>
          <w:szCs w:val="24"/>
        </w:rPr>
        <w:t xml:space="preserve"> the city of Qalquilya with 40,000 residents that were enclaved and cordoned off by the barrier.</w:t>
      </w:r>
      <w:r w:rsidRPr="009E6775">
        <w:rPr>
          <w:rStyle w:val="aa"/>
          <w:rFonts w:ascii="Times New Roman" w:hAnsi="Times New Roman" w:cs="Times New Roman"/>
          <w:sz w:val="24"/>
          <w:szCs w:val="24"/>
        </w:rPr>
        <w:footnoteReference w:id="160"/>
      </w:r>
      <w:r w:rsidRPr="009E6775">
        <w:rPr>
          <w:rFonts w:ascii="Times New Roman" w:hAnsi="Times New Roman" w:cs="Times New Roman"/>
          <w:sz w:val="24"/>
          <w:szCs w:val="24"/>
        </w:rPr>
        <w:t xml:space="preserve"> Such narrow analytical prism may be criticised as the ‘micro-proportionality assessment’.</w:t>
      </w:r>
      <w:r w:rsidRPr="009E6775">
        <w:rPr>
          <w:rStyle w:val="aa"/>
          <w:rFonts w:ascii="Times New Roman" w:hAnsi="Times New Roman" w:cs="Times New Roman"/>
          <w:sz w:val="24"/>
          <w:szCs w:val="24"/>
        </w:rPr>
        <w:footnoteReference w:id="161"/>
      </w:r>
      <w:r w:rsidRPr="009E6775">
        <w:rPr>
          <w:rFonts w:ascii="Times New Roman" w:hAnsi="Times New Roman" w:cs="Times New Roman"/>
          <w:sz w:val="24"/>
          <w:szCs w:val="24"/>
        </w:rPr>
        <w:t xml:space="preserve"> </w:t>
      </w:r>
      <w:r w:rsidR="00BF5A9E" w:rsidRPr="009E6775">
        <w:rPr>
          <w:rFonts w:ascii="Times New Roman" w:hAnsi="Times New Roman" w:cs="Times New Roman"/>
          <w:sz w:val="24"/>
          <w:szCs w:val="24"/>
        </w:rPr>
        <w:t>The</w:t>
      </w:r>
      <w:r w:rsidR="00C4069B" w:rsidRPr="009E6775">
        <w:rPr>
          <w:rFonts w:ascii="Times New Roman" w:hAnsi="Times New Roman" w:cs="Times New Roman"/>
          <w:sz w:val="24"/>
          <w:szCs w:val="24"/>
        </w:rPr>
        <w:t xml:space="preserve"> </w:t>
      </w:r>
      <w:r w:rsidRPr="009E6775">
        <w:rPr>
          <w:rFonts w:ascii="Times New Roman" w:hAnsi="Times New Roman" w:cs="Times New Roman"/>
          <w:sz w:val="24"/>
          <w:szCs w:val="24"/>
        </w:rPr>
        <w:t>downscaled mode of proportionality</w:t>
      </w:r>
      <w:r w:rsidR="003822D8" w:rsidRPr="009E6775">
        <w:rPr>
          <w:rFonts w:ascii="Times New Roman" w:hAnsi="Times New Roman" w:cs="Times New Roman"/>
          <w:sz w:val="24"/>
          <w:szCs w:val="24"/>
        </w:rPr>
        <w:t xml:space="preserve"> can be seen to operate in tandem </w:t>
      </w:r>
      <w:r w:rsidRPr="009E6775">
        <w:rPr>
          <w:rFonts w:ascii="Times New Roman" w:hAnsi="Times New Roman" w:cs="Times New Roman"/>
          <w:sz w:val="24"/>
          <w:szCs w:val="24"/>
        </w:rPr>
        <w:t>with the pattern of rating the right to life of settlers as the primordial interests in the cost-benefit equation</w:t>
      </w:r>
      <w:r w:rsidR="003822D8" w:rsidRPr="009E6775">
        <w:rPr>
          <w:rFonts w:ascii="Times New Roman" w:hAnsi="Times New Roman" w:cs="Times New Roman"/>
          <w:sz w:val="24"/>
          <w:szCs w:val="24"/>
        </w:rPr>
        <w:t xml:space="preserve">. This </w:t>
      </w:r>
      <w:r w:rsidRPr="009E6775">
        <w:rPr>
          <w:rFonts w:ascii="Times New Roman" w:hAnsi="Times New Roman" w:cs="Times New Roman"/>
          <w:sz w:val="24"/>
          <w:szCs w:val="24"/>
        </w:rPr>
        <w:t xml:space="preserve">prompted </w:t>
      </w:r>
      <w:r w:rsidR="003822D8" w:rsidRPr="009E6775">
        <w:rPr>
          <w:rFonts w:ascii="Times New Roman" w:hAnsi="Times New Roman" w:cs="Times New Roman"/>
          <w:sz w:val="24"/>
          <w:szCs w:val="24"/>
        </w:rPr>
        <w:t>Weil</w:t>
      </w:r>
      <w:r w:rsidRPr="009E6775">
        <w:rPr>
          <w:rFonts w:ascii="Times New Roman" w:hAnsi="Times New Roman" w:cs="Times New Roman"/>
          <w:sz w:val="24"/>
          <w:szCs w:val="24"/>
        </w:rPr>
        <w:t xml:space="preserve"> to arrive at a </w:t>
      </w:r>
      <w:r w:rsidR="00A71E46" w:rsidRPr="009E6775">
        <w:rPr>
          <w:rFonts w:ascii="Times New Roman" w:hAnsi="Times New Roman" w:cs="Times New Roman"/>
          <w:sz w:val="24"/>
          <w:szCs w:val="24"/>
        </w:rPr>
        <w:t>sharply un</w:t>
      </w:r>
      <w:r w:rsidRPr="009E6775">
        <w:rPr>
          <w:rFonts w:ascii="Times New Roman" w:hAnsi="Times New Roman" w:cs="Times New Roman"/>
          <w:sz w:val="24"/>
          <w:szCs w:val="24"/>
        </w:rPr>
        <w:t xml:space="preserve">mitigated conclusion that </w:t>
      </w:r>
      <w:r w:rsidR="00C4069B" w:rsidRPr="009E6775">
        <w:rPr>
          <w:rFonts w:ascii="Times New Roman" w:hAnsi="Times New Roman" w:cs="Times New Roman"/>
          <w:sz w:val="24"/>
          <w:szCs w:val="24"/>
        </w:rPr>
        <w:t xml:space="preserve">the SC’s contribution in this case for the local Palestinians </w:t>
      </w:r>
      <w:r w:rsidR="0070683C" w:rsidRPr="009E6775">
        <w:rPr>
          <w:rFonts w:ascii="Times New Roman" w:hAnsi="Times New Roman" w:cs="Times New Roman"/>
          <w:sz w:val="24"/>
          <w:szCs w:val="24"/>
        </w:rPr>
        <w:t>turned out to be</w:t>
      </w:r>
      <w:r w:rsidR="00C4069B" w:rsidRPr="009E6775">
        <w:rPr>
          <w:rFonts w:ascii="Times New Roman" w:hAnsi="Times New Roman" w:cs="Times New Roman"/>
          <w:sz w:val="24"/>
          <w:szCs w:val="24"/>
        </w:rPr>
        <w:t xml:space="preserve"> ‘negiligible’.</w:t>
      </w:r>
      <w:r w:rsidRPr="009E6775">
        <w:rPr>
          <w:rStyle w:val="aa"/>
          <w:rFonts w:ascii="Times New Roman" w:hAnsi="Times New Roman" w:cs="Times New Roman"/>
          <w:sz w:val="24"/>
          <w:szCs w:val="24"/>
        </w:rPr>
        <w:footnoteReference w:id="162"/>
      </w:r>
      <w:r w:rsidRPr="009E6775">
        <w:rPr>
          <w:rFonts w:ascii="Times New Roman" w:hAnsi="Times New Roman" w:cs="Times New Roman"/>
          <w:sz w:val="24"/>
          <w:szCs w:val="24"/>
        </w:rPr>
        <w:t xml:space="preserve"> Further, as in </w:t>
      </w:r>
      <w:r w:rsidRPr="009E6775">
        <w:rPr>
          <w:rFonts w:ascii="Times New Roman" w:hAnsi="Times New Roman" w:cs="Times New Roman"/>
          <w:i/>
          <w:iCs/>
          <w:sz w:val="24"/>
          <w:szCs w:val="24"/>
        </w:rPr>
        <w:t>Beit Sourik</w:t>
      </w:r>
      <w:r w:rsidRPr="009E6775">
        <w:rPr>
          <w:rFonts w:ascii="Times New Roman" w:hAnsi="Times New Roman" w:cs="Times New Roman"/>
          <w:sz w:val="24"/>
          <w:szCs w:val="24"/>
        </w:rPr>
        <w:t xml:space="preserve">, another questionable modality of proportionality appraisal in </w:t>
      </w:r>
      <w:r w:rsidRPr="009E6775">
        <w:rPr>
          <w:rFonts w:ascii="Times New Roman" w:hAnsi="Times New Roman" w:cs="Times New Roman"/>
          <w:i/>
          <w:iCs/>
          <w:sz w:val="24"/>
          <w:szCs w:val="24"/>
        </w:rPr>
        <w:t>Mara’abe</w:t>
      </w:r>
      <w:r w:rsidRPr="009E6775">
        <w:rPr>
          <w:rFonts w:ascii="Times New Roman" w:hAnsi="Times New Roman" w:cs="Times New Roman"/>
          <w:sz w:val="24"/>
          <w:szCs w:val="24"/>
        </w:rPr>
        <w:t xml:space="preserve"> is the SC’s omission to explore any means of safeguarding rights of settlers other than by including the settlements within the ‘Israeli perimeter’ and hence </w:t>
      </w:r>
      <w:r w:rsidRPr="009E6775">
        <w:rPr>
          <w:rFonts w:ascii="Times New Roman" w:hAnsi="Times New Roman" w:cs="Times New Roman"/>
          <w:i/>
          <w:iCs/>
          <w:sz w:val="24"/>
          <w:szCs w:val="24"/>
        </w:rPr>
        <w:t xml:space="preserve">de facto </w:t>
      </w:r>
      <w:r w:rsidRPr="009E6775">
        <w:rPr>
          <w:rFonts w:ascii="Times New Roman" w:hAnsi="Times New Roman" w:cs="Times New Roman"/>
          <w:sz w:val="24"/>
          <w:szCs w:val="24"/>
        </w:rPr>
        <w:t xml:space="preserve">annexing the relevant </w:t>
      </w:r>
      <w:r w:rsidRPr="009E6775">
        <w:rPr>
          <w:rFonts w:ascii="Times New Roman" w:hAnsi="Times New Roman" w:cs="Times New Roman"/>
          <w:sz w:val="24"/>
          <w:szCs w:val="24"/>
        </w:rPr>
        <w:lastRenderedPageBreak/>
        <w:t>areas.</w:t>
      </w:r>
      <w:r w:rsidRPr="009E6775">
        <w:rPr>
          <w:rStyle w:val="aa"/>
          <w:rFonts w:ascii="Times New Roman" w:hAnsi="Times New Roman" w:cs="Times New Roman"/>
          <w:sz w:val="24"/>
          <w:szCs w:val="24"/>
        </w:rPr>
        <w:footnoteReference w:id="163"/>
      </w:r>
      <w:r w:rsidRPr="009E6775">
        <w:rPr>
          <w:rFonts w:ascii="Times New Roman" w:hAnsi="Times New Roman" w:cs="Times New Roman"/>
          <w:sz w:val="24"/>
          <w:szCs w:val="24"/>
        </w:rPr>
        <w:t xml:space="preserve"> </w:t>
      </w:r>
      <w:r w:rsidR="006C2051" w:rsidRPr="009E6775">
        <w:rPr>
          <w:rFonts w:ascii="Times New Roman" w:hAnsi="Times New Roman" w:cs="Times New Roman"/>
          <w:sz w:val="24"/>
          <w:szCs w:val="24"/>
        </w:rPr>
        <w:t xml:space="preserve">Insightfully, </w:t>
      </w:r>
      <w:r w:rsidRPr="009E6775">
        <w:rPr>
          <w:rFonts w:ascii="Times New Roman" w:hAnsi="Times New Roman" w:cs="Times New Roman"/>
          <w:sz w:val="24"/>
          <w:szCs w:val="24"/>
        </w:rPr>
        <w:t>Kretzmer and Ronen suggest</w:t>
      </w:r>
      <w:r w:rsidR="006C2051" w:rsidRPr="009E6775">
        <w:rPr>
          <w:rFonts w:ascii="Times New Roman" w:hAnsi="Times New Roman" w:cs="Times New Roman"/>
          <w:sz w:val="24"/>
          <w:szCs w:val="24"/>
        </w:rPr>
        <w:t xml:space="preserve"> that</w:t>
      </w:r>
      <w:r w:rsidRPr="009E6775">
        <w:rPr>
          <w:rFonts w:ascii="Times New Roman" w:hAnsi="Times New Roman" w:cs="Times New Roman"/>
          <w:sz w:val="24"/>
          <w:szCs w:val="24"/>
        </w:rPr>
        <w:t xml:space="preserve"> the SC appeared to </w:t>
      </w:r>
      <w:r w:rsidRPr="009E6775">
        <w:rPr>
          <w:rFonts w:ascii="Times New Roman" w:hAnsi="Times New Roman" w:cs="Times New Roman"/>
          <w:i/>
          <w:iCs/>
          <w:sz w:val="24"/>
          <w:szCs w:val="24"/>
        </w:rPr>
        <w:t>preordain</w:t>
      </w:r>
      <w:r w:rsidRPr="009E6775">
        <w:rPr>
          <w:rFonts w:ascii="Times New Roman" w:hAnsi="Times New Roman" w:cs="Times New Roman"/>
          <w:sz w:val="24"/>
          <w:szCs w:val="24"/>
        </w:rPr>
        <w:t xml:space="preserve"> the available options narrowly when ascertaining the second subtest of proportionality (necessity or less restrictive alternative).</w:t>
      </w:r>
      <w:r w:rsidRPr="009E6775">
        <w:rPr>
          <w:rStyle w:val="aa"/>
          <w:rFonts w:ascii="Times New Roman" w:hAnsi="Times New Roman" w:cs="Times New Roman"/>
          <w:sz w:val="24"/>
          <w:szCs w:val="24"/>
        </w:rPr>
        <w:footnoteReference w:id="164"/>
      </w:r>
      <w:r w:rsidRPr="009E6775">
        <w:rPr>
          <w:rFonts w:ascii="Times New Roman" w:hAnsi="Times New Roman" w:cs="Times New Roman"/>
          <w:sz w:val="24"/>
          <w:szCs w:val="24"/>
        </w:rPr>
        <w:t xml:space="preserve"> </w:t>
      </w:r>
      <w:r w:rsidR="006C2051" w:rsidRPr="009E6775">
        <w:rPr>
          <w:rFonts w:ascii="Times New Roman" w:hAnsi="Times New Roman" w:cs="Times New Roman"/>
          <w:sz w:val="24"/>
          <w:szCs w:val="24"/>
        </w:rPr>
        <w:t xml:space="preserve">Arguably, </w:t>
      </w:r>
      <w:r w:rsidRPr="009E6775">
        <w:rPr>
          <w:rFonts w:ascii="Times New Roman" w:hAnsi="Times New Roman" w:cs="Times New Roman"/>
          <w:sz w:val="24"/>
          <w:szCs w:val="24"/>
        </w:rPr>
        <w:t xml:space="preserve">such an approach was calculated to temper any </w:t>
      </w:r>
      <w:r w:rsidR="00BF5A9E" w:rsidRPr="009E6775">
        <w:rPr>
          <w:rFonts w:ascii="Times New Roman" w:hAnsi="Times New Roman" w:cs="Times New Roman"/>
          <w:sz w:val="24"/>
          <w:szCs w:val="24"/>
        </w:rPr>
        <w:t>serious</w:t>
      </w:r>
      <w:r w:rsidRPr="009E6775">
        <w:rPr>
          <w:rFonts w:ascii="Times New Roman" w:hAnsi="Times New Roman" w:cs="Times New Roman"/>
          <w:sz w:val="24"/>
          <w:szCs w:val="24"/>
        </w:rPr>
        <w:t xml:space="preserve"> ramifications of applying the less restrictive alternative </w:t>
      </w:r>
      <w:r w:rsidR="00BF5A9E" w:rsidRPr="009E6775">
        <w:rPr>
          <w:rFonts w:ascii="Times New Roman" w:hAnsi="Times New Roman" w:cs="Times New Roman"/>
          <w:sz w:val="24"/>
          <w:szCs w:val="24"/>
        </w:rPr>
        <w:t>sub</w:t>
      </w:r>
      <w:r w:rsidRPr="009E6775">
        <w:rPr>
          <w:rFonts w:ascii="Times New Roman" w:hAnsi="Times New Roman" w:cs="Times New Roman"/>
          <w:sz w:val="24"/>
          <w:szCs w:val="24"/>
        </w:rPr>
        <w:t>test.</w:t>
      </w:r>
      <w:r w:rsidR="00A71E46" w:rsidRPr="009E6775">
        <w:rPr>
          <w:rFonts w:ascii="Times New Roman" w:hAnsi="Times New Roman" w:cs="Times New Roman"/>
          <w:sz w:val="24"/>
          <w:szCs w:val="24"/>
        </w:rPr>
        <w:t xml:space="preserve"> Yet, as will be examined below, its analytical process is </w:t>
      </w:r>
      <w:r w:rsidR="00127189" w:rsidRPr="009E6775">
        <w:rPr>
          <w:rFonts w:ascii="Times New Roman" w:hAnsi="Times New Roman" w:cs="Times New Roman"/>
          <w:sz w:val="24"/>
          <w:szCs w:val="24"/>
        </w:rPr>
        <w:t>unpersuasive</w:t>
      </w:r>
      <w:r w:rsidR="00A71E46" w:rsidRPr="009E6775">
        <w:rPr>
          <w:rFonts w:ascii="Times New Roman" w:hAnsi="Times New Roman" w:cs="Times New Roman"/>
          <w:sz w:val="24"/>
          <w:szCs w:val="24"/>
        </w:rPr>
        <w:t>.</w:t>
      </w:r>
    </w:p>
    <w:p w14:paraId="38370D8E" w14:textId="77777777" w:rsidR="00830085" w:rsidRPr="009E6775" w:rsidRDefault="00830085" w:rsidP="0081540D">
      <w:pPr>
        <w:rPr>
          <w:rFonts w:ascii="Times New Roman" w:hAnsi="Times New Roman" w:cs="Times New Roman"/>
          <w:sz w:val="24"/>
          <w:szCs w:val="24"/>
          <w:shd w:val="clear" w:color="auto" w:fill="FFFFFF"/>
        </w:rPr>
      </w:pPr>
    </w:p>
    <w:p w14:paraId="3433A300" w14:textId="11577B95" w:rsidR="00791DC9" w:rsidRPr="009E6775" w:rsidRDefault="00791DC9" w:rsidP="00E31CD6">
      <w:pPr>
        <w:pStyle w:val="a3"/>
        <w:numPr>
          <w:ilvl w:val="0"/>
          <w:numId w:val="13"/>
        </w:numPr>
        <w:ind w:leftChars="0"/>
        <w:rPr>
          <w:rFonts w:ascii="Times New Roman" w:hAnsi="Times New Roman" w:cs="Times New Roman"/>
          <w:b/>
          <w:bCs/>
          <w:sz w:val="24"/>
          <w:szCs w:val="24"/>
          <w:shd w:val="clear" w:color="auto" w:fill="FFFFFF"/>
        </w:rPr>
      </w:pPr>
      <w:r w:rsidRPr="009E6775">
        <w:rPr>
          <w:rFonts w:ascii="Times New Roman" w:hAnsi="Times New Roman" w:cs="Times New Roman"/>
          <w:b/>
          <w:bCs/>
          <w:sz w:val="24"/>
          <w:szCs w:val="24"/>
          <w:shd w:val="clear" w:color="auto" w:fill="FFFFFF"/>
        </w:rPr>
        <w:t>Progressive Approaches</w:t>
      </w:r>
      <w:r w:rsidR="000763DE" w:rsidRPr="009E6775">
        <w:rPr>
          <w:rFonts w:ascii="Times New Roman" w:hAnsi="Times New Roman" w:cs="Times New Roman"/>
          <w:b/>
          <w:bCs/>
          <w:sz w:val="24"/>
          <w:szCs w:val="24"/>
          <w:shd w:val="clear" w:color="auto" w:fill="FFFFFF"/>
        </w:rPr>
        <w:t xml:space="preserve"> disclosed by the Israeli Supreme Court</w:t>
      </w:r>
    </w:p>
    <w:p w14:paraId="642CAAEA" w14:textId="42869355" w:rsidR="006437D8" w:rsidRPr="00FF2DCA" w:rsidRDefault="006437D8" w:rsidP="00FF2DCA">
      <w:pPr>
        <w:pStyle w:val="a3"/>
        <w:numPr>
          <w:ilvl w:val="0"/>
          <w:numId w:val="20"/>
        </w:numPr>
        <w:ind w:leftChars="0"/>
        <w:rPr>
          <w:rFonts w:ascii="Times New Roman" w:hAnsi="Times New Roman" w:cs="Times New Roman"/>
          <w:b/>
          <w:bCs/>
          <w:sz w:val="24"/>
          <w:szCs w:val="24"/>
          <w:shd w:val="clear" w:color="auto" w:fill="FFFFFF"/>
        </w:rPr>
      </w:pPr>
      <w:r w:rsidRPr="00FF2DCA">
        <w:rPr>
          <w:rFonts w:ascii="Times New Roman" w:hAnsi="Times New Roman" w:cs="Times New Roman"/>
          <w:b/>
          <w:bCs/>
          <w:sz w:val="24"/>
          <w:szCs w:val="24"/>
          <w:shd w:val="clear" w:color="auto" w:fill="FFFFFF"/>
        </w:rPr>
        <w:t>Overview</w:t>
      </w:r>
    </w:p>
    <w:p w14:paraId="03C23DB9" w14:textId="498BF35E" w:rsidR="0068265F" w:rsidRPr="009E6775" w:rsidRDefault="00A71E46" w:rsidP="0081540D">
      <w:pPr>
        <w:rPr>
          <w:rFonts w:ascii="Times New Roman" w:hAnsi="Times New Roman" w:cs="Times New Roman"/>
          <w:sz w:val="24"/>
          <w:szCs w:val="24"/>
        </w:rPr>
      </w:pPr>
      <w:r w:rsidRPr="009E6775">
        <w:rPr>
          <w:rFonts w:ascii="Times New Roman" w:hAnsi="Times New Roman" w:cs="Times New Roman"/>
          <w:sz w:val="24"/>
          <w:szCs w:val="24"/>
        </w:rPr>
        <w:t>In contrast to the approaches examined above</w:t>
      </w:r>
      <w:r w:rsidR="00730305" w:rsidRPr="009E6775">
        <w:rPr>
          <w:rFonts w:ascii="Times New Roman" w:hAnsi="Times New Roman" w:cs="Times New Roman"/>
          <w:sz w:val="24"/>
          <w:szCs w:val="24"/>
        </w:rPr>
        <w:t xml:space="preserve">, analyses of </w:t>
      </w:r>
      <w:r w:rsidRPr="009E6775">
        <w:rPr>
          <w:rFonts w:ascii="Times New Roman" w:hAnsi="Times New Roman" w:cs="Times New Roman"/>
          <w:sz w:val="24"/>
          <w:szCs w:val="24"/>
        </w:rPr>
        <w:t>the SC’s approach</w:t>
      </w:r>
      <w:r w:rsidR="00F556A0" w:rsidRPr="009E6775">
        <w:rPr>
          <w:rFonts w:ascii="Times New Roman" w:hAnsi="Times New Roman" w:cs="Times New Roman"/>
          <w:sz w:val="24"/>
          <w:szCs w:val="24"/>
        </w:rPr>
        <w:t>es</w:t>
      </w:r>
      <w:r w:rsidRPr="009E6775">
        <w:rPr>
          <w:rFonts w:ascii="Times New Roman" w:hAnsi="Times New Roman" w:cs="Times New Roman"/>
          <w:sz w:val="24"/>
          <w:szCs w:val="24"/>
        </w:rPr>
        <w:t xml:space="preserve"> to </w:t>
      </w:r>
      <w:r w:rsidR="00730305" w:rsidRPr="009E6775">
        <w:rPr>
          <w:rFonts w:ascii="Times New Roman" w:hAnsi="Times New Roman" w:cs="Times New Roman"/>
          <w:sz w:val="24"/>
          <w:szCs w:val="24"/>
        </w:rPr>
        <w:t xml:space="preserve">some thematic issues show </w:t>
      </w:r>
      <w:r w:rsidRPr="009E6775">
        <w:rPr>
          <w:rFonts w:ascii="Times New Roman" w:hAnsi="Times New Roman" w:cs="Times New Roman"/>
          <w:sz w:val="24"/>
          <w:szCs w:val="24"/>
        </w:rPr>
        <w:t xml:space="preserve">its </w:t>
      </w:r>
      <w:r w:rsidR="00F556A0" w:rsidRPr="009E6775">
        <w:rPr>
          <w:rFonts w:ascii="Times New Roman" w:hAnsi="Times New Roman" w:cs="Times New Roman"/>
          <w:sz w:val="24"/>
          <w:szCs w:val="24"/>
        </w:rPr>
        <w:t xml:space="preserve">impressively </w:t>
      </w:r>
      <w:r w:rsidR="00730305" w:rsidRPr="009E6775">
        <w:rPr>
          <w:rFonts w:ascii="Times New Roman" w:hAnsi="Times New Roman" w:cs="Times New Roman"/>
          <w:sz w:val="24"/>
          <w:szCs w:val="24"/>
        </w:rPr>
        <w:t xml:space="preserve">progressive </w:t>
      </w:r>
      <w:r w:rsidRPr="009E6775">
        <w:rPr>
          <w:rFonts w:ascii="Times New Roman" w:hAnsi="Times New Roman" w:cs="Times New Roman"/>
          <w:sz w:val="24"/>
          <w:szCs w:val="24"/>
        </w:rPr>
        <w:t>strides and even policies</w:t>
      </w:r>
      <w:r w:rsidR="000763DE" w:rsidRPr="009E6775">
        <w:rPr>
          <w:rFonts w:ascii="Times New Roman" w:hAnsi="Times New Roman" w:cs="Times New Roman"/>
          <w:sz w:val="24"/>
          <w:szCs w:val="24"/>
        </w:rPr>
        <w:t xml:space="preserve">. In some areas, their approach should be appreciated </w:t>
      </w:r>
      <w:r w:rsidR="00730305" w:rsidRPr="009E6775">
        <w:rPr>
          <w:rFonts w:ascii="Times New Roman" w:hAnsi="Times New Roman" w:cs="Times New Roman"/>
          <w:sz w:val="24"/>
          <w:szCs w:val="24"/>
        </w:rPr>
        <w:t xml:space="preserve">even </w:t>
      </w:r>
      <w:r w:rsidR="000763DE" w:rsidRPr="009E6775">
        <w:rPr>
          <w:rFonts w:ascii="Times New Roman" w:hAnsi="Times New Roman" w:cs="Times New Roman"/>
          <w:sz w:val="24"/>
          <w:szCs w:val="24"/>
        </w:rPr>
        <w:t>as compared with</w:t>
      </w:r>
      <w:r w:rsidR="00730305" w:rsidRPr="009E6775">
        <w:rPr>
          <w:rFonts w:ascii="Times New Roman" w:hAnsi="Times New Roman" w:cs="Times New Roman"/>
          <w:sz w:val="24"/>
          <w:szCs w:val="24"/>
        </w:rPr>
        <w:t xml:space="preserve"> </w:t>
      </w:r>
      <w:r w:rsidR="000763DE" w:rsidRPr="009E6775">
        <w:rPr>
          <w:rFonts w:ascii="Times New Roman" w:hAnsi="Times New Roman" w:cs="Times New Roman"/>
          <w:sz w:val="24"/>
          <w:szCs w:val="24"/>
        </w:rPr>
        <w:t xml:space="preserve">some </w:t>
      </w:r>
      <w:r w:rsidR="00730305" w:rsidRPr="009E6775">
        <w:rPr>
          <w:rFonts w:ascii="Times New Roman" w:hAnsi="Times New Roman" w:cs="Times New Roman"/>
          <w:sz w:val="24"/>
          <w:szCs w:val="24"/>
        </w:rPr>
        <w:t xml:space="preserve">treaty bodies of IHRL. </w:t>
      </w:r>
      <w:r w:rsidR="0068265F" w:rsidRPr="009E6775">
        <w:rPr>
          <w:rFonts w:ascii="Times New Roman" w:hAnsi="Times New Roman" w:cs="Times New Roman"/>
          <w:sz w:val="24"/>
          <w:szCs w:val="24"/>
        </w:rPr>
        <w:t xml:space="preserve">In this subsection, the examinations focus on </w:t>
      </w:r>
      <w:r w:rsidR="00830085" w:rsidRPr="009E6775">
        <w:rPr>
          <w:rFonts w:ascii="Times New Roman" w:hAnsi="Times New Roman" w:cs="Times New Roman"/>
          <w:sz w:val="24"/>
          <w:szCs w:val="24"/>
        </w:rPr>
        <w:t>two</w:t>
      </w:r>
      <w:r w:rsidR="0068265F" w:rsidRPr="009E6775">
        <w:rPr>
          <w:rFonts w:ascii="Times New Roman" w:hAnsi="Times New Roman" w:cs="Times New Roman"/>
          <w:sz w:val="24"/>
          <w:szCs w:val="24"/>
        </w:rPr>
        <w:t xml:space="preserve"> areas in which such </w:t>
      </w:r>
      <w:r w:rsidR="00F556A0" w:rsidRPr="009E6775">
        <w:rPr>
          <w:rFonts w:ascii="Times New Roman" w:hAnsi="Times New Roman" w:cs="Times New Roman"/>
          <w:sz w:val="24"/>
          <w:szCs w:val="24"/>
        </w:rPr>
        <w:t xml:space="preserve">markedly </w:t>
      </w:r>
      <w:r w:rsidR="0068265F" w:rsidRPr="009E6775">
        <w:rPr>
          <w:rFonts w:ascii="Times New Roman" w:hAnsi="Times New Roman" w:cs="Times New Roman"/>
          <w:sz w:val="24"/>
          <w:szCs w:val="24"/>
        </w:rPr>
        <w:t xml:space="preserve">liberal stances can be identified: issues </w:t>
      </w:r>
      <w:r w:rsidR="00830085" w:rsidRPr="009E6775">
        <w:rPr>
          <w:rFonts w:ascii="Times New Roman" w:hAnsi="Times New Roman" w:cs="Times New Roman"/>
          <w:sz w:val="24"/>
          <w:szCs w:val="24"/>
        </w:rPr>
        <w:t xml:space="preserve">concerning </w:t>
      </w:r>
      <w:r w:rsidR="006437D8" w:rsidRPr="009E6775">
        <w:rPr>
          <w:rFonts w:ascii="Times New Roman" w:hAnsi="Times New Roman" w:cs="Times New Roman"/>
          <w:sz w:val="24"/>
          <w:szCs w:val="24"/>
        </w:rPr>
        <w:t xml:space="preserve">economic and </w:t>
      </w:r>
      <w:r w:rsidR="0068265F" w:rsidRPr="009E6775">
        <w:rPr>
          <w:rFonts w:ascii="Times New Roman" w:hAnsi="Times New Roman" w:cs="Times New Roman"/>
          <w:sz w:val="24"/>
          <w:szCs w:val="24"/>
        </w:rPr>
        <w:t xml:space="preserve">social rights of the Gaza civilians during active hostilities; </w:t>
      </w:r>
      <w:r w:rsidR="00127189" w:rsidRPr="009E6775">
        <w:rPr>
          <w:rFonts w:ascii="Times New Roman" w:hAnsi="Times New Roman" w:cs="Times New Roman"/>
          <w:sz w:val="24"/>
          <w:szCs w:val="24"/>
        </w:rPr>
        <w:t xml:space="preserve">and </w:t>
      </w:r>
      <w:r w:rsidR="00830085" w:rsidRPr="009E6775">
        <w:rPr>
          <w:rFonts w:ascii="Times New Roman" w:hAnsi="Times New Roman" w:cs="Times New Roman"/>
          <w:sz w:val="24"/>
          <w:szCs w:val="24"/>
        </w:rPr>
        <w:t xml:space="preserve">issues </w:t>
      </w:r>
      <w:r w:rsidRPr="009E6775">
        <w:rPr>
          <w:rFonts w:ascii="Times New Roman" w:hAnsi="Times New Roman" w:cs="Times New Roman"/>
          <w:sz w:val="24"/>
          <w:szCs w:val="24"/>
        </w:rPr>
        <w:t xml:space="preserve">of means and methods of warfare </w:t>
      </w:r>
      <w:r w:rsidR="00830085" w:rsidRPr="009E6775">
        <w:rPr>
          <w:rFonts w:ascii="Times New Roman" w:hAnsi="Times New Roman" w:cs="Times New Roman"/>
          <w:sz w:val="24"/>
          <w:szCs w:val="24"/>
        </w:rPr>
        <w:t>relating to</w:t>
      </w:r>
      <w:r w:rsidR="0068265F" w:rsidRPr="009E6775">
        <w:rPr>
          <w:rFonts w:ascii="Times New Roman" w:hAnsi="Times New Roman" w:cs="Times New Roman"/>
          <w:sz w:val="24"/>
          <w:szCs w:val="24"/>
        </w:rPr>
        <w:t xml:space="preserve"> conduct of hostilities. </w:t>
      </w:r>
    </w:p>
    <w:p w14:paraId="57B97D1D" w14:textId="74DEEAC1" w:rsidR="0068265F" w:rsidRPr="009E6775" w:rsidRDefault="0068265F" w:rsidP="0081540D">
      <w:pPr>
        <w:rPr>
          <w:rFonts w:ascii="Times New Roman" w:hAnsi="Times New Roman" w:cs="Times New Roman"/>
          <w:sz w:val="24"/>
          <w:szCs w:val="24"/>
        </w:rPr>
      </w:pPr>
    </w:p>
    <w:p w14:paraId="26E0F549" w14:textId="0BA33899" w:rsidR="006437D8" w:rsidRPr="00FF2DCA" w:rsidRDefault="006437D8" w:rsidP="00FF2DCA">
      <w:pPr>
        <w:pStyle w:val="a3"/>
        <w:numPr>
          <w:ilvl w:val="0"/>
          <w:numId w:val="20"/>
        </w:numPr>
        <w:ind w:leftChars="0"/>
        <w:rPr>
          <w:rFonts w:ascii="Times New Roman" w:hAnsi="Times New Roman" w:cs="Times New Roman"/>
          <w:b/>
          <w:bCs/>
          <w:sz w:val="24"/>
          <w:szCs w:val="24"/>
        </w:rPr>
      </w:pPr>
      <w:r w:rsidRPr="00FF2DCA">
        <w:rPr>
          <w:rFonts w:ascii="Times New Roman" w:hAnsi="Times New Roman" w:cs="Times New Roman"/>
          <w:b/>
          <w:bCs/>
          <w:sz w:val="24"/>
          <w:szCs w:val="24"/>
        </w:rPr>
        <w:t>Economic and Social Rights of the Gaza Inhabitants</w:t>
      </w:r>
    </w:p>
    <w:p w14:paraId="52BB4E33" w14:textId="77777777" w:rsidR="00127189" w:rsidRPr="009E6775" w:rsidRDefault="00791DC9" w:rsidP="0081540D">
      <w:pPr>
        <w:rPr>
          <w:rFonts w:ascii="Times New Roman" w:hAnsi="Times New Roman" w:cs="Times New Roman"/>
          <w:sz w:val="24"/>
          <w:szCs w:val="24"/>
        </w:rPr>
      </w:pPr>
      <w:r w:rsidRPr="009E6775">
        <w:rPr>
          <w:rFonts w:ascii="Times New Roman" w:hAnsi="Times New Roman" w:cs="Times New Roman"/>
          <w:sz w:val="24"/>
          <w:szCs w:val="24"/>
        </w:rPr>
        <w:t xml:space="preserve">The question whether or not Gaza </w:t>
      </w:r>
      <w:r w:rsidR="002F53EF" w:rsidRPr="009E6775">
        <w:rPr>
          <w:rFonts w:ascii="Times New Roman" w:hAnsi="Times New Roman" w:cs="Times New Roman"/>
          <w:sz w:val="24"/>
          <w:szCs w:val="24"/>
        </w:rPr>
        <w:t>since</w:t>
      </w:r>
      <w:r w:rsidRPr="009E6775">
        <w:rPr>
          <w:rFonts w:ascii="Times New Roman" w:hAnsi="Times New Roman" w:cs="Times New Roman"/>
          <w:sz w:val="24"/>
          <w:szCs w:val="24"/>
        </w:rPr>
        <w:t xml:space="preserve"> the disengagement of the Israeli Defence Forces (IDF) in 2005 can still be considered </w:t>
      </w:r>
      <w:r w:rsidR="002F53EF" w:rsidRPr="009E6775">
        <w:rPr>
          <w:rFonts w:ascii="Times New Roman" w:hAnsi="Times New Roman" w:cs="Times New Roman"/>
          <w:sz w:val="24"/>
          <w:szCs w:val="24"/>
        </w:rPr>
        <w:t xml:space="preserve">the occupied territory </w:t>
      </w:r>
      <w:r w:rsidR="00F556A0" w:rsidRPr="009E6775">
        <w:rPr>
          <w:rFonts w:ascii="Times New Roman" w:hAnsi="Times New Roman" w:cs="Times New Roman"/>
          <w:sz w:val="24"/>
          <w:szCs w:val="24"/>
        </w:rPr>
        <w:t xml:space="preserve">within the meaning of </w:t>
      </w:r>
      <w:r w:rsidR="00F734E7" w:rsidRPr="009E6775">
        <w:rPr>
          <w:rFonts w:ascii="Times New Roman" w:hAnsi="Times New Roman" w:cs="Times New Roman"/>
          <w:sz w:val="24"/>
          <w:szCs w:val="24"/>
        </w:rPr>
        <w:t>Article 42 Hague Regulations</w:t>
      </w:r>
      <w:r w:rsidR="000763DE"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divides opinions of </w:t>
      </w:r>
      <w:r w:rsidR="00730305" w:rsidRPr="009E6775">
        <w:rPr>
          <w:rFonts w:ascii="Times New Roman" w:hAnsi="Times New Roman" w:cs="Times New Roman"/>
          <w:sz w:val="24"/>
          <w:szCs w:val="24"/>
        </w:rPr>
        <w:t xml:space="preserve">the IHL </w:t>
      </w:r>
      <w:r w:rsidRPr="009E6775">
        <w:rPr>
          <w:rFonts w:ascii="Times New Roman" w:hAnsi="Times New Roman" w:cs="Times New Roman"/>
          <w:sz w:val="24"/>
          <w:szCs w:val="24"/>
        </w:rPr>
        <w:t>experts.</w:t>
      </w:r>
      <w:r w:rsidRPr="009E6775">
        <w:rPr>
          <w:rStyle w:val="aa"/>
          <w:rFonts w:ascii="Times New Roman" w:hAnsi="Times New Roman" w:cs="Times New Roman"/>
          <w:sz w:val="24"/>
          <w:szCs w:val="24"/>
        </w:rPr>
        <w:footnoteReference w:id="165"/>
      </w:r>
      <w:r w:rsidRPr="009E6775">
        <w:rPr>
          <w:rFonts w:ascii="Times New Roman" w:hAnsi="Times New Roman" w:cs="Times New Roman"/>
          <w:sz w:val="24"/>
          <w:szCs w:val="24"/>
        </w:rPr>
        <w:t xml:space="preserve"> </w:t>
      </w:r>
      <w:r w:rsidR="00E72C1F" w:rsidRPr="009E6775">
        <w:rPr>
          <w:rFonts w:ascii="Times New Roman" w:hAnsi="Times New Roman" w:cs="Times New Roman"/>
          <w:sz w:val="24"/>
          <w:szCs w:val="24"/>
        </w:rPr>
        <w:t>It is generally accepted that occasional successes of armed resistance fighters in an occupied territory do not terminate the regime of belligerent occupation as such.</w:t>
      </w:r>
      <w:r w:rsidR="00E72C1F" w:rsidRPr="009E6775">
        <w:rPr>
          <w:rStyle w:val="aa"/>
          <w:rFonts w:ascii="Times New Roman" w:hAnsi="Times New Roman" w:cs="Times New Roman"/>
          <w:sz w:val="24"/>
          <w:szCs w:val="24"/>
        </w:rPr>
        <w:footnoteReference w:id="166"/>
      </w:r>
      <w:r w:rsidR="00E72C1F"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Shany </w:t>
      </w:r>
      <w:r w:rsidR="00C25092" w:rsidRPr="009E6775">
        <w:rPr>
          <w:rFonts w:ascii="Times New Roman" w:hAnsi="Times New Roman" w:cs="Times New Roman"/>
          <w:sz w:val="24"/>
          <w:szCs w:val="24"/>
        </w:rPr>
        <w:t>argues</w:t>
      </w:r>
      <w:r w:rsidRPr="009E6775">
        <w:rPr>
          <w:rFonts w:ascii="Times New Roman" w:hAnsi="Times New Roman" w:cs="Times New Roman"/>
          <w:sz w:val="24"/>
          <w:szCs w:val="24"/>
        </w:rPr>
        <w:t xml:space="preserve"> that the territory </w:t>
      </w:r>
      <w:r w:rsidR="00F734E7" w:rsidRPr="009E6775">
        <w:rPr>
          <w:rFonts w:ascii="Times New Roman" w:hAnsi="Times New Roman" w:cs="Times New Roman"/>
          <w:sz w:val="24"/>
          <w:szCs w:val="24"/>
        </w:rPr>
        <w:t xml:space="preserve">now falls </w:t>
      </w:r>
      <w:r w:rsidRPr="009E6775">
        <w:rPr>
          <w:rFonts w:ascii="Times New Roman" w:hAnsi="Times New Roman" w:cs="Times New Roman"/>
          <w:sz w:val="24"/>
          <w:szCs w:val="24"/>
        </w:rPr>
        <w:t xml:space="preserve">under effective control </w:t>
      </w:r>
      <w:r w:rsidR="00F734E7" w:rsidRPr="009E6775">
        <w:rPr>
          <w:rFonts w:ascii="Times New Roman" w:hAnsi="Times New Roman" w:cs="Times New Roman"/>
          <w:sz w:val="24"/>
          <w:szCs w:val="24"/>
        </w:rPr>
        <w:t>of</w:t>
      </w:r>
      <w:r w:rsidRPr="009E6775">
        <w:rPr>
          <w:rFonts w:ascii="Times New Roman" w:hAnsi="Times New Roman" w:cs="Times New Roman"/>
          <w:sz w:val="24"/>
          <w:szCs w:val="24"/>
        </w:rPr>
        <w:t xml:space="preserve"> the local Palestinian government</w:t>
      </w:r>
      <w:r w:rsidR="00F734E7" w:rsidRPr="009E6775">
        <w:rPr>
          <w:rFonts w:ascii="Times New Roman" w:hAnsi="Times New Roman" w:cs="Times New Roman"/>
          <w:sz w:val="24"/>
          <w:szCs w:val="24"/>
        </w:rPr>
        <w:t xml:space="preserve">. His rationale is that </w:t>
      </w:r>
      <w:r w:rsidRPr="009E6775">
        <w:rPr>
          <w:rFonts w:ascii="Times New Roman" w:hAnsi="Times New Roman" w:cs="Times New Roman"/>
          <w:sz w:val="24"/>
          <w:szCs w:val="24"/>
        </w:rPr>
        <w:t>any attempt by IDF to exert its authority would be met with considerable military engagement</w:t>
      </w:r>
      <w:r w:rsidR="00730305" w:rsidRPr="009E6775">
        <w:rPr>
          <w:rFonts w:ascii="Times New Roman" w:hAnsi="Times New Roman" w:cs="Times New Roman"/>
          <w:sz w:val="24"/>
          <w:szCs w:val="24"/>
        </w:rPr>
        <w:t xml:space="preserve"> with the local organised resistance forces</w:t>
      </w:r>
      <w:r w:rsidRPr="009E6775">
        <w:rPr>
          <w:rFonts w:ascii="Times New Roman" w:hAnsi="Times New Roman" w:cs="Times New Roman"/>
          <w:sz w:val="24"/>
          <w:szCs w:val="24"/>
        </w:rPr>
        <w:t>.</w:t>
      </w:r>
      <w:r w:rsidR="005D37FD" w:rsidRPr="009E6775">
        <w:rPr>
          <w:rStyle w:val="aa"/>
          <w:rFonts w:ascii="Times New Roman" w:hAnsi="Times New Roman" w:cs="Times New Roman"/>
          <w:sz w:val="24"/>
          <w:szCs w:val="24"/>
        </w:rPr>
        <w:footnoteReference w:id="167"/>
      </w:r>
      <w:r w:rsidR="005D37FD" w:rsidRPr="009E6775">
        <w:rPr>
          <w:rFonts w:ascii="Times New Roman" w:hAnsi="Times New Roman" w:cs="Times New Roman"/>
          <w:sz w:val="24"/>
          <w:szCs w:val="24"/>
        </w:rPr>
        <w:t xml:space="preserve"> </w:t>
      </w:r>
      <w:r w:rsidR="00E72C1F" w:rsidRPr="009E6775">
        <w:rPr>
          <w:rFonts w:ascii="Times New Roman" w:hAnsi="Times New Roman" w:cs="Times New Roman"/>
          <w:sz w:val="24"/>
          <w:szCs w:val="24"/>
        </w:rPr>
        <w:t xml:space="preserve">At least, this </w:t>
      </w:r>
      <w:r w:rsidR="0070683C" w:rsidRPr="009E6775">
        <w:rPr>
          <w:rFonts w:ascii="Times New Roman" w:hAnsi="Times New Roman" w:cs="Times New Roman"/>
          <w:sz w:val="24"/>
          <w:szCs w:val="24"/>
        </w:rPr>
        <w:t xml:space="preserve">author </w:t>
      </w:r>
      <w:r w:rsidR="00E72C1F" w:rsidRPr="009E6775">
        <w:rPr>
          <w:rFonts w:ascii="Times New Roman" w:hAnsi="Times New Roman" w:cs="Times New Roman"/>
          <w:sz w:val="24"/>
          <w:szCs w:val="24"/>
        </w:rPr>
        <w:t xml:space="preserve">is of </w:t>
      </w:r>
      <w:r w:rsidR="000C3777" w:rsidRPr="009E6775">
        <w:rPr>
          <w:rFonts w:ascii="Times New Roman" w:hAnsi="Times New Roman" w:cs="Times New Roman"/>
          <w:sz w:val="24"/>
          <w:szCs w:val="24"/>
        </w:rPr>
        <w:t xml:space="preserve">the view that the applicability of </w:t>
      </w:r>
      <w:r w:rsidR="0070683C" w:rsidRPr="009E6775">
        <w:rPr>
          <w:rFonts w:ascii="Times New Roman" w:hAnsi="Times New Roman" w:cs="Times New Roman"/>
          <w:sz w:val="24"/>
          <w:szCs w:val="24"/>
        </w:rPr>
        <w:t xml:space="preserve">some obligations derived from the law of occupation </w:t>
      </w:r>
      <w:r w:rsidR="000C3777" w:rsidRPr="009E6775">
        <w:rPr>
          <w:rFonts w:ascii="Times New Roman" w:hAnsi="Times New Roman" w:cs="Times New Roman"/>
          <w:sz w:val="24"/>
          <w:szCs w:val="24"/>
        </w:rPr>
        <w:t xml:space="preserve">should be evaluated </w:t>
      </w:r>
      <w:r w:rsidR="0070683C" w:rsidRPr="009E6775">
        <w:rPr>
          <w:rFonts w:ascii="Times New Roman" w:hAnsi="Times New Roman" w:cs="Times New Roman"/>
          <w:sz w:val="24"/>
          <w:szCs w:val="24"/>
        </w:rPr>
        <w:lastRenderedPageBreak/>
        <w:t xml:space="preserve">pursuant to the </w:t>
      </w:r>
      <w:r w:rsidR="00A71E46" w:rsidRPr="009E6775">
        <w:rPr>
          <w:rFonts w:ascii="Times New Roman" w:hAnsi="Times New Roman" w:cs="Times New Roman"/>
          <w:sz w:val="24"/>
          <w:szCs w:val="24"/>
        </w:rPr>
        <w:t>‘</w:t>
      </w:r>
      <w:r w:rsidR="0070683C" w:rsidRPr="009E6775">
        <w:rPr>
          <w:rFonts w:ascii="Times New Roman" w:hAnsi="Times New Roman" w:cs="Times New Roman"/>
          <w:sz w:val="24"/>
          <w:szCs w:val="24"/>
        </w:rPr>
        <w:t>functional analysis</w:t>
      </w:r>
      <w:r w:rsidR="00A71E46" w:rsidRPr="009E6775">
        <w:rPr>
          <w:rFonts w:ascii="Times New Roman" w:hAnsi="Times New Roman" w:cs="Times New Roman"/>
          <w:sz w:val="24"/>
          <w:szCs w:val="24"/>
        </w:rPr>
        <w:t>’</w:t>
      </w:r>
      <w:r w:rsidR="00A71E46" w:rsidRPr="009E6775">
        <w:rPr>
          <w:rStyle w:val="aa"/>
          <w:rFonts w:ascii="Times New Roman" w:hAnsi="Times New Roman" w:cs="Times New Roman"/>
          <w:sz w:val="24"/>
          <w:szCs w:val="24"/>
        </w:rPr>
        <w:footnoteReference w:id="168"/>
      </w:r>
      <w:r w:rsidR="0070683C" w:rsidRPr="009E6775">
        <w:rPr>
          <w:rFonts w:ascii="Times New Roman" w:hAnsi="Times New Roman" w:cs="Times New Roman"/>
          <w:sz w:val="24"/>
          <w:szCs w:val="24"/>
        </w:rPr>
        <w:t xml:space="preserve"> </w:t>
      </w:r>
      <w:r w:rsidR="004E3FB9" w:rsidRPr="009E6775">
        <w:rPr>
          <w:rFonts w:ascii="Times New Roman" w:hAnsi="Times New Roman" w:cs="Times New Roman"/>
          <w:sz w:val="24"/>
          <w:szCs w:val="24"/>
        </w:rPr>
        <w:t xml:space="preserve">based on </w:t>
      </w:r>
      <w:r w:rsidR="0070683C" w:rsidRPr="009E6775">
        <w:rPr>
          <w:rFonts w:ascii="Times New Roman" w:hAnsi="Times New Roman" w:cs="Times New Roman"/>
          <w:sz w:val="24"/>
          <w:szCs w:val="24"/>
        </w:rPr>
        <w:t xml:space="preserve">varying </w:t>
      </w:r>
      <w:r w:rsidR="00022D88" w:rsidRPr="009E6775">
        <w:rPr>
          <w:rFonts w:ascii="Times New Roman" w:hAnsi="Times New Roman" w:cs="Times New Roman"/>
          <w:sz w:val="24"/>
          <w:szCs w:val="24"/>
        </w:rPr>
        <w:t>level</w:t>
      </w:r>
      <w:r w:rsidR="0070683C" w:rsidRPr="009E6775">
        <w:rPr>
          <w:rFonts w:ascii="Times New Roman" w:hAnsi="Times New Roman" w:cs="Times New Roman"/>
          <w:sz w:val="24"/>
          <w:szCs w:val="24"/>
        </w:rPr>
        <w:t xml:space="preserve"> of territorial or personal control</w:t>
      </w:r>
      <w:r w:rsidR="00022D88" w:rsidRPr="009E6775">
        <w:rPr>
          <w:rFonts w:ascii="Times New Roman" w:hAnsi="Times New Roman" w:cs="Times New Roman"/>
          <w:sz w:val="24"/>
          <w:szCs w:val="24"/>
        </w:rPr>
        <w:t>.</w:t>
      </w:r>
      <w:r w:rsidR="00A71E46" w:rsidRPr="009E6775">
        <w:rPr>
          <w:rStyle w:val="aa"/>
          <w:rFonts w:ascii="Times New Roman" w:hAnsi="Times New Roman" w:cs="Times New Roman"/>
          <w:sz w:val="24"/>
          <w:szCs w:val="24"/>
        </w:rPr>
        <w:footnoteReference w:id="169"/>
      </w:r>
      <w:r w:rsidR="00A71E46" w:rsidRPr="009E6775">
        <w:rPr>
          <w:rFonts w:ascii="Times New Roman" w:hAnsi="Times New Roman" w:cs="Times New Roman"/>
          <w:sz w:val="24"/>
          <w:szCs w:val="24"/>
        </w:rPr>
        <w:t xml:space="preserve"> </w:t>
      </w:r>
    </w:p>
    <w:p w14:paraId="6EFA8862" w14:textId="77777777" w:rsidR="00127189" w:rsidRPr="009E6775" w:rsidRDefault="00127189" w:rsidP="0081540D">
      <w:pPr>
        <w:rPr>
          <w:rFonts w:ascii="Times New Roman" w:hAnsi="Times New Roman" w:cs="Times New Roman"/>
          <w:sz w:val="24"/>
          <w:szCs w:val="24"/>
        </w:rPr>
      </w:pPr>
    </w:p>
    <w:p w14:paraId="53F873FF" w14:textId="0BD107D7" w:rsidR="00791DC9" w:rsidRPr="009E6775" w:rsidRDefault="00F734E7" w:rsidP="0081540D">
      <w:pPr>
        <w:rPr>
          <w:rFonts w:ascii="Times New Roman" w:hAnsi="Times New Roman" w:cs="Times New Roman"/>
          <w:sz w:val="24"/>
          <w:szCs w:val="24"/>
        </w:rPr>
      </w:pPr>
      <w:r w:rsidRPr="009E6775">
        <w:rPr>
          <w:rFonts w:ascii="Times New Roman" w:hAnsi="Times New Roman" w:cs="Times New Roman"/>
          <w:sz w:val="24"/>
          <w:szCs w:val="24"/>
        </w:rPr>
        <w:t xml:space="preserve">The </w:t>
      </w:r>
      <w:r w:rsidR="00C25092" w:rsidRPr="009E6775">
        <w:rPr>
          <w:rFonts w:ascii="Times New Roman" w:hAnsi="Times New Roman" w:cs="Times New Roman"/>
          <w:sz w:val="24"/>
          <w:szCs w:val="24"/>
        </w:rPr>
        <w:t xml:space="preserve">SC in </w:t>
      </w:r>
      <w:r w:rsidR="00791DC9" w:rsidRPr="009E6775">
        <w:rPr>
          <w:rFonts w:ascii="Times New Roman" w:hAnsi="Times New Roman" w:cs="Times New Roman"/>
          <w:i/>
          <w:iCs/>
          <w:sz w:val="24"/>
          <w:szCs w:val="24"/>
        </w:rPr>
        <w:t>Al-Bas</w:t>
      </w:r>
      <w:r w:rsidR="00D10094" w:rsidRPr="009E6775">
        <w:rPr>
          <w:rFonts w:ascii="Times New Roman" w:hAnsi="Times New Roman" w:cs="Times New Roman"/>
          <w:i/>
          <w:iCs/>
          <w:sz w:val="24"/>
          <w:szCs w:val="24"/>
        </w:rPr>
        <w:t>s</w:t>
      </w:r>
      <w:r w:rsidR="00791DC9" w:rsidRPr="009E6775">
        <w:rPr>
          <w:rFonts w:ascii="Times New Roman" w:hAnsi="Times New Roman" w:cs="Times New Roman"/>
          <w:i/>
          <w:iCs/>
          <w:sz w:val="24"/>
          <w:szCs w:val="24"/>
        </w:rPr>
        <w:t>iouni Ahmed</w:t>
      </w:r>
      <w:r w:rsidR="00791DC9" w:rsidRPr="009E6775">
        <w:rPr>
          <w:rFonts w:ascii="Times New Roman" w:hAnsi="Times New Roman" w:cs="Times New Roman"/>
          <w:sz w:val="24"/>
          <w:szCs w:val="24"/>
        </w:rPr>
        <w:t xml:space="preserve"> (2008)</w:t>
      </w:r>
      <w:r w:rsidR="00C25092" w:rsidRPr="009E6775">
        <w:rPr>
          <w:rFonts w:ascii="Times New Roman" w:hAnsi="Times New Roman" w:cs="Times New Roman"/>
          <w:sz w:val="24"/>
          <w:szCs w:val="24"/>
        </w:rPr>
        <w:t xml:space="preserve"> </w:t>
      </w:r>
      <w:r w:rsidRPr="009E6775">
        <w:rPr>
          <w:rFonts w:ascii="Times New Roman" w:hAnsi="Times New Roman" w:cs="Times New Roman"/>
          <w:sz w:val="24"/>
          <w:szCs w:val="24"/>
        </w:rPr>
        <w:t>started with the premise</w:t>
      </w:r>
      <w:r w:rsidR="0070683C" w:rsidRPr="009E6775">
        <w:rPr>
          <w:rFonts w:ascii="Times New Roman" w:hAnsi="Times New Roman" w:cs="Times New Roman"/>
          <w:sz w:val="24"/>
          <w:szCs w:val="24"/>
        </w:rPr>
        <w:t xml:space="preserve"> that Gaza is no longer an occupied territory</w:t>
      </w:r>
      <w:r w:rsidRPr="009E6775">
        <w:rPr>
          <w:rFonts w:ascii="Times New Roman" w:hAnsi="Times New Roman" w:cs="Times New Roman"/>
          <w:sz w:val="24"/>
          <w:szCs w:val="24"/>
        </w:rPr>
        <w:t>.</w:t>
      </w:r>
      <w:r w:rsidR="00DB1FFD" w:rsidRPr="009E6775">
        <w:rPr>
          <w:rStyle w:val="aa"/>
          <w:rFonts w:ascii="Times New Roman" w:hAnsi="Times New Roman" w:cs="Times New Roman"/>
          <w:sz w:val="24"/>
          <w:szCs w:val="24"/>
        </w:rPr>
        <w:footnoteReference w:id="170"/>
      </w:r>
      <w:r w:rsidRPr="009E6775">
        <w:rPr>
          <w:rFonts w:ascii="Times New Roman" w:hAnsi="Times New Roman" w:cs="Times New Roman"/>
          <w:sz w:val="24"/>
          <w:szCs w:val="24"/>
        </w:rPr>
        <w:t xml:space="preserve"> Even so, it did not recoil from reminding </w:t>
      </w:r>
      <w:r w:rsidR="00C25092" w:rsidRPr="009E6775">
        <w:rPr>
          <w:rFonts w:ascii="Times New Roman" w:hAnsi="Times New Roman" w:cs="Times New Roman"/>
          <w:sz w:val="24"/>
          <w:szCs w:val="24"/>
        </w:rPr>
        <w:t xml:space="preserve">the </w:t>
      </w:r>
      <w:r w:rsidR="00127189" w:rsidRPr="009E6775">
        <w:rPr>
          <w:rFonts w:ascii="Times New Roman" w:hAnsi="Times New Roman" w:cs="Times New Roman"/>
          <w:sz w:val="24"/>
          <w:szCs w:val="24"/>
        </w:rPr>
        <w:t xml:space="preserve">IDF </w:t>
      </w:r>
      <w:r w:rsidRPr="009E6775">
        <w:rPr>
          <w:rFonts w:ascii="Times New Roman" w:hAnsi="Times New Roman" w:cs="Times New Roman"/>
          <w:sz w:val="24"/>
          <w:szCs w:val="24"/>
        </w:rPr>
        <w:t>of the positive duty to</w:t>
      </w:r>
      <w:r w:rsidR="00791DC9" w:rsidRPr="009E6775">
        <w:rPr>
          <w:rFonts w:ascii="Times New Roman" w:hAnsi="Times New Roman" w:cs="Times New Roman"/>
          <w:sz w:val="24"/>
          <w:szCs w:val="24"/>
        </w:rPr>
        <w:t xml:space="preserve"> allow</w:t>
      </w:r>
      <w:r w:rsidRPr="009E6775">
        <w:rPr>
          <w:rFonts w:ascii="Times New Roman" w:hAnsi="Times New Roman" w:cs="Times New Roman"/>
          <w:sz w:val="24"/>
          <w:szCs w:val="24"/>
        </w:rPr>
        <w:t xml:space="preserve"> the passage of</w:t>
      </w:r>
      <w:r w:rsidR="00791DC9" w:rsidRPr="009E6775">
        <w:rPr>
          <w:rFonts w:ascii="Times New Roman" w:hAnsi="Times New Roman" w:cs="Times New Roman"/>
          <w:sz w:val="24"/>
          <w:szCs w:val="24"/>
        </w:rPr>
        <w:t xml:space="preserve"> a limited supply of fuel and electricity</w:t>
      </w:r>
      <w:r w:rsidR="005415F6" w:rsidRPr="009E6775">
        <w:rPr>
          <w:rFonts w:ascii="Times New Roman" w:hAnsi="Times New Roman" w:cs="Times New Roman"/>
          <w:sz w:val="24"/>
          <w:szCs w:val="24"/>
        </w:rPr>
        <w:t>, even though the petition itself</w:t>
      </w:r>
      <w:r w:rsidR="00F556A0" w:rsidRPr="009E6775">
        <w:rPr>
          <w:rFonts w:ascii="Times New Roman" w:hAnsi="Times New Roman" w:cs="Times New Roman"/>
          <w:sz w:val="24"/>
          <w:szCs w:val="24"/>
        </w:rPr>
        <w:t xml:space="preserve"> was denied. </w:t>
      </w:r>
      <w:r w:rsidRPr="009E6775">
        <w:rPr>
          <w:rFonts w:ascii="Times New Roman" w:hAnsi="Times New Roman" w:cs="Times New Roman"/>
          <w:sz w:val="24"/>
          <w:szCs w:val="24"/>
        </w:rPr>
        <w:t xml:space="preserve">The </w:t>
      </w:r>
      <w:r w:rsidR="008834F0" w:rsidRPr="009E6775">
        <w:rPr>
          <w:rFonts w:ascii="Times New Roman" w:hAnsi="Times New Roman" w:cs="Times New Roman"/>
          <w:sz w:val="24"/>
          <w:szCs w:val="24"/>
        </w:rPr>
        <w:t xml:space="preserve">positive obligation </w:t>
      </w:r>
      <w:r w:rsidRPr="009E6775">
        <w:rPr>
          <w:rFonts w:ascii="Times New Roman" w:hAnsi="Times New Roman" w:cs="Times New Roman"/>
          <w:sz w:val="24"/>
          <w:szCs w:val="24"/>
        </w:rPr>
        <w:t xml:space="preserve">that the SC </w:t>
      </w:r>
      <w:r w:rsidR="003B3CE6" w:rsidRPr="009E6775">
        <w:rPr>
          <w:rFonts w:ascii="Times New Roman" w:hAnsi="Times New Roman" w:cs="Times New Roman"/>
          <w:sz w:val="24"/>
          <w:szCs w:val="24"/>
        </w:rPr>
        <w:t>imposed on</w:t>
      </w:r>
      <w:r w:rsidRPr="009E6775">
        <w:rPr>
          <w:rFonts w:ascii="Times New Roman" w:hAnsi="Times New Roman" w:cs="Times New Roman"/>
          <w:sz w:val="24"/>
          <w:szCs w:val="24"/>
        </w:rPr>
        <w:t xml:space="preserve"> the IDF </w:t>
      </w:r>
      <w:r w:rsidR="003B3CE6" w:rsidRPr="009E6775">
        <w:rPr>
          <w:rFonts w:ascii="Times New Roman" w:hAnsi="Times New Roman" w:cs="Times New Roman"/>
          <w:sz w:val="24"/>
          <w:szCs w:val="24"/>
        </w:rPr>
        <w:t xml:space="preserve">for the Gazan civilians </w:t>
      </w:r>
      <w:r w:rsidRPr="009E6775">
        <w:rPr>
          <w:rFonts w:ascii="Times New Roman" w:hAnsi="Times New Roman" w:cs="Times New Roman"/>
          <w:sz w:val="24"/>
          <w:szCs w:val="24"/>
        </w:rPr>
        <w:t xml:space="preserve">would </w:t>
      </w:r>
      <w:r w:rsidR="008834F0" w:rsidRPr="009E6775">
        <w:rPr>
          <w:rFonts w:ascii="Times New Roman" w:hAnsi="Times New Roman" w:cs="Times New Roman"/>
          <w:sz w:val="24"/>
          <w:szCs w:val="24"/>
        </w:rPr>
        <w:t>exceed</w:t>
      </w:r>
      <w:r w:rsidRPr="009E6775">
        <w:rPr>
          <w:rFonts w:ascii="Times New Roman" w:hAnsi="Times New Roman" w:cs="Times New Roman"/>
          <w:sz w:val="24"/>
          <w:szCs w:val="24"/>
        </w:rPr>
        <w:t xml:space="preserve"> the bounds of duties that ar</w:t>
      </w:r>
      <w:r w:rsidR="008834F0" w:rsidRPr="009E6775">
        <w:rPr>
          <w:rFonts w:ascii="Times New Roman" w:hAnsi="Times New Roman" w:cs="Times New Roman"/>
          <w:sz w:val="24"/>
          <w:szCs w:val="24"/>
        </w:rPr>
        <w:t xml:space="preserve">e normally </w:t>
      </w:r>
      <w:r w:rsidR="00791DC9" w:rsidRPr="009E6775">
        <w:rPr>
          <w:rFonts w:ascii="Times New Roman" w:hAnsi="Times New Roman" w:cs="Times New Roman"/>
          <w:sz w:val="24"/>
          <w:szCs w:val="24"/>
        </w:rPr>
        <w:t xml:space="preserve">required of </w:t>
      </w:r>
      <w:r w:rsidR="003B3CE6" w:rsidRPr="009E6775">
        <w:rPr>
          <w:rFonts w:ascii="Times New Roman" w:hAnsi="Times New Roman" w:cs="Times New Roman"/>
          <w:sz w:val="24"/>
          <w:szCs w:val="24"/>
        </w:rPr>
        <w:t xml:space="preserve">a </w:t>
      </w:r>
      <w:r w:rsidR="000C3777" w:rsidRPr="009E6775">
        <w:rPr>
          <w:rFonts w:ascii="Times New Roman" w:hAnsi="Times New Roman" w:cs="Times New Roman"/>
          <w:sz w:val="24"/>
          <w:szCs w:val="24"/>
        </w:rPr>
        <w:t xml:space="preserve">belligerent State </w:t>
      </w:r>
      <w:r w:rsidR="003B3CE6" w:rsidRPr="009E6775">
        <w:rPr>
          <w:rFonts w:ascii="Times New Roman" w:hAnsi="Times New Roman" w:cs="Times New Roman"/>
          <w:sz w:val="24"/>
          <w:szCs w:val="24"/>
        </w:rPr>
        <w:t>party</w:t>
      </w:r>
      <w:r w:rsidR="00DB1FFD" w:rsidRPr="009E6775">
        <w:rPr>
          <w:rFonts w:ascii="Times New Roman" w:hAnsi="Times New Roman" w:cs="Times New Roman"/>
          <w:sz w:val="24"/>
          <w:szCs w:val="24"/>
        </w:rPr>
        <w:t xml:space="preserve"> that is</w:t>
      </w:r>
      <w:r w:rsidR="00791DC9" w:rsidRPr="009E6775">
        <w:rPr>
          <w:rFonts w:ascii="Times New Roman" w:hAnsi="Times New Roman" w:cs="Times New Roman"/>
          <w:sz w:val="24"/>
          <w:szCs w:val="24"/>
        </w:rPr>
        <w:t xml:space="preserve"> </w:t>
      </w:r>
      <w:r w:rsidR="000C3777" w:rsidRPr="009E6775">
        <w:rPr>
          <w:rFonts w:ascii="Times New Roman" w:hAnsi="Times New Roman" w:cs="Times New Roman"/>
          <w:sz w:val="24"/>
          <w:szCs w:val="24"/>
        </w:rPr>
        <w:t>engaged in</w:t>
      </w:r>
      <w:r w:rsidR="00791DC9"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active </w:t>
      </w:r>
      <w:r w:rsidR="00791DC9" w:rsidRPr="009E6775">
        <w:rPr>
          <w:rFonts w:ascii="Times New Roman" w:hAnsi="Times New Roman" w:cs="Times New Roman"/>
          <w:sz w:val="24"/>
          <w:szCs w:val="24"/>
        </w:rPr>
        <w:t>hostilities</w:t>
      </w:r>
      <w:r w:rsidRPr="009E6775">
        <w:rPr>
          <w:rFonts w:ascii="Times New Roman" w:hAnsi="Times New Roman" w:cs="Times New Roman"/>
          <w:sz w:val="24"/>
          <w:szCs w:val="24"/>
        </w:rPr>
        <w:t xml:space="preserve"> of an IAC</w:t>
      </w:r>
      <w:r w:rsidR="003B3CE6" w:rsidRPr="009E6775">
        <w:rPr>
          <w:rFonts w:ascii="Times New Roman" w:hAnsi="Times New Roman" w:cs="Times New Roman"/>
          <w:sz w:val="24"/>
          <w:szCs w:val="24"/>
        </w:rPr>
        <w:t xml:space="preserve"> or </w:t>
      </w:r>
      <w:r w:rsidR="000C3777" w:rsidRPr="009E6775">
        <w:rPr>
          <w:rFonts w:ascii="Times New Roman" w:hAnsi="Times New Roman" w:cs="Times New Roman"/>
          <w:sz w:val="24"/>
          <w:szCs w:val="24"/>
        </w:rPr>
        <w:t>in</w:t>
      </w:r>
      <w:r w:rsidR="008834F0" w:rsidRPr="009E6775">
        <w:rPr>
          <w:rFonts w:ascii="Times New Roman" w:hAnsi="Times New Roman" w:cs="Times New Roman"/>
          <w:sz w:val="24"/>
          <w:szCs w:val="24"/>
        </w:rPr>
        <w:t xml:space="preserve"> an </w:t>
      </w:r>
      <w:r w:rsidR="003B3CE6" w:rsidRPr="009E6775">
        <w:rPr>
          <w:rFonts w:ascii="Times New Roman" w:hAnsi="Times New Roman" w:cs="Times New Roman"/>
          <w:sz w:val="24"/>
          <w:szCs w:val="24"/>
        </w:rPr>
        <w:t xml:space="preserve">extraterritorial NIAC </w:t>
      </w:r>
      <w:r w:rsidR="000C3777" w:rsidRPr="009E6775">
        <w:rPr>
          <w:rFonts w:ascii="Times New Roman" w:hAnsi="Times New Roman" w:cs="Times New Roman"/>
          <w:sz w:val="24"/>
          <w:szCs w:val="24"/>
        </w:rPr>
        <w:t>occurring</w:t>
      </w:r>
      <w:r w:rsidR="003B3CE6" w:rsidRPr="009E6775">
        <w:rPr>
          <w:rFonts w:ascii="Times New Roman" w:hAnsi="Times New Roman" w:cs="Times New Roman"/>
          <w:sz w:val="24"/>
          <w:szCs w:val="24"/>
        </w:rPr>
        <w:t xml:space="preserve"> beyond the territory under that party’s effective control</w:t>
      </w:r>
      <w:r w:rsidR="00791DC9" w:rsidRPr="009E6775">
        <w:rPr>
          <w:rFonts w:ascii="Times New Roman" w:hAnsi="Times New Roman" w:cs="Times New Roman"/>
          <w:sz w:val="24"/>
          <w:szCs w:val="24"/>
        </w:rPr>
        <w:t xml:space="preserve">. </w:t>
      </w:r>
      <w:r w:rsidR="00FB5E12" w:rsidRPr="009E6775">
        <w:rPr>
          <w:rFonts w:ascii="Times New Roman" w:hAnsi="Times New Roman" w:cs="Times New Roman"/>
          <w:sz w:val="24"/>
          <w:szCs w:val="24"/>
        </w:rPr>
        <w:t xml:space="preserve">The SC rationalised its reasoning by </w:t>
      </w:r>
      <w:r w:rsidR="00FA5852" w:rsidRPr="009E6775">
        <w:rPr>
          <w:rFonts w:ascii="Times New Roman" w:hAnsi="Times New Roman" w:cs="Times New Roman"/>
          <w:sz w:val="24"/>
          <w:szCs w:val="24"/>
        </w:rPr>
        <w:t>expressly invoking Articles 54 and 70 API, as well as the customary IHL duty to allow</w:t>
      </w:r>
      <w:r w:rsidR="00FB5E12" w:rsidRPr="009E6775">
        <w:rPr>
          <w:rFonts w:ascii="Times New Roman" w:hAnsi="Times New Roman" w:cs="Times New Roman"/>
          <w:sz w:val="24"/>
          <w:szCs w:val="24"/>
        </w:rPr>
        <w:t xml:space="preserve"> </w:t>
      </w:r>
      <w:r w:rsidR="00FA5852" w:rsidRPr="009E6775">
        <w:rPr>
          <w:rFonts w:ascii="Times New Roman" w:hAnsi="Times New Roman" w:cs="Times New Roman"/>
          <w:sz w:val="24"/>
          <w:szCs w:val="24"/>
        </w:rPr>
        <w:t>the</w:t>
      </w:r>
      <w:r w:rsidR="00FB5E12" w:rsidRPr="009E6775">
        <w:rPr>
          <w:rFonts w:ascii="Times New Roman" w:hAnsi="Times New Roman" w:cs="Times New Roman"/>
          <w:sz w:val="24"/>
          <w:szCs w:val="24"/>
        </w:rPr>
        <w:t xml:space="preserve"> passage of </w:t>
      </w:r>
      <w:r w:rsidR="00FA5852" w:rsidRPr="009E6775">
        <w:rPr>
          <w:rFonts w:ascii="Times New Roman" w:hAnsi="Times New Roman" w:cs="Times New Roman"/>
          <w:sz w:val="24"/>
          <w:szCs w:val="24"/>
        </w:rPr>
        <w:t xml:space="preserve">humanitarian </w:t>
      </w:r>
      <w:r w:rsidR="00FB5E12" w:rsidRPr="009E6775">
        <w:rPr>
          <w:rFonts w:ascii="Times New Roman" w:hAnsi="Times New Roman" w:cs="Times New Roman"/>
          <w:sz w:val="24"/>
          <w:szCs w:val="24"/>
        </w:rPr>
        <w:t xml:space="preserve">relief </w:t>
      </w:r>
      <w:r w:rsidR="00FA5852" w:rsidRPr="009E6775">
        <w:rPr>
          <w:rFonts w:ascii="Times New Roman" w:hAnsi="Times New Roman" w:cs="Times New Roman"/>
          <w:sz w:val="24"/>
          <w:szCs w:val="24"/>
        </w:rPr>
        <w:t>supplies</w:t>
      </w:r>
      <w:r w:rsidR="00FB5E12" w:rsidRPr="009E6775">
        <w:rPr>
          <w:rFonts w:ascii="Times New Roman" w:hAnsi="Times New Roman" w:cs="Times New Roman"/>
          <w:sz w:val="24"/>
          <w:szCs w:val="24"/>
        </w:rPr>
        <w:t xml:space="preserve"> </w:t>
      </w:r>
      <w:r w:rsidR="00FA5852" w:rsidRPr="009E6775">
        <w:rPr>
          <w:rFonts w:ascii="Times New Roman" w:hAnsi="Times New Roman" w:cs="Times New Roman"/>
          <w:sz w:val="24"/>
          <w:szCs w:val="24"/>
        </w:rPr>
        <w:t>for the civilian population</w:t>
      </w:r>
      <w:r w:rsidR="00FB5E12" w:rsidRPr="009E6775">
        <w:rPr>
          <w:rFonts w:ascii="Times New Roman" w:hAnsi="Times New Roman" w:cs="Times New Roman"/>
          <w:sz w:val="24"/>
          <w:szCs w:val="24"/>
        </w:rPr>
        <w:t>.</w:t>
      </w:r>
      <w:r w:rsidR="00F7745B" w:rsidRPr="009E6775">
        <w:rPr>
          <w:rStyle w:val="aa"/>
          <w:rFonts w:ascii="Times New Roman" w:hAnsi="Times New Roman" w:cs="Times New Roman"/>
          <w:sz w:val="24"/>
          <w:szCs w:val="24"/>
        </w:rPr>
        <w:footnoteReference w:id="171"/>
      </w:r>
      <w:r w:rsidR="00FB5E12" w:rsidRPr="009E6775">
        <w:rPr>
          <w:rFonts w:ascii="Times New Roman" w:hAnsi="Times New Roman" w:cs="Times New Roman"/>
          <w:sz w:val="24"/>
          <w:szCs w:val="24"/>
        </w:rPr>
        <w:t xml:space="preserve"> In this author’s opinion, the SC’s reasoning could have been </w:t>
      </w:r>
      <w:r w:rsidR="00DA001D" w:rsidRPr="009E6775">
        <w:rPr>
          <w:rFonts w:ascii="Times New Roman" w:hAnsi="Times New Roman" w:cs="Times New Roman"/>
          <w:sz w:val="24"/>
          <w:szCs w:val="24"/>
        </w:rPr>
        <w:t xml:space="preserve">bolstered </w:t>
      </w:r>
      <w:r w:rsidR="00FB5E12" w:rsidRPr="009E6775">
        <w:rPr>
          <w:rFonts w:ascii="Times New Roman" w:hAnsi="Times New Roman" w:cs="Times New Roman"/>
          <w:sz w:val="24"/>
          <w:szCs w:val="24"/>
        </w:rPr>
        <w:t xml:space="preserve">by </w:t>
      </w:r>
      <w:r w:rsidR="00FA5852" w:rsidRPr="009E6775">
        <w:rPr>
          <w:rFonts w:ascii="Times New Roman" w:hAnsi="Times New Roman" w:cs="Times New Roman"/>
          <w:sz w:val="24"/>
          <w:szCs w:val="24"/>
        </w:rPr>
        <w:t xml:space="preserve">additionally referring </w:t>
      </w:r>
      <w:r w:rsidR="00FB5E12" w:rsidRPr="009E6775">
        <w:rPr>
          <w:rFonts w:ascii="Times New Roman" w:hAnsi="Times New Roman" w:cs="Times New Roman"/>
          <w:sz w:val="24"/>
          <w:szCs w:val="24"/>
        </w:rPr>
        <w:t xml:space="preserve">to </w:t>
      </w:r>
      <w:r w:rsidR="00033D12" w:rsidRPr="009E6775">
        <w:rPr>
          <w:rFonts w:ascii="Times New Roman" w:hAnsi="Times New Roman" w:cs="Times New Roman"/>
          <w:sz w:val="24"/>
          <w:szCs w:val="24"/>
        </w:rPr>
        <w:t>such</w:t>
      </w:r>
      <w:r w:rsidR="00791DC9" w:rsidRPr="009E6775">
        <w:rPr>
          <w:rFonts w:ascii="Times New Roman" w:hAnsi="Times New Roman" w:cs="Times New Roman"/>
          <w:sz w:val="24"/>
          <w:szCs w:val="24"/>
        </w:rPr>
        <w:t xml:space="preserve"> factors</w:t>
      </w:r>
      <w:r w:rsidR="00033D12" w:rsidRPr="009E6775">
        <w:rPr>
          <w:rFonts w:ascii="Times New Roman" w:hAnsi="Times New Roman" w:cs="Times New Roman"/>
          <w:sz w:val="24"/>
          <w:szCs w:val="24"/>
        </w:rPr>
        <w:t xml:space="preserve"> as the </w:t>
      </w:r>
      <w:r w:rsidR="00791DC9" w:rsidRPr="009E6775">
        <w:rPr>
          <w:rFonts w:ascii="Times New Roman" w:hAnsi="Times New Roman" w:cs="Times New Roman"/>
          <w:sz w:val="24"/>
          <w:szCs w:val="24"/>
        </w:rPr>
        <w:t xml:space="preserve">degree of </w:t>
      </w:r>
      <w:r w:rsidR="00033D12" w:rsidRPr="009E6775">
        <w:rPr>
          <w:rFonts w:ascii="Times New Roman" w:hAnsi="Times New Roman" w:cs="Times New Roman"/>
          <w:sz w:val="24"/>
          <w:szCs w:val="24"/>
        </w:rPr>
        <w:t>continuing c</w:t>
      </w:r>
      <w:r w:rsidR="00791DC9" w:rsidRPr="009E6775">
        <w:rPr>
          <w:rFonts w:ascii="Times New Roman" w:hAnsi="Times New Roman" w:cs="Times New Roman"/>
          <w:sz w:val="24"/>
          <w:szCs w:val="24"/>
        </w:rPr>
        <w:t xml:space="preserve">ontrol </w:t>
      </w:r>
      <w:r w:rsidR="00033D12" w:rsidRPr="009E6775">
        <w:rPr>
          <w:rFonts w:ascii="Times New Roman" w:hAnsi="Times New Roman" w:cs="Times New Roman"/>
          <w:sz w:val="24"/>
          <w:szCs w:val="24"/>
        </w:rPr>
        <w:t xml:space="preserve">exerted by Israel </w:t>
      </w:r>
      <w:r w:rsidR="00791DC9" w:rsidRPr="009E6775">
        <w:rPr>
          <w:rFonts w:ascii="Times New Roman" w:hAnsi="Times New Roman" w:cs="Times New Roman"/>
          <w:sz w:val="24"/>
          <w:szCs w:val="24"/>
        </w:rPr>
        <w:t>over the border crossings</w:t>
      </w:r>
      <w:r w:rsidR="005415F6" w:rsidRPr="009E6775">
        <w:rPr>
          <w:rFonts w:ascii="Times New Roman" w:hAnsi="Times New Roman" w:cs="Times New Roman"/>
          <w:sz w:val="24"/>
          <w:szCs w:val="24"/>
        </w:rPr>
        <w:t xml:space="preserve"> and over territorial waters and airspace, </w:t>
      </w:r>
      <w:r w:rsidR="00033D12" w:rsidRPr="009E6775">
        <w:rPr>
          <w:rFonts w:ascii="Times New Roman" w:hAnsi="Times New Roman" w:cs="Times New Roman"/>
          <w:sz w:val="24"/>
          <w:szCs w:val="24"/>
        </w:rPr>
        <w:t>and Gaza’s preponderant d</w:t>
      </w:r>
      <w:r w:rsidR="00791DC9" w:rsidRPr="009E6775">
        <w:rPr>
          <w:rFonts w:ascii="Times New Roman" w:hAnsi="Times New Roman" w:cs="Times New Roman"/>
          <w:sz w:val="24"/>
          <w:szCs w:val="24"/>
        </w:rPr>
        <w:t xml:space="preserve">ependence on Israel for supply of essential services before the end of occupation. </w:t>
      </w:r>
      <w:r w:rsidR="008834F0" w:rsidRPr="009E6775">
        <w:rPr>
          <w:rFonts w:ascii="Times New Roman" w:hAnsi="Times New Roman" w:cs="Times New Roman"/>
          <w:sz w:val="24"/>
          <w:szCs w:val="24"/>
        </w:rPr>
        <w:t xml:space="preserve">For sure, even such a </w:t>
      </w:r>
      <w:r w:rsidR="00033D12" w:rsidRPr="009E6775">
        <w:rPr>
          <w:rFonts w:ascii="Times New Roman" w:hAnsi="Times New Roman" w:cs="Times New Roman"/>
          <w:sz w:val="24"/>
          <w:szCs w:val="24"/>
        </w:rPr>
        <w:t xml:space="preserve">putatively </w:t>
      </w:r>
      <w:r w:rsidR="00BB11CE" w:rsidRPr="009E6775">
        <w:rPr>
          <w:rFonts w:ascii="Times New Roman" w:hAnsi="Times New Roman" w:cs="Times New Roman"/>
          <w:sz w:val="24"/>
          <w:szCs w:val="24"/>
        </w:rPr>
        <w:t>liberal</w:t>
      </w:r>
      <w:r w:rsidR="008834F0" w:rsidRPr="009E6775">
        <w:rPr>
          <w:rFonts w:ascii="Times New Roman" w:hAnsi="Times New Roman" w:cs="Times New Roman"/>
          <w:sz w:val="24"/>
          <w:szCs w:val="24"/>
        </w:rPr>
        <w:t xml:space="preserve"> stance </w:t>
      </w:r>
      <w:r w:rsidR="00BB11CE" w:rsidRPr="009E6775">
        <w:rPr>
          <w:rFonts w:ascii="Times New Roman" w:hAnsi="Times New Roman" w:cs="Times New Roman"/>
          <w:sz w:val="24"/>
          <w:szCs w:val="24"/>
        </w:rPr>
        <w:t>exhibited by</w:t>
      </w:r>
      <w:r w:rsidR="008834F0" w:rsidRPr="009E6775">
        <w:rPr>
          <w:rFonts w:ascii="Times New Roman" w:hAnsi="Times New Roman" w:cs="Times New Roman"/>
          <w:sz w:val="24"/>
          <w:szCs w:val="24"/>
        </w:rPr>
        <w:t xml:space="preserve"> the SC may </w:t>
      </w:r>
      <w:r w:rsidR="00033D12" w:rsidRPr="009E6775">
        <w:rPr>
          <w:rFonts w:ascii="Times New Roman" w:hAnsi="Times New Roman" w:cs="Times New Roman"/>
          <w:sz w:val="24"/>
          <w:szCs w:val="24"/>
        </w:rPr>
        <w:t>still be criticised from</w:t>
      </w:r>
      <w:r w:rsidR="008834F0" w:rsidRPr="009E6775">
        <w:rPr>
          <w:rFonts w:ascii="Times New Roman" w:hAnsi="Times New Roman" w:cs="Times New Roman"/>
          <w:sz w:val="24"/>
          <w:szCs w:val="24"/>
        </w:rPr>
        <w:t xml:space="preserve"> </w:t>
      </w:r>
      <w:r w:rsidR="00301C67" w:rsidRPr="009E6775">
        <w:rPr>
          <w:rFonts w:ascii="Times New Roman" w:hAnsi="Times New Roman" w:cs="Times New Roman"/>
          <w:sz w:val="24"/>
          <w:szCs w:val="24"/>
        </w:rPr>
        <w:t>a</w:t>
      </w:r>
      <w:r w:rsidR="00AC75C6" w:rsidRPr="009E6775">
        <w:rPr>
          <w:rFonts w:ascii="Times New Roman" w:hAnsi="Times New Roman" w:cs="Times New Roman"/>
          <w:sz w:val="24"/>
          <w:szCs w:val="24"/>
        </w:rPr>
        <w:t xml:space="preserve"> courageously </w:t>
      </w:r>
      <w:r w:rsidR="00301C67" w:rsidRPr="009E6775">
        <w:rPr>
          <w:rFonts w:ascii="Times New Roman" w:hAnsi="Times New Roman" w:cs="Times New Roman"/>
          <w:sz w:val="24"/>
          <w:szCs w:val="24"/>
        </w:rPr>
        <w:t xml:space="preserve">progressive </w:t>
      </w:r>
      <w:r w:rsidR="00AC75C6" w:rsidRPr="009E6775">
        <w:rPr>
          <w:rFonts w:ascii="Times New Roman" w:hAnsi="Times New Roman" w:cs="Times New Roman"/>
          <w:sz w:val="24"/>
          <w:szCs w:val="24"/>
        </w:rPr>
        <w:t xml:space="preserve">Israeli </w:t>
      </w:r>
      <w:r w:rsidR="00301C67" w:rsidRPr="009E6775">
        <w:rPr>
          <w:rFonts w:ascii="Times New Roman" w:hAnsi="Times New Roman" w:cs="Times New Roman"/>
          <w:sz w:val="24"/>
          <w:szCs w:val="24"/>
        </w:rPr>
        <w:t xml:space="preserve">academic </w:t>
      </w:r>
      <w:r w:rsidR="00DA001D" w:rsidRPr="009E6775">
        <w:rPr>
          <w:rFonts w:ascii="Times New Roman" w:hAnsi="Times New Roman" w:cs="Times New Roman"/>
          <w:sz w:val="24"/>
          <w:szCs w:val="24"/>
        </w:rPr>
        <w:t xml:space="preserve">anchored in a functional approach. </w:t>
      </w:r>
      <w:r w:rsidR="00D10094" w:rsidRPr="009E6775">
        <w:rPr>
          <w:rFonts w:ascii="Times New Roman" w:hAnsi="Times New Roman" w:cs="Times New Roman"/>
          <w:sz w:val="24"/>
          <w:szCs w:val="24"/>
        </w:rPr>
        <w:t>Starting with the premise that</w:t>
      </w:r>
      <w:r w:rsidR="00033D12" w:rsidRPr="009E6775">
        <w:rPr>
          <w:rFonts w:ascii="Times New Roman" w:hAnsi="Times New Roman" w:cs="Times New Roman"/>
          <w:sz w:val="24"/>
          <w:szCs w:val="24"/>
        </w:rPr>
        <w:t xml:space="preserve"> the (former) occupier’s ambit of duties </w:t>
      </w:r>
      <w:r w:rsidR="00D10094" w:rsidRPr="009E6775">
        <w:rPr>
          <w:rFonts w:ascii="Times New Roman" w:hAnsi="Times New Roman" w:cs="Times New Roman"/>
          <w:sz w:val="24"/>
          <w:szCs w:val="24"/>
        </w:rPr>
        <w:t xml:space="preserve">should be assessed </w:t>
      </w:r>
      <w:r w:rsidR="00BB11CE" w:rsidRPr="009E6775">
        <w:rPr>
          <w:rFonts w:ascii="Times New Roman" w:hAnsi="Times New Roman" w:cs="Times New Roman"/>
          <w:sz w:val="24"/>
          <w:szCs w:val="24"/>
        </w:rPr>
        <w:t xml:space="preserve">along </w:t>
      </w:r>
      <w:r w:rsidR="00D10094" w:rsidRPr="009E6775">
        <w:rPr>
          <w:rFonts w:ascii="Times New Roman" w:hAnsi="Times New Roman" w:cs="Times New Roman"/>
          <w:sz w:val="24"/>
          <w:szCs w:val="24"/>
        </w:rPr>
        <w:t>its</w:t>
      </w:r>
      <w:r w:rsidR="00033D12" w:rsidRPr="009E6775">
        <w:rPr>
          <w:rFonts w:ascii="Times New Roman" w:hAnsi="Times New Roman" w:cs="Times New Roman"/>
          <w:sz w:val="24"/>
          <w:szCs w:val="24"/>
        </w:rPr>
        <w:t xml:space="preserve"> </w:t>
      </w:r>
      <w:r w:rsidR="004E3FB9" w:rsidRPr="009E6775">
        <w:rPr>
          <w:rFonts w:ascii="Times New Roman" w:hAnsi="Times New Roman" w:cs="Times New Roman"/>
          <w:sz w:val="24"/>
          <w:szCs w:val="24"/>
        </w:rPr>
        <w:t xml:space="preserve">sliding scale </w:t>
      </w:r>
      <w:r w:rsidR="008834F0" w:rsidRPr="009E6775">
        <w:rPr>
          <w:rFonts w:ascii="Times New Roman" w:hAnsi="Times New Roman" w:cs="Times New Roman"/>
          <w:sz w:val="24"/>
          <w:szCs w:val="24"/>
        </w:rPr>
        <w:t xml:space="preserve">of </w:t>
      </w:r>
      <w:r w:rsidR="004E3FB9" w:rsidRPr="009E6775">
        <w:rPr>
          <w:rFonts w:ascii="Times New Roman" w:hAnsi="Times New Roman" w:cs="Times New Roman"/>
          <w:sz w:val="24"/>
          <w:szCs w:val="24"/>
        </w:rPr>
        <w:t xml:space="preserve">different modalities of </w:t>
      </w:r>
      <w:r w:rsidR="008834F0" w:rsidRPr="009E6775">
        <w:rPr>
          <w:rFonts w:ascii="Times New Roman" w:hAnsi="Times New Roman" w:cs="Times New Roman"/>
          <w:sz w:val="24"/>
          <w:szCs w:val="24"/>
        </w:rPr>
        <w:t xml:space="preserve">control, </w:t>
      </w:r>
      <w:r w:rsidR="00033D12" w:rsidRPr="009E6775">
        <w:rPr>
          <w:rFonts w:ascii="Times New Roman" w:hAnsi="Times New Roman" w:cs="Times New Roman"/>
          <w:sz w:val="24"/>
          <w:szCs w:val="24"/>
        </w:rPr>
        <w:t xml:space="preserve">Aeyal Gross </w:t>
      </w:r>
      <w:r w:rsidR="00D10094" w:rsidRPr="009E6775">
        <w:rPr>
          <w:rFonts w:ascii="Times New Roman" w:hAnsi="Times New Roman" w:cs="Times New Roman"/>
          <w:sz w:val="24"/>
          <w:szCs w:val="24"/>
        </w:rPr>
        <w:t>rebukes</w:t>
      </w:r>
      <w:r w:rsidR="008834F0" w:rsidRPr="009E6775">
        <w:rPr>
          <w:rFonts w:ascii="Times New Roman" w:hAnsi="Times New Roman" w:cs="Times New Roman"/>
          <w:sz w:val="24"/>
          <w:szCs w:val="24"/>
        </w:rPr>
        <w:t xml:space="preserve"> the SC </w:t>
      </w:r>
      <w:r w:rsidR="00033D12" w:rsidRPr="009E6775">
        <w:rPr>
          <w:rFonts w:ascii="Times New Roman" w:hAnsi="Times New Roman" w:cs="Times New Roman"/>
          <w:sz w:val="24"/>
          <w:szCs w:val="24"/>
        </w:rPr>
        <w:t xml:space="preserve">in </w:t>
      </w:r>
      <w:r w:rsidR="00033D12" w:rsidRPr="009E6775">
        <w:rPr>
          <w:rFonts w:ascii="Times New Roman" w:hAnsi="Times New Roman" w:cs="Times New Roman"/>
          <w:i/>
          <w:iCs/>
          <w:sz w:val="24"/>
          <w:szCs w:val="24"/>
        </w:rPr>
        <w:t>Al-Ba</w:t>
      </w:r>
      <w:r w:rsidR="00D10094" w:rsidRPr="009E6775">
        <w:rPr>
          <w:rFonts w:ascii="Times New Roman" w:hAnsi="Times New Roman" w:cs="Times New Roman"/>
          <w:i/>
          <w:iCs/>
          <w:sz w:val="24"/>
          <w:szCs w:val="24"/>
        </w:rPr>
        <w:t>s</w:t>
      </w:r>
      <w:r w:rsidR="00033D12" w:rsidRPr="009E6775">
        <w:rPr>
          <w:rFonts w:ascii="Times New Roman" w:hAnsi="Times New Roman" w:cs="Times New Roman"/>
          <w:i/>
          <w:iCs/>
          <w:sz w:val="24"/>
          <w:szCs w:val="24"/>
        </w:rPr>
        <w:t xml:space="preserve">siouni </w:t>
      </w:r>
      <w:r w:rsidR="008834F0" w:rsidRPr="009E6775">
        <w:rPr>
          <w:rFonts w:ascii="Times New Roman" w:hAnsi="Times New Roman" w:cs="Times New Roman"/>
          <w:sz w:val="24"/>
          <w:szCs w:val="24"/>
        </w:rPr>
        <w:t>for having limited the scope of duties only to the basic humanitarian needs</w:t>
      </w:r>
      <w:r w:rsidR="00033D12" w:rsidRPr="009E6775">
        <w:rPr>
          <w:rFonts w:ascii="Times New Roman" w:hAnsi="Times New Roman" w:cs="Times New Roman"/>
          <w:sz w:val="24"/>
          <w:szCs w:val="24"/>
        </w:rPr>
        <w:t>.</w:t>
      </w:r>
      <w:r w:rsidR="00F556A0" w:rsidRPr="009E6775">
        <w:rPr>
          <w:rStyle w:val="aa"/>
          <w:rFonts w:ascii="Times New Roman" w:hAnsi="Times New Roman" w:cs="Times New Roman"/>
          <w:sz w:val="24"/>
          <w:szCs w:val="24"/>
        </w:rPr>
        <w:footnoteReference w:id="172"/>
      </w:r>
      <w:r w:rsidR="00F556A0" w:rsidRPr="009E6775">
        <w:rPr>
          <w:rFonts w:ascii="Times New Roman" w:hAnsi="Times New Roman" w:cs="Times New Roman"/>
          <w:sz w:val="24"/>
          <w:szCs w:val="24"/>
        </w:rPr>
        <w:t xml:space="preserve"> </w:t>
      </w:r>
      <w:r w:rsidR="008834F0" w:rsidRPr="009E6775">
        <w:rPr>
          <w:rFonts w:ascii="Times New Roman" w:hAnsi="Times New Roman" w:cs="Times New Roman"/>
          <w:sz w:val="24"/>
          <w:szCs w:val="24"/>
        </w:rPr>
        <w:t xml:space="preserve"> </w:t>
      </w:r>
    </w:p>
    <w:p w14:paraId="345BFFB1" w14:textId="45572D7D" w:rsidR="00C2464F" w:rsidRPr="009E6775" w:rsidRDefault="00C2464F" w:rsidP="0081540D">
      <w:pPr>
        <w:rPr>
          <w:rFonts w:ascii="Times New Roman" w:hAnsi="Times New Roman" w:cs="Times New Roman"/>
          <w:sz w:val="24"/>
          <w:szCs w:val="24"/>
        </w:rPr>
      </w:pPr>
    </w:p>
    <w:p w14:paraId="3C78F25F" w14:textId="06E9A33B" w:rsidR="006437D8" w:rsidRPr="00FF2DCA" w:rsidRDefault="006437D8" w:rsidP="00FF2DCA">
      <w:pPr>
        <w:pStyle w:val="a3"/>
        <w:numPr>
          <w:ilvl w:val="0"/>
          <w:numId w:val="20"/>
        </w:numPr>
        <w:ind w:leftChars="0"/>
        <w:rPr>
          <w:rFonts w:ascii="Times New Roman" w:hAnsi="Times New Roman" w:cs="Times New Roman"/>
          <w:b/>
          <w:bCs/>
          <w:sz w:val="24"/>
          <w:szCs w:val="24"/>
        </w:rPr>
      </w:pPr>
      <w:r w:rsidRPr="00FF2DCA">
        <w:rPr>
          <w:rFonts w:ascii="Times New Roman" w:hAnsi="Times New Roman" w:cs="Times New Roman"/>
          <w:b/>
          <w:bCs/>
          <w:sz w:val="24"/>
          <w:szCs w:val="24"/>
        </w:rPr>
        <w:t>Judicial Review of Means and Methods of Active Hostilities</w:t>
      </w:r>
    </w:p>
    <w:p w14:paraId="77C4A1EA" w14:textId="77777777" w:rsidR="006A7844" w:rsidRPr="009E6775" w:rsidRDefault="00D0751C" w:rsidP="0081540D">
      <w:pPr>
        <w:rPr>
          <w:rFonts w:ascii="Times New Roman" w:hAnsi="Times New Roman" w:cs="Times New Roman"/>
          <w:sz w:val="24"/>
          <w:szCs w:val="24"/>
        </w:rPr>
      </w:pPr>
      <w:r w:rsidRPr="009E6775">
        <w:rPr>
          <w:rFonts w:ascii="Times New Roman" w:hAnsi="Times New Roman" w:cs="Times New Roman"/>
          <w:sz w:val="24"/>
          <w:szCs w:val="24"/>
        </w:rPr>
        <w:t xml:space="preserve">Another progressive feature </w:t>
      </w:r>
      <w:r w:rsidR="00DA001D" w:rsidRPr="009E6775">
        <w:rPr>
          <w:rFonts w:ascii="Times New Roman" w:hAnsi="Times New Roman" w:cs="Times New Roman"/>
          <w:sz w:val="24"/>
          <w:szCs w:val="24"/>
        </w:rPr>
        <w:t>can be vindicated by</w:t>
      </w:r>
      <w:r w:rsidR="006D019A" w:rsidRPr="009E6775">
        <w:rPr>
          <w:rFonts w:ascii="Times New Roman" w:hAnsi="Times New Roman" w:cs="Times New Roman"/>
          <w:sz w:val="24"/>
          <w:szCs w:val="24"/>
        </w:rPr>
        <w:t xml:space="preserve"> </w:t>
      </w:r>
      <w:r w:rsidRPr="009E6775">
        <w:rPr>
          <w:rFonts w:ascii="Times New Roman" w:hAnsi="Times New Roman" w:cs="Times New Roman"/>
          <w:sz w:val="24"/>
          <w:szCs w:val="24"/>
        </w:rPr>
        <w:t>the</w:t>
      </w:r>
      <w:r w:rsidR="00930CB8" w:rsidRPr="009E6775">
        <w:rPr>
          <w:rFonts w:ascii="Times New Roman" w:hAnsi="Times New Roman" w:cs="Times New Roman"/>
          <w:sz w:val="24"/>
          <w:szCs w:val="24"/>
        </w:rPr>
        <w:t xml:space="preserve"> Israeli SC’s </w:t>
      </w:r>
      <w:r w:rsidR="006D019A" w:rsidRPr="009E6775">
        <w:rPr>
          <w:rFonts w:ascii="Times New Roman" w:hAnsi="Times New Roman" w:cs="Times New Roman"/>
          <w:sz w:val="24"/>
          <w:szCs w:val="24"/>
        </w:rPr>
        <w:t xml:space="preserve">affirmation that it </w:t>
      </w:r>
      <w:r w:rsidR="00930CB8" w:rsidRPr="009E6775">
        <w:rPr>
          <w:rFonts w:ascii="Times New Roman" w:hAnsi="Times New Roman" w:cs="Times New Roman"/>
          <w:sz w:val="24"/>
          <w:szCs w:val="24"/>
        </w:rPr>
        <w:t>undertak</w:t>
      </w:r>
      <w:r w:rsidR="006D019A" w:rsidRPr="009E6775">
        <w:rPr>
          <w:rFonts w:ascii="Times New Roman" w:hAnsi="Times New Roman" w:cs="Times New Roman"/>
          <w:sz w:val="24"/>
          <w:szCs w:val="24"/>
        </w:rPr>
        <w:t>es</w:t>
      </w:r>
      <w:r w:rsidR="00930CB8" w:rsidRPr="009E6775">
        <w:rPr>
          <w:rFonts w:ascii="Times New Roman" w:hAnsi="Times New Roman" w:cs="Times New Roman"/>
          <w:sz w:val="24"/>
          <w:szCs w:val="24"/>
        </w:rPr>
        <w:t xml:space="preserve"> </w:t>
      </w:r>
      <w:r w:rsidR="00017CAC" w:rsidRPr="009E6775">
        <w:rPr>
          <w:rFonts w:ascii="Times New Roman" w:hAnsi="Times New Roman" w:cs="Times New Roman"/>
          <w:sz w:val="24"/>
          <w:szCs w:val="24"/>
        </w:rPr>
        <w:t xml:space="preserve">judicial review </w:t>
      </w:r>
      <w:r w:rsidR="002734DB" w:rsidRPr="009E6775">
        <w:rPr>
          <w:rFonts w:ascii="Times New Roman" w:hAnsi="Times New Roman" w:cs="Times New Roman"/>
          <w:sz w:val="24"/>
          <w:szCs w:val="24"/>
        </w:rPr>
        <w:t xml:space="preserve">even of acts that have occurred during the active phase of extraterritorial </w:t>
      </w:r>
      <w:r w:rsidR="00017CAC" w:rsidRPr="009E6775">
        <w:rPr>
          <w:rFonts w:ascii="Times New Roman" w:hAnsi="Times New Roman" w:cs="Times New Roman"/>
          <w:sz w:val="24"/>
          <w:szCs w:val="24"/>
        </w:rPr>
        <w:t xml:space="preserve">hostilities. </w:t>
      </w:r>
      <w:r w:rsidR="006D2197" w:rsidRPr="009E6775">
        <w:rPr>
          <w:rFonts w:ascii="Times New Roman" w:hAnsi="Times New Roman" w:cs="Times New Roman"/>
          <w:sz w:val="24"/>
          <w:szCs w:val="24"/>
        </w:rPr>
        <w:t>As a point of departure, the SC has fleshed out a</w:t>
      </w:r>
      <w:r w:rsidR="000E73CA" w:rsidRPr="009E6775">
        <w:rPr>
          <w:rFonts w:ascii="Times New Roman" w:hAnsi="Times New Roman" w:cs="Times New Roman"/>
          <w:sz w:val="24"/>
          <w:szCs w:val="24"/>
        </w:rPr>
        <w:t xml:space="preserve"> principle that a</w:t>
      </w:r>
      <w:r w:rsidRPr="009E6775">
        <w:rPr>
          <w:rFonts w:ascii="Times New Roman" w:hAnsi="Times New Roman" w:cs="Times New Roman"/>
          <w:sz w:val="24"/>
          <w:szCs w:val="24"/>
        </w:rPr>
        <w:t xml:space="preserve"> paradigm of</w:t>
      </w:r>
      <w:r w:rsidR="000E73CA" w:rsidRPr="009E6775">
        <w:rPr>
          <w:rFonts w:ascii="Times New Roman" w:hAnsi="Times New Roman" w:cs="Times New Roman"/>
          <w:sz w:val="24"/>
          <w:szCs w:val="24"/>
        </w:rPr>
        <w:t xml:space="preserve"> active hostilities does not necessarily render the petition non-justiciable</w:t>
      </w:r>
      <w:r w:rsidR="006A74FE" w:rsidRPr="009E6775">
        <w:rPr>
          <w:rFonts w:ascii="Times New Roman" w:hAnsi="Times New Roman" w:cs="Times New Roman"/>
          <w:sz w:val="24"/>
          <w:szCs w:val="24"/>
        </w:rPr>
        <w:t>.</w:t>
      </w:r>
      <w:r w:rsidR="000E73CA" w:rsidRPr="009E6775">
        <w:rPr>
          <w:rFonts w:ascii="Times New Roman" w:hAnsi="Times New Roman" w:cs="Times New Roman"/>
          <w:sz w:val="24"/>
          <w:szCs w:val="24"/>
        </w:rPr>
        <w:t xml:space="preserve"> </w:t>
      </w:r>
      <w:r w:rsidR="00EB461D" w:rsidRPr="009E6775">
        <w:rPr>
          <w:rFonts w:ascii="Times New Roman" w:hAnsi="Times New Roman" w:cs="Times New Roman"/>
          <w:sz w:val="24"/>
          <w:szCs w:val="24"/>
        </w:rPr>
        <w:t xml:space="preserve">Much of uncertainty overshadows an attempt to assess the legality of methods and means </w:t>
      </w:r>
      <w:r w:rsidR="00EB461D" w:rsidRPr="009E6775">
        <w:rPr>
          <w:rFonts w:ascii="Times New Roman" w:hAnsi="Times New Roman" w:cs="Times New Roman"/>
          <w:sz w:val="24"/>
          <w:szCs w:val="24"/>
        </w:rPr>
        <w:lastRenderedPageBreak/>
        <w:t>while hostilities are still ongoing</w:t>
      </w:r>
      <w:r w:rsidR="009712CE" w:rsidRPr="009E6775">
        <w:rPr>
          <w:rFonts w:ascii="Times New Roman" w:hAnsi="Times New Roman" w:cs="Times New Roman"/>
          <w:sz w:val="24"/>
          <w:szCs w:val="24"/>
        </w:rPr>
        <w:t>.</w:t>
      </w:r>
      <w:r w:rsidR="009712CE" w:rsidRPr="009E6775">
        <w:rPr>
          <w:rStyle w:val="aa"/>
          <w:rFonts w:ascii="Times New Roman" w:hAnsi="Times New Roman" w:cs="Times New Roman"/>
          <w:sz w:val="24"/>
          <w:szCs w:val="24"/>
        </w:rPr>
        <w:footnoteReference w:id="173"/>
      </w:r>
      <w:r w:rsidR="00585CCD" w:rsidRPr="009E6775">
        <w:rPr>
          <w:rFonts w:ascii="Times New Roman" w:hAnsi="Times New Roman" w:cs="Times New Roman"/>
          <w:sz w:val="24"/>
          <w:szCs w:val="24"/>
        </w:rPr>
        <w:t xml:space="preserve"> </w:t>
      </w:r>
      <w:r w:rsidR="00EB461D" w:rsidRPr="009E6775">
        <w:rPr>
          <w:rFonts w:ascii="Times New Roman" w:hAnsi="Times New Roman" w:cs="Times New Roman"/>
          <w:sz w:val="24"/>
          <w:szCs w:val="24"/>
        </w:rPr>
        <w:t xml:space="preserve">Yet, in </w:t>
      </w:r>
      <w:r w:rsidR="00280BC9" w:rsidRPr="009E6775">
        <w:rPr>
          <w:rFonts w:ascii="Times New Roman" w:hAnsi="Times New Roman" w:cs="Times New Roman"/>
          <w:sz w:val="24"/>
          <w:szCs w:val="24"/>
        </w:rPr>
        <w:t xml:space="preserve">the </w:t>
      </w:r>
      <w:r w:rsidR="00EB461D" w:rsidRPr="009E6775">
        <w:rPr>
          <w:rFonts w:ascii="Times New Roman" w:hAnsi="Times New Roman" w:cs="Times New Roman"/>
          <w:i/>
          <w:iCs/>
          <w:sz w:val="24"/>
          <w:szCs w:val="24"/>
        </w:rPr>
        <w:t xml:space="preserve">Targeted Killing </w:t>
      </w:r>
      <w:r w:rsidR="00EB461D" w:rsidRPr="009E6775">
        <w:rPr>
          <w:rFonts w:ascii="Times New Roman" w:hAnsi="Times New Roman" w:cs="Times New Roman"/>
          <w:sz w:val="24"/>
          <w:szCs w:val="24"/>
        </w:rPr>
        <w:t>judgment,</w:t>
      </w:r>
      <w:r w:rsidR="009712CE" w:rsidRPr="009E6775">
        <w:rPr>
          <w:rStyle w:val="aa"/>
          <w:rFonts w:ascii="Times New Roman" w:hAnsi="Times New Roman" w:cs="Times New Roman"/>
          <w:sz w:val="24"/>
          <w:szCs w:val="24"/>
        </w:rPr>
        <w:footnoteReference w:id="174"/>
      </w:r>
      <w:r w:rsidR="00EB461D" w:rsidRPr="009E6775">
        <w:rPr>
          <w:rFonts w:ascii="Times New Roman" w:hAnsi="Times New Roman" w:cs="Times New Roman"/>
          <w:sz w:val="24"/>
          <w:szCs w:val="24"/>
        </w:rPr>
        <w:t xml:space="preserve"> the </w:t>
      </w:r>
      <w:r w:rsidR="00585CCD" w:rsidRPr="009E6775">
        <w:rPr>
          <w:rFonts w:ascii="Times New Roman" w:hAnsi="Times New Roman" w:cs="Times New Roman"/>
          <w:sz w:val="24"/>
          <w:szCs w:val="24"/>
        </w:rPr>
        <w:t>SC</w:t>
      </w:r>
      <w:r w:rsidR="00EB461D" w:rsidRPr="009E6775">
        <w:rPr>
          <w:rFonts w:ascii="Times New Roman" w:hAnsi="Times New Roman" w:cs="Times New Roman"/>
          <w:sz w:val="24"/>
          <w:szCs w:val="24"/>
        </w:rPr>
        <w:t xml:space="preserve"> (</w:t>
      </w:r>
      <w:r w:rsidR="00EB461D" w:rsidRPr="009E6775">
        <w:rPr>
          <w:rFonts w:ascii="Times New Roman" w:hAnsi="Times New Roman" w:cs="Times New Roman"/>
          <w:i/>
          <w:iCs/>
          <w:sz w:val="24"/>
          <w:szCs w:val="24"/>
        </w:rPr>
        <w:t>per</w:t>
      </w:r>
      <w:r w:rsidR="00EB461D" w:rsidRPr="009E6775">
        <w:rPr>
          <w:rFonts w:ascii="Times New Roman" w:hAnsi="Times New Roman" w:cs="Times New Roman"/>
          <w:sz w:val="24"/>
          <w:szCs w:val="24"/>
        </w:rPr>
        <w:t xml:space="preserve"> Chief Justice Barak) </w:t>
      </w:r>
      <w:r w:rsidR="00DA001D" w:rsidRPr="009E6775">
        <w:rPr>
          <w:rFonts w:ascii="Times New Roman" w:hAnsi="Times New Roman" w:cs="Times New Roman"/>
          <w:sz w:val="24"/>
          <w:szCs w:val="24"/>
        </w:rPr>
        <w:t>warratned</w:t>
      </w:r>
      <w:r w:rsidR="00EB461D" w:rsidRPr="009E6775">
        <w:rPr>
          <w:rFonts w:ascii="Times New Roman" w:hAnsi="Times New Roman" w:cs="Times New Roman"/>
          <w:sz w:val="24"/>
          <w:szCs w:val="24"/>
        </w:rPr>
        <w:t xml:space="preserve"> judicial review over actions of IDF during ongoing hostilities</w:t>
      </w:r>
      <w:r w:rsidRPr="009E6775">
        <w:rPr>
          <w:rFonts w:ascii="Times New Roman" w:hAnsi="Times New Roman" w:cs="Times New Roman"/>
          <w:sz w:val="24"/>
          <w:szCs w:val="24"/>
        </w:rPr>
        <w:t xml:space="preserve">. It </w:t>
      </w:r>
      <w:r w:rsidR="00A7078E" w:rsidRPr="009E6775">
        <w:rPr>
          <w:rFonts w:ascii="Times New Roman" w:hAnsi="Times New Roman" w:cs="Times New Roman"/>
          <w:sz w:val="24"/>
          <w:szCs w:val="24"/>
        </w:rPr>
        <w:t>has highlighted</w:t>
      </w:r>
      <w:r w:rsidR="006D019A" w:rsidRPr="009E6775">
        <w:rPr>
          <w:rFonts w:ascii="Times New Roman" w:hAnsi="Times New Roman" w:cs="Times New Roman"/>
          <w:sz w:val="24"/>
          <w:szCs w:val="24"/>
        </w:rPr>
        <w:t xml:space="preserve"> the principle </w:t>
      </w:r>
      <w:r w:rsidRPr="009E6775">
        <w:rPr>
          <w:rFonts w:ascii="Times New Roman" w:hAnsi="Times New Roman" w:cs="Times New Roman"/>
          <w:sz w:val="24"/>
          <w:szCs w:val="24"/>
        </w:rPr>
        <w:t>t</w:t>
      </w:r>
      <w:r w:rsidR="00EB461D" w:rsidRPr="009E6775">
        <w:rPr>
          <w:rFonts w:ascii="Times New Roman" w:hAnsi="Times New Roman" w:cs="Times New Roman"/>
          <w:sz w:val="24"/>
          <w:szCs w:val="24"/>
        </w:rPr>
        <w:t xml:space="preserve">hat whenever the human rights are </w:t>
      </w:r>
      <w:r w:rsidR="00BC7D59" w:rsidRPr="009E6775">
        <w:rPr>
          <w:rFonts w:ascii="Times New Roman" w:hAnsi="Times New Roman" w:cs="Times New Roman"/>
          <w:sz w:val="24"/>
          <w:szCs w:val="24"/>
        </w:rPr>
        <w:t>at stake</w:t>
      </w:r>
      <w:r w:rsidR="00EB461D" w:rsidRPr="009E6775">
        <w:rPr>
          <w:rFonts w:ascii="Times New Roman" w:hAnsi="Times New Roman" w:cs="Times New Roman"/>
          <w:sz w:val="24"/>
          <w:szCs w:val="24"/>
        </w:rPr>
        <w:t xml:space="preserve">, even issues arising from conduct of hostilities in progress </w:t>
      </w:r>
      <w:r w:rsidR="00BC7D59" w:rsidRPr="009E6775">
        <w:rPr>
          <w:rFonts w:ascii="Times New Roman" w:hAnsi="Times New Roman" w:cs="Times New Roman"/>
          <w:sz w:val="24"/>
          <w:szCs w:val="24"/>
        </w:rPr>
        <w:t xml:space="preserve">cannot be dismissed </w:t>
      </w:r>
      <w:r w:rsidR="00014006" w:rsidRPr="009E6775">
        <w:rPr>
          <w:rFonts w:ascii="Times New Roman" w:hAnsi="Times New Roman" w:cs="Times New Roman"/>
          <w:sz w:val="24"/>
          <w:szCs w:val="24"/>
        </w:rPr>
        <w:t xml:space="preserve">out of hand and must be subject to </w:t>
      </w:r>
      <w:r w:rsidRPr="009E6775">
        <w:rPr>
          <w:rFonts w:ascii="Times New Roman" w:hAnsi="Times New Roman" w:cs="Times New Roman"/>
          <w:sz w:val="24"/>
          <w:szCs w:val="24"/>
        </w:rPr>
        <w:t>its</w:t>
      </w:r>
      <w:r w:rsidR="00014006" w:rsidRPr="009E6775">
        <w:rPr>
          <w:rFonts w:ascii="Times New Roman" w:hAnsi="Times New Roman" w:cs="Times New Roman"/>
          <w:sz w:val="24"/>
          <w:szCs w:val="24"/>
        </w:rPr>
        <w:t xml:space="preserve"> scrutiny.</w:t>
      </w:r>
      <w:r w:rsidR="00EB461D" w:rsidRPr="009E6775">
        <w:rPr>
          <w:rFonts w:ascii="Times New Roman" w:hAnsi="Times New Roman" w:cs="Times New Roman"/>
          <w:sz w:val="24"/>
          <w:szCs w:val="24"/>
        </w:rPr>
        <w:t xml:space="preserve"> </w:t>
      </w:r>
      <w:r w:rsidR="00F0665D" w:rsidRPr="009E6775">
        <w:rPr>
          <w:rFonts w:ascii="Times New Roman" w:hAnsi="Times New Roman" w:cs="Times New Roman"/>
          <w:sz w:val="24"/>
          <w:szCs w:val="24"/>
        </w:rPr>
        <w:t xml:space="preserve">Indeed, in </w:t>
      </w:r>
      <w:r w:rsidR="00F0665D" w:rsidRPr="009E6775">
        <w:rPr>
          <w:rFonts w:ascii="Times New Roman" w:hAnsi="Times New Roman" w:cs="Times New Roman"/>
          <w:i/>
          <w:iCs/>
          <w:sz w:val="24"/>
          <w:szCs w:val="24"/>
        </w:rPr>
        <w:t xml:space="preserve">B’Tselem </w:t>
      </w:r>
      <w:r w:rsidR="00F0665D" w:rsidRPr="009E6775">
        <w:rPr>
          <w:rFonts w:ascii="Times New Roman" w:hAnsi="Times New Roman" w:cs="Times New Roman"/>
          <w:sz w:val="24"/>
          <w:szCs w:val="24"/>
        </w:rPr>
        <w:t>(2011),</w:t>
      </w:r>
      <w:r w:rsidR="00F0665D" w:rsidRPr="009E6775">
        <w:rPr>
          <w:rStyle w:val="aa"/>
          <w:rFonts w:ascii="Times New Roman" w:hAnsi="Times New Roman" w:cs="Times New Roman"/>
          <w:sz w:val="24"/>
          <w:szCs w:val="24"/>
        </w:rPr>
        <w:footnoteReference w:id="175"/>
      </w:r>
      <w:r w:rsidR="00F0665D" w:rsidRPr="009E6775">
        <w:rPr>
          <w:rFonts w:ascii="Times New Roman" w:hAnsi="Times New Roman" w:cs="Times New Roman"/>
          <w:sz w:val="24"/>
          <w:szCs w:val="24"/>
        </w:rPr>
        <w:t xml:space="preserve"> the </w:t>
      </w:r>
      <w:r w:rsidR="00FA162C" w:rsidRPr="009E6775">
        <w:rPr>
          <w:rFonts w:ascii="Times New Roman" w:hAnsi="Times New Roman" w:cs="Times New Roman"/>
          <w:sz w:val="24"/>
          <w:szCs w:val="24"/>
        </w:rPr>
        <w:t>SC</w:t>
      </w:r>
      <w:r w:rsidR="00F0665D" w:rsidRPr="009E6775">
        <w:rPr>
          <w:rFonts w:ascii="Times New Roman" w:hAnsi="Times New Roman" w:cs="Times New Roman"/>
          <w:sz w:val="24"/>
          <w:szCs w:val="24"/>
        </w:rPr>
        <w:t xml:space="preserve"> held that whenever the right to life </w:t>
      </w:r>
      <w:r w:rsidR="00A7078E" w:rsidRPr="009E6775">
        <w:rPr>
          <w:rFonts w:ascii="Times New Roman" w:hAnsi="Times New Roman" w:cs="Times New Roman"/>
          <w:sz w:val="24"/>
          <w:szCs w:val="24"/>
        </w:rPr>
        <w:t>was</w:t>
      </w:r>
      <w:r w:rsidR="00F0665D" w:rsidRPr="009E6775">
        <w:rPr>
          <w:rFonts w:ascii="Times New Roman" w:hAnsi="Times New Roman" w:cs="Times New Roman"/>
          <w:sz w:val="24"/>
          <w:szCs w:val="24"/>
        </w:rPr>
        <w:t xml:space="preserve"> </w:t>
      </w:r>
      <w:r w:rsidR="001936AC" w:rsidRPr="009E6775">
        <w:rPr>
          <w:rFonts w:ascii="Times New Roman" w:hAnsi="Times New Roman" w:cs="Times New Roman"/>
          <w:sz w:val="24"/>
          <w:szCs w:val="24"/>
        </w:rPr>
        <w:t>implica</w:t>
      </w:r>
      <w:r w:rsidR="00FA162C" w:rsidRPr="009E6775">
        <w:rPr>
          <w:rFonts w:ascii="Times New Roman" w:hAnsi="Times New Roman" w:cs="Times New Roman"/>
          <w:sz w:val="24"/>
          <w:szCs w:val="24"/>
        </w:rPr>
        <w:t>t</w:t>
      </w:r>
      <w:r w:rsidR="001936AC" w:rsidRPr="009E6775">
        <w:rPr>
          <w:rFonts w:ascii="Times New Roman" w:hAnsi="Times New Roman" w:cs="Times New Roman"/>
          <w:sz w:val="24"/>
          <w:szCs w:val="24"/>
        </w:rPr>
        <w:t>ed</w:t>
      </w:r>
      <w:r w:rsidR="00F0665D" w:rsidRPr="009E6775">
        <w:rPr>
          <w:rFonts w:ascii="Times New Roman" w:hAnsi="Times New Roman" w:cs="Times New Roman"/>
          <w:sz w:val="24"/>
          <w:szCs w:val="24"/>
        </w:rPr>
        <w:t xml:space="preserve">, there </w:t>
      </w:r>
      <w:r w:rsidR="00FA162C" w:rsidRPr="009E6775">
        <w:rPr>
          <w:rFonts w:ascii="Times New Roman" w:hAnsi="Times New Roman" w:cs="Times New Roman"/>
          <w:sz w:val="24"/>
          <w:szCs w:val="24"/>
        </w:rPr>
        <w:t>was</w:t>
      </w:r>
      <w:r w:rsidR="00F0665D" w:rsidRPr="009E6775">
        <w:rPr>
          <w:rFonts w:ascii="Times New Roman" w:hAnsi="Times New Roman" w:cs="Times New Roman"/>
          <w:sz w:val="24"/>
          <w:szCs w:val="24"/>
        </w:rPr>
        <w:t xml:space="preserve"> the State’s duty to investigate.</w:t>
      </w:r>
      <w:r w:rsidR="00F0665D" w:rsidRPr="009E6775">
        <w:rPr>
          <w:rStyle w:val="aa"/>
          <w:rFonts w:ascii="Times New Roman" w:hAnsi="Times New Roman" w:cs="Times New Roman"/>
          <w:sz w:val="24"/>
          <w:szCs w:val="24"/>
        </w:rPr>
        <w:footnoteReference w:id="176"/>
      </w:r>
      <w:r w:rsidR="00F0665D" w:rsidRPr="009E6775">
        <w:rPr>
          <w:rFonts w:ascii="Times New Roman" w:hAnsi="Times New Roman" w:cs="Times New Roman"/>
          <w:sz w:val="24"/>
          <w:szCs w:val="24"/>
        </w:rPr>
        <w:t xml:space="preserve"> Returning to the </w:t>
      </w:r>
      <w:r w:rsidR="00F0665D" w:rsidRPr="009E6775">
        <w:rPr>
          <w:rFonts w:ascii="Times New Roman" w:hAnsi="Times New Roman" w:cs="Times New Roman"/>
          <w:i/>
          <w:iCs/>
          <w:sz w:val="24"/>
          <w:szCs w:val="24"/>
        </w:rPr>
        <w:t xml:space="preserve">Targeted Killing </w:t>
      </w:r>
      <w:r w:rsidR="00F0665D" w:rsidRPr="009E6775">
        <w:rPr>
          <w:rFonts w:ascii="Times New Roman" w:hAnsi="Times New Roman" w:cs="Times New Roman"/>
          <w:sz w:val="24"/>
          <w:szCs w:val="24"/>
        </w:rPr>
        <w:t>judgment</w:t>
      </w:r>
      <w:r w:rsidR="00EB461D" w:rsidRPr="009E6775">
        <w:rPr>
          <w:rFonts w:ascii="Times New Roman" w:hAnsi="Times New Roman" w:cs="Times New Roman"/>
          <w:sz w:val="24"/>
          <w:szCs w:val="24"/>
        </w:rPr>
        <w:t xml:space="preserve">, </w:t>
      </w:r>
      <w:r w:rsidR="001936AC" w:rsidRPr="009E6775">
        <w:rPr>
          <w:rFonts w:ascii="Times New Roman" w:hAnsi="Times New Roman" w:cs="Times New Roman"/>
          <w:sz w:val="24"/>
          <w:szCs w:val="24"/>
        </w:rPr>
        <w:t xml:space="preserve">remarkably </w:t>
      </w:r>
      <w:r w:rsidR="00EB461D" w:rsidRPr="009E6775">
        <w:rPr>
          <w:rFonts w:ascii="Times New Roman" w:hAnsi="Times New Roman" w:cs="Times New Roman"/>
          <w:sz w:val="24"/>
          <w:szCs w:val="24"/>
        </w:rPr>
        <w:t xml:space="preserve">the </w:t>
      </w:r>
      <w:r w:rsidR="00FA162C" w:rsidRPr="009E6775">
        <w:rPr>
          <w:rFonts w:ascii="Times New Roman" w:hAnsi="Times New Roman" w:cs="Times New Roman"/>
          <w:sz w:val="24"/>
          <w:szCs w:val="24"/>
        </w:rPr>
        <w:t>SC</w:t>
      </w:r>
      <w:r w:rsidR="00EB461D" w:rsidRPr="009E6775">
        <w:rPr>
          <w:rFonts w:ascii="Times New Roman" w:hAnsi="Times New Roman" w:cs="Times New Roman"/>
          <w:sz w:val="24"/>
          <w:szCs w:val="24"/>
        </w:rPr>
        <w:t xml:space="preserve"> held that when what </w:t>
      </w:r>
      <w:r w:rsidR="00FA162C" w:rsidRPr="009E6775">
        <w:rPr>
          <w:rFonts w:ascii="Times New Roman" w:hAnsi="Times New Roman" w:cs="Times New Roman"/>
          <w:sz w:val="24"/>
          <w:szCs w:val="24"/>
        </w:rPr>
        <w:t>was</w:t>
      </w:r>
      <w:r w:rsidR="00EB461D" w:rsidRPr="009E6775">
        <w:rPr>
          <w:rFonts w:ascii="Times New Roman" w:hAnsi="Times New Roman" w:cs="Times New Roman"/>
          <w:sz w:val="24"/>
          <w:szCs w:val="24"/>
        </w:rPr>
        <w:t xml:space="preserve"> contested is the </w:t>
      </w:r>
      <w:r w:rsidR="00F269C2" w:rsidRPr="009E6775">
        <w:rPr>
          <w:rFonts w:ascii="Times New Roman" w:hAnsi="Times New Roman" w:cs="Times New Roman"/>
          <w:sz w:val="24"/>
          <w:szCs w:val="24"/>
        </w:rPr>
        <w:t xml:space="preserve">legality </w:t>
      </w:r>
      <w:r w:rsidR="00EB461D" w:rsidRPr="009E6775">
        <w:rPr>
          <w:rFonts w:ascii="Times New Roman" w:hAnsi="Times New Roman" w:cs="Times New Roman"/>
          <w:sz w:val="24"/>
          <w:szCs w:val="24"/>
        </w:rPr>
        <w:t xml:space="preserve">of means and methods of warfare rather than their desirability or advisability, </w:t>
      </w:r>
      <w:r w:rsidR="00982158" w:rsidRPr="009E6775">
        <w:rPr>
          <w:rFonts w:ascii="Times New Roman" w:hAnsi="Times New Roman" w:cs="Times New Roman"/>
          <w:sz w:val="24"/>
          <w:szCs w:val="24"/>
        </w:rPr>
        <w:t xml:space="preserve">the question </w:t>
      </w:r>
      <w:r w:rsidR="00FA162C" w:rsidRPr="009E6775">
        <w:rPr>
          <w:rFonts w:ascii="Times New Roman" w:hAnsi="Times New Roman" w:cs="Times New Roman"/>
          <w:sz w:val="24"/>
          <w:szCs w:val="24"/>
        </w:rPr>
        <w:t>could</w:t>
      </w:r>
      <w:r w:rsidR="00982158" w:rsidRPr="009E6775">
        <w:rPr>
          <w:rFonts w:ascii="Times New Roman" w:hAnsi="Times New Roman" w:cs="Times New Roman"/>
          <w:sz w:val="24"/>
          <w:szCs w:val="24"/>
        </w:rPr>
        <w:t xml:space="preserve"> be formulated </w:t>
      </w:r>
      <w:r w:rsidR="00F269C2" w:rsidRPr="009E6775">
        <w:rPr>
          <w:rFonts w:ascii="Times New Roman" w:hAnsi="Times New Roman" w:cs="Times New Roman"/>
          <w:sz w:val="24"/>
          <w:szCs w:val="24"/>
        </w:rPr>
        <w:t>in legal terms</w:t>
      </w:r>
      <w:r w:rsidR="00BA4B9B" w:rsidRPr="009E6775">
        <w:rPr>
          <w:rFonts w:ascii="Times New Roman" w:hAnsi="Times New Roman" w:cs="Times New Roman"/>
          <w:sz w:val="24"/>
          <w:szCs w:val="24"/>
        </w:rPr>
        <w:t xml:space="preserve"> and hence justiciable.</w:t>
      </w:r>
      <w:r w:rsidR="00543D32" w:rsidRPr="009E6775">
        <w:rPr>
          <w:rFonts w:ascii="Times New Roman" w:hAnsi="Times New Roman" w:cs="Times New Roman"/>
          <w:sz w:val="24"/>
          <w:szCs w:val="24"/>
        </w:rPr>
        <w:t xml:space="preserve"> This holding should be seen as a highly salutary move, because the ‘fog of war’</w:t>
      </w:r>
      <w:r w:rsidR="007110E5" w:rsidRPr="009E6775">
        <w:rPr>
          <w:rStyle w:val="aa"/>
          <w:rFonts w:ascii="Times New Roman" w:hAnsi="Times New Roman" w:cs="Times New Roman"/>
          <w:color w:val="000000"/>
          <w:sz w:val="24"/>
          <w:szCs w:val="24"/>
        </w:rPr>
        <w:footnoteReference w:id="177"/>
      </w:r>
      <w:r w:rsidR="007110E5" w:rsidRPr="009E6775">
        <w:rPr>
          <w:rStyle w:val="s68f5eaef"/>
          <w:rFonts w:ascii="Times New Roman" w:hAnsi="Times New Roman" w:cs="Times New Roman"/>
          <w:color w:val="000000"/>
          <w:sz w:val="24"/>
          <w:szCs w:val="24"/>
        </w:rPr>
        <w:t xml:space="preserve"> </w:t>
      </w:r>
      <w:r w:rsidR="00543D32" w:rsidRPr="009E6775">
        <w:rPr>
          <w:rFonts w:ascii="Times New Roman" w:hAnsi="Times New Roman" w:cs="Times New Roman"/>
          <w:sz w:val="24"/>
          <w:szCs w:val="24"/>
        </w:rPr>
        <w:t xml:space="preserve">argument based on epistemic uncertainty in assessing conduct of warfare seems particularly susceptible to judicial self-restraint and to discursive </w:t>
      </w:r>
      <w:r w:rsidR="00DA001D" w:rsidRPr="009E6775">
        <w:rPr>
          <w:rFonts w:ascii="Times New Roman" w:hAnsi="Times New Roman" w:cs="Times New Roman"/>
          <w:sz w:val="24"/>
          <w:szCs w:val="24"/>
        </w:rPr>
        <w:t xml:space="preserve">suspension (if not </w:t>
      </w:r>
      <w:r w:rsidR="00543D32" w:rsidRPr="009E6775">
        <w:rPr>
          <w:rFonts w:ascii="Times New Roman" w:hAnsi="Times New Roman" w:cs="Times New Roman"/>
          <w:sz w:val="24"/>
          <w:szCs w:val="24"/>
        </w:rPr>
        <w:t>closure</w:t>
      </w:r>
      <w:r w:rsidR="00DA001D" w:rsidRPr="009E6775">
        <w:rPr>
          <w:rFonts w:ascii="Times New Roman" w:hAnsi="Times New Roman" w:cs="Times New Roman"/>
          <w:sz w:val="24"/>
          <w:szCs w:val="24"/>
        </w:rPr>
        <w:t>)</w:t>
      </w:r>
      <w:r w:rsidR="00543D32" w:rsidRPr="009E6775">
        <w:rPr>
          <w:rFonts w:ascii="Times New Roman" w:hAnsi="Times New Roman" w:cs="Times New Roman"/>
          <w:sz w:val="24"/>
          <w:szCs w:val="24"/>
        </w:rPr>
        <w:t xml:space="preserve">. </w:t>
      </w:r>
      <w:r w:rsidR="00A7078E" w:rsidRPr="009E6775">
        <w:rPr>
          <w:rFonts w:ascii="Times New Roman" w:hAnsi="Times New Roman" w:cs="Times New Roman"/>
          <w:sz w:val="24"/>
          <w:szCs w:val="24"/>
        </w:rPr>
        <w:t xml:space="preserve">The </w:t>
      </w:r>
      <w:r w:rsidR="00FA162C" w:rsidRPr="009E6775">
        <w:rPr>
          <w:rFonts w:ascii="Times New Roman" w:hAnsi="Times New Roman" w:cs="Times New Roman"/>
          <w:sz w:val="24"/>
          <w:szCs w:val="24"/>
        </w:rPr>
        <w:t>SC</w:t>
      </w:r>
      <w:r w:rsidR="009A05EF" w:rsidRPr="009E6775">
        <w:rPr>
          <w:rFonts w:ascii="Times New Roman" w:hAnsi="Times New Roman" w:cs="Times New Roman"/>
          <w:sz w:val="24"/>
          <w:szCs w:val="24"/>
        </w:rPr>
        <w:t xml:space="preserve">, </w:t>
      </w:r>
      <w:r w:rsidR="00A7078E" w:rsidRPr="009E6775">
        <w:rPr>
          <w:rFonts w:ascii="Times New Roman" w:hAnsi="Times New Roman" w:cs="Times New Roman"/>
          <w:sz w:val="24"/>
          <w:szCs w:val="24"/>
        </w:rPr>
        <w:t>refusing to succumb to</w:t>
      </w:r>
      <w:r w:rsidR="00BA4B9B" w:rsidRPr="009E6775">
        <w:rPr>
          <w:rFonts w:ascii="Times New Roman" w:hAnsi="Times New Roman" w:cs="Times New Roman"/>
          <w:sz w:val="24"/>
          <w:szCs w:val="24"/>
        </w:rPr>
        <w:t xml:space="preserve"> any temptation to turn to some avoidance technique, </w:t>
      </w:r>
      <w:r w:rsidR="009A05EF" w:rsidRPr="009E6775">
        <w:rPr>
          <w:rFonts w:ascii="Times New Roman" w:hAnsi="Times New Roman" w:cs="Times New Roman"/>
          <w:sz w:val="24"/>
          <w:szCs w:val="24"/>
        </w:rPr>
        <w:t xml:space="preserve">saw </w:t>
      </w:r>
      <w:r w:rsidR="00982158" w:rsidRPr="009E6775">
        <w:rPr>
          <w:rFonts w:ascii="Times New Roman" w:hAnsi="Times New Roman" w:cs="Times New Roman"/>
          <w:sz w:val="24"/>
          <w:szCs w:val="24"/>
        </w:rPr>
        <w:t xml:space="preserve">itself fully </w:t>
      </w:r>
      <w:r w:rsidR="001936AC" w:rsidRPr="009E6775">
        <w:rPr>
          <w:rFonts w:ascii="Times New Roman" w:hAnsi="Times New Roman" w:cs="Times New Roman"/>
          <w:sz w:val="24"/>
          <w:szCs w:val="24"/>
        </w:rPr>
        <w:t xml:space="preserve">capable of adjudications </w:t>
      </w:r>
      <w:r w:rsidR="00F269C2" w:rsidRPr="009E6775">
        <w:rPr>
          <w:rFonts w:ascii="Times New Roman" w:hAnsi="Times New Roman" w:cs="Times New Roman"/>
          <w:sz w:val="24"/>
          <w:szCs w:val="24"/>
        </w:rPr>
        <w:t xml:space="preserve">without </w:t>
      </w:r>
      <w:r w:rsidR="00F8750B" w:rsidRPr="009E6775">
        <w:rPr>
          <w:rFonts w:ascii="Times New Roman" w:hAnsi="Times New Roman" w:cs="Times New Roman"/>
          <w:sz w:val="24"/>
          <w:szCs w:val="24"/>
        </w:rPr>
        <w:t xml:space="preserve">being </w:t>
      </w:r>
      <w:r w:rsidR="00F269C2" w:rsidRPr="009E6775">
        <w:rPr>
          <w:rFonts w:ascii="Times New Roman" w:hAnsi="Times New Roman" w:cs="Times New Roman"/>
          <w:sz w:val="24"/>
          <w:szCs w:val="24"/>
        </w:rPr>
        <w:t xml:space="preserve">inhibited by </w:t>
      </w:r>
      <w:r w:rsidR="00EB461D" w:rsidRPr="009E6775">
        <w:rPr>
          <w:rFonts w:ascii="Times New Roman" w:hAnsi="Times New Roman" w:cs="Times New Roman"/>
          <w:sz w:val="24"/>
          <w:szCs w:val="24"/>
        </w:rPr>
        <w:t>politico-military considerations</w:t>
      </w:r>
      <w:r w:rsidR="00BA4B9B" w:rsidRPr="009E6775">
        <w:rPr>
          <w:rFonts w:ascii="Times New Roman" w:hAnsi="Times New Roman" w:cs="Times New Roman"/>
          <w:sz w:val="24"/>
          <w:szCs w:val="24"/>
        </w:rPr>
        <w:t>.</w:t>
      </w:r>
      <w:r w:rsidR="00A7078E" w:rsidRPr="009E6775">
        <w:rPr>
          <w:rStyle w:val="aa"/>
          <w:rFonts w:ascii="Times New Roman" w:hAnsi="Times New Roman" w:cs="Times New Roman"/>
          <w:sz w:val="24"/>
          <w:szCs w:val="24"/>
        </w:rPr>
        <w:footnoteReference w:id="178"/>
      </w:r>
      <w:r w:rsidR="00A7078E" w:rsidRPr="009E6775">
        <w:rPr>
          <w:rFonts w:ascii="Times New Roman" w:hAnsi="Times New Roman" w:cs="Times New Roman"/>
          <w:sz w:val="24"/>
          <w:szCs w:val="24"/>
        </w:rPr>
        <w:t xml:space="preserve"> </w:t>
      </w:r>
    </w:p>
    <w:p w14:paraId="71591F0C" w14:textId="77777777" w:rsidR="006A7844" w:rsidRPr="009E6775" w:rsidRDefault="006A7844" w:rsidP="0081540D">
      <w:pPr>
        <w:rPr>
          <w:rFonts w:ascii="Times New Roman" w:hAnsi="Times New Roman" w:cs="Times New Roman"/>
          <w:sz w:val="24"/>
          <w:szCs w:val="24"/>
        </w:rPr>
      </w:pPr>
    </w:p>
    <w:p w14:paraId="33CA2AAB" w14:textId="77777777" w:rsidR="000A0C3A" w:rsidRPr="009E6775" w:rsidRDefault="00FA162C" w:rsidP="0081540D">
      <w:pPr>
        <w:rPr>
          <w:rFonts w:ascii="Times New Roman" w:hAnsi="Times New Roman" w:cs="Times New Roman"/>
          <w:sz w:val="24"/>
          <w:szCs w:val="24"/>
        </w:rPr>
      </w:pPr>
      <w:r w:rsidRPr="009E6775">
        <w:rPr>
          <w:rFonts w:ascii="Times New Roman" w:hAnsi="Times New Roman" w:cs="Times New Roman"/>
          <w:sz w:val="24"/>
          <w:szCs w:val="24"/>
        </w:rPr>
        <w:t>Another crucial</w:t>
      </w:r>
      <w:r w:rsidR="00F269C2" w:rsidRPr="009E6775">
        <w:rPr>
          <w:rFonts w:ascii="Times New Roman" w:hAnsi="Times New Roman" w:cs="Times New Roman"/>
          <w:sz w:val="24"/>
          <w:szCs w:val="24"/>
        </w:rPr>
        <w:t xml:space="preserve"> </w:t>
      </w:r>
      <w:r w:rsidR="006A74FE" w:rsidRPr="009E6775">
        <w:rPr>
          <w:rFonts w:ascii="Times New Roman" w:hAnsi="Times New Roman" w:cs="Times New Roman"/>
          <w:sz w:val="24"/>
          <w:szCs w:val="24"/>
        </w:rPr>
        <w:t>principle enunciated in</w:t>
      </w:r>
      <w:r w:rsidR="00F269C2" w:rsidRPr="009E6775">
        <w:rPr>
          <w:rFonts w:ascii="Times New Roman" w:hAnsi="Times New Roman" w:cs="Times New Roman"/>
          <w:sz w:val="24"/>
          <w:szCs w:val="24"/>
        </w:rPr>
        <w:t xml:space="preserve"> </w:t>
      </w:r>
      <w:r w:rsidR="00F269C2" w:rsidRPr="009E6775">
        <w:rPr>
          <w:rFonts w:ascii="Times New Roman" w:hAnsi="Times New Roman" w:cs="Times New Roman"/>
          <w:i/>
          <w:iCs/>
          <w:sz w:val="24"/>
          <w:szCs w:val="24"/>
        </w:rPr>
        <w:t xml:space="preserve">Targeted Killing </w:t>
      </w:r>
      <w:r w:rsidR="00F269C2" w:rsidRPr="009E6775">
        <w:rPr>
          <w:rFonts w:ascii="Times New Roman" w:hAnsi="Times New Roman" w:cs="Times New Roman"/>
          <w:sz w:val="24"/>
          <w:szCs w:val="24"/>
        </w:rPr>
        <w:t>is that there is a need</w:t>
      </w:r>
      <w:r w:rsidR="00385793" w:rsidRPr="009E6775">
        <w:rPr>
          <w:rFonts w:ascii="Times New Roman" w:hAnsi="Times New Roman" w:cs="Times New Roman"/>
          <w:sz w:val="24"/>
          <w:szCs w:val="24"/>
        </w:rPr>
        <w:t xml:space="preserve"> for the authority</w:t>
      </w:r>
      <w:r w:rsidR="00F269C2" w:rsidRPr="009E6775">
        <w:rPr>
          <w:rFonts w:ascii="Times New Roman" w:hAnsi="Times New Roman" w:cs="Times New Roman"/>
          <w:sz w:val="24"/>
          <w:szCs w:val="24"/>
        </w:rPr>
        <w:t xml:space="preserve"> to undertake an </w:t>
      </w:r>
      <w:r w:rsidR="00F269C2" w:rsidRPr="009E6775">
        <w:rPr>
          <w:rFonts w:ascii="Times New Roman" w:hAnsi="Times New Roman" w:cs="Times New Roman"/>
          <w:i/>
          <w:iCs/>
          <w:sz w:val="24"/>
          <w:szCs w:val="24"/>
        </w:rPr>
        <w:t xml:space="preserve">ex post facto </w:t>
      </w:r>
      <w:r w:rsidR="00F269C2" w:rsidRPr="009E6775">
        <w:rPr>
          <w:rFonts w:ascii="Times New Roman" w:hAnsi="Times New Roman" w:cs="Times New Roman"/>
          <w:sz w:val="24"/>
          <w:szCs w:val="24"/>
        </w:rPr>
        <w:t>examination of the legality of specific action</w:t>
      </w:r>
      <w:r w:rsidR="00F0665D" w:rsidRPr="009E6775">
        <w:rPr>
          <w:rFonts w:ascii="Times New Roman" w:hAnsi="Times New Roman" w:cs="Times New Roman"/>
          <w:sz w:val="24"/>
          <w:szCs w:val="24"/>
        </w:rPr>
        <w:t>,</w:t>
      </w:r>
      <w:r w:rsidR="00F269C2" w:rsidRPr="009E6775">
        <w:rPr>
          <w:rFonts w:ascii="Times New Roman" w:hAnsi="Times New Roman" w:cs="Times New Roman"/>
          <w:sz w:val="24"/>
          <w:szCs w:val="24"/>
        </w:rPr>
        <w:t xml:space="preserve"> </w:t>
      </w:r>
      <w:r w:rsidR="00F269C2" w:rsidRPr="009E6775">
        <w:rPr>
          <w:rFonts w:ascii="Times New Roman" w:hAnsi="Times New Roman" w:cs="Times New Roman"/>
          <w:i/>
          <w:iCs/>
          <w:sz w:val="24"/>
          <w:szCs w:val="24"/>
        </w:rPr>
        <w:t>and</w:t>
      </w:r>
      <w:r w:rsidR="00F269C2" w:rsidRPr="009E6775">
        <w:rPr>
          <w:rFonts w:ascii="Times New Roman" w:hAnsi="Times New Roman" w:cs="Times New Roman"/>
          <w:sz w:val="24"/>
          <w:szCs w:val="24"/>
        </w:rPr>
        <w:t xml:space="preserve"> </w:t>
      </w:r>
      <w:r w:rsidR="00F0665D" w:rsidRPr="009E6775">
        <w:rPr>
          <w:rFonts w:ascii="Times New Roman" w:hAnsi="Times New Roman" w:cs="Times New Roman"/>
          <w:sz w:val="24"/>
          <w:szCs w:val="24"/>
        </w:rPr>
        <w:t>that such an examination must be subject to the judicial review to</w:t>
      </w:r>
      <w:r w:rsidR="00F269C2" w:rsidRPr="009E6775">
        <w:rPr>
          <w:rFonts w:ascii="Times New Roman" w:hAnsi="Times New Roman" w:cs="Times New Roman"/>
          <w:sz w:val="24"/>
          <w:szCs w:val="24"/>
        </w:rPr>
        <w:t xml:space="preserve"> ensur</w:t>
      </w:r>
      <w:r w:rsidR="00F0665D" w:rsidRPr="009E6775">
        <w:rPr>
          <w:rFonts w:ascii="Times New Roman" w:hAnsi="Times New Roman" w:cs="Times New Roman"/>
          <w:sz w:val="24"/>
          <w:szCs w:val="24"/>
        </w:rPr>
        <w:t>e</w:t>
      </w:r>
      <w:r w:rsidR="00F269C2" w:rsidRPr="009E6775">
        <w:rPr>
          <w:rFonts w:ascii="Times New Roman" w:hAnsi="Times New Roman" w:cs="Times New Roman"/>
          <w:sz w:val="24"/>
          <w:szCs w:val="24"/>
        </w:rPr>
        <w:t xml:space="preserve"> objectivity</w:t>
      </w:r>
      <w:r w:rsidR="00CE620F" w:rsidRPr="009E6775">
        <w:rPr>
          <w:rFonts w:ascii="Times New Roman" w:hAnsi="Times New Roman" w:cs="Times New Roman"/>
          <w:sz w:val="24"/>
          <w:szCs w:val="24"/>
        </w:rPr>
        <w:t>.</w:t>
      </w:r>
      <w:r w:rsidR="00385793" w:rsidRPr="009E6775">
        <w:rPr>
          <w:rStyle w:val="aa"/>
          <w:rFonts w:ascii="Times New Roman" w:hAnsi="Times New Roman" w:cs="Times New Roman"/>
          <w:sz w:val="24"/>
          <w:szCs w:val="24"/>
        </w:rPr>
        <w:footnoteReference w:id="179"/>
      </w:r>
      <w:r w:rsidR="0055602C" w:rsidRPr="009E6775">
        <w:rPr>
          <w:rFonts w:ascii="Times New Roman" w:hAnsi="Times New Roman" w:cs="Times New Roman"/>
          <w:sz w:val="24"/>
          <w:szCs w:val="24"/>
        </w:rPr>
        <w:t xml:space="preserve"> Such </w:t>
      </w:r>
      <w:r w:rsidR="006A7844" w:rsidRPr="009E6775">
        <w:rPr>
          <w:rFonts w:ascii="Times New Roman" w:hAnsi="Times New Roman" w:cs="Times New Roman"/>
          <w:sz w:val="24"/>
          <w:szCs w:val="24"/>
        </w:rPr>
        <w:t xml:space="preserve">an </w:t>
      </w:r>
      <w:r w:rsidR="0055602C" w:rsidRPr="009E6775">
        <w:rPr>
          <w:rFonts w:ascii="Times New Roman" w:hAnsi="Times New Roman" w:cs="Times New Roman"/>
          <w:i/>
          <w:iCs/>
          <w:sz w:val="24"/>
          <w:szCs w:val="24"/>
        </w:rPr>
        <w:t xml:space="preserve">ex post facto </w:t>
      </w:r>
      <w:r w:rsidR="0055602C" w:rsidRPr="009E6775">
        <w:rPr>
          <w:rFonts w:ascii="Times New Roman" w:hAnsi="Times New Roman" w:cs="Times New Roman"/>
          <w:sz w:val="24"/>
          <w:szCs w:val="24"/>
        </w:rPr>
        <w:t xml:space="preserve">duty of investigations should </w:t>
      </w:r>
      <w:r w:rsidR="00385EDF" w:rsidRPr="009E6775">
        <w:rPr>
          <w:rFonts w:ascii="Times New Roman" w:hAnsi="Times New Roman" w:cs="Times New Roman"/>
          <w:sz w:val="24"/>
          <w:szCs w:val="24"/>
        </w:rPr>
        <w:t xml:space="preserve">bring about </w:t>
      </w:r>
      <w:r w:rsidR="00E75691" w:rsidRPr="009E6775">
        <w:rPr>
          <w:rFonts w:ascii="Times New Roman" w:hAnsi="Times New Roman" w:cs="Times New Roman"/>
          <w:sz w:val="24"/>
          <w:szCs w:val="24"/>
        </w:rPr>
        <w:t xml:space="preserve">significant normative constraint </w:t>
      </w:r>
      <w:r w:rsidR="00385EDF" w:rsidRPr="009E6775">
        <w:rPr>
          <w:rFonts w:ascii="Times New Roman" w:hAnsi="Times New Roman" w:cs="Times New Roman"/>
          <w:sz w:val="24"/>
          <w:szCs w:val="24"/>
        </w:rPr>
        <w:t xml:space="preserve">on the military authorities </w:t>
      </w:r>
      <w:r w:rsidR="00E75691" w:rsidRPr="009E6775">
        <w:rPr>
          <w:rFonts w:ascii="Times New Roman" w:hAnsi="Times New Roman" w:cs="Times New Roman"/>
          <w:sz w:val="24"/>
          <w:szCs w:val="24"/>
        </w:rPr>
        <w:t>(not least on commanders under Article 28 ICC Statute)</w:t>
      </w:r>
      <w:r w:rsidR="0055602C" w:rsidRPr="009E6775">
        <w:rPr>
          <w:rFonts w:ascii="Times New Roman" w:hAnsi="Times New Roman" w:cs="Times New Roman"/>
          <w:sz w:val="24"/>
          <w:szCs w:val="24"/>
        </w:rPr>
        <w:t>.</w:t>
      </w:r>
      <w:r w:rsidR="00E75691" w:rsidRPr="009E6775">
        <w:rPr>
          <w:rStyle w:val="aa"/>
          <w:rFonts w:ascii="Times New Roman" w:hAnsi="Times New Roman" w:cs="Times New Roman"/>
          <w:sz w:val="24"/>
          <w:szCs w:val="24"/>
        </w:rPr>
        <w:footnoteReference w:id="180"/>
      </w:r>
      <w:r w:rsidR="00E75691" w:rsidRPr="009E6775">
        <w:rPr>
          <w:rFonts w:ascii="Times New Roman" w:hAnsi="Times New Roman" w:cs="Times New Roman"/>
          <w:sz w:val="24"/>
          <w:szCs w:val="24"/>
        </w:rPr>
        <w:t xml:space="preserve"> </w:t>
      </w:r>
      <w:r w:rsidR="0055602C" w:rsidRPr="009E6775">
        <w:rPr>
          <w:rFonts w:ascii="Times New Roman" w:hAnsi="Times New Roman" w:cs="Times New Roman"/>
          <w:sz w:val="24"/>
          <w:szCs w:val="24"/>
        </w:rPr>
        <w:t xml:space="preserve">Yet, </w:t>
      </w:r>
      <w:r w:rsidR="009F553C" w:rsidRPr="009E6775">
        <w:rPr>
          <w:rFonts w:ascii="Times New Roman" w:hAnsi="Times New Roman" w:cs="Times New Roman"/>
          <w:sz w:val="24"/>
          <w:szCs w:val="24"/>
        </w:rPr>
        <w:t>several authors</w:t>
      </w:r>
      <w:r w:rsidR="009F553C" w:rsidRPr="009E6775">
        <w:rPr>
          <w:rStyle w:val="aa"/>
          <w:rFonts w:ascii="Times New Roman" w:hAnsi="Times New Roman" w:cs="Times New Roman"/>
          <w:sz w:val="24"/>
          <w:szCs w:val="24"/>
        </w:rPr>
        <w:footnoteReference w:id="181"/>
      </w:r>
      <w:r w:rsidR="009F553C" w:rsidRPr="009E6775">
        <w:rPr>
          <w:rFonts w:ascii="Times New Roman" w:hAnsi="Times New Roman" w:cs="Times New Roman"/>
          <w:sz w:val="24"/>
          <w:szCs w:val="24"/>
        </w:rPr>
        <w:t xml:space="preserve"> caution against </w:t>
      </w:r>
      <w:r w:rsidR="0055602C" w:rsidRPr="009E6775">
        <w:rPr>
          <w:rFonts w:ascii="Times New Roman" w:hAnsi="Times New Roman" w:cs="Times New Roman"/>
          <w:sz w:val="24"/>
          <w:szCs w:val="24"/>
        </w:rPr>
        <w:t xml:space="preserve">transplanting </w:t>
      </w:r>
      <w:r w:rsidR="0049690E" w:rsidRPr="009E6775">
        <w:rPr>
          <w:rFonts w:ascii="Times New Roman" w:hAnsi="Times New Roman" w:cs="Times New Roman"/>
          <w:sz w:val="24"/>
          <w:szCs w:val="24"/>
        </w:rPr>
        <w:t xml:space="preserve">the </w:t>
      </w:r>
      <w:r w:rsidR="0055602C" w:rsidRPr="009E6775">
        <w:rPr>
          <w:rFonts w:ascii="Times New Roman" w:hAnsi="Times New Roman" w:cs="Times New Roman"/>
          <w:sz w:val="24"/>
          <w:szCs w:val="24"/>
        </w:rPr>
        <w:t xml:space="preserve">procedural duty of </w:t>
      </w:r>
      <w:r w:rsidR="0055602C" w:rsidRPr="009E6775">
        <w:rPr>
          <w:rFonts w:ascii="Times New Roman" w:hAnsi="Times New Roman" w:cs="Times New Roman"/>
          <w:sz w:val="24"/>
          <w:szCs w:val="24"/>
        </w:rPr>
        <w:lastRenderedPageBreak/>
        <w:t xml:space="preserve">positive obligations derived from the case-law of IHRL </w:t>
      </w:r>
      <w:r w:rsidR="00A7078E" w:rsidRPr="009E6775">
        <w:rPr>
          <w:rFonts w:ascii="Times New Roman" w:hAnsi="Times New Roman" w:cs="Times New Roman"/>
          <w:sz w:val="24"/>
          <w:szCs w:val="24"/>
        </w:rPr>
        <w:t xml:space="preserve">into </w:t>
      </w:r>
      <w:r w:rsidR="0055602C" w:rsidRPr="009E6775">
        <w:rPr>
          <w:rFonts w:ascii="Times New Roman" w:hAnsi="Times New Roman" w:cs="Times New Roman"/>
          <w:sz w:val="24"/>
          <w:szCs w:val="24"/>
        </w:rPr>
        <w:t xml:space="preserve">the </w:t>
      </w:r>
      <w:r w:rsidR="00385EDF" w:rsidRPr="009E6775">
        <w:rPr>
          <w:rFonts w:ascii="Times New Roman" w:hAnsi="Times New Roman" w:cs="Times New Roman"/>
          <w:sz w:val="24"/>
          <w:szCs w:val="24"/>
        </w:rPr>
        <w:t>context</w:t>
      </w:r>
      <w:r w:rsidR="0055602C" w:rsidRPr="009E6775">
        <w:rPr>
          <w:rFonts w:ascii="Times New Roman" w:hAnsi="Times New Roman" w:cs="Times New Roman"/>
          <w:sz w:val="24"/>
          <w:szCs w:val="24"/>
        </w:rPr>
        <w:t xml:space="preserve"> of </w:t>
      </w:r>
      <w:r w:rsidR="006902EB" w:rsidRPr="009E6775">
        <w:rPr>
          <w:rFonts w:ascii="Times New Roman" w:hAnsi="Times New Roman" w:cs="Times New Roman"/>
          <w:sz w:val="24"/>
          <w:szCs w:val="24"/>
        </w:rPr>
        <w:t xml:space="preserve">killing </w:t>
      </w:r>
      <w:r w:rsidR="009F553C" w:rsidRPr="009E6775">
        <w:rPr>
          <w:rFonts w:ascii="Times New Roman" w:hAnsi="Times New Roman" w:cs="Times New Roman"/>
          <w:sz w:val="24"/>
          <w:szCs w:val="24"/>
        </w:rPr>
        <w:t>in active phases of hostilities</w:t>
      </w:r>
      <w:r w:rsidR="006A7844" w:rsidRPr="009E6775">
        <w:rPr>
          <w:rFonts w:ascii="Times New Roman" w:hAnsi="Times New Roman" w:cs="Times New Roman"/>
          <w:sz w:val="24"/>
          <w:szCs w:val="24"/>
        </w:rPr>
        <w:t>. Such cautious stance may resonate when lethal means are levelled at</w:t>
      </w:r>
      <w:r w:rsidR="009F553C" w:rsidRPr="009E6775">
        <w:rPr>
          <w:rFonts w:ascii="Times New Roman" w:hAnsi="Times New Roman" w:cs="Times New Roman"/>
          <w:sz w:val="24"/>
          <w:szCs w:val="24"/>
        </w:rPr>
        <w:t xml:space="preserve"> </w:t>
      </w:r>
      <w:r w:rsidR="0055602C" w:rsidRPr="009E6775">
        <w:rPr>
          <w:rFonts w:ascii="Times New Roman" w:hAnsi="Times New Roman" w:cs="Times New Roman"/>
          <w:sz w:val="24"/>
          <w:szCs w:val="24"/>
        </w:rPr>
        <w:t xml:space="preserve">a </w:t>
      </w:r>
      <w:r w:rsidR="00A7078E" w:rsidRPr="009E6775">
        <w:rPr>
          <w:rFonts w:ascii="Times New Roman" w:hAnsi="Times New Roman" w:cs="Times New Roman"/>
          <w:sz w:val="24"/>
          <w:szCs w:val="24"/>
        </w:rPr>
        <w:t>member of an armed group</w:t>
      </w:r>
      <w:r w:rsidR="009F553C" w:rsidRPr="009E6775">
        <w:rPr>
          <w:rFonts w:ascii="Times New Roman" w:hAnsi="Times New Roman" w:cs="Times New Roman"/>
          <w:sz w:val="24"/>
          <w:szCs w:val="24"/>
        </w:rPr>
        <w:t xml:space="preserve"> who assumes </w:t>
      </w:r>
      <w:r w:rsidR="00D843B6" w:rsidRPr="009E6775">
        <w:rPr>
          <w:rFonts w:ascii="Times New Roman" w:hAnsi="Times New Roman" w:cs="Times New Roman"/>
          <w:sz w:val="24"/>
          <w:szCs w:val="24"/>
        </w:rPr>
        <w:t>‘</w:t>
      </w:r>
      <w:r w:rsidR="00A7078E" w:rsidRPr="009E6775">
        <w:rPr>
          <w:rFonts w:ascii="Times New Roman" w:hAnsi="Times New Roman" w:cs="Times New Roman"/>
          <w:sz w:val="24"/>
          <w:szCs w:val="24"/>
        </w:rPr>
        <w:t>continu</w:t>
      </w:r>
      <w:r w:rsidR="00D843B6" w:rsidRPr="009E6775">
        <w:rPr>
          <w:rFonts w:ascii="Times New Roman" w:hAnsi="Times New Roman" w:cs="Times New Roman"/>
          <w:sz w:val="24"/>
          <w:szCs w:val="24"/>
        </w:rPr>
        <w:t xml:space="preserve">ous </w:t>
      </w:r>
      <w:r w:rsidR="00A7078E" w:rsidRPr="009E6775">
        <w:rPr>
          <w:rFonts w:ascii="Times New Roman" w:hAnsi="Times New Roman" w:cs="Times New Roman"/>
          <w:sz w:val="24"/>
          <w:szCs w:val="24"/>
        </w:rPr>
        <w:t>combat function</w:t>
      </w:r>
      <w:r w:rsidR="00D843B6" w:rsidRPr="009E6775">
        <w:rPr>
          <w:rFonts w:ascii="Times New Roman" w:hAnsi="Times New Roman" w:cs="Times New Roman"/>
          <w:sz w:val="24"/>
          <w:szCs w:val="24"/>
        </w:rPr>
        <w:t>’</w:t>
      </w:r>
      <w:r w:rsidR="00385EDF" w:rsidRPr="009E6775">
        <w:rPr>
          <w:rStyle w:val="aa"/>
          <w:rFonts w:ascii="Times New Roman" w:hAnsi="Times New Roman" w:cs="Times New Roman"/>
          <w:sz w:val="24"/>
          <w:szCs w:val="24"/>
        </w:rPr>
        <w:footnoteReference w:id="182"/>
      </w:r>
      <w:r w:rsidR="00A7078E" w:rsidRPr="009E6775">
        <w:rPr>
          <w:rFonts w:ascii="Times New Roman" w:hAnsi="Times New Roman" w:cs="Times New Roman"/>
          <w:sz w:val="24"/>
          <w:szCs w:val="24"/>
        </w:rPr>
        <w:t xml:space="preserve"> </w:t>
      </w:r>
      <w:r w:rsidR="009F553C" w:rsidRPr="009E6775">
        <w:rPr>
          <w:rFonts w:ascii="Times New Roman" w:hAnsi="Times New Roman" w:cs="Times New Roman"/>
          <w:sz w:val="24"/>
          <w:szCs w:val="24"/>
        </w:rPr>
        <w:t xml:space="preserve">and when that group is </w:t>
      </w:r>
      <w:r w:rsidR="004401B9" w:rsidRPr="009E6775">
        <w:rPr>
          <w:rFonts w:ascii="Times New Roman" w:hAnsi="Times New Roman" w:cs="Times New Roman"/>
          <w:sz w:val="24"/>
          <w:szCs w:val="24"/>
        </w:rPr>
        <w:t>deemed</w:t>
      </w:r>
      <w:r w:rsidR="009F553C" w:rsidRPr="009E6775">
        <w:rPr>
          <w:rFonts w:ascii="Times New Roman" w:hAnsi="Times New Roman" w:cs="Times New Roman"/>
          <w:sz w:val="24"/>
          <w:szCs w:val="24"/>
        </w:rPr>
        <w:t xml:space="preserve"> a party to the conflict.</w:t>
      </w:r>
      <w:r w:rsidR="009F553C" w:rsidRPr="009E6775">
        <w:rPr>
          <w:rStyle w:val="aa"/>
          <w:rFonts w:ascii="Times New Roman" w:hAnsi="Times New Roman" w:cs="Times New Roman"/>
          <w:sz w:val="24"/>
          <w:szCs w:val="24"/>
        </w:rPr>
        <w:footnoteReference w:id="183"/>
      </w:r>
      <w:r w:rsidR="00A7078E" w:rsidRPr="009E6775">
        <w:rPr>
          <w:rFonts w:ascii="Times New Roman" w:hAnsi="Times New Roman" w:cs="Times New Roman"/>
          <w:sz w:val="24"/>
          <w:szCs w:val="24"/>
        </w:rPr>
        <w:t xml:space="preserve"> </w:t>
      </w:r>
    </w:p>
    <w:p w14:paraId="6DE1A96B" w14:textId="77777777" w:rsidR="000A0C3A" w:rsidRPr="009E6775" w:rsidRDefault="000A0C3A" w:rsidP="0081540D">
      <w:pPr>
        <w:rPr>
          <w:rFonts w:ascii="Times New Roman" w:hAnsi="Times New Roman" w:cs="Times New Roman"/>
          <w:sz w:val="24"/>
          <w:szCs w:val="24"/>
        </w:rPr>
      </w:pPr>
    </w:p>
    <w:p w14:paraId="2974B5AF" w14:textId="6DD3B55D" w:rsidR="006437D8" w:rsidRPr="009E6775" w:rsidRDefault="001936AC" w:rsidP="0081540D">
      <w:pPr>
        <w:rPr>
          <w:rFonts w:ascii="Times New Roman" w:hAnsi="Times New Roman" w:cs="Times New Roman"/>
          <w:sz w:val="24"/>
          <w:szCs w:val="24"/>
        </w:rPr>
      </w:pPr>
      <w:r w:rsidRPr="009E6775">
        <w:rPr>
          <w:rFonts w:ascii="Times New Roman" w:hAnsi="Times New Roman" w:cs="Times New Roman"/>
          <w:sz w:val="24"/>
          <w:szCs w:val="24"/>
        </w:rPr>
        <w:t xml:space="preserve">In </w:t>
      </w:r>
      <w:r w:rsidRPr="009E6775">
        <w:rPr>
          <w:rFonts w:ascii="Times New Roman" w:hAnsi="Times New Roman" w:cs="Times New Roman"/>
          <w:i/>
          <w:iCs/>
          <w:sz w:val="24"/>
          <w:szCs w:val="24"/>
        </w:rPr>
        <w:t>Early Warning</w:t>
      </w:r>
      <w:r w:rsidRPr="009E6775">
        <w:rPr>
          <w:rFonts w:ascii="Times New Roman" w:hAnsi="Times New Roman" w:cs="Times New Roman"/>
          <w:sz w:val="24"/>
          <w:szCs w:val="24"/>
        </w:rPr>
        <w:t xml:space="preserve"> (2005), </w:t>
      </w:r>
      <w:r w:rsidR="004E3FB9" w:rsidRPr="009E6775">
        <w:rPr>
          <w:rFonts w:ascii="Times New Roman" w:hAnsi="Times New Roman" w:cs="Times New Roman"/>
          <w:sz w:val="24"/>
          <w:szCs w:val="24"/>
        </w:rPr>
        <w:t>the</w:t>
      </w:r>
      <w:r w:rsidR="002831D7" w:rsidRPr="009E6775">
        <w:rPr>
          <w:rFonts w:ascii="Times New Roman" w:hAnsi="Times New Roman" w:cs="Times New Roman"/>
          <w:sz w:val="24"/>
          <w:szCs w:val="24"/>
        </w:rPr>
        <w:t xml:space="preserve"> SC’s</w:t>
      </w:r>
      <w:r w:rsidR="004E3FB9" w:rsidRPr="009E6775">
        <w:rPr>
          <w:rFonts w:ascii="Times New Roman" w:hAnsi="Times New Roman" w:cs="Times New Roman"/>
          <w:sz w:val="24"/>
          <w:szCs w:val="24"/>
        </w:rPr>
        <w:t xml:space="preserve"> liberal stance was </w:t>
      </w:r>
      <w:r w:rsidR="006D2197" w:rsidRPr="009E6775">
        <w:rPr>
          <w:rFonts w:ascii="Times New Roman" w:hAnsi="Times New Roman" w:cs="Times New Roman"/>
          <w:sz w:val="24"/>
          <w:szCs w:val="24"/>
        </w:rPr>
        <w:t xml:space="preserve">equally </w:t>
      </w:r>
      <w:r w:rsidR="004E3FB9" w:rsidRPr="009E6775">
        <w:rPr>
          <w:rFonts w:ascii="Times New Roman" w:hAnsi="Times New Roman" w:cs="Times New Roman"/>
          <w:sz w:val="24"/>
          <w:szCs w:val="24"/>
        </w:rPr>
        <w:t xml:space="preserve">applied to a particular method of warfare. Here, the </w:t>
      </w:r>
      <w:r w:rsidRPr="009E6775">
        <w:rPr>
          <w:rFonts w:ascii="Times New Roman" w:hAnsi="Times New Roman" w:cs="Times New Roman"/>
          <w:sz w:val="24"/>
          <w:szCs w:val="24"/>
        </w:rPr>
        <w:t>a</w:t>
      </w:r>
      <w:r w:rsidR="00CA5351" w:rsidRPr="009E6775">
        <w:rPr>
          <w:rFonts w:ascii="Times New Roman" w:hAnsi="Times New Roman" w:cs="Times New Roman"/>
          <w:sz w:val="24"/>
          <w:szCs w:val="24"/>
        </w:rPr>
        <w:t>lleged use</w:t>
      </w:r>
      <w:r w:rsidR="00F0665D" w:rsidRPr="009E6775">
        <w:rPr>
          <w:rFonts w:ascii="Times New Roman" w:hAnsi="Times New Roman" w:cs="Times New Roman"/>
          <w:sz w:val="24"/>
          <w:szCs w:val="24"/>
        </w:rPr>
        <w:t xml:space="preserve"> of civilians as </w:t>
      </w:r>
      <w:r w:rsidR="00CA5351" w:rsidRPr="009E6775">
        <w:rPr>
          <w:rFonts w:ascii="Times New Roman" w:hAnsi="Times New Roman" w:cs="Times New Roman"/>
          <w:sz w:val="24"/>
          <w:szCs w:val="24"/>
        </w:rPr>
        <w:t>human shields</w:t>
      </w:r>
      <w:r w:rsidR="00F0665D" w:rsidRPr="009E6775">
        <w:rPr>
          <w:rFonts w:ascii="Times New Roman" w:hAnsi="Times New Roman" w:cs="Times New Roman"/>
          <w:sz w:val="24"/>
          <w:szCs w:val="24"/>
        </w:rPr>
        <w:t xml:space="preserve"> </w:t>
      </w:r>
      <w:r w:rsidRPr="009E6775">
        <w:rPr>
          <w:rFonts w:ascii="Times New Roman" w:hAnsi="Times New Roman" w:cs="Times New Roman"/>
          <w:sz w:val="24"/>
          <w:szCs w:val="24"/>
        </w:rPr>
        <w:t>became an issue</w:t>
      </w:r>
      <w:r w:rsidR="00F0665D" w:rsidRPr="009E6775">
        <w:rPr>
          <w:rFonts w:ascii="Times New Roman" w:hAnsi="Times New Roman" w:cs="Times New Roman"/>
          <w:sz w:val="24"/>
          <w:szCs w:val="24"/>
        </w:rPr>
        <w:t>.</w:t>
      </w:r>
      <w:r w:rsidR="005D7DEF" w:rsidRPr="009E6775">
        <w:rPr>
          <w:rStyle w:val="aa"/>
          <w:rFonts w:ascii="Times New Roman" w:hAnsi="Times New Roman" w:cs="Times New Roman"/>
          <w:sz w:val="24"/>
          <w:szCs w:val="24"/>
        </w:rPr>
        <w:footnoteReference w:id="184"/>
      </w:r>
      <w:r w:rsidR="00280BC9" w:rsidRPr="009E6775">
        <w:rPr>
          <w:rFonts w:ascii="Times New Roman" w:hAnsi="Times New Roman" w:cs="Times New Roman"/>
          <w:sz w:val="24"/>
          <w:szCs w:val="24"/>
        </w:rPr>
        <w:t xml:space="preserve"> </w:t>
      </w:r>
      <w:r w:rsidR="009D3294" w:rsidRPr="009E6775">
        <w:rPr>
          <w:rFonts w:ascii="Times New Roman" w:hAnsi="Times New Roman" w:cs="Times New Roman"/>
          <w:sz w:val="24"/>
          <w:szCs w:val="24"/>
        </w:rPr>
        <w:t xml:space="preserve">Palestinian </w:t>
      </w:r>
      <w:r w:rsidR="00385793" w:rsidRPr="009E6775">
        <w:rPr>
          <w:rFonts w:ascii="Times New Roman" w:hAnsi="Times New Roman" w:cs="Times New Roman"/>
          <w:sz w:val="24"/>
          <w:szCs w:val="24"/>
        </w:rPr>
        <w:t xml:space="preserve">civilians were requested to warn inhabitants of a house where the IDF was set to arrest someone, on the proviso that there was no danger to the civilians involved. </w:t>
      </w:r>
      <w:r w:rsidR="00016CA3" w:rsidRPr="009E6775">
        <w:rPr>
          <w:rFonts w:ascii="Times New Roman" w:hAnsi="Times New Roman" w:cs="Times New Roman"/>
          <w:sz w:val="24"/>
          <w:szCs w:val="24"/>
        </w:rPr>
        <w:t xml:space="preserve">The </w:t>
      </w:r>
      <w:r w:rsidR="00BB3D0F" w:rsidRPr="009E6775">
        <w:rPr>
          <w:rFonts w:ascii="Times New Roman" w:hAnsi="Times New Roman" w:cs="Times New Roman"/>
          <w:sz w:val="24"/>
          <w:szCs w:val="24"/>
        </w:rPr>
        <w:t>SC</w:t>
      </w:r>
      <w:r w:rsidR="00385793" w:rsidRPr="009E6775">
        <w:rPr>
          <w:rFonts w:ascii="Times New Roman" w:hAnsi="Times New Roman" w:cs="Times New Roman"/>
          <w:sz w:val="24"/>
          <w:szCs w:val="24"/>
        </w:rPr>
        <w:t xml:space="preserve"> found the measures unlawful</w:t>
      </w:r>
      <w:r w:rsidR="00016CA3" w:rsidRPr="009E6775">
        <w:rPr>
          <w:rFonts w:ascii="Times New Roman" w:hAnsi="Times New Roman" w:cs="Times New Roman"/>
          <w:sz w:val="24"/>
          <w:szCs w:val="24"/>
        </w:rPr>
        <w:t xml:space="preserve"> by reference to two grounds: (i) the ban on coercing protected persons in the occupied territory into participating in war effort of the occupying army; and (ii) an occupying power’s duty to remove civilians from the vicinity of the military objective. </w:t>
      </w:r>
    </w:p>
    <w:p w14:paraId="011CB4F8" w14:textId="77777777" w:rsidR="006437D8" w:rsidRPr="009E6775" w:rsidRDefault="006437D8" w:rsidP="0081540D">
      <w:pPr>
        <w:rPr>
          <w:rFonts w:ascii="Times New Roman" w:hAnsi="Times New Roman" w:cs="Times New Roman"/>
          <w:sz w:val="24"/>
          <w:szCs w:val="24"/>
        </w:rPr>
      </w:pPr>
    </w:p>
    <w:p w14:paraId="4023482D" w14:textId="60B294BE" w:rsidR="00017CAC" w:rsidRPr="009E6775" w:rsidRDefault="003A56C7" w:rsidP="0081540D">
      <w:pPr>
        <w:rPr>
          <w:rFonts w:ascii="Times New Roman" w:hAnsi="Times New Roman" w:cs="Times New Roman"/>
          <w:sz w:val="24"/>
          <w:szCs w:val="24"/>
        </w:rPr>
      </w:pPr>
      <w:r w:rsidRPr="009E6775">
        <w:rPr>
          <w:rFonts w:ascii="Times New Roman" w:hAnsi="Times New Roman" w:cs="Times New Roman"/>
          <w:sz w:val="24"/>
          <w:szCs w:val="24"/>
        </w:rPr>
        <w:t xml:space="preserve">Still, </w:t>
      </w:r>
      <w:r w:rsidR="0022260C" w:rsidRPr="009E6775">
        <w:rPr>
          <w:rFonts w:ascii="Times New Roman" w:hAnsi="Times New Roman" w:cs="Times New Roman"/>
          <w:sz w:val="24"/>
          <w:szCs w:val="24"/>
        </w:rPr>
        <w:t>a</w:t>
      </w:r>
      <w:r w:rsidR="002831D7" w:rsidRPr="009E6775">
        <w:rPr>
          <w:rFonts w:ascii="Times New Roman" w:hAnsi="Times New Roman" w:cs="Times New Roman"/>
          <w:sz w:val="24"/>
          <w:szCs w:val="24"/>
        </w:rPr>
        <w:t>ccording to</w:t>
      </w:r>
      <w:r w:rsidR="0022260C" w:rsidRPr="009E6775">
        <w:rPr>
          <w:rFonts w:ascii="Times New Roman" w:hAnsi="Times New Roman" w:cs="Times New Roman"/>
          <w:sz w:val="24"/>
          <w:szCs w:val="24"/>
        </w:rPr>
        <w:t xml:space="preserve"> </w:t>
      </w:r>
      <w:r w:rsidR="00A660BC" w:rsidRPr="009E6775">
        <w:rPr>
          <w:rFonts w:ascii="Times New Roman" w:hAnsi="Times New Roman" w:cs="Times New Roman"/>
          <w:sz w:val="24"/>
          <w:szCs w:val="24"/>
        </w:rPr>
        <w:t>Kretzmer and Ronen</w:t>
      </w:r>
      <w:r w:rsidR="0022260C" w:rsidRPr="009E6775">
        <w:rPr>
          <w:rFonts w:ascii="Times New Roman" w:hAnsi="Times New Roman" w:cs="Times New Roman"/>
          <w:sz w:val="24"/>
          <w:szCs w:val="24"/>
        </w:rPr>
        <w:t>,</w:t>
      </w:r>
      <w:r w:rsidR="0022260C" w:rsidRPr="009E6775">
        <w:rPr>
          <w:rStyle w:val="aa"/>
          <w:rFonts w:ascii="Times New Roman" w:hAnsi="Times New Roman" w:cs="Times New Roman"/>
          <w:sz w:val="24"/>
          <w:szCs w:val="24"/>
        </w:rPr>
        <w:footnoteReference w:id="185"/>
      </w:r>
      <w:r w:rsidR="0022260C" w:rsidRPr="009E6775">
        <w:rPr>
          <w:rFonts w:ascii="Times New Roman" w:hAnsi="Times New Roman" w:cs="Times New Roman"/>
          <w:sz w:val="24"/>
          <w:szCs w:val="24"/>
        </w:rPr>
        <w:t xml:space="preserve"> </w:t>
      </w:r>
      <w:r w:rsidR="001936AC" w:rsidRPr="009E6775">
        <w:rPr>
          <w:rFonts w:ascii="Times New Roman" w:hAnsi="Times New Roman" w:cs="Times New Roman"/>
          <w:sz w:val="24"/>
          <w:szCs w:val="24"/>
        </w:rPr>
        <w:t xml:space="preserve">the </w:t>
      </w:r>
      <w:r w:rsidR="00BB3D0F" w:rsidRPr="009E6775">
        <w:rPr>
          <w:rFonts w:ascii="Times New Roman" w:hAnsi="Times New Roman" w:cs="Times New Roman"/>
          <w:sz w:val="24"/>
          <w:szCs w:val="24"/>
        </w:rPr>
        <w:t>SC’s</w:t>
      </w:r>
      <w:r w:rsidRPr="009E6775">
        <w:rPr>
          <w:rFonts w:ascii="Times New Roman" w:hAnsi="Times New Roman" w:cs="Times New Roman"/>
          <w:sz w:val="24"/>
          <w:szCs w:val="24"/>
        </w:rPr>
        <w:t xml:space="preserve"> </w:t>
      </w:r>
      <w:r w:rsidR="001936AC" w:rsidRPr="009E6775">
        <w:rPr>
          <w:rFonts w:ascii="Times New Roman" w:hAnsi="Times New Roman" w:cs="Times New Roman"/>
          <w:sz w:val="24"/>
          <w:szCs w:val="24"/>
        </w:rPr>
        <w:t xml:space="preserve">perceived </w:t>
      </w:r>
      <w:r w:rsidR="00AA4F31" w:rsidRPr="009E6775">
        <w:rPr>
          <w:rFonts w:ascii="Times New Roman" w:hAnsi="Times New Roman" w:cs="Times New Roman"/>
          <w:sz w:val="24"/>
          <w:szCs w:val="24"/>
        </w:rPr>
        <w:t xml:space="preserve">‘judicial </w:t>
      </w:r>
      <w:r w:rsidRPr="009E6775">
        <w:rPr>
          <w:rFonts w:ascii="Times New Roman" w:hAnsi="Times New Roman" w:cs="Times New Roman"/>
          <w:sz w:val="24"/>
          <w:szCs w:val="24"/>
        </w:rPr>
        <w:t>activism</w:t>
      </w:r>
      <w:r w:rsidR="00AA4F31" w:rsidRPr="009E6775">
        <w:rPr>
          <w:rFonts w:ascii="Times New Roman" w:hAnsi="Times New Roman" w:cs="Times New Roman"/>
          <w:sz w:val="24"/>
          <w:szCs w:val="24"/>
        </w:rPr>
        <w:t>’</w:t>
      </w:r>
      <w:r w:rsidRPr="009E6775">
        <w:rPr>
          <w:rFonts w:ascii="Times New Roman" w:hAnsi="Times New Roman" w:cs="Times New Roman"/>
          <w:sz w:val="24"/>
          <w:szCs w:val="24"/>
        </w:rPr>
        <w:t xml:space="preserve"> may be </w:t>
      </w:r>
      <w:r w:rsidR="003B0E78" w:rsidRPr="009E6775">
        <w:rPr>
          <w:rFonts w:ascii="Times New Roman" w:hAnsi="Times New Roman" w:cs="Times New Roman"/>
          <w:sz w:val="24"/>
          <w:szCs w:val="24"/>
        </w:rPr>
        <w:t xml:space="preserve">compromised by </w:t>
      </w:r>
      <w:r w:rsidRPr="009E6775">
        <w:rPr>
          <w:rFonts w:ascii="Times New Roman" w:hAnsi="Times New Roman" w:cs="Times New Roman"/>
          <w:sz w:val="24"/>
          <w:szCs w:val="24"/>
        </w:rPr>
        <w:t xml:space="preserve">the reality of ‘fog of war’ when asked to examine a particular </w:t>
      </w:r>
      <w:r w:rsidR="00832EA2" w:rsidRPr="009E6775">
        <w:rPr>
          <w:rFonts w:ascii="Times New Roman" w:hAnsi="Times New Roman" w:cs="Times New Roman"/>
          <w:sz w:val="24"/>
          <w:szCs w:val="24"/>
        </w:rPr>
        <w:t xml:space="preserve">means and </w:t>
      </w:r>
      <w:r w:rsidRPr="009E6775">
        <w:rPr>
          <w:rFonts w:ascii="Times New Roman" w:hAnsi="Times New Roman" w:cs="Times New Roman"/>
          <w:sz w:val="24"/>
          <w:szCs w:val="24"/>
        </w:rPr>
        <w:t>method of warfare</w:t>
      </w:r>
      <w:r w:rsidR="00A52576" w:rsidRPr="009E6775">
        <w:rPr>
          <w:rFonts w:ascii="Times New Roman" w:hAnsi="Times New Roman" w:cs="Times New Roman"/>
          <w:sz w:val="24"/>
          <w:szCs w:val="24"/>
        </w:rPr>
        <w:t>.</w:t>
      </w:r>
      <w:r w:rsidRPr="009E6775">
        <w:rPr>
          <w:rFonts w:ascii="Times New Roman" w:hAnsi="Times New Roman" w:cs="Times New Roman"/>
          <w:sz w:val="24"/>
          <w:szCs w:val="24"/>
        </w:rPr>
        <w:t xml:space="preserve"> </w:t>
      </w:r>
      <w:r w:rsidR="001936AC" w:rsidRPr="009E6775">
        <w:rPr>
          <w:rFonts w:ascii="Times New Roman" w:hAnsi="Times New Roman" w:cs="Times New Roman"/>
          <w:sz w:val="24"/>
          <w:szCs w:val="24"/>
        </w:rPr>
        <w:t>A</w:t>
      </w:r>
      <w:r w:rsidR="00446AB6" w:rsidRPr="009E6775">
        <w:rPr>
          <w:rFonts w:ascii="Times New Roman" w:hAnsi="Times New Roman" w:cs="Times New Roman"/>
          <w:sz w:val="24"/>
          <w:szCs w:val="24"/>
        </w:rPr>
        <w:t>s with other national courts, a</w:t>
      </w:r>
      <w:r w:rsidR="001936AC" w:rsidRPr="009E6775">
        <w:rPr>
          <w:rFonts w:ascii="Times New Roman" w:hAnsi="Times New Roman" w:cs="Times New Roman"/>
          <w:sz w:val="24"/>
          <w:szCs w:val="24"/>
        </w:rPr>
        <w:t xml:space="preserve"> tilt</w:t>
      </w:r>
      <w:r w:rsidR="00832EA2" w:rsidRPr="009E6775">
        <w:rPr>
          <w:rFonts w:ascii="Times New Roman" w:hAnsi="Times New Roman" w:cs="Times New Roman"/>
          <w:sz w:val="24"/>
          <w:szCs w:val="24"/>
        </w:rPr>
        <w:t xml:space="preserve"> toward non-justiciability</w:t>
      </w:r>
      <w:r w:rsidR="003B0E78" w:rsidRPr="009E6775">
        <w:rPr>
          <w:rFonts w:ascii="Times New Roman" w:hAnsi="Times New Roman" w:cs="Times New Roman"/>
          <w:sz w:val="24"/>
          <w:szCs w:val="24"/>
        </w:rPr>
        <w:t xml:space="preserve"> is </w:t>
      </w:r>
      <w:r w:rsidR="00832EA2" w:rsidRPr="009E6775">
        <w:rPr>
          <w:rFonts w:ascii="Times New Roman" w:hAnsi="Times New Roman" w:cs="Times New Roman"/>
          <w:sz w:val="24"/>
          <w:szCs w:val="24"/>
        </w:rPr>
        <w:t xml:space="preserve">discernible when the </w:t>
      </w:r>
      <w:r w:rsidR="003B0E78" w:rsidRPr="009E6775">
        <w:rPr>
          <w:rFonts w:ascii="Times New Roman" w:hAnsi="Times New Roman" w:cs="Times New Roman"/>
          <w:sz w:val="24"/>
          <w:szCs w:val="24"/>
        </w:rPr>
        <w:t>SC</w:t>
      </w:r>
      <w:r w:rsidR="00832EA2" w:rsidRPr="009E6775">
        <w:rPr>
          <w:rFonts w:ascii="Times New Roman" w:hAnsi="Times New Roman" w:cs="Times New Roman"/>
          <w:sz w:val="24"/>
          <w:szCs w:val="24"/>
        </w:rPr>
        <w:t xml:space="preserve"> is asked to decide the question of the </w:t>
      </w:r>
      <w:r w:rsidR="00AB1AFD" w:rsidRPr="009E6775">
        <w:rPr>
          <w:rFonts w:ascii="Times New Roman" w:hAnsi="Times New Roman" w:cs="Times New Roman"/>
          <w:sz w:val="24"/>
          <w:szCs w:val="24"/>
        </w:rPr>
        <w:t xml:space="preserve">legality of using </w:t>
      </w:r>
      <w:r w:rsidR="00832EA2" w:rsidRPr="009E6775">
        <w:rPr>
          <w:rFonts w:ascii="Times New Roman" w:hAnsi="Times New Roman" w:cs="Times New Roman"/>
          <w:sz w:val="24"/>
          <w:szCs w:val="24"/>
        </w:rPr>
        <w:t>particular weapon</w:t>
      </w:r>
      <w:r w:rsidR="00242230" w:rsidRPr="009E6775">
        <w:rPr>
          <w:rFonts w:ascii="Times New Roman" w:hAnsi="Times New Roman" w:cs="Times New Roman"/>
          <w:sz w:val="24"/>
          <w:szCs w:val="24"/>
        </w:rPr>
        <w:t>s</w:t>
      </w:r>
      <w:r w:rsidR="00AB1AFD" w:rsidRPr="009E6775">
        <w:rPr>
          <w:rFonts w:ascii="Times New Roman" w:hAnsi="Times New Roman" w:cs="Times New Roman"/>
          <w:sz w:val="24"/>
          <w:szCs w:val="24"/>
        </w:rPr>
        <w:t xml:space="preserve"> such as </w:t>
      </w:r>
      <w:r w:rsidR="00832EA2" w:rsidRPr="009E6775">
        <w:rPr>
          <w:rFonts w:ascii="Times New Roman" w:hAnsi="Times New Roman" w:cs="Times New Roman"/>
          <w:sz w:val="24"/>
          <w:szCs w:val="24"/>
        </w:rPr>
        <w:t xml:space="preserve">flechette bombs </w:t>
      </w:r>
      <w:r w:rsidR="00A52576" w:rsidRPr="009E6775">
        <w:rPr>
          <w:rFonts w:ascii="Times New Roman" w:hAnsi="Times New Roman" w:cs="Times New Roman"/>
          <w:sz w:val="24"/>
          <w:szCs w:val="24"/>
        </w:rPr>
        <w:t xml:space="preserve">when there </w:t>
      </w:r>
      <w:r w:rsidR="00BB3D0F" w:rsidRPr="009E6775">
        <w:rPr>
          <w:rFonts w:ascii="Times New Roman" w:hAnsi="Times New Roman" w:cs="Times New Roman"/>
          <w:sz w:val="24"/>
          <w:szCs w:val="24"/>
        </w:rPr>
        <w:t>is</w:t>
      </w:r>
      <w:r w:rsidR="00A52576" w:rsidRPr="009E6775">
        <w:rPr>
          <w:rFonts w:ascii="Times New Roman" w:hAnsi="Times New Roman" w:cs="Times New Roman"/>
          <w:sz w:val="24"/>
          <w:szCs w:val="24"/>
        </w:rPr>
        <w:t xml:space="preserve"> no international treaty outlawing </w:t>
      </w:r>
      <w:r w:rsidR="006A74FE" w:rsidRPr="009E6775">
        <w:rPr>
          <w:rFonts w:ascii="Times New Roman" w:hAnsi="Times New Roman" w:cs="Times New Roman"/>
          <w:sz w:val="24"/>
          <w:szCs w:val="24"/>
        </w:rPr>
        <w:t>them</w:t>
      </w:r>
      <w:r w:rsidR="00832EA2" w:rsidRPr="009E6775">
        <w:rPr>
          <w:rFonts w:ascii="Times New Roman" w:hAnsi="Times New Roman" w:cs="Times New Roman"/>
          <w:sz w:val="24"/>
          <w:szCs w:val="24"/>
        </w:rPr>
        <w:t>.</w:t>
      </w:r>
      <w:r w:rsidRPr="009E6775">
        <w:rPr>
          <w:rStyle w:val="aa"/>
          <w:rFonts w:ascii="Times New Roman" w:hAnsi="Times New Roman" w:cs="Times New Roman"/>
          <w:sz w:val="24"/>
          <w:szCs w:val="24"/>
        </w:rPr>
        <w:footnoteReference w:id="186"/>
      </w:r>
      <w:r w:rsidR="0094745F" w:rsidRPr="009E6775">
        <w:rPr>
          <w:rFonts w:ascii="Times New Roman" w:hAnsi="Times New Roman" w:cs="Times New Roman"/>
          <w:sz w:val="24"/>
          <w:szCs w:val="24"/>
        </w:rPr>
        <w:t xml:space="preserve"> As for the method of warfare, </w:t>
      </w:r>
      <w:r w:rsidR="006D6697" w:rsidRPr="009E6775">
        <w:rPr>
          <w:rFonts w:ascii="Times New Roman" w:hAnsi="Times New Roman" w:cs="Times New Roman"/>
          <w:sz w:val="24"/>
          <w:szCs w:val="24"/>
        </w:rPr>
        <w:t xml:space="preserve">the </w:t>
      </w:r>
      <w:r w:rsidR="00BB3D0F" w:rsidRPr="009E6775">
        <w:rPr>
          <w:rFonts w:ascii="Times New Roman" w:hAnsi="Times New Roman" w:cs="Times New Roman"/>
          <w:sz w:val="24"/>
          <w:szCs w:val="24"/>
        </w:rPr>
        <w:t>SC’s</w:t>
      </w:r>
      <w:r w:rsidR="006D6697" w:rsidRPr="009E6775">
        <w:rPr>
          <w:rFonts w:ascii="Times New Roman" w:hAnsi="Times New Roman" w:cs="Times New Roman"/>
          <w:sz w:val="24"/>
          <w:szCs w:val="24"/>
        </w:rPr>
        <w:t xml:space="preserve"> ‘hand-off’ approach was observable when asked to examine </w:t>
      </w:r>
      <w:r w:rsidR="001936AC" w:rsidRPr="009E6775">
        <w:rPr>
          <w:rFonts w:ascii="Times New Roman" w:hAnsi="Times New Roman" w:cs="Times New Roman"/>
          <w:sz w:val="24"/>
          <w:szCs w:val="24"/>
        </w:rPr>
        <w:t>if</w:t>
      </w:r>
      <w:r w:rsidR="0094745F" w:rsidRPr="009E6775">
        <w:rPr>
          <w:rFonts w:ascii="Times New Roman" w:hAnsi="Times New Roman" w:cs="Times New Roman"/>
          <w:sz w:val="24"/>
          <w:szCs w:val="24"/>
        </w:rPr>
        <w:t xml:space="preserve"> the permissible distance of a military target from civilians can be narrowed.</w:t>
      </w:r>
      <w:r w:rsidR="006D6697" w:rsidRPr="009E6775">
        <w:rPr>
          <w:rStyle w:val="aa"/>
          <w:rFonts w:ascii="Times New Roman" w:hAnsi="Times New Roman" w:cs="Times New Roman"/>
          <w:sz w:val="24"/>
          <w:szCs w:val="24"/>
        </w:rPr>
        <w:footnoteReference w:id="187"/>
      </w:r>
      <w:r w:rsidR="0094745F" w:rsidRPr="009E6775">
        <w:rPr>
          <w:rFonts w:ascii="Times New Roman" w:hAnsi="Times New Roman" w:cs="Times New Roman"/>
          <w:sz w:val="24"/>
          <w:szCs w:val="24"/>
        </w:rPr>
        <w:t xml:space="preserve"> </w:t>
      </w:r>
      <w:r w:rsidR="006D6697" w:rsidRPr="009E6775">
        <w:rPr>
          <w:rFonts w:ascii="Times New Roman" w:hAnsi="Times New Roman" w:cs="Times New Roman"/>
          <w:sz w:val="24"/>
          <w:szCs w:val="24"/>
        </w:rPr>
        <w:t xml:space="preserve">As </w:t>
      </w:r>
      <w:r w:rsidR="00A660BC" w:rsidRPr="009E6775">
        <w:rPr>
          <w:rFonts w:ascii="Times New Roman" w:hAnsi="Times New Roman" w:cs="Times New Roman"/>
          <w:sz w:val="24"/>
          <w:szCs w:val="24"/>
        </w:rPr>
        <w:t>Kretzmer and Ronen</w:t>
      </w:r>
      <w:r w:rsidR="006D6697" w:rsidRPr="009E6775">
        <w:rPr>
          <w:rFonts w:ascii="Times New Roman" w:hAnsi="Times New Roman" w:cs="Times New Roman"/>
          <w:sz w:val="24"/>
          <w:szCs w:val="24"/>
        </w:rPr>
        <w:t xml:space="preserve"> note,</w:t>
      </w:r>
      <w:r w:rsidR="001C3110" w:rsidRPr="009E6775">
        <w:rPr>
          <w:rStyle w:val="aa"/>
          <w:rFonts w:ascii="Times New Roman" w:hAnsi="Times New Roman" w:cs="Times New Roman"/>
          <w:sz w:val="24"/>
          <w:szCs w:val="24"/>
        </w:rPr>
        <w:footnoteReference w:id="188"/>
      </w:r>
      <w:r w:rsidR="001C3110" w:rsidRPr="009E6775">
        <w:rPr>
          <w:rFonts w:ascii="Times New Roman" w:hAnsi="Times New Roman" w:cs="Times New Roman"/>
          <w:sz w:val="24"/>
          <w:szCs w:val="24"/>
        </w:rPr>
        <w:t xml:space="preserve"> </w:t>
      </w:r>
      <w:r w:rsidR="006D6697" w:rsidRPr="009E6775">
        <w:rPr>
          <w:rFonts w:ascii="Times New Roman" w:hAnsi="Times New Roman" w:cs="Times New Roman"/>
          <w:sz w:val="24"/>
          <w:szCs w:val="24"/>
        </w:rPr>
        <w:t>s</w:t>
      </w:r>
      <w:r w:rsidR="0094745F" w:rsidRPr="009E6775">
        <w:rPr>
          <w:rFonts w:ascii="Times New Roman" w:hAnsi="Times New Roman" w:cs="Times New Roman"/>
          <w:sz w:val="24"/>
          <w:szCs w:val="24"/>
        </w:rPr>
        <w:t xml:space="preserve">uch a question </w:t>
      </w:r>
      <w:r w:rsidR="00F306B9" w:rsidRPr="009E6775">
        <w:rPr>
          <w:rFonts w:ascii="Times New Roman" w:hAnsi="Times New Roman" w:cs="Times New Roman"/>
          <w:sz w:val="24"/>
          <w:szCs w:val="24"/>
        </w:rPr>
        <w:t>tends to</w:t>
      </w:r>
      <w:r w:rsidR="0094745F" w:rsidRPr="009E6775">
        <w:rPr>
          <w:rFonts w:ascii="Times New Roman" w:hAnsi="Times New Roman" w:cs="Times New Roman"/>
          <w:sz w:val="24"/>
          <w:szCs w:val="24"/>
        </w:rPr>
        <w:t xml:space="preserve"> require ‘professional-operational’ expertise of the military</w:t>
      </w:r>
      <w:r w:rsidR="00C44BF8" w:rsidRPr="009E6775">
        <w:rPr>
          <w:rFonts w:ascii="Times New Roman" w:hAnsi="Times New Roman" w:cs="Times New Roman"/>
          <w:sz w:val="24"/>
          <w:szCs w:val="24"/>
        </w:rPr>
        <w:t xml:space="preserve">. The judiciaries in most democracies are likely to hold that this would </w:t>
      </w:r>
      <w:r w:rsidR="001936AC" w:rsidRPr="009E6775">
        <w:rPr>
          <w:rFonts w:ascii="Times New Roman" w:hAnsi="Times New Roman" w:cs="Times New Roman"/>
          <w:sz w:val="24"/>
          <w:szCs w:val="24"/>
        </w:rPr>
        <w:t xml:space="preserve">fall squarely within the </w:t>
      </w:r>
      <w:r w:rsidR="0094745F" w:rsidRPr="009E6775">
        <w:rPr>
          <w:rFonts w:ascii="Times New Roman" w:hAnsi="Times New Roman" w:cs="Times New Roman"/>
          <w:sz w:val="24"/>
          <w:szCs w:val="24"/>
        </w:rPr>
        <w:t xml:space="preserve">military authority’s </w:t>
      </w:r>
      <w:r w:rsidR="00BB3D0F" w:rsidRPr="009E6775">
        <w:rPr>
          <w:rFonts w:ascii="Times New Roman" w:hAnsi="Times New Roman" w:cs="Times New Roman"/>
          <w:sz w:val="24"/>
          <w:szCs w:val="24"/>
        </w:rPr>
        <w:t xml:space="preserve">wide </w:t>
      </w:r>
      <w:r w:rsidR="0094745F" w:rsidRPr="009E6775">
        <w:rPr>
          <w:rFonts w:ascii="Times New Roman" w:hAnsi="Times New Roman" w:cs="Times New Roman"/>
          <w:sz w:val="24"/>
          <w:szCs w:val="24"/>
        </w:rPr>
        <w:t>margin of appreciation.</w:t>
      </w:r>
    </w:p>
    <w:p w14:paraId="6C6FCBA6" w14:textId="77777777" w:rsidR="00A52576" w:rsidRPr="009E6775" w:rsidRDefault="00A52576" w:rsidP="0081540D">
      <w:pPr>
        <w:rPr>
          <w:rFonts w:ascii="Times New Roman" w:hAnsi="Times New Roman" w:cs="Times New Roman"/>
          <w:sz w:val="24"/>
          <w:szCs w:val="24"/>
        </w:rPr>
      </w:pPr>
    </w:p>
    <w:p w14:paraId="59B0A79F" w14:textId="6F312D3B" w:rsidR="006858E8" w:rsidRPr="009E6775" w:rsidRDefault="003A4BF2" w:rsidP="0081540D">
      <w:pPr>
        <w:rPr>
          <w:rFonts w:ascii="Times New Roman" w:hAnsi="Times New Roman" w:cs="Times New Roman"/>
          <w:sz w:val="24"/>
          <w:szCs w:val="24"/>
        </w:rPr>
      </w:pPr>
      <w:r w:rsidRPr="009E6775">
        <w:rPr>
          <w:rFonts w:ascii="Times New Roman" w:hAnsi="Times New Roman" w:cs="Times New Roman"/>
          <w:sz w:val="24"/>
          <w:szCs w:val="24"/>
        </w:rPr>
        <w:t xml:space="preserve">The </w:t>
      </w:r>
      <w:r w:rsidR="00BB3D0F" w:rsidRPr="009E6775">
        <w:rPr>
          <w:rFonts w:ascii="Times New Roman" w:hAnsi="Times New Roman" w:cs="Times New Roman"/>
          <w:sz w:val="24"/>
          <w:szCs w:val="24"/>
        </w:rPr>
        <w:t>SC’s</w:t>
      </w:r>
      <w:r w:rsidR="006858E8" w:rsidRPr="009E6775">
        <w:rPr>
          <w:rFonts w:ascii="Times New Roman" w:hAnsi="Times New Roman" w:cs="Times New Roman"/>
          <w:sz w:val="24"/>
          <w:szCs w:val="24"/>
        </w:rPr>
        <w:t xml:space="preserve"> principled </w:t>
      </w:r>
      <w:r w:rsidR="00F0665D" w:rsidRPr="009E6775">
        <w:rPr>
          <w:rFonts w:ascii="Times New Roman" w:hAnsi="Times New Roman" w:cs="Times New Roman"/>
          <w:sz w:val="24"/>
          <w:szCs w:val="24"/>
        </w:rPr>
        <w:t>approach</w:t>
      </w:r>
      <w:r w:rsidR="006858E8" w:rsidRPr="009E6775">
        <w:rPr>
          <w:rFonts w:ascii="Times New Roman" w:hAnsi="Times New Roman" w:cs="Times New Roman"/>
          <w:sz w:val="24"/>
          <w:szCs w:val="24"/>
        </w:rPr>
        <w:t xml:space="preserve"> that whenever human rights</w:t>
      </w:r>
      <w:r w:rsidRPr="009E6775">
        <w:rPr>
          <w:rFonts w:ascii="Times New Roman" w:hAnsi="Times New Roman" w:cs="Times New Roman"/>
          <w:sz w:val="24"/>
          <w:szCs w:val="24"/>
        </w:rPr>
        <w:t xml:space="preserve"> are raised</w:t>
      </w:r>
      <w:r w:rsidR="006858E8" w:rsidRPr="009E6775">
        <w:rPr>
          <w:rFonts w:ascii="Times New Roman" w:hAnsi="Times New Roman" w:cs="Times New Roman"/>
          <w:sz w:val="24"/>
          <w:szCs w:val="24"/>
        </w:rPr>
        <w:t xml:space="preserve">, even issues relating </w:t>
      </w:r>
      <w:r w:rsidR="006858E8" w:rsidRPr="009E6775">
        <w:rPr>
          <w:rFonts w:ascii="Times New Roman" w:hAnsi="Times New Roman" w:cs="Times New Roman"/>
          <w:sz w:val="24"/>
          <w:szCs w:val="24"/>
        </w:rPr>
        <w:lastRenderedPageBreak/>
        <w:t xml:space="preserve">to conduct of ongoing hostilities should </w:t>
      </w:r>
      <w:r w:rsidR="007110E5" w:rsidRPr="009E6775">
        <w:rPr>
          <w:rFonts w:ascii="Times New Roman" w:hAnsi="Times New Roman" w:cs="Times New Roman"/>
          <w:sz w:val="24"/>
          <w:szCs w:val="24"/>
        </w:rPr>
        <w:t xml:space="preserve">deserve judicial supervision </w:t>
      </w:r>
      <w:r w:rsidR="00871A98" w:rsidRPr="009E6775">
        <w:rPr>
          <w:rFonts w:ascii="Times New Roman" w:hAnsi="Times New Roman" w:cs="Times New Roman"/>
          <w:sz w:val="24"/>
          <w:szCs w:val="24"/>
        </w:rPr>
        <w:t xml:space="preserve">may </w:t>
      </w:r>
      <w:r w:rsidR="00740EBD" w:rsidRPr="009E6775">
        <w:rPr>
          <w:rFonts w:ascii="Times New Roman" w:hAnsi="Times New Roman" w:cs="Times New Roman"/>
          <w:sz w:val="24"/>
          <w:szCs w:val="24"/>
        </w:rPr>
        <w:t xml:space="preserve">be </w:t>
      </w:r>
      <w:r w:rsidR="006858E8" w:rsidRPr="009E6775">
        <w:rPr>
          <w:rFonts w:ascii="Times New Roman" w:hAnsi="Times New Roman" w:cs="Times New Roman"/>
          <w:sz w:val="24"/>
          <w:szCs w:val="24"/>
        </w:rPr>
        <w:t xml:space="preserve">tested </w:t>
      </w:r>
      <w:r w:rsidR="00BB3D0F" w:rsidRPr="009E6775">
        <w:rPr>
          <w:rFonts w:ascii="Times New Roman" w:hAnsi="Times New Roman" w:cs="Times New Roman"/>
          <w:sz w:val="24"/>
          <w:szCs w:val="24"/>
        </w:rPr>
        <w:t xml:space="preserve">when ascertaining </w:t>
      </w:r>
      <w:r w:rsidR="00871A98" w:rsidRPr="009E6775">
        <w:rPr>
          <w:rFonts w:ascii="Times New Roman" w:hAnsi="Times New Roman" w:cs="Times New Roman"/>
          <w:sz w:val="24"/>
          <w:szCs w:val="24"/>
        </w:rPr>
        <w:t xml:space="preserve">social </w:t>
      </w:r>
      <w:r w:rsidR="006858E8" w:rsidRPr="009E6775">
        <w:rPr>
          <w:rFonts w:ascii="Times New Roman" w:hAnsi="Times New Roman" w:cs="Times New Roman"/>
          <w:sz w:val="24"/>
          <w:szCs w:val="24"/>
        </w:rPr>
        <w:t xml:space="preserve">rights. In </w:t>
      </w:r>
      <w:r w:rsidR="006858E8" w:rsidRPr="009E6775">
        <w:rPr>
          <w:rFonts w:ascii="Times New Roman" w:hAnsi="Times New Roman" w:cs="Times New Roman"/>
          <w:i/>
          <w:iCs/>
          <w:sz w:val="24"/>
          <w:szCs w:val="24"/>
        </w:rPr>
        <w:t>Rafah</w:t>
      </w:r>
      <w:r w:rsidR="006858E8" w:rsidRPr="009E6775">
        <w:rPr>
          <w:rFonts w:ascii="Times New Roman" w:hAnsi="Times New Roman" w:cs="Times New Roman"/>
          <w:sz w:val="24"/>
          <w:szCs w:val="24"/>
        </w:rPr>
        <w:t xml:space="preserve"> (2004),</w:t>
      </w:r>
      <w:r w:rsidR="00AF60D7" w:rsidRPr="009E6775">
        <w:rPr>
          <w:rStyle w:val="aa"/>
          <w:rFonts w:ascii="Times New Roman" w:hAnsi="Times New Roman" w:cs="Times New Roman"/>
          <w:sz w:val="24"/>
          <w:szCs w:val="24"/>
        </w:rPr>
        <w:footnoteReference w:id="189"/>
      </w:r>
      <w:r w:rsidR="006858E8" w:rsidRPr="009E6775">
        <w:rPr>
          <w:rFonts w:ascii="Times New Roman" w:hAnsi="Times New Roman" w:cs="Times New Roman"/>
          <w:sz w:val="24"/>
          <w:szCs w:val="24"/>
        </w:rPr>
        <w:t xml:space="preserve"> the </w:t>
      </w:r>
      <w:r w:rsidR="00BB3D0F" w:rsidRPr="009E6775">
        <w:rPr>
          <w:rFonts w:ascii="Times New Roman" w:hAnsi="Times New Roman" w:cs="Times New Roman"/>
          <w:sz w:val="24"/>
          <w:szCs w:val="24"/>
        </w:rPr>
        <w:t>SC</w:t>
      </w:r>
      <w:r w:rsidR="0049690E" w:rsidRPr="009E6775">
        <w:rPr>
          <w:rFonts w:ascii="Times New Roman" w:hAnsi="Times New Roman" w:cs="Times New Roman"/>
          <w:sz w:val="24"/>
          <w:szCs w:val="24"/>
        </w:rPr>
        <w:t xml:space="preserve">’s </w:t>
      </w:r>
      <w:r w:rsidRPr="009E6775">
        <w:rPr>
          <w:rFonts w:ascii="Times New Roman" w:hAnsi="Times New Roman" w:cs="Times New Roman"/>
          <w:sz w:val="24"/>
          <w:szCs w:val="24"/>
        </w:rPr>
        <w:t>liberal</w:t>
      </w:r>
      <w:r w:rsidR="006858E8" w:rsidRPr="009E6775">
        <w:rPr>
          <w:rFonts w:ascii="Times New Roman" w:hAnsi="Times New Roman" w:cs="Times New Roman"/>
          <w:sz w:val="24"/>
          <w:szCs w:val="24"/>
        </w:rPr>
        <w:t xml:space="preserve"> stance</w:t>
      </w:r>
      <w:r w:rsidR="0049690E" w:rsidRPr="009E6775">
        <w:rPr>
          <w:rFonts w:ascii="Times New Roman" w:hAnsi="Times New Roman" w:cs="Times New Roman"/>
          <w:sz w:val="24"/>
          <w:szCs w:val="24"/>
        </w:rPr>
        <w:t xml:space="preserve"> was </w:t>
      </w:r>
      <w:r w:rsidR="000A0C3A" w:rsidRPr="009E6775">
        <w:rPr>
          <w:rFonts w:ascii="Times New Roman" w:hAnsi="Times New Roman" w:cs="Times New Roman"/>
          <w:sz w:val="24"/>
          <w:szCs w:val="24"/>
        </w:rPr>
        <w:t>manifest in</w:t>
      </w:r>
      <w:r w:rsidR="0049690E" w:rsidRPr="009E6775">
        <w:rPr>
          <w:rFonts w:ascii="Times New Roman" w:hAnsi="Times New Roman" w:cs="Times New Roman"/>
          <w:sz w:val="24"/>
          <w:szCs w:val="24"/>
        </w:rPr>
        <w:t xml:space="preserve"> its </w:t>
      </w:r>
      <w:r w:rsidR="006858E8" w:rsidRPr="009E6775">
        <w:rPr>
          <w:rFonts w:ascii="Times New Roman" w:hAnsi="Times New Roman" w:cs="Times New Roman"/>
          <w:sz w:val="24"/>
          <w:szCs w:val="24"/>
        </w:rPr>
        <w:t>implicit suggesti</w:t>
      </w:r>
      <w:r w:rsidR="0049690E" w:rsidRPr="009E6775">
        <w:rPr>
          <w:rFonts w:ascii="Times New Roman" w:hAnsi="Times New Roman" w:cs="Times New Roman"/>
          <w:sz w:val="24"/>
          <w:szCs w:val="24"/>
        </w:rPr>
        <w:t>on</w:t>
      </w:r>
      <w:r w:rsidR="006858E8" w:rsidRPr="009E6775">
        <w:rPr>
          <w:rFonts w:ascii="Times New Roman" w:hAnsi="Times New Roman" w:cs="Times New Roman"/>
          <w:sz w:val="24"/>
          <w:szCs w:val="24"/>
        </w:rPr>
        <w:t xml:space="preserve"> that the commanders of the army engaged in a military operation in Gaza are bound to take steps to provide food, water, and medical equipment to civilians even </w:t>
      </w:r>
      <w:r w:rsidR="00F306B9" w:rsidRPr="009E6775">
        <w:rPr>
          <w:rFonts w:ascii="Times New Roman" w:hAnsi="Times New Roman" w:cs="Times New Roman"/>
          <w:sz w:val="24"/>
          <w:szCs w:val="24"/>
        </w:rPr>
        <w:t>in the course of ongoing</w:t>
      </w:r>
      <w:r w:rsidR="006858E8" w:rsidRPr="009E6775">
        <w:rPr>
          <w:rFonts w:ascii="Times New Roman" w:hAnsi="Times New Roman" w:cs="Times New Roman"/>
          <w:sz w:val="24"/>
          <w:szCs w:val="24"/>
        </w:rPr>
        <w:t xml:space="preserve"> hostilities. </w:t>
      </w:r>
      <w:r w:rsidR="006F4525" w:rsidRPr="009E6775">
        <w:rPr>
          <w:rFonts w:ascii="Times New Roman" w:hAnsi="Times New Roman" w:cs="Times New Roman"/>
          <w:sz w:val="24"/>
          <w:szCs w:val="24"/>
        </w:rPr>
        <w:t xml:space="preserve">Notably, the </w:t>
      </w:r>
      <w:r w:rsidR="00BB3D0F" w:rsidRPr="009E6775">
        <w:rPr>
          <w:rFonts w:ascii="Times New Roman" w:hAnsi="Times New Roman" w:cs="Times New Roman"/>
          <w:sz w:val="24"/>
          <w:szCs w:val="24"/>
        </w:rPr>
        <w:t>SC</w:t>
      </w:r>
      <w:r w:rsidR="009A05EF" w:rsidRPr="009E6775">
        <w:rPr>
          <w:rFonts w:ascii="Times New Roman" w:hAnsi="Times New Roman" w:cs="Times New Roman"/>
          <w:sz w:val="24"/>
          <w:szCs w:val="24"/>
        </w:rPr>
        <w:t xml:space="preserve"> held that</w:t>
      </w:r>
      <w:r w:rsidRPr="009E6775">
        <w:rPr>
          <w:rFonts w:ascii="Times New Roman" w:hAnsi="Times New Roman" w:cs="Times New Roman"/>
          <w:sz w:val="24"/>
          <w:szCs w:val="24"/>
        </w:rPr>
        <w:t xml:space="preserve"> </w:t>
      </w:r>
      <w:r w:rsidR="00D21B6D" w:rsidRPr="009E6775">
        <w:rPr>
          <w:rFonts w:ascii="Times New Roman" w:hAnsi="Times New Roman" w:cs="Times New Roman"/>
          <w:sz w:val="24"/>
          <w:szCs w:val="24"/>
        </w:rPr>
        <w:t xml:space="preserve">this duty must be observed </w:t>
      </w:r>
      <w:r w:rsidR="006F4525" w:rsidRPr="009E6775">
        <w:rPr>
          <w:rFonts w:ascii="Times New Roman" w:hAnsi="Times New Roman" w:cs="Times New Roman"/>
          <w:sz w:val="24"/>
          <w:szCs w:val="24"/>
        </w:rPr>
        <w:t>irrespective of whether</w:t>
      </w:r>
      <w:r w:rsidR="00D21B6D" w:rsidRPr="009E6775">
        <w:rPr>
          <w:rFonts w:ascii="Times New Roman" w:hAnsi="Times New Roman" w:cs="Times New Roman"/>
          <w:sz w:val="24"/>
          <w:szCs w:val="24"/>
        </w:rPr>
        <w:t xml:space="preserve"> civilians are actively or passively supporting the action of the armed group.</w:t>
      </w:r>
      <w:r w:rsidR="00D21B6D" w:rsidRPr="009E6775">
        <w:rPr>
          <w:rStyle w:val="aa"/>
          <w:rFonts w:ascii="Times New Roman" w:hAnsi="Times New Roman" w:cs="Times New Roman"/>
          <w:sz w:val="24"/>
          <w:szCs w:val="24"/>
        </w:rPr>
        <w:footnoteReference w:id="190"/>
      </w:r>
      <w:r w:rsidR="00D21B6D"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The kernel of the </w:t>
      </w:r>
      <w:r w:rsidR="00BB3D0F" w:rsidRPr="009E6775">
        <w:rPr>
          <w:rFonts w:ascii="Times New Roman" w:hAnsi="Times New Roman" w:cs="Times New Roman"/>
          <w:sz w:val="24"/>
          <w:szCs w:val="24"/>
        </w:rPr>
        <w:t>SC’s</w:t>
      </w:r>
      <w:r w:rsidR="006858E8" w:rsidRPr="009E6775">
        <w:rPr>
          <w:rFonts w:ascii="Times New Roman" w:hAnsi="Times New Roman" w:cs="Times New Roman"/>
          <w:sz w:val="24"/>
          <w:szCs w:val="24"/>
        </w:rPr>
        <w:t xml:space="preserve"> suggestion </w:t>
      </w:r>
      <w:r w:rsidRPr="009E6775">
        <w:rPr>
          <w:rFonts w:ascii="Times New Roman" w:hAnsi="Times New Roman" w:cs="Times New Roman"/>
          <w:sz w:val="24"/>
          <w:szCs w:val="24"/>
        </w:rPr>
        <w:t xml:space="preserve">is </w:t>
      </w:r>
      <w:r w:rsidR="006858E8" w:rsidRPr="009E6775">
        <w:rPr>
          <w:rFonts w:ascii="Times New Roman" w:hAnsi="Times New Roman" w:cs="Times New Roman"/>
          <w:sz w:val="24"/>
          <w:szCs w:val="24"/>
        </w:rPr>
        <w:t xml:space="preserve">that insofar as military operations against armed groups are undertaken in </w:t>
      </w:r>
      <w:r w:rsidRPr="009E6775">
        <w:rPr>
          <w:rFonts w:ascii="Times New Roman" w:hAnsi="Times New Roman" w:cs="Times New Roman"/>
          <w:sz w:val="24"/>
          <w:szCs w:val="24"/>
        </w:rPr>
        <w:t xml:space="preserve">the (former) </w:t>
      </w:r>
      <w:r w:rsidR="006858E8" w:rsidRPr="009E6775">
        <w:rPr>
          <w:rFonts w:ascii="Times New Roman" w:hAnsi="Times New Roman" w:cs="Times New Roman"/>
          <w:sz w:val="24"/>
          <w:szCs w:val="24"/>
        </w:rPr>
        <w:t xml:space="preserve">occupied territories, the </w:t>
      </w:r>
      <w:r w:rsidRPr="009E6775">
        <w:rPr>
          <w:rFonts w:ascii="Times New Roman" w:hAnsi="Times New Roman" w:cs="Times New Roman"/>
          <w:sz w:val="24"/>
          <w:szCs w:val="24"/>
        </w:rPr>
        <w:t>(ex-)</w:t>
      </w:r>
      <w:r w:rsidR="006858E8" w:rsidRPr="009E6775">
        <w:rPr>
          <w:rFonts w:ascii="Times New Roman" w:hAnsi="Times New Roman" w:cs="Times New Roman"/>
          <w:sz w:val="24"/>
          <w:szCs w:val="24"/>
        </w:rPr>
        <w:t xml:space="preserve">occupying power </w:t>
      </w:r>
      <w:r w:rsidR="00871A98" w:rsidRPr="009E6775">
        <w:rPr>
          <w:rFonts w:ascii="Times New Roman" w:hAnsi="Times New Roman" w:cs="Times New Roman"/>
          <w:sz w:val="24"/>
          <w:szCs w:val="24"/>
        </w:rPr>
        <w:t xml:space="preserve">remains bound by the </w:t>
      </w:r>
      <w:r w:rsidR="008F77A4" w:rsidRPr="009E6775">
        <w:rPr>
          <w:rFonts w:ascii="Times New Roman" w:hAnsi="Times New Roman" w:cs="Times New Roman"/>
          <w:sz w:val="24"/>
          <w:szCs w:val="24"/>
        </w:rPr>
        <w:t xml:space="preserve">positive </w:t>
      </w:r>
      <w:r w:rsidR="00871A98" w:rsidRPr="009E6775">
        <w:rPr>
          <w:rFonts w:ascii="Times New Roman" w:hAnsi="Times New Roman" w:cs="Times New Roman"/>
          <w:sz w:val="24"/>
          <w:szCs w:val="24"/>
        </w:rPr>
        <w:t>duty</w:t>
      </w:r>
      <w:r w:rsidR="006858E8" w:rsidRPr="009E6775">
        <w:rPr>
          <w:rFonts w:ascii="Times New Roman" w:hAnsi="Times New Roman" w:cs="Times New Roman"/>
          <w:sz w:val="24"/>
          <w:szCs w:val="24"/>
        </w:rPr>
        <w:t xml:space="preserve"> </w:t>
      </w:r>
      <w:r w:rsidR="008F77A4" w:rsidRPr="009E6775">
        <w:rPr>
          <w:rFonts w:ascii="Times New Roman" w:hAnsi="Times New Roman" w:cs="Times New Roman"/>
          <w:sz w:val="24"/>
          <w:szCs w:val="24"/>
        </w:rPr>
        <w:t>to respond to</w:t>
      </w:r>
      <w:r w:rsidR="00740EBD" w:rsidRPr="009E6775">
        <w:rPr>
          <w:rFonts w:ascii="Times New Roman" w:hAnsi="Times New Roman" w:cs="Times New Roman"/>
          <w:sz w:val="24"/>
          <w:szCs w:val="24"/>
        </w:rPr>
        <w:t xml:space="preserve"> </w:t>
      </w:r>
      <w:r w:rsidR="006858E8" w:rsidRPr="009E6775">
        <w:rPr>
          <w:rFonts w:ascii="Times New Roman" w:hAnsi="Times New Roman" w:cs="Times New Roman"/>
          <w:sz w:val="24"/>
          <w:szCs w:val="24"/>
        </w:rPr>
        <w:t xml:space="preserve">the subsistence and medical needs of the occupied population. </w:t>
      </w:r>
      <w:r w:rsidR="00180E78" w:rsidRPr="009E6775">
        <w:rPr>
          <w:rFonts w:ascii="Times New Roman" w:hAnsi="Times New Roman" w:cs="Times New Roman"/>
          <w:sz w:val="24"/>
          <w:szCs w:val="24"/>
        </w:rPr>
        <w:t xml:space="preserve">The </w:t>
      </w:r>
      <w:r w:rsidR="00BB3D0F" w:rsidRPr="009E6775">
        <w:rPr>
          <w:rFonts w:ascii="Times New Roman" w:hAnsi="Times New Roman" w:cs="Times New Roman"/>
          <w:sz w:val="24"/>
          <w:szCs w:val="24"/>
        </w:rPr>
        <w:t>SC</w:t>
      </w:r>
      <w:r w:rsidR="00180E78" w:rsidRPr="009E6775">
        <w:rPr>
          <w:rFonts w:ascii="Times New Roman" w:hAnsi="Times New Roman" w:cs="Times New Roman"/>
          <w:sz w:val="24"/>
          <w:szCs w:val="24"/>
        </w:rPr>
        <w:t xml:space="preserve"> </w:t>
      </w:r>
      <w:r w:rsidR="006F4525" w:rsidRPr="009E6775">
        <w:rPr>
          <w:rFonts w:ascii="Times New Roman" w:hAnsi="Times New Roman" w:cs="Times New Roman"/>
          <w:sz w:val="24"/>
          <w:szCs w:val="24"/>
        </w:rPr>
        <w:t>went even so far as to detail</w:t>
      </w:r>
      <w:r w:rsidR="00180E78" w:rsidRPr="009E6775">
        <w:rPr>
          <w:rFonts w:ascii="Times New Roman" w:hAnsi="Times New Roman" w:cs="Times New Roman"/>
          <w:sz w:val="24"/>
          <w:szCs w:val="24"/>
        </w:rPr>
        <w:t xml:space="preserve"> </w:t>
      </w:r>
      <w:r w:rsidR="009A05EF" w:rsidRPr="009E6775">
        <w:rPr>
          <w:rFonts w:ascii="Times New Roman" w:hAnsi="Times New Roman" w:cs="Times New Roman"/>
          <w:sz w:val="24"/>
          <w:szCs w:val="24"/>
        </w:rPr>
        <w:t>the commander’s specific</w:t>
      </w:r>
      <w:r w:rsidR="00180E78" w:rsidRPr="009E6775">
        <w:rPr>
          <w:rFonts w:ascii="Times New Roman" w:hAnsi="Times New Roman" w:cs="Times New Roman"/>
          <w:sz w:val="24"/>
          <w:szCs w:val="24"/>
        </w:rPr>
        <w:t xml:space="preserve"> positive obligations</w:t>
      </w:r>
      <w:r w:rsidR="009A05EF" w:rsidRPr="009E6775">
        <w:rPr>
          <w:rFonts w:ascii="Times New Roman" w:hAnsi="Times New Roman" w:cs="Times New Roman"/>
          <w:sz w:val="24"/>
          <w:szCs w:val="24"/>
        </w:rPr>
        <w:t xml:space="preserve"> relating to the right to health</w:t>
      </w:r>
      <w:r w:rsidR="00180E78" w:rsidRPr="009E6775">
        <w:rPr>
          <w:rFonts w:ascii="Times New Roman" w:hAnsi="Times New Roman" w:cs="Times New Roman"/>
          <w:color w:val="2E2B2A"/>
          <w:sz w:val="24"/>
          <w:szCs w:val="24"/>
          <w:shd w:val="clear" w:color="auto" w:fill="FFFFFF"/>
        </w:rPr>
        <w:t>.</w:t>
      </w:r>
      <w:r w:rsidR="00180E78" w:rsidRPr="009E6775">
        <w:rPr>
          <w:rStyle w:val="aa"/>
          <w:rFonts w:ascii="Times New Roman" w:hAnsi="Times New Roman" w:cs="Times New Roman"/>
          <w:color w:val="2E2B2A"/>
          <w:sz w:val="24"/>
          <w:szCs w:val="24"/>
          <w:shd w:val="clear" w:color="auto" w:fill="FFFFFF"/>
        </w:rPr>
        <w:footnoteReference w:id="191"/>
      </w:r>
      <w:r w:rsidR="007E4A87" w:rsidRPr="009E6775">
        <w:rPr>
          <w:rFonts w:ascii="Times New Roman" w:hAnsi="Times New Roman" w:cs="Times New Roman"/>
          <w:sz w:val="24"/>
          <w:szCs w:val="24"/>
        </w:rPr>
        <w:t xml:space="preserve"> </w:t>
      </w:r>
    </w:p>
    <w:p w14:paraId="6146B7C6" w14:textId="79A11A8B" w:rsidR="007E4A87" w:rsidRPr="009E6775" w:rsidRDefault="007E4A87" w:rsidP="0081540D">
      <w:pPr>
        <w:rPr>
          <w:rFonts w:ascii="Times New Roman" w:hAnsi="Times New Roman" w:cs="Times New Roman"/>
          <w:sz w:val="24"/>
          <w:szCs w:val="24"/>
        </w:rPr>
      </w:pPr>
    </w:p>
    <w:p w14:paraId="4D92803D" w14:textId="25E09ABE" w:rsidR="0035350B" w:rsidRPr="009E6775" w:rsidRDefault="00F55C8E" w:rsidP="0081540D">
      <w:pPr>
        <w:pStyle w:val="s899b3e47"/>
        <w:shd w:val="clear" w:color="auto" w:fill="FFFFFF"/>
        <w:spacing w:before="0" w:beforeAutospacing="0" w:after="0" w:afterAutospacing="0"/>
        <w:jc w:val="both"/>
        <w:rPr>
          <w:rStyle w:val="af1"/>
          <w:rFonts w:ascii="Times New Roman" w:hAnsi="Times New Roman" w:cs="Times New Roman"/>
          <w:sz w:val="24"/>
          <w:szCs w:val="24"/>
        </w:rPr>
      </w:pPr>
      <w:r w:rsidRPr="009E6775">
        <w:rPr>
          <w:rFonts w:ascii="Times New Roman" w:hAnsi="Times New Roman" w:cs="Times New Roman"/>
        </w:rPr>
        <w:t xml:space="preserve">The SC’s practice since around the turn of the century </w:t>
      </w:r>
      <w:r w:rsidR="000A007B" w:rsidRPr="009E6775">
        <w:rPr>
          <w:rFonts w:ascii="Times New Roman" w:hAnsi="Times New Roman" w:cs="Times New Roman"/>
        </w:rPr>
        <w:t>can</w:t>
      </w:r>
      <w:r w:rsidRPr="009E6775">
        <w:rPr>
          <w:rFonts w:ascii="Times New Roman" w:hAnsi="Times New Roman" w:cs="Times New Roman"/>
        </w:rPr>
        <w:t xml:space="preserve"> be commended for exhibiting pioneering features that should inspire </w:t>
      </w:r>
      <w:r w:rsidR="002463D7" w:rsidRPr="009E6775">
        <w:rPr>
          <w:rFonts w:ascii="Times New Roman" w:hAnsi="Times New Roman" w:cs="Times New Roman"/>
        </w:rPr>
        <w:t>regional or even global</w:t>
      </w:r>
      <w:r w:rsidRPr="009E6775">
        <w:rPr>
          <w:rFonts w:ascii="Times New Roman" w:hAnsi="Times New Roman" w:cs="Times New Roman"/>
        </w:rPr>
        <w:t xml:space="preserve"> monitoring bodies of IHRL</w:t>
      </w:r>
      <w:r w:rsidRPr="009E6775">
        <w:rPr>
          <w:rStyle w:val="af1"/>
          <w:rFonts w:ascii="Times New Roman" w:hAnsi="Times New Roman" w:cs="Times New Roman"/>
          <w:sz w:val="24"/>
          <w:szCs w:val="24"/>
        </w:rPr>
        <w:t>.</w:t>
      </w:r>
      <w:r w:rsidR="000A007B" w:rsidRPr="009E6775">
        <w:rPr>
          <w:rStyle w:val="af1"/>
          <w:rFonts w:ascii="Times New Roman" w:hAnsi="Times New Roman" w:cs="Times New Roman"/>
          <w:sz w:val="24"/>
          <w:szCs w:val="24"/>
        </w:rPr>
        <w:t xml:space="preserve"> For instance</w:t>
      </w:r>
      <w:r w:rsidRPr="009E6775">
        <w:rPr>
          <w:rStyle w:val="af1"/>
          <w:rFonts w:ascii="Times New Roman" w:hAnsi="Times New Roman" w:cs="Times New Roman"/>
          <w:sz w:val="24"/>
          <w:szCs w:val="24"/>
        </w:rPr>
        <w:t xml:space="preserve">, </w:t>
      </w:r>
      <w:r w:rsidR="000A0C3A" w:rsidRPr="009E6775">
        <w:rPr>
          <w:rStyle w:val="af1"/>
          <w:rFonts w:ascii="Times New Roman" w:hAnsi="Times New Roman" w:cs="Times New Roman"/>
          <w:sz w:val="24"/>
          <w:szCs w:val="24"/>
        </w:rPr>
        <w:t xml:space="preserve">the SC’s </w:t>
      </w:r>
      <w:r w:rsidR="00297398" w:rsidRPr="009E6775">
        <w:rPr>
          <w:rStyle w:val="af1"/>
          <w:rFonts w:ascii="Times New Roman" w:hAnsi="Times New Roman" w:cs="Times New Roman"/>
          <w:sz w:val="24"/>
          <w:szCs w:val="24"/>
        </w:rPr>
        <w:t xml:space="preserve">policy </w:t>
      </w:r>
      <w:r w:rsidR="000A0C3A" w:rsidRPr="009E6775">
        <w:rPr>
          <w:rStyle w:val="af1"/>
          <w:rFonts w:ascii="Times New Roman" w:hAnsi="Times New Roman" w:cs="Times New Roman"/>
          <w:sz w:val="24"/>
          <w:szCs w:val="24"/>
        </w:rPr>
        <w:t xml:space="preserve">can be compared </w:t>
      </w:r>
      <w:r w:rsidR="00297398" w:rsidRPr="009E6775">
        <w:rPr>
          <w:rStyle w:val="af1"/>
          <w:rFonts w:ascii="Times New Roman" w:hAnsi="Times New Roman" w:cs="Times New Roman"/>
          <w:sz w:val="24"/>
          <w:szCs w:val="24"/>
        </w:rPr>
        <w:t xml:space="preserve">with </w:t>
      </w:r>
      <w:r w:rsidR="000A0C3A" w:rsidRPr="009E6775">
        <w:rPr>
          <w:rStyle w:val="af1"/>
          <w:rFonts w:ascii="Times New Roman" w:hAnsi="Times New Roman" w:cs="Times New Roman"/>
          <w:sz w:val="24"/>
          <w:szCs w:val="24"/>
        </w:rPr>
        <w:t>the</w:t>
      </w:r>
      <w:r w:rsidR="00297398" w:rsidRPr="009E6775">
        <w:rPr>
          <w:rStyle w:val="af1"/>
          <w:rFonts w:ascii="Times New Roman" w:hAnsi="Times New Roman" w:cs="Times New Roman"/>
          <w:sz w:val="24"/>
          <w:szCs w:val="24"/>
        </w:rPr>
        <w:t xml:space="preserve"> </w:t>
      </w:r>
      <w:r w:rsidR="00A3297B" w:rsidRPr="009E6775">
        <w:rPr>
          <w:rStyle w:val="af1"/>
          <w:rFonts w:ascii="Times New Roman" w:hAnsi="Times New Roman" w:cs="Times New Roman"/>
          <w:sz w:val="24"/>
          <w:szCs w:val="24"/>
        </w:rPr>
        <w:t>thin venee</w:t>
      </w:r>
      <w:r w:rsidR="000A0C3A" w:rsidRPr="009E6775">
        <w:rPr>
          <w:rStyle w:val="af1"/>
          <w:rFonts w:ascii="Times New Roman" w:hAnsi="Times New Roman" w:cs="Times New Roman"/>
          <w:sz w:val="24"/>
          <w:szCs w:val="24"/>
        </w:rPr>
        <w:t xml:space="preserve">r </w:t>
      </w:r>
      <w:r w:rsidR="00297398" w:rsidRPr="009E6775">
        <w:rPr>
          <w:rStyle w:val="af1"/>
          <w:rFonts w:ascii="Times New Roman" w:hAnsi="Times New Roman" w:cs="Times New Roman"/>
          <w:sz w:val="24"/>
          <w:szCs w:val="24"/>
        </w:rPr>
        <w:t xml:space="preserve">of judicial self-restraint that marked </w:t>
      </w:r>
      <w:r w:rsidRPr="009E6775">
        <w:rPr>
          <w:rStyle w:val="af1"/>
          <w:rFonts w:ascii="Times New Roman" w:hAnsi="Times New Roman" w:cs="Times New Roman"/>
          <w:sz w:val="24"/>
          <w:szCs w:val="24"/>
        </w:rPr>
        <w:t xml:space="preserve">the case of </w:t>
      </w:r>
      <w:r w:rsidRPr="009E6775">
        <w:rPr>
          <w:rStyle w:val="af1"/>
          <w:rFonts w:ascii="Times New Roman" w:hAnsi="Times New Roman" w:cs="Times New Roman"/>
          <w:i/>
          <w:iCs/>
          <w:sz w:val="24"/>
          <w:szCs w:val="24"/>
        </w:rPr>
        <w:t>Georgia v. Russia (No. 2)</w:t>
      </w:r>
      <w:r w:rsidR="00297398" w:rsidRPr="009E6775">
        <w:rPr>
          <w:rStyle w:val="af1"/>
          <w:rFonts w:ascii="Times New Roman" w:hAnsi="Times New Roman" w:cs="Times New Roman"/>
          <w:sz w:val="24"/>
          <w:szCs w:val="24"/>
        </w:rPr>
        <w:t xml:space="preserve">. There, the </w:t>
      </w:r>
      <w:r w:rsidR="000A0C3A" w:rsidRPr="009E6775">
        <w:rPr>
          <w:rStyle w:val="af1"/>
          <w:rFonts w:ascii="Times New Roman" w:hAnsi="Times New Roman" w:cs="Times New Roman"/>
          <w:sz w:val="24"/>
          <w:szCs w:val="24"/>
        </w:rPr>
        <w:t xml:space="preserve">more muted stance of the Grand Chamber of the European Court of Human Rights (ECtHR) </w:t>
      </w:r>
      <w:r w:rsidR="00297398" w:rsidRPr="009E6775">
        <w:rPr>
          <w:rStyle w:val="af1"/>
          <w:rFonts w:ascii="Times New Roman" w:hAnsi="Times New Roman" w:cs="Times New Roman"/>
          <w:sz w:val="24"/>
          <w:szCs w:val="24"/>
        </w:rPr>
        <w:t xml:space="preserve">can be discerned with </w:t>
      </w:r>
      <w:r w:rsidRPr="009E6775">
        <w:rPr>
          <w:rStyle w:val="af1"/>
          <w:rFonts w:ascii="Times New Roman" w:hAnsi="Times New Roman" w:cs="Times New Roman"/>
          <w:sz w:val="24"/>
          <w:szCs w:val="24"/>
        </w:rPr>
        <w:t xml:space="preserve">respect to </w:t>
      </w:r>
      <w:r w:rsidR="00297398" w:rsidRPr="009E6775">
        <w:rPr>
          <w:rStyle w:val="af1"/>
          <w:rFonts w:ascii="Times New Roman" w:hAnsi="Times New Roman" w:cs="Times New Roman"/>
          <w:sz w:val="24"/>
          <w:szCs w:val="24"/>
        </w:rPr>
        <w:t xml:space="preserve">the complainant State’s challenge against </w:t>
      </w:r>
      <w:r w:rsidRPr="009E6775">
        <w:rPr>
          <w:rStyle w:val="af1"/>
          <w:rFonts w:ascii="Times New Roman" w:hAnsi="Times New Roman" w:cs="Times New Roman"/>
          <w:sz w:val="24"/>
          <w:szCs w:val="24"/>
        </w:rPr>
        <w:t xml:space="preserve">acts or omission of </w:t>
      </w:r>
      <w:r w:rsidR="00297398" w:rsidRPr="009E6775">
        <w:rPr>
          <w:rStyle w:val="af1"/>
          <w:rFonts w:ascii="Times New Roman" w:hAnsi="Times New Roman" w:cs="Times New Roman"/>
          <w:sz w:val="24"/>
          <w:szCs w:val="24"/>
        </w:rPr>
        <w:t>the</w:t>
      </w:r>
      <w:r w:rsidRPr="009E6775">
        <w:rPr>
          <w:rStyle w:val="af1"/>
          <w:rFonts w:ascii="Times New Roman" w:hAnsi="Times New Roman" w:cs="Times New Roman"/>
          <w:sz w:val="24"/>
          <w:szCs w:val="24"/>
        </w:rPr>
        <w:t xml:space="preserve"> respondent State during the ‘active phase of hostilities’ of </w:t>
      </w:r>
      <w:r w:rsidR="000A007B" w:rsidRPr="009E6775">
        <w:rPr>
          <w:rStyle w:val="af1"/>
          <w:rFonts w:ascii="Times New Roman" w:hAnsi="Times New Roman" w:cs="Times New Roman"/>
          <w:sz w:val="24"/>
          <w:szCs w:val="24"/>
        </w:rPr>
        <w:t>the impugned</w:t>
      </w:r>
      <w:r w:rsidRPr="009E6775">
        <w:rPr>
          <w:rStyle w:val="af1"/>
          <w:rFonts w:ascii="Times New Roman" w:hAnsi="Times New Roman" w:cs="Times New Roman"/>
          <w:sz w:val="24"/>
          <w:szCs w:val="24"/>
        </w:rPr>
        <w:t xml:space="preserve"> IAC taking place outside its territory</w:t>
      </w:r>
      <w:r w:rsidR="00297398" w:rsidRPr="009E6775">
        <w:rPr>
          <w:rStyle w:val="af1"/>
          <w:rFonts w:ascii="Times New Roman" w:hAnsi="Times New Roman" w:cs="Times New Roman"/>
          <w:sz w:val="24"/>
          <w:szCs w:val="24"/>
        </w:rPr>
        <w:t>. The ECtHR</w:t>
      </w:r>
      <w:r w:rsidRPr="009E6775">
        <w:rPr>
          <w:rStyle w:val="af1"/>
          <w:rFonts w:ascii="Times New Roman" w:hAnsi="Times New Roman" w:cs="Times New Roman"/>
          <w:sz w:val="24"/>
          <w:szCs w:val="24"/>
        </w:rPr>
        <w:t xml:space="preserve"> held that</w:t>
      </w:r>
      <w:r w:rsidR="0035350B" w:rsidRPr="009E6775">
        <w:rPr>
          <w:rStyle w:val="af1"/>
          <w:rFonts w:ascii="Times New Roman" w:hAnsi="Times New Roman" w:cs="Times New Roman"/>
          <w:sz w:val="24"/>
          <w:szCs w:val="24"/>
        </w:rPr>
        <w:t>:</w:t>
      </w:r>
    </w:p>
    <w:p w14:paraId="4904D7FD" w14:textId="77777777" w:rsidR="0035350B" w:rsidRPr="009E6775" w:rsidRDefault="0035350B" w:rsidP="0081540D">
      <w:pPr>
        <w:pStyle w:val="s899b3e47"/>
        <w:shd w:val="clear" w:color="auto" w:fill="FFFFFF"/>
        <w:spacing w:before="0" w:beforeAutospacing="0" w:after="0" w:afterAutospacing="0"/>
        <w:jc w:val="both"/>
        <w:rPr>
          <w:rStyle w:val="af1"/>
          <w:rFonts w:ascii="Times New Roman" w:hAnsi="Times New Roman" w:cs="Times New Roman"/>
          <w:sz w:val="24"/>
          <w:szCs w:val="24"/>
        </w:rPr>
      </w:pPr>
    </w:p>
    <w:p w14:paraId="542E7347" w14:textId="3EEFB934" w:rsidR="0035350B" w:rsidRPr="009E6775" w:rsidRDefault="0035350B" w:rsidP="0081540D">
      <w:pPr>
        <w:pStyle w:val="s899b3e47"/>
        <w:shd w:val="clear" w:color="auto" w:fill="FFFFFF"/>
        <w:spacing w:before="0" w:beforeAutospacing="0" w:after="0" w:afterAutospacing="0"/>
        <w:ind w:leftChars="67" w:left="141"/>
        <w:jc w:val="both"/>
        <w:rPr>
          <w:rStyle w:val="s68f5eaef"/>
          <w:rFonts w:ascii="Times New Roman" w:hAnsi="Times New Roman" w:cs="Times New Roman"/>
          <w:color w:val="000000"/>
        </w:rPr>
      </w:pPr>
      <w:r w:rsidRPr="009E6775">
        <w:rPr>
          <w:rStyle w:val="af1"/>
          <w:rFonts w:ascii="Times New Roman" w:hAnsi="Times New Roman" w:cs="Times New Roman"/>
          <w:sz w:val="24"/>
          <w:szCs w:val="24"/>
        </w:rPr>
        <w:t>…</w:t>
      </w:r>
      <w:r w:rsidR="00F55C8E" w:rsidRPr="009E6775">
        <w:rPr>
          <w:rStyle w:val="s68f5eaef"/>
          <w:rFonts w:ascii="Times New Roman" w:hAnsi="Times New Roman" w:cs="Times New Roman"/>
          <w:color w:val="000000"/>
        </w:rPr>
        <w:t xml:space="preserve">having regard in particular to the large number of alleged victims and contested incidents, the magnitude of the evidence produced, the difficulty in establishing the relevant circumstances and the fact that such situations are predominantly regulated by legal norms other than those of the </w:t>
      </w:r>
      <w:r w:rsidR="00681A01" w:rsidRPr="009E6775">
        <w:rPr>
          <w:rStyle w:val="s68f5eaef"/>
          <w:rFonts w:ascii="Times New Roman" w:hAnsi="Times New Roman" w:cs="Times New Roman"/>
          <w:color w:val="000000"/>
        </w:rPr>
        <w:t xml:space="preserve">[European] </w:t>
      </w:r>
      <w:r w:rsidR="00F55C8E" w:rsidRPr="009E6775">
        <w:rPr>
          <w:rStyle w:val="s68f5eaef"/>
          <w:rFonts w:ascii="Times New Roman" w:hAnsi="Times New Roman" w:cs="Times New Roman"/>
          <w:color w:val="000000"/>
        </w:rPr>
        <w:t xml:space="preserve">Convention </w:t>
      </w:r>
      <w:r w:rsidR="00681A01" w:rsidRPr="009E6775">
        <w:rPr>
          <w:rStyle w:val="s68f5eaef"/>
          <w:rFonts w:ascii="Times New Roman" w:hAnsi="Times New Roman" w:cs="Times New Roman"/>
          <w:color w:val="000000"/>
        </w:rPr>
        <w:t xml:space="preserve">[on Human Rights] </w:t>
      </w:r>
      <w:r w:rsidR="00F55C8E" w:rsidRPr="009E6775">
        <w:rPr>
          <w:rStyle w:val="s68f5eaef"/>
          <w:rFonts w:ascii="Times New Roman" w:hAnsi="Times New Roman" w:cs="Times New Roman"/>
          <w:color w:val="000000"/>
        </w:rPr>
        <w:t>(specifically, international humanitarian law or the law of armed conflict), the Court considers that it is not in a position to develop its case-law beyond the understanding of the notion of “jurisdiction” as established to date</w:t>
      </w:r>
      <w:r w:rsidRPr="009E6775">
        <w:rPr>
          <w:rStyle w:val="s68f5eaef"/>
          <w:rFonts w:ascii="Times New Roman" w:hAnsi="Times New Roman" w:cs="Times New Roman"/>
          <w:color w:val="000000"/>
        </w:rPr>
        <w:t>.</w:t>
      </w:r>
      <w:r w:rsidR="00297398" w:rsidRPr="009E6775">
        <w:rPr>
          <w:rStyle w:val="aa"/>
          <w:rFonts w:ascii="Times New Roman" w:hAnsi="Times New Roman" w:cs="Times New Roman"/>
          <w:color w:val="000000"/>
        </w:rPr>
        <w:footnoteReference w:id="192"/>
      </w:r>
      <w:r w:rsidR="00DB73C2" w:rsidRPr="009E6775">
        <w:rPr>
          <w:rStyle w:val="s68f5eaef"/>
          <w:rFonts w:ascii="Times New Roman" w:hAnsi="Times New Roman" w:cs="Times New Roman"/>
          <w:color w:val="000000"/>
        </w:rPr>
        <w:t xml:space="preserve"> </w:t>
      </w:r>
    </w:p>
    <w:p w14:paraId="206CA316" w14:textId="77777777" w:rsidR="0035350B" w:rsidRPr="009E6775" w:rsidRDefault="0035350B" w:rsidP="0081540D">
      <w:pPr>
        <w:pStyle w:val="s899b3e47"/>
        <w:shd w:val="clear" w:color="auto" w:fill="FFFFFF"/>
        <w:spacing w:before="0" w:beforeAutospacing="0" w:after="0" w:afterAutospacing="0"/>
        <w:jc w:val="both"/>
        <w:rPr>
          <w:rStyle w:val="s68f5eaef"/>
          <w:rFonts w:ascii="Times New Roman" w:hAnsi="Times New Roman" w:cs="Times New Roman"/>
          <w:color w:val="000000"/>
        </w:rPr>
      </w:pPr>
    </w:p>
    <w:p w14:paraId="34844128" w14:textId="6DB5042E" w:rsidR="00F55C8E" w:rsidRPr="009E6775" w:rsidRDefault="00DB73C2" w:rsidP="0081540D">
      <w:pPr>
        <w:pStyle w:val="s899b3e47"/>
        <w:shd w:val="clear" w:color="auto" w:fill="FFFFFF"/>
        <w:spacing w:before="0" w:beforeAutospacing="0" w:after="0" w:afterAutospacing="0"/>
        <w:jc w:val="both"/>
        <w:rPr>
          <w:rStyle w:val="af1"/>
          <w:rFonts w:ascii="Times New Roman" w:hAnsi="Times New Roman" w:cs="Times New Roman"/>
          <w:color w:val="000000"/>
          <w:sz w:val="24"/>
          <w:szCs w:val="24"/>
        </w:rPr>
      </w:pPr>
      <w:r w:rsidRPr="009E6775">
        <w:rPr>
          <w:rStyle w:val="s68f5eaef"/>
          <w:rFonts w:ascii="Times New Roman" w:hAnsi="Times New Roman" w:cs="Times New Roman"/>
          <w:color w:val="000000"/>
        </w:rPr>
        <w:t xml:space="preserve">The Grand Chamber’s </w:t>
      </w:r>
      <w:r w:rsidR="000A007B" w:rsidRPr="009E6775">
        <w:rPr>
          <w:rStyle w:val="s68f5eaef"/>
          <w:rFonts w:ascii="Times New Roman" w:hAnsi="Times New Roman" w:cs="Times New Roman"/>
          <w:color w:val="000000"/>
        </w:rPr>
        <w:t xml:space="preserve">putative rationale based on the complex and </w:t>
      </w:r>
      <w:r w:rsidRPr="009E6775">
        <w:rPr>
          <w:rStyle w:val="s68f5eaef"/>
          <w:rFonts w:ascii="Times New Roman" w:hAnsi="Times New Roman" w:cs="Times New Roman"/>
          <w:color w:val="000000"/>
        </w:rPr>
        <w:t xml:space="preserve">unwieldy nature of </w:t>
      </w:r>
      <w:r w:rsidR="000A007B" w:rsidRPr="009E6775">
        <w:rPr>
          <w:rStyle w:val="s68f5eaef"/>
          <w:rFonts w:ascii="Times New Roman" w:hAnsi="Times New Roman" w:cs="Times New Roman"/>
          <w:color w:val="000000"/>
        </w:rPr>
        <w:t xml:space="preserve">empirical evaluations during active </w:t>
      </w:r>
      <w:r w:rsidRPr="009E6775">
        <w:rPr>
          <w:rStyle w:val="s68f5eaef"/>
          <w:rFonts w:ascii="Times New Roman" w:hAnsi="Times New Roman" w:cs="Times New Roman"/>
          <w:color w:val="000000"/>
        </w:rPr>
        <w:t xml:space="preserve">hostilities </w:t>
      </w:r>
      <w:r w:rsidR="004520B3" w:rsidRPr="009E6775">
        <w:rPr>
          <w:rStyle w:val="s68f5eaef"/>
          <w:rFonts w:ascii="Times New Roman" w:hAnsi="Times New Roman" w:cs="Times New Roman"/>
          <w:color w:val="000000"/>
        </w:rPr>
        <w:t>has certain merit</w:t>
      </w:r>
      <w:r w:rsidR="003E0F47" w:rsidRPr="009E6775">
        <w:rPr>
          <w:rStyle w:val="s68f5eaef"/>
          <w:rFonts w:ascii="Times New Roman" w:hAnsi="Times New Roman" w:cs="Times New Roman"/>
          <w:color w:val="000000"/>
        </w:rPr>
        <w:t xml:space="preserve">. It </w:t>
      </w:r>
      <w:r w:rsidRPr="009E6775">
        <w:rPr>
          <w:rStyle w:val="s68f5eaef"/>
          <w:rFonts w:ascii="Times New Roman" w:hAnsi="Times New Roman" w:cs="Times New Roman"/>
          <w:color w:val="000000"/>
        </w:rPr>
        <w:t xml:space="preserve">seems aligned with </w:t>
      </w:r>
      <w:r w:rsidR="000A007B" w:rsidRPr="009E6775">
        <w:rPr>
          <w:rStyle w:val="s68f5eaef"/>
          <w:rFonts w:ascii="Times New Roman" w:hAnsi="Times New Roman" w:cs="Times New Roman"/>
          <w:color w:val="000000"/>
        </w:rPr>
        <w:t xml:space="preserve">military practitioners’ </w:t>
      </w:r>
      <w:r w:rsidRPr="009E6775">
        <w:rPr>
          <w:rStyle w:val="s68f5eaef"/>
          <w:rFonts w:ascii="Times New Roman" w:hAnsi="Times New Roman" w:cs="Times New Roman"/>
          <w:color w:val="000000"/>
        </w:rPr>
        <w:t>debates over ‘fog of war’.</w:t>
      </w:r>
      <w:r w:rsidR="000A007B" w:rsidRPr="009E6775">
        <w:rPr>
          <w:rStyle w:val="s68f5eaef"/>
          <w:rFonts w:ascii="Times New Roman" w:hAnsi="Times New Roman" w:cs="Times New Roman"/>
          <w:color w:val="000000"/>
        </w:rPr>
        <w:t xml:space="preserve"> </w:t>
      </w:r>
      <w:r w:rsidR="00C81FD9" w:rsidRPr="009E6775">
        <w:rPr>
          <w:rStyle w:val="s68f5eaef"/>
          <w:rFonts w:ascii="Times New Roman" w:hAnsi="Times New Roman" w:cs="Times New Roman"/>
          <w:color w:val="000000"/>
        </w:rPr>
        <w:t xml:space="preserve">Yet, </w:t>
      </w:r>
      <w:r w:rsidR="00681A01" w:rsidRPr="009E6775">
        <w:rPr>
          <w:rStyle w:val="s68f5eaef"/>
          <w:rFonts w:ascii="Times New Roman" w:hAnsi="Times New Roman" w:cs="Times New Roman"/>
          <w:color w:val="000000"/>
        </w:rPr>
        <w:t xml:space="preserve">what this author </w:t>
      </w:r>
      <w:r w:rsidR="004520B3" w:rsidRPr="009E6775">
        <w:rPr>
          <w:rStyle w:val="s68f5eaef"/>
          <w:rFonts w:ascii="Times New Roman" w:hAnsi="Times New Roman" w:cs="Times New Roman"/>
          <w:color w:val="000000"/>
        </w:rPr>
        <w:t>finds fault with</w:t>
      </w:r>
      <w:r w:rsidR="00681A01" w:rsidRPr="009E6775">
        <w:rPr>
          <w:rStyle w:val="s68f5eaef"/>
          <w:rFonts w:ascii="Times New Roman" w:hAnsi="Times New Roman" w:cs="Times New Roman"/>
          <w:color w:val="000000"/>
        </w:rPr>
        <w:t xml:space="preserve"> is </w:t>
      </w:r>
      <w:r w:rsidR="00C81FD9" w:rsidRPr="009E6775">
        <w:rPr>
          <w:rStyle w:val="s68f5eaef"/>
          <w:rFonts w:ascii="Times New Roman" w:hAnsi="Times New Roman" w:cs="Times New Roman"/>
          <w:color w:val="000000"/>
        </w:rPr>
        <w:lastRenderedPageBreak/>
        <w:t>its reluctance to undertake even legal questions on the pretext that these are governed ‘predominantly’ by IHL</w:t>
      </w:r>
      <w:r w:rsidR="003E0F47" w:rsidRPr="009E6775">
        <w:rPr>
          <w:rStyle w:val="s68f5eaef"/>
          <w:rFonts w:ascii="Times New Roman" w:hAnsi="Times New Roman" w:cs="Times New Roman"/>
          <w:color w:val="000000"/>
        </w:rPr>
        <w:t>. Such a stance</w:t>
      </w:r>
      <w:r w:rsidR="000A007B" w:rsidRPr="009E6775">
        <w:rPr>
          <w:rStyle w:val="s68f5eaef"/>
          <w:rFonts w:ascii="Times New Roman" w:hAnsi="Times New Roman" w:cs="Times New Roman"/>
          <w:color w:val="000000"/>
        </w:rPr>
        <w:t xml:space="preserve"> marks a stark contrast to the Israeli SC’s </w:t>
      </w:r>
      <w:r w:rsidR="00C820E1" w:rsidRPr="009E6775">
        <w:rPr>
          <w:rStyle w:val="s68f5eaef"/>
          <w:rFonts w:ascii="Times New Roman" w:hAnsi="Times New Roman" w:cs="Times New Roman"/>
          <w:color w:val="000000"/>
        </w:rPr>
        <w:t>two-fold assumptions that</w:t>
      </w:r>
      <w:r w:rsidR="0099296A" w:rsidRPr="009E6775">
        <w:rPr>
          <w:rStyle w:val="s68f5eaef"/>
          <w:rFonts w:ascii="Times New Roman" w:hAnsi="Times New Roman" w:cs="Times New Roman"/>
          <w:color w:val="000000"/>
        </w:rPr>
        <w:t xml:space="preserve"> there is no </w:t>
      </w:r>
      <w:r w:rsidR="0099296A" w:rsidRPr="009E6775">
        <w:rPr>
          <w:rStyle w:val="s68f5eaef"/>
          <w:rFonts w:ascii="Times New Roman" w:hAnsi="Times New Roman" w:cs="Times New Roman"/>
          <w:i/>
          <w:iCs/>
          <w:color w:val="000000"/>
        </w:rPr>
        <w:t xml:space="preserve">a priori </w:t>
      </w:r>
      <w:r w:rsidR="0099296A" w:rsidRPr="009E6775">
        <w:rPr>
          <w:rStyle w:val="s68f5eaef"/>
          <w:rFonts w:ascii="Times New Roman" w:hAnsi="Times New Roman" w:cs="Times New Roman"/>
          <w:color w:val="000000"/>
        </w:rPr>
        <w:t>exclusion of</w:t>
      </w:r>
      <w:r w:rsidR="00C820E1" w:rsidRPr="009E6775">
        <w:rPr>
          <w:rStyle w:val="s68f5eaef"/>
          <w:rFonts w:ascii="Times New Roman" w:hAnsi="Times New Roman" w:cs="Times New Roman"/>
          <w:color w:val="000000"/>
        </w:rPr>
        <w:t xml:space="preserve"> petitions relating to conduct of hostilities </w:t>
      </w:r>
      <w:r w:rsidR="0099296A" w:rsidRPr="009E6775">
        <w:rPr>
          <w:rStyle w:val="s68f5eaef"/>
          <w:rFonts w:ascii="Times New Roman" w:hAnsi="Times New Roman" w:cs="Times New Roman"/>
          <w:color w:val="000000"/>
        </w:rPr>
        <w:t xml:space="preserve">as being not </w:t>
      </w:r>
      <w:r w:rsidR="00C820E1" w:rsidRPr="009E6775">
        <w:rPr>
          <w:rStyle w:val="s68f5eaef"/>
          <w:rFonts w:ascii="Times New Roman" w:hAnsi="Times New Roman" w:cs="Times New Roman"/>
          <w:color w:val="000000"/>
        </w:rPr>
        <w:t>justiciable</w:t>
      </w:r>
      <w:r w:rsidR="0099296A" w:rsidRPr="009E6775">
        <w:rPr>
          <w:rStyle w:val="s68f5eaef"/>
          <w:rFonts w:ascii="Times New Roman" w:hAnsi="Times New Roman" w:cs="Times New Roman"/>
          <w:color w:val="000000"/>
        </w:rPr>
        <w:t xml:space="preserve">, and that whenever </w:t>
      </w:r>
      <w:r w:rsidR="003E0F47" w:rsidRPr="009E6775">
        <w:rPr>
          <w:rStyle w:val="s68f5eaef"/>
          <w:rFonts w:ascii="Times New Roman" w:hAnsi="Times New Roman" w:cs="Times New Roman"/>
          <w:color w:val="000000"/>
        </w:rPr>
        <w:t xml:space="preserve">human rights are </w:t>
      </w:r>
      <w:r w:rsidR="0099296A" w:rsidRPr="009E6775">
        <w:rPr>
          <w:rStyle w:val="s68f5eaef"/>
          <w:rFonts w:ascii="Times New Roman" w:hAnsi="Times New Roman" w:cs="Times New Roman"/>
          <w:color w:val="000000"/>
        </w:rPr>
        <w:t>at stake, this calls for judicial intervention.</w:t>
      </w:r>
    </w:p>
    <w:p w14:paraId="125282E3" w14:textId="77777777" w:rsidR="00F55C8E" w:rsidRPr="009E6775" w:rsidRDefault="00F55C8E" w:rsidP="0081540D">
      <w:pPr>
        <w:rPr>
          <w:rFonts w:ascii="Times New Roman" w:hAnsi="Times New Roman" w:cs="Times New Roman"/>
          <w:sz w:val="24"/>
          <w:szCs w:val="24"/>
          <w:lang w:val="en-US"/>
        </w:rPr>
      </w:pPr>
    </w:p>
    <w:p w14:paraId="4304D2F9" w14:textId="64BEB147" w:rsidR="00E475B3" w:rsidRPr="009E6775" w:rsidRDefault="0017554F" w:rsidP="00E31CD6">
      <w:pPr>
        <w:pStyle w:val="a3"/>
        <w:numPr>
          <w:ilvl w:val="0"/>
          <w:numId w:val="13"/>
        </w:numPr>
        <w:ind w:leftChars="0"/>
        <w:rPr>
          <w:rFonts w:ascii="Times New Roman" w:hAnsi="Times New Roman" w:cs="Times New Roman"/>
          <w:b/>
          <w:bCs/>
          <w:sz w:val="24"/>
          <w:szCs w:val="24"/>
        </w:rPr>
      </w:pPr>
      <w:r>
        <w:rPr>
          <w:rFonts w:ascii="Times New Roman" w:hAnsi="Times New Roman" w:cs="Times New Roman"/>
          <w:b/>
          <w:bCs/>
          <w:sz w:val="24"/>
          <w:szCs w:val="24"/>
        </w:rPr>
        <w:t>Critiques of Certain</w:t>
      </w:r>
      <w:r w:rsidR="00E475B3" w:rsidRPr="009E6775">
        <w:rPr>
          <w:rFonts w:ascii="Times New Roman" w:hAnsi="Times New Roman" w:cs="Times New Roman"/>
          <w:b/>
          <w:bCs/>
          <w:sz w:val="24"/>
          <w:szCs w:val="24"/>
        </w:rPr>
        <w:t xml:space="preserve"> Modalit</w:t>
      </w:r>
      <w:r>
        <w:rPr>
          <w:rFonts w:ascii="Times New Roman" w:hAnsi="Times New Roman" w:cs="Times New Roman"/>
          <w:b/>
          <w:bCs/>
          <w:sz w:val="24"/>
          <w:szCs w:val="24"/>
        </w:rPr>
        <w:t xml:space="preserve">ies </w:t>
      </w:r>
      <w:r w:rsidR="00E475B3" w:rsidRPr="009E6775">
        <w:rPr>
          <w:rFonts w:ascii="Times New Roman" w:hAnsi="Times New Roman" w:cs="Times New Roman"/>
          <w:b/>
          <w:bCs/>
          <w:sz w:val="24"/>
          <w:szCs w:val="24"/>
        </w:rPr>
        <w:t xml:space="preserve">of </w:t>
      </w:r>
      <w:r>
        <w:rPr>
          <w:rFonts w:ascii="Times New Roman" w:hAnsi="Times New Roman" w:cs="Times New Roman"/>
          <w:b/>
          <w:bCs/>
          <w:sz w:val="24"/>
          <w:szCs w:val="24"/>
        </w:rPr>
        <w:t xml:space="preserve">the </w:t>
      </w:r>
      <w:r w:rsidR="00E475B3" w:rsidRPr="009E6775">
        <w:rPr>
          <w:rFonts w:ascii="Times New Roman" w:hAnsi="Times New Roman" w:cs="Times New Roman"/>
          <w:b/>
          <w:bCs/>
          <w:sz w:val="24"/>
          <w:szCs w:val="24"/>
        </w:rPr>
        <w:t>Proportionality Appraisal</w:t>
      </w:r>
      <w:r w:rsidR="00E77A8A" w:rsidRPr="009E6775">
        <w:rPr>
          <w:rFonts w:ascii="Times New Roman" w:hAnsi="Times New Roman" w:cs="Times New Roman"/>
          <w:b/>
          <w:bCs/>
          <w:sz w:val="24"/>
          <w:szCs w:val="24"/>
        </w:rPr>
        <w:t xml:space="preserve"> </w:t>
      </w:r>
      <w:r w:rsidR="00015B0E" w:rsidRPr="009E6775">
        <w:rPr>
          <w:rFonts w:ascii="Times New Roman" w:hAnsi="Times New Roman" w:cs="Times New Roman"/>
          <w:b/>
          <w:bCs/>
          <w:sz w:val="24"/>
          <w:szCs w:val="24"/>
        </w:rPr>
        <w:t>U</w:t>
      </w:r>
      <w:r w:rsidR="00E77A8A" w:rsidRPr="009E6775">
        <w:rPr>
          <w:rFonts w:ascii="Times New Roman" w:hAnsi="Times New Roman" w:cs="Times New Roman"/>
          <w:b/>
          <w:bCs/>
          <w:sz w:val="24"/>
          <w:szCs w:val="24"/>
        </w:rPr>
        <w:t xml:space="preserve">ndertaken by the Israeli Supreme Court </w:t>
      </w:r>
    </w:p>
    <w:p w14:paraId="2196192D" w14:textId="429DA1E5" w:rsidR="00B8138F" w:rsidRPr="009E6775" w:rsidRDefault="00FC0DB3" w:rsidP="0081540D">
      <w:pPr>
        <w:rPr>
          <w:rFonts w:ascii="Times New Roman" w:hAnsi="Times New Roman" w:cs="Times New Roman"/>
          <w:sz w:val="24"/>
          <w:szCs w:val="24"/>
        </w:rPr>
      </w:pPr>
      <w:r w:rsidRPr="009E6775">
        <w:rPr>
          <w:rFonts w:ascii="Times New Roman" w:hAnsi="Times New Roman" w:cs="Times New Roman"/>
          <w:sz w:val="24"/>
          <w:szCs w:val="24"/>
        </w:rPr>
        <w:t>Some comments may be apposite in</w:t>
      </w:r>
      <w:r w:rsidR="00035EA6" w:rsidRPr="009E6775">
        <w:rPr>
          <w:rFonts w:ascii="Times New Roman" w:hAnsi="Times New Roman" w:cs="Times New Roman"/>
          <w:sz w:val="24"/>
          <w:szCs w:val="24"/>
        </w:rPr>
        <w:t xml:space="preserve"> relation to </w:t>
      </w:r>
      <w:r w:rsidR="0068265F" w:rsidRPr="009E6775">
        <w:rPr>
          <w:rFonts w:ascii="Times New Roman" w:hAnsi="Times New Roman" w:cs="Times New Roman"/>
          <w:sz w:val="24"/>
          <w:szCs w:val="24"/>
        </w:rPr>
        <w:t>how the</w:t>
      </w:r>
      <w:r w:rsidR="00E475B3" w:rsidRPr="009E6775">
        <w:rPr>
          <w:rFonts w:ascii="Times New Roman" w:hAnsi="Times New Roman" w:cs="Times New Roman"/>
          <w:sz w:val="24"/>
          <w:szCs w:val="24"/>
        </w:rPr>
        <w:t xml:space="preserve"> </w:t>
      </w:r>
      <w:r w:rsidR="00E77A8A" w:rsidRPr="009E6775">
        <w:rPr>
          <w:rFonts w:ascii="Times New Roman" w:hAnsi="Times New Roman" w:cs="Times New Roman"/>
          <w:sz w:val="24"/>
          <w:szCs w:val="24"/>
        </w:rPr>
        <w:t>Israeli SC</w:t>
      </w:r>
      <w:r w:rsidR="0068265F" w:rsidRPr="009E6775">
        <w:rPr>
          <w:rFonts w:ascii="Times New Roman" w:hAnsi="Times New Roman" w:cs="Times New Roman"/>
          <w:sz w:val="24"/>
          <w:szCs w:val="24"/>
        </w:rPr>
        <w:t xml:space="preserve"> has applied </w:t>
      </w:r>
      <w:r w:rsidRPr="009E6775">
        <w:rPr>
          <w:rFonts w:ascii="Times New Roman" w:hAnsi="Times New Roman" w:cs="Times New Roman"/>
          <w:sz w:val="24"/>
          <w:szCs w:val="24"/>
        </w:rPr>
        <w:t xml:space="preserve">the principle of </w:t>
      </w:r>
      <w:r w:rsidR="00E475B3" w:rsidRPr="009E6775">
        <w:rPr>
          <w:rFonts w:ascii="Times New Roman" w:hAnsi="Times New Roman" w:cs="Times New Roman"/>
          <w:sz w:val="24"/>
          <w:szCs w:val="24"/>
        </w:rPr>
        <w:t>proportionality</w:t>
      </w:r>
      <w:r w:rsidRPr="009E6775">
        <w:rPr>
          <w:rFonts w:ascii="Times New Roman" w:hAnsi="Times New Roman" w:cs="Times New Roman"/>
          <w:sz w:val="24"/>
          <w:szCs w:val="24"/>
        </w:rPr>
        <w:t xml:space="preserve"> to </w:t>
      </w:r>
      <w:r w:rsidR="0017689B" w:rsidRPr="009E6775">
        <w:rPr>
          <w:rFonts w:ascii="Times New Roman" w:hAnsi="Times New Roman" w:cs="Times New Roman"/>
          <w:sz w:val="24"/>
          <w:szCs w:val="24"/>
        </w:rPr>
        <w:t xml:space="preserve">petitions </w:t>
      </w:r>
      <w:r w:rsidR="00677391" w:rsidRPr="009E6775">
        <w:rPr>
          <w:rFonts w:ascii="Times New Roman" w:hAnsi="Times New Roman" w:cs="Times New Roman"/>
          <w:sz w:val="24"/>
          <w:szCs w:val="24"/>
        </w:rPr>
        <w:t xml:space="preserve">stemming </w:t>
      </w:r>
      <w:r w:rsidR="0017689B" w:rsidRPr="009E6775">
        <w:rPr>
          <w:rFonts w:ascii="Times New Roman" w:hAnsi="Times New Roman" w:cs="Times New Roman"/>
          <w:sz w:val="24"/>
          <w:szCs w:val="24"/>
        </w:rPr>
        <w:t>from occupied territories</w:t>
      </w:r>
      <w:r w:rsidR="00E475B3" w:rsidRPr="009E6775">
        <w:rPr>
          <w:rFonts w:ascii="Times New Roman" w:hAnsi="Times New Roman" w:cs="Times New Roman"/>
          <w:sz w:val="24"/>
          <w:szCs w:val="24"/>
        </w:rPr>
        <w:t>.</w:t>
      </w:r>
      <w:r w:rsidR="006C76E1" w:rsidRPr="009E6775">
        <w:rPr>
          <w:rFonts w:ascii="Times New Roman" w:hAnsi="Times New Roman" w:cs="Times New Roman"/>
          <w:sz w:val="24"/>
          <w:szCs w:val="24"/>
        </w:rPr>
        <w:t xml:space="preserve"> </w:t>
      </w:r>
      <w:r w:rsidR="00B8138F" w:rsidRPr="009E6775">
        <w:rPr>
          <w:rFonts w:ascii="Times New Roman" w:hAnsi="Times New Roman" w:cs="Times New Roman"/>
          <w:sz w:val="24"/>
          <w:szCs w:val="24"/>
        </w:rPr>
        <w:t xml:space="preserve">In the cases relating to the security barrier, the appraisal conducted by the </w:t>
      </w:r>
      <w:r w:rsidR="00677391" w:rsidRPr="009E6775">
        <w:rPr>
          <w:rFonts w:ascii="Times New Roman" w:hAnsi="Times New Roman" w:cs="Times New Roman"/>
          <w:sz w:val="24"/>
          <w:szCs w:val="24"/>
        </w:rPr>
        <w:t>SC</w:t>
      </w:r>
      <w:r w:rsidR="00B8138F" w:rsidRPr="009E6775">
        <w:rPr>
          <w:rFonts w:ascii="Times New Roman" w:hAnsi="Times New Roman" w:cs="Times New Roman"/>
          <w:sz w:val="24"/>
          <w:szCs w:val="24"/>
        </w:rPr>
        <w:t xml:space="preserve"> </w:t>
      </w:r>
      <w:r w:rsidR="00677391" w:rsidRPr="009E6775">
        <w:rPr>
          <w:rFonts w:ascii="Times New Roman" w:hAnsi="Times New Roman" w:cs="Times New Roman"/>
          <w:sz w:val="24"/>
          <w:szCs w:val="24"/>
        </w:rPr>
        <w:t xml:space="preserve">following the tripartite tests of proportionality </w:t>
      </w:r>
      <w:r w:rsidR="00B8138F" w:rsidRPr="009E6775">
        <w:rPr>
          <w:rFonts w:ascii="Times New Roman" w:hAnsi="Times New Roman" w:cs="Times New Roman"/>
          <w:sz w:val="24"/>
          <w:szCs w:val="24"/>
        </w:rPr>
        <w:t xml:space="preserve">appears rigorous. Yet, on closer inspection, certain irregularities </w:t>
      </w:r>
      <w:r w:rsidRPr="009E6775">
        <w:rPr>
          <w:rFonts w:ascii="Times New Roman" w:hAnsi="Times New Roman" w:cs="Times New Roman"/>
          <w:sz w:val="24"/>
          <w:szCs w:val="24"/>
        </w:rPr>
        <w:t>are</w:t>
      </w:r>
      <w:r w:rsidR="00677391" w:rsidRPr="009E6775">
        <w:rPr>
          <w:rFonts w:ascii="Times New Roman" w:hAnsi="Times New Roman" w:cs="Times New Roman"/>
          <w:sz w:val="24"/>
          <w:szCs w:val="24"/>
        </w:rPr>
        <w:t xml:space="preserve"> observable </w:t>
      </w:r>
      <w:r w:rsidR="00B8138F" w:rsidRPr="009E6775">
        <w:rPr>
          <w:rFonts w:ascii="Times New Roman" w:hAnsi="Times New Roman" w:cs="Times New Roman"/>
          <w:sz w:val="24"/>
          <w:szCs w:val="24"/>
        </w:rPr>
        <w:t xml:space="preserve">in </w:t>
      </w:r>
      <w:r w:rsidR="00677391" w:rsidRPr="009E6775">
        <w:rPr>
          <w:rFonts w:ascii="Times New Roman" w:hAnsi="Times New Roman" w:cs="Times New Roman"/>
          <w:sz w:val="24"/>
          <w:szCs w:val="24"/>
        </w:rPr>
        <w:t xml:space="preserve">respect of </w:t>
      </w:r>
      <w:r w:rsidR="00B8138F" w:rsidRPr="009E6775">
        <w:rPr>
          <w:rFonts w:ascii="Times New Roman" w:hAnsi="Times New Roman" w:cs="Times New Roman"/>
          <w:sz w:val="24"/>
          <w:szCs w:val="24"/>
        </w:rPr>
        <w:t xml:space="preserve">the modality of </w:t>
      </w:r>
      <w:r w:rsidR="00066101" w:rsidRPr="009E6775">
        <w:rPr>
          <w:rFonts w:ascii="Times New Roman" w:hAnsi="Times New Roman" w:cs="Times New Roman"/>
          <w:sz w:val="24"/>
          <w:szCs w:val="24"/>
        </w:rPr>
        <w:t>deploying</w:t>
      </w:r>
      <w:r w:rsidR="00B8138F" w:rsidRPr="009E6775">
        <w:rPr>
          <w:rFonts w:ascii="Times New Roman" w:hAnsi="Times New Roman" w:cs="Times New Roman"/>
          <w:sz w:val="24"/>
          <w:szCs w:val="24"/>
        </w:rPr>
        <w:t xml:space="preserve"> </w:t>
      </w:r>
      <w:r w:rsidR="002B5715" w:rsidRPr="009E6775">
        <w:rPr>
          <w:rFonts w:ascii="Times New Roman" w:hAnsi="Times New Roman" w:cs="Times New Roman"/>
          <w:sz w:val="24"/>
          <w:szCs w:val="24"/>
        </w:rPr>
        <w:t>the</w:t>
      </w:r>
      <w:r w:rsidR="00B8138F" w:rsidRPr="009E6775">
        <w:rPr>
          <w:rFonts w:ascii="Times New Roman" w:hAnsi="Times New Roman" w:cs="Times New Roman"/>
          <w:sz w:val="24"/>
          <w:szCs w:val="24"/>
        </w:rPr>
        <w:t xml:space="preserve"> </w:t>
      </w:r>
      <w:r w:rsidR="003E0F47" w:rsidRPr="009E6775">
        <w:rPr>
          <w:rFonts w:ascii="Times New Roman" w:hAnsi="Times New Roman" w:cs="Times New Roman"/>
          <w:sz w:val="24"/>
          <w:szCs w:val="24"/>
        </w:rPr>
        <w:t xml:space="preserve">second and the third </w:t>
      </w:r>
      <w:r w:rsidR="00B8138F" w:rsidRPr="009E6775">
        <w:rPr>
          <w:rFonts w:ascii="Times New Roman" w:hAnsi="Times New Roman" w:cs="Times New Roman"/>
          <w:sz w:val="24"/>
          <w:szCs w:val="24"/>
        </w:rPr>
        <w:t xml:space="preserve">subtests </w:t>
      </w:r>
      <w:r w:rsidR="002B5715" w:rsidRPr="009E6775">
        <w:rPr>
          <w:rFonts w:ascii="Times New Roman" w:hAnsi="Times New Roman" w:cs="Times New Roman"/>
          <w:sz w:val="24"/>
          <w:szCs w:val="24"/>
        </w:rPr>
        <w:t>of proportionality</w:t>
      </w:r>
      <w:r w:rsidR="00B8138F" w:rsidRPr="009E6775">
        <w:rPr>
          <w:rFonts w:ascii="Times New Roman" w:hAnsi="Times New Roman" w:cs="Times New Roman"/>
          <w:sz w:val="24"/>
          <w:szCs w:val="24"/>
        </w:rPr>
        <w:t>.</w:t>
      </w:r>
      <w:r w:rsidR="003E0F47" w:rsidRPr="009E6775">
        <w:rPr>
          <w:rStyle w:val="aa"/>
          <w:rFonts w:ascii="Times New Roman" w:hAnsi="Times New Roman" w:cs="Times New Roman"/>
          <w:sz w:val="24"/>
          <w:szCs w:val="24"/>
        </w:rPr>
        <w:footnoteReference w:id="193"/>
      </w:r>
      <w:r w:rsidR="00B8138F" w:rsidRPr="009E6775">
        <w:rPr>
          <w:rFonts w:ascii="Times New Roman" w:hAnsi="Times New Roman" w:cs="Times New Roman"/>
          <w:sz w:val="24"/>
          <w:szCs w:val="24"/>
        </w:rPr>
        <w:t xml:space="preserve"> First in </w:t>
      </w:r>
      <w:r w:rsidR="00B8138F" w:rsidRPr="009E6775">
        <w:rPr>
          <w:rFonts w:ascii="Times New Roman" w:hAnsi="Times New Roman" w:cs="Times New Roman"/>
          <w:i/>
          <w:iCs/>
          <w:sz w:val="24"/>
          <w:szCs w:val="24"/>
        </w:rPr>
        <w:t>Mara’abe,</w:t>
      </w:r>
      <w:r w:rsidR="00FE64B7" w:rsidRPr="009E6775">
        <w:rPr>
          <w:rStyle w:val="aa"/>
          <w:rFonts w:ascii="Times New Roman" w:hAnsi="Times New Roman" w:cs="Times New Roman"/>
          <w:i/>
          <w:iCs/>
          <w:sz w:val="24"/>
          <w:szCs w:val="24"/>
        </w:rPr>
        <w:footnoteReference w:id="194"/>
      </w:r>
      <w:r w:rsidR="00B8138F" w:rsidRPr="009E6775">
        <w:rPr>
          <w:rFonts w:ascii="Times New Roman" w:hAnsi="Times New Roman" w:cs="Times New Roman"/>
          <w:i/>
          <w:iCs/>
          <w:sz w:val="24"/>
          <w:szCs w:val="24"/>
        </w:rPr>
        <w:t xml:space="preserve"> </w:t>
      </w:r>
      <w:r w:rsidR="00FD260D" w:rsidRPr="009E6775">
        <w:rPr>
          <w:rFonts w:ascii="Times New Roman" w:hAnsi="Times New Roman" w:cs="Times New Roman"/>
          <w:sz w:val="24"/>
          <w:szCs w:val="24"/>
        </w:rPr>
        <w:t xml:space="preserve">as briefly discussed above, the </w:t>
      </w:r>
      <w:r w:rsidR="00823677" w:rsidRPr="009E6775">
        <w:rPr>
          <w:rFonts w:ascii="Times New Roman" w:hAnsi="Times New Roman" w:cs="Times New Roman"/>
          <w:sz w:val="24"/>
          <w:szCs w:val="24"/>
        </w:rPr>
        <w:t>SC</w:t>
      </w:r>
      <w:r w:rsidR="00FD260D" w:rsidRPr="009E6775">
        <w:rPr>
          <w:rFonts w:ascii="Times New Roman" w:hAnsi="Times New Roman" w:cs="Times New Roman"/>
          <w:sz w:val="24"/>
          <w:szCs w:val="24"/>
        </w:rPr>
        <w:t xml:space="preserve"> shrank the parameters of options that should have been searched when evaluating the </w:t>
      </w:r>
      <w:r w:rsidR="00677391" w:rsidRPr="009E6775">
        <w:rPr>
          <w:rFonts w:ascii="Times New Roman" w:hAnsi="Times New Roman" w:cs="Times New Roman"/>
          <w:sz w:val="24"/>
          <w:szCs w:val="24"/>
        </w:rPr>
        <w:t>sub</w:t>
      </w:r>
      <w:r w:rsidR="00FD260D" w:rsidRPr="009E6775">
        <w:rPr>
          <w:rFonts w:ascii="Times New Roman" w:hAnsi="Times New Roman" w:cs="Times New Roman"/>
          <w:sz w:val="24"/>
          <w:szCs w:val="24"/>
        </w:rPr>
        <w:t xml:space="preserve">test of necessity (less restrictive alternative). </w:t>
      </w:r>
      <w:r w:rsidR="00677391" w:rsidRPr="009E6775">
        <w:rPr>
          <w:rFonts w:ascii="Times New Roman" w:hAnsi="Times New Roman" w:cs="Times New Roman"/>
          <w:sz w:val="24"/>
          <w:szCs w:val="24"/>
        </w:rPr>
        <w:t xml:space="preserve">It </w:t>
      </w:r>
      <w:r w:rsidR="00B8399A" w:rsidRPr="009E6775">
        <w:rPr>
          <w:rFonts w:ascii="Times New Roman" w:hAnsi="Times New Roman" w:cs="Times New Roman"/>
          <w:sz w:val="24"/>
          <w:szCs w:val="24"/>
        </w:rPr>
        <w:t xml:space="preserve">is unclear why </w:t>
      </w:r>
      <w:r w:rsidR="00B8138F" w:rsidRPr="009E6775">
        <w:rPr>
          <w:rFonts w:ascii="Times New Roman" w:hAnsi="Times New Roman" w:cs="Times New Roman"/>
          <w:sz w:val="24"/>
          <w:szCs w:val="24"/>
        </w:rPr>
        <w:t xml:space="preserve">the </w:t>
      </w:r>
      <w:r w:rsidR="00823677" w:rsidRPr="009E6775">
        <w:rPr>
          <w:rFonts w:ascii="Times New Roman" w:hAnsi="Times New Roman" w:cs="Times New Roman"/>
          <w:sz w:val="24"/>
          <w:szCs w:val="24"/>
        </w:rPr>
        <w:t>SC</w:t>
      </w:r>
      <w:r w:rsidR="00B8138F" w:rsidRPr="009E6775">
        <w:rPr>
          <w:rFonts w:ascii="Times New Roman" w:hAnsi="Times New Roman" w:cs="Times New Roman"/>
          <w:sz w:val="24"/>
          <w:szCs w:val="24"/>
        </w:rPr>
        <w:t xml:space="preserve"> left out of consideration any </w:t>
      </w:r>
      <w:r w:rsidR="001C3110" w:rsidRPr="009E6775">
        <w:rPr>
          <w:rFonts w:ascii="Times New Roman" w:hAnsi="Times New Roman" w:cs="Times New Roman"/>
          <w:sz w:val="24"/>
          <w:szCs w:val="24"/>
        </w:rPr>
        <w:t>other possible avenue</w:t>
      </w:r>
      <w:r w:rsidR="00B8138F" w:rsidRPr="009E6775">
        <w:rPr>
          <w:rFonts w:ascii="Times New Roman" w:hAnsi="Times New Roman" w:cs="Times New Roman"/>
          <w:sz w:val="24"/>
          <w:szCs w:val="24"/>
        </w:rPr>
        <w:t xml:space="preserve"> of protecting the settlers than by including the settlements on the ‘Israeli side’ of the barrier.</w:t>
      </w:r>
      <w:r w:rsidR="00B8138F" w:rsidRPr="009E6775">
        <w:rPr>
          <w:rStyle w:val="aa"/>
          <w:rFonts w:ascii="Times New Roman" w:hAnsi="Times New Roman" w:cs="Times New Roman"/>
          <w:sz w:val="24"/>
          <w:szCs w:val="24"/>
        </w:rPr>
        <w:footnoteReference w:id="195"/>
      </w:r>
      <w:r w:rsidR="00B8138F" w:rsidRPr="009E6775">
        <w:rPr>
          <w:rFonts w:ascii="Times New Roman" w:hAnsi="Times New Roman" w:cs="Times New Roman"/>
          <w:sz w:val="24"/>
          <w:szCs w:val="24"/>
        </w:rPr>
        <w:t xml:space="preserve"> Admittedly, </w:t>
      </w:r>
      <w:r w:rsidR="00300C37" w:rsidRPr="009E6775">
        <w:rPr>
          <w:rFonts w:ascii="Times New Roman" w:hAnsi="Times New Roman" w:cs="Times New Roman"/>
          <w:sz w:val="24"/>
          <w:szCs w:val="24"/>
        </w:rPr>
        <w:t>as Weil notes,</w:t>
      </w:r>
      <w:r w:rsidR="00300C37" w:rsidRPr="009E6775">
        <w:rPr>
          <w:rStyle w:val="aa"/>
          <w:rFonts w:ascii="Times New Roman" w:hAnsi="Times New Roman" w:cs="Times New Roman"/>
          <w:sz w:val="24"/>
          <w:szCs w:val="24"/>
        </w:rPr>
        <w:footnoteReference w:id="196"/>
      </w:r>
      <w:r w:rsidR="00300C37" w:rsidRPr="009E6775">
        <w:rPr>
          <w:rFonts w:ascii="Times New Roman" w:hAnsi="Times New Roman" w:cs="Times New Roman"/>
          <w:sz w:val="24"/>
          <w:szCs w:val="24"/>
        </w:rPr>
        <w:t xml:space="preserve"> </w:t>
      </w:r>
      <w:r w:rsidR="00B8138F" w:rsidRPr="009E6775">
        <w:rPr>
          <w:rFonts w:ascii="Times New Roman" w:hAnsi="Times New Roman" w:cs="Times New Roman"/>
          <w:sz w:val="24"/>
          <w:szCs w:val="24"/>
        </w:rPr>
        <w:t xml:space="preserve">judges’ evaluations of such alternative options may be susceptible </w:t>
      </w:r>
      <w:r w:rsidR="00EB7691" w:rsidRPr="009E6775">
        <w:rPr>
          <w:rFonts w:ascii="Times New Roman" w:hAnsi="Times New Roman" w:cs="Times New Roman"/>
          <w:sz w:val="24"/>
          <w:szCs w:val="24"/>
        </w:rPr>
        <w:t>to</w:t>
      </w:r>
      <w:r w:rsidR="00B8138F" w:rsidRPr="009E6775">
        <w:rPr>
          <w:rFonts w:ascii="Times New Roman" w:hAnsi="Times New Roman" w:cs="Times New Roman"/>
          <w:sz w:val="24"/>
          <w:szCs w:val="24"/>
        </w:rPr>
        <w:t xml:space="preserve"> their subjective convictions and even ‘political’ ideologies. </w:t>
      </w:r>
      <w:r w:rsidR="00C75DF9" w:rsidRPr="009E6775">
        <w:rPr>
          <w:rFonts w:ascii="Times New Roman" w:hAnsi="Times New Roman" w:cs="Times New Roman"/>
          <w:sz w:val="24"/>
          <w:szCs w:val="24"/>
        </w:rPr>
        <w:t xml:space="preserve">The question of judicial discretion </w:t>
      </w:r>
      <w:r w:rsidR="00066101" w:rsidRPr="009E6775">
        <w:rPr>
          <w:rFonts w:ascii="Times New Roman" w:hAnsi="Times New Roman" w:cs="Times New Roman"/>
          <w:sz w:val="24"/>
          <w:szCs w:val="24"/>
        </w:rPr>
        <w:t xml:space="preserve">in respect of ‘hard cases’ </w:t>
      </w:r>
      <w:r w:rsidR="00C75DF9" w:rsidRPr="009E6775">
        <w:rPr>
          <w:rFonts w:ascii="Times New Roman" w:hAnsi="Times New Roman" w:cs="Times New Roman"/>
          <w:sz w:val="24"/>
          <w:szCs w:val="24"/>
        </w:rPr>
        <w:t xml:space="preserve">is </w:t>
      </w:r>
      <w:r w:rsidR="00066101" w:rsidRPr="009E6775">
        <w:rPr>
          <w:rFonts w:ascii="Times New Roman" w:hAnsi="Times New Roman" w:cs="Times New Roman"/>
          <w:sz w:val="24"/>
          <w:szCs w:val="24"/>
        </w:rPr>
        <w:t>a matter of</w:t>
      </w:r>
      <w:r w:rsidR="00C75DF9" w:rsidRPr="009E6775">
        <w:rPr>
          <w:rFonts w:ascii="Times New Roman" w:hAnsi="Times New Roman" w:cs="Times New Roman"/>
          <w:sz w:val="24"/>
          <w:szCs w:val="24"/>
        </w:rPr>
        <w:t xml:space="preserve"> theoretical </w:t>
      </w:r>
      <w:r w:rsidR="00066101" w:rsidRPr="009E6775">
        <w:rPr>
          <w:rFonts w:ascii="Times New Roman" w:hAnsi="Times New Roman" w:cs="Times New Roman"/>
          <w:sz w:val="24"/>
          <w:szCs w:val="24"/>
        </w:rPr>
        <w:t>debates on the nature of law</w:t>
      </w:r>
      <w:r w:rsidR="00C75DF9" w:rsidRPr="009E6775">
        <w:rPr>
          <w:rFonts w:ascii="Times New Roman" w:hAnsi="Times New Roman" w:cs="Times New Roman"/>
          <w:sz w:val="24"/>
          <w:szCs w:val="24"/>
        </w:rPr>
        <w:t xml:space="preserve"> among positivist law scholars.</w:t>
      </w:r>
      <w:r w:rsidR="00C75DF9" w:rsidRPr="009E6775">
        <w:rPr>
          <w:rStyle w:val="aa"/>
          <w:rFonts w:ascii="Times New Roman" w:hAnsi="Times New Roman" w:cs="Times New Roman"/>
          <w:sz w:val="24"/>
          <w:szCs w:val="24"/>
        </w:rPr>
        <w:footnoteReference w:id="197"/>
      </w:r>
      <w:r w:rsidR="00C75DF9" w:rsidRPr="009E6775">
        <w:rPr>
          <w:rFonts w:ascii="Times New Roman" w:hAnsi="Times New Roman" w:cs="Times New Roman"/>
          <w:sz w:val="24"/>
          <w:szCs w:val="24"/>
        </w:rPr>
        <w:t xml:space="preserve"> </w:t>
      </w:r>
      <w:r w:rsidR="009A3C36" w:rsidRPr="009E6775">
        <w:rPr>
          <w:rFonts w:ascii="Times New Roman" w:hAnsi="Times New Roman" w:cs="Times New Roman"/>
          <w:sz w:val="24"/>
          <w:szCs w:val="24"/>
        </w:rPr>
        <w:t xml:space="preserve">Nonetheless it is crucial that </w:t>
      </w:r>
      <w:r w:rsidR="00B8138F" w:rsidRPr="009E6775">
        <w:rPr>
          <w:rFonts w:ascii="Times New Roman" w:hAnsi="Times New Roman" w:cs="Times New Roman"/>
          <w:sz w:val="24"/>
          <w:szCs w:val="24"/>
        </w:rPr>
        <w:t xml:space="preserve">the </w:t>
      </w:r>
      <w:r w:rsidR="00C75DF9" w:rsidRPr="009E6775">
        <w:rPr>
          <w:rFonts w:ascii="Times New Roman" w:hAnsi="Times New Roman" w:cs="Times New Roman"/>
          <w:sz w:val="24"/>
          <w:szCs w:val="24"/>
        </w:rPr>
        <w:t>SC</w:t>
      </w:r>
      <w:r w:rsidR="00B8138F" w:rsidRPr="009E6775">
        <w:rPr>
          <w:rFonts w:ascii="Times New Roman" w:hAnsi="Times New Roman" w:cs="Times New Roman"/>
          <w:sz w:val="24"/>
          <w:szCs w:val="24"/>
        </w:rPr>
        <w:t xml:space="preserve"> </w:t>
      </w:r>
      <w:r w:rsidR="00F0665D" w:rsidRPr="009E6775">
        <w:rPr>
          <w:rFonts w:ascii="Times New Roman" w:hAnsi="Times New Roman" w:cs="Times New Roman"/>
          <w:sz w:val="24"/>
          <w:szCs w:val="24"/>
        </w:rPr>
        <w:t xml:space="preserve">should </w:t>
      </w:r>
      <w:r w:rsidR="009D3B48" w:rsidRPr="009E6775">
        <w:rPr>
          <w:rFonts w:ascii="Times New Roman" w:hAnsi="Times New Roman" w:cs="Times New Roman"/>
          <w:sz w:val="24"/>
          <w:szCs w:val="24"/>
        </w:rPr>
        <w:t>remove</w:t>
      </w:r>
      <w:r w:rsidR="00F0665D" w:rsidRPr="009E6775">
        <w:rPr>
          <w:rFonts w:ascii="Times New Roman" w:hAnsi="Times New Roman" w:cs="Times New Roman"/>
          <w:sz w:val="24"/>
          <w:szCs w:val="24"/>
        </w:rPr>
        <w:t xml:space="preserve"> </w:t>
      </w:r>
      <w:r w:rsidR="00B8138F" w:rsidRPr="009E6775">
        <w:rPr>
          <w:rFonts w:ascii="Times New Roman" w:hAnsi="Times New Roman" w:cs="Times New Roman"/>
          <w:sz w:val="24"/>
          <w:szCs w:val="24"/>
        </w:rPr>
        <w:t xml:space="preserve">any impression </w:t>
      </w:r>
      <w:r w:rsidR="009D3B48" w:rsidRPr="009E6775">
        <w:rPr>
          <w:rFonts w:ascii="Times New Roman" w:hAnsi="Times New Roman" w:cs="Times New Roman"/>
          <w:sz w:val="24"/>
          <w:szCs w:val="24"/>
        </w:rPr>
        <w:t xml:space="preserve">of </w:t>
      </w:r>
      <w:r w:rsidR="00B8138F" w:rsidRPr="009E6775">
        <w:rPr>
          <w:rFonts w:ascii="Times New Roman" w:hAnsi="Times New Roman" w:cs="Times New Roman"/>
          <w:sz w:val="24"/>
          <w:szCs w:val="24"/>
        </w:rPr>
        <w:t>implicit</w:t>
      </w:r>
      <w:r w:rsidR="00F0665D" w:rsidRPr="009E6775">
        <w:rPr>
          <w:rFonts w:ascii="Times New Roman" w:hAnsi="Times New Roman" w:cs="Times New Roman"/>
          <w:sz w:val="24"/>
          <w:szCs w:val="24"/>
        </w:rPr>
        <w:t xml:space="preserve">ly </w:t>
      </w:r>
      <w:r w:rsidR="009D3B48" w:rsidRPr="009E6775">
        <w:rPr>
          <w:rFonts w:ascii="Times New Roman" w:hAnsi="Times New Roman" w:cs="Times New Roman"/>
          <w:sz w:val="24"/>
          <w:szCs w:val="24"/>
        </w:rPr>
        <w:t xml:space="preserve">upholding </w:t>
      </w:r>
      <w:r w:rsidR="00B8138F" w:rsidRPr="009E6775">
        <w:rPr>
          <w:rFonts w:ascii="Times New Roman" w:hAnsi="Times New Roman" w:cs="Times New Roman"/>
          <w:sz w:val="24"/>
          <w:szCs w:val="24"/>
        </w:rPr>
        <w:t xml:space="preserve">‘the state’s political plan to create a </w:t>
      </w:r>
      <w:r w:rsidR="00B8138F" w:rsidRPr="009E6775">
        <w:rPr>
          <w:rFonts w:ascii="Times New Roman" w:hAnsi="Times New Roman" w:cs="Times New Roman"/>
          <w:i/>
          <w:iCs/>
          <w:sz w:val="24"/>
          <w:szCs w:val="24"/>
        </w:rPr>
        <w:t xml:space="preserve">de facto </w:t>
      </w:r>
      <w:r w:rsidR="00B8138F" w:rsidRPr="009E6775">
        <w:rPr>
          <w:rFonts w:ascii="Times New Roman" w:hAnsi="Times New Roman" w:cs="Times New Roman"/>
          <w:sz w:val="24"/>
          <w:szCs w:val="24"/>
        </w:rPr>
        <w:t>border annexing territories beyond the Green Line’.</w:t>
      </w:r>
      <w:r w:rsidR="00B8138F" w:rsidRPr="009E6775">
        <w:rPr>
          <w:rStyle w:val="aa"/>
          <w:rFonts w:ascii="Times New Roman" w:hAnsi="Times New Roman" w:cs="Times New Roman"/>
          <w:sz w:val="24"/>
          <w:szCs w:val="24"/>
        </w:rPr>
        <w:footnoteReference w:id="198"/>
      </w:r>
    </w:p>
    <w:p w14:paraId="16509357" w14:textId="77777777" w:rsidR="00B8138F" w:rsidRPr="009E6775" w:rsidRDefault="00B8138F" w:rsidP="0081540D">
      <w:pPr>
        <w:rPr>
          <w:rFonts w:ascii="Times New Roman" w:hAnsi="Times New Roman" w:cs="Times New Roman"/>
          <w:sz w:val="24"/>
          <w:szCs w:val="24"/>
        </w:rPr>
      </w:pPr>
    </w:p>
    <w:p w14:paraId="2C3128BA" w14:textId="13BD5894" w:rsidR="00B8138F" w:rsidRPr="009E6775" w:rsidRDefault="00B8138F" w:rsidP="0081540D">
      <w:pPr>
        <w:rPr>
          <w:rFonts w:ascii="Times New Roman" w:hAnsi="Times New Roman" w:cs="Times New Roman"/>
          <w:sz w:val="24"/>
          <w:szCs w:val="24"/>
        </w:rPr>
      </w:pPr>
      <w:r w:rsidRPr="009E6775">
        <w:rPr>
          <w:rFonts w:ascii="Times New Roman" w:hAnsi="Times New Roman" w:cs="Times New Roman"/>
          <w:sz w:val="24"/>
          <w:szCs w:val="24"/>
        </w:rPr>
        <w:t xml:space="preserve">Second, in </w:t>
      </w:r>
      <w:r w:rsidRPr="009E6775">
        <w:rPr>
          <w:rFonts w:ascii="Times New Roman" w:hAnsi="Times New Roman" w:cs="Times New Roman"/>
          <w:i/>
          <w:iCs/>
          <w:sz w:val="24"/>
          <w:szCs w:val="24"/>
        </w:rPr>
        <w:t>Beit Sourik,</w:t>
      </w:r>
      <w:r w:rsidR="00EB7691" w:rsidRPr="009E6775">
        <w:rPr>
          <w:rStyle w:val="aa"/>
          <w:rFonts w:ascii="Times New Roman" w:hAnsi="Times New Roman" w:cs="Times New Roman"/>
          <w:i/>
          <w:iCs/>
          <w:sz w:val="24"/>
          <w:szCs w:val="24"/>
        </w:rPr>
        <w:footnoteReference w:id="199"/>
      </w:r>
      <w:r w:rsidRPr="009E6775">
        <w:rPr>
          <w:rFonts w:ascii="Times New Roman" w:hAnsi="Times New Roman" w:cs="Times New Roman"/>
          <w:i/>
          <w:iCs/>
          <w:sz w:val="24"/>
          <w:szCs w:val="24"/>
        </w:rPr>
        <w:t xml:space="preserve"> </w:t>
      </w:r>
      <w:r w:rsidR="00BE00B1" w:rsidRPr="009E6775">
        <w:rPr>
          <w:rFonts w:ascii="Times New Roman" w:hAnsi="Times New Roman" w:cs="Times New Roman"/>
          <w:sz w:val="24"/>
          <w:szCs w:val="24"/>
        </w:rPr>
        <w:t xml:space="preserve">the </w:t>
      </w:r>
      <w:r w:rsidR="002C4D0A" w:rsidRPr="009E6775">
        <w:rPr>
          <w:rFonts w:ascii="Times New Roman" w:hAnsi="Times New Roman" w:cs="Times New Roman"/>
          <w:sz w:val="24"/>
          <w:szCs w:val="24"/>
        </w:rPr>
        <w:t>SC</w:t>
      </w:r>
      <w:r w:rsidRPr="009E6775">
        <w:rPr>
          <w:rFonts w:ascii="Times New Roman" w:hAnsi="Times New Roman" w:cs="Times New Roman"/>
          <w:sz w:val="24"/>
          <w:szCs w:val="24"/>
        </w:rPr>
        <w:t xml:space="preserve"> </w:t>
      </w:r>
      <w:r w:rsidR="00BE00B1" w:rsidRPr="009E6775">
        <w:rPr>
          <w:rFonts w:ascii="Times New Roman" w:hAnsi="Times New Roman" w:cs="Times New Roman"/>
          <w:sz w:val="24"/>
          <w:szCs w:val="24"/>
        </w:rPr>
        <w:t>treaded on an unusual course of proportionality appraisa</w:t>
      </w:r>
      <w:r w:rsidR="00DF7E49" w:rsidRPr="009E6775">
        <w:rPr>
          <w:rFonts w:ascii="Times New Roman" w:hAnsi="Times New Roman" w:cs="Times New Roman"/>
          <w:sz w:val="24"/>
          <w:szCs w:val="24"/>
        </w:rPr>
        <w:t xml:space="preserve">l by proposing </w:t>
      </w:r>
      <w:r w:rsidRPr="009E6775">
        <w:rPr>
          <w:rFonts w:ascii="Times New Roman" w:hAnsi="Times New Roman" w:cs="Times New Roman"/>
          <w:sz w:val="24"/>
          <w:szCs w:val="24"/>
        </w:rPr>
        <w:t xml:space="preserve">the method of </w:t>
      </w:r>
      <w:r w:rsidR="00300C37" w:rsidRPr="009E6775">
        <w:rPr>
          <w:rFonts w:ascii="Times New Roman" w:hAnsi="Times New Roman" w:cs="Times New Roman"/>
          <w:sz w:val="24"/>
          <w:szCs w:val="24"/>
        </w:rPr>
        <w:t xml:space="preserve">what Kretzmer and Ronen calls the </w:t>
      </w:r>
      <w:r w:rsidRPr="009E6775">
        <w:rPr>
          <w:rFonts w:ascii="Times New Roman" w:hAnsi="Times New Roman" w:cs="Times New Roman"/>
          <w:sz w:val="24"/>
          <w:szCs w:val="24"/>
        </w:rPr>
        <w:t xml:space="preserve">‘relative </w:t>
      </w:r>
      <w:r w:rsidRPr="009E6775">
        <w:rPr>
          <w:rFonts w:ascii="Times New Roman" w:hAnsi="Times New Roman" w:cs="Times New Roman"/>
          <w:sz w:val="24"/>
          <w:szCs w:val="24"/>
        </w:rPr>
        <w:lastRenderedPageBreak/>
        <w:t>examination of proportionality’</w:t>
      </w:r>
      <w:r w:rsidR="00BE00B1" w:rsidRPr="009E6775">
        <w:rPr>
          <w:rFonts w:ascii="Times New Roman" w:hAnsi="Times New Roman" w:cs="Times New Roman"/>
          <w:sz w:val="24"/>
          <w:szCs w:val="24"/>
        </w:rPr>
        <w:t>.</w:t>
      </w:r>
      <w:r w:rsidR="00BE00B1" w:rsidRPr="009E6775">
        <w:rPr>
          <w:rStyle w:val="aa"/>
          <w:rFonts w:ascii="Times New Roman" w:hAnsi="Times New Roman" w:cs="Times New Roman"/>
          <w:sz w:val="24"/>
          <w:szCs w:val="24"/>
        </w:rPr>
        <w:footnoteReference w:id="200"/>
      </w:r>
      <w:r w:rsidR="00BE00B1" w:rsidRPr="009E6775">
        <w:rPr>
          <w:rFonts w:ascii="Times New Roman" w:hAnsi="Times New Roman" w:cs="Times New Roman"/>
          <w:sz w:val="24"/>
          <w:szCs w:val="24"/>
        </w:rPr>
        <w:t xml:space="preserve"> A</w:t>
      </w:r>
      <w:r w:rsidRPr="009E6775">
        <w:rPr>
          <w:rFonts w:ascii="Times New Roman" w:hAnsi="Times New Roman" w:cs="Times New Roman"/>
          <w:sz w:val="24"/>
          <w:szCs w:val="24"/>
        </w:rPr>
        <w:t xml:space="preserve">ccording to </w:t>
      </w:r>
      <w:r w:rsidR="00BE00B1" w:rsidRPr="009E6775">
        <w:rPr>
          <w:rFonts w:ascii="Times New Roman" w:hAnsi="Times New Roman" w:cs="Times New Roman"/>
          <w:sz w:val="24"/>
          <w:szCs w:val="24"/>
        </w:rPr>
        <w:t>this,</w:t>
      </w:r>
      <w:r w:rsidRPr="009E6775">
        <w:rPr>
          <w:rFonts w:ascii="Times New Roman" w:hAnsi="Times New Roman" w:cs="Times New Roman"/>
          <w:sz w:val="24"/>
          <w:szCs w:val="24"/>
        </w:rPr>
        <w:t xml:space="preserve"> the rigour of the third limb of proportionality</w:t>
      </w:r>
      <w:r w:rsidR="00DF7E49" w:rsidRPr="009E6775">
        <w:rPr>
          <w:rFonts w:ascii="Times New Roman" w:hAnsi="Times New Roman" w:cs="Times New Roman"/>
          <w:sz w:val="24"/>
          <w:szCs w:val="24"/>
        </w:rPr>
        <w:t xml:space="preserve"> (proportionality </w:t>
      </w:r>
      <w:r w:rsidR="00DF7E49" w:rsidRPr="009E6775">
        <w:rPr>
          <w:rFonts w:ascii="Times New Roman" w:hAnsi="Times New Roman" w:cs="Times New Roman"/>
          <w:i/>
          <w:iCs/>
          <w:sz w:val="24"/>
          <w:szCs w:val="24"/>
        </w:rPr>
        <w:t>stricto sensu</w:t>
      </w:r>
      <w:r w:rsidR="00DF7E49" w:rsidRPr="009E6775">
        <w:rPr>
          <w:rFonts w:ascii="Times New Roman" w:hAnsi="Times New Roman" w:cs="Times New Roman"/>
          <w:sz w:val="24"/>
          <w:szCs w:val="24"/>
        </w:rPr>
        <w:t>)</w:t>
      </w:r>
      <w:r w:rsidRPr="009E6775">
        <w:rPr>
          <w:rFonts w:ascii="Times New Roman" w:hAnsi="Times New Roman" w:cs="Times New Roman"/>
          <w:sz w:val="24"/>
          <w:szCs w:val="24"/>
        </w:rPr>
        <w:t xml:space="preserve"> should be </w:t>
      </w:r>
      <w:r w:rsidR="002C4D0A" w:rsidRPr="009E6775">
        <w:rPr>
          <w:rFonts w:ascii="Times New Roman" w:hAnsi="Times New Roman" w:cs="Times New Roman"/>
          <w:sz w:val="24"/>
          <w:szCs w:val="24"/>
        </w:rPr>
        <w:t>attenuated</w:t>
      </w:r>
      <w:r w:rsidRPr="009E6775">
        <w:rPr>
          <w:rFonts w:ascii="Times New Roman" w:hAnsi="Times New Roman" w:cs="Times New Roman"/>
          <w:sz w:val="24"/>
          <w:szCs w:val="24"/>
        </w:rPr>
        <w:t xml:space="preserve"> by </w:t>
      </w:r>
      <w:r w:rsidR="00BE00B1" w:rsidRPr="009E6775">
        <w:rPr>
          <w:rFonts w:ascii="Times New Roman" w:hAnsi="Times New Roman" w:cs="Times New Roman"/>
          <w:sz w:val="24"/>
          <w:szCs w:val="24"/>
        </w:rPr>
        <w:t>reading it</w:t>
      </w:r>
      <w:r w:rsidRPr="009E6775">
        <w:rPr>
          <w:rFonts w:ascii="Times New Roman" w:hAnsi="Times New Roman" w:cs="Times New Roman"/>
          <w:sz w:val="24"/>
          <w:szCs w:val="24"/>
        </w:rPr>
        <w:t xml:space="preserve"> together with the second limb </w:t>
      </w:r>
      <w:r w:rsidR="002C4D0A" w:rsidRPr="009E6775">
        <w:rPr>
          <w:rFonts w:ascii="Times New Roman" w:hAnsi="Times New Roman" w:cs="Times New Roman"/>
          <w:sz w:val="24"/>
          <w:szCs w:val="24"/>
        </w:rPr>
        <w:t>(</w:t>
      </w:r>
      <w:r w:rsidRPr="009E6775">
        <w:rPr>
          <w:rFonts w:ascii="Times New Roman" w:hAnsi="Times New Roman" w:cs="Times New Roman"/>
          <w:sz w:val="24"/>
          <w:szCs w:val="24"/>
        </w:rPr>
        <w:t xml:space="preserve">the less restrictive alternative </w:t>
      </w:r>
      <w:r w:rsidR="00BE00B1" w:rsidRPr="009E6775">
        <w:rPr>
          <w:rFonts w:ascii="Times New Roman" w:hAnsi="Times New Roman" w:cs="Times New Roman"/>
          <w:sz w:val="24"/>
          <w:szCs w:val="24"/>
        </w:rPr>
        <w:t>sub</w:t>
      </w:r>
      <w:r w:rsidR="002C4D0A" w:rsidRPr="009E6775">
        <w:rPr>
          <w:rFonts w:ascii="Times New Roman" w:hAnsi="Times New Roman" w:cs="Times New Roman"/>
          <w:sz w:val="24"/>
          <w:szCs w:val="24"/>
        </w:rPr>
        <w:t>test)</w:t>
      </w:r>
      <w:r w:rsidRPr="009E6775">
        <w:rPr>
          <w:rFonts w:ascii="Times New Roman" w:hAnsi="Times New Roman" w:cs="Times New Roman"/>
          <w:sz w:val="24"/>
          <w:szCs w:val="24"/>
        </w:rPr>
        <w:t xml:space="preserve">. The gist of this </w:t>
      </w:r>
      <w:r w:rsidR="00300C37" w:rsidRPr="009E6775">
        <w:rPr>
          <w:rFonts w:ascii="Times New Roman" w:hAnsi="Times New Roman" w:cs="Times New Roman"/>
          <w:sz w:val="24"/>
          <w:szCs w:val="24"/>
        </w:rPr>
        <w:t>method</w:t>
      </w:r>
      <w:r w:rsidRPr="009E6775">
        <w:rPr>
          <w:rFonts w:ascii="Times New Roman" w:hAnsi="Times New Roman" w:cs="Times New Roman"/>
          <w:sz w:val="24"/>
          <w:szCs w:val="24"/>
        </w:rPr>
        <w:t xml:space="preserve"> </w:t>
      </w:r>
      <w:r w:rsidR="00BE00B1" w:rsidRPr="009E6775">
        <w:rPr>
          <w:rFonts w:ascii="Times New Roman" w:hAnsi="Times New Roman" w:cs="Times New Roman"/>
          <w:sz w:val="24"/>
          <w:szCs w:val="24"/>
        </w:rPr>
        <w:t xml:space="preserve">applied in the relevant case </w:t>
      </w:r>
      <w:r w:rsidR="00DF7E49" w:rsidRPr="009E6775">
        <w:rPr>
          <w:rFonts w:ascii="Times New Roman" w:hAnsi="Times New Roman" w:cs="Times New Roman"/>
          <w:sz w:val="24"/>
          <w:szCs w:val="24"/>
        </w:rPr>
        <w:t>was</w:t>
      </w:r>
      <w:r w:rsidRPr="009E6775">
        <w:rPr>
          <w:rFonts w:ascii="Times New Roman" w:hAnsi="Times New Roman" w:cs="Times New Roman"/>
          <w:sz w:val="24"/>
          <w:szCs w:val="24"/>
        </w:rPr>
        <w:t xml:space="preserve"> that if there </w:t>
      </w:r>
      <w:r w:rsidR="00BE00B1" w:rsidRPr="009E6775">
        <w:rPr>
          <w:rFonts w:ascii="Times New Roman" w:hAnsi="Times New Roman" w:cs="Times New Roman"/>
          <w:sz w:val="24"/>
          <w:szCs w:val="24"/>
        </w:rPr>
        <w:t>was</w:t>
      </w:r>
      <w:r w:rsidRPr="009E6775">
        <w:rPr>
          <w:rFonts w:ascii="Times New Roman" w:hAnsi="Times New Roman" w:cs="Times New Roman"/>
          <w:sz w:val="24"/>
          <w:szCs w:val="24"/>
        </w:rPr>
        <w:t xml:space="preserve"> no alternative route, the contested segment of the route should be deemed proportionate, irrespective of the harm it causes. As </w:t>
      </w:r>
      <w:r w:rsidR="00A660BC" w:rsidRPr="009E6775">
        <w:rPr>
          <w:rFonts w:ascii="Times New Roman" w:hAnsi="Times New Roman" w:cs="Times New Roman"/>
          <w:sz w:val="24"/>
          <w:szCs w:val="24"/>
        </w:rPr>
        <w:t>Kretzmer and Ronen</w:t>
      </w:r>
      <w:r w:rsidRPr="009E6775">
        <w:rPr>
          <w:rFonts w:ascii="Times New Roman" w:hAnsi="Times New Roman" w:cs="Times New Roman"/>
          <w:sz w:val="24"/>
          <w:szCs w:val="24"/>
        </w:rPr>
        <w:t xml:space="preserve"> note,</w:t>
      </w:r>
      <w:r w:rsidRPr="009E6775">
        <w:rPr>
          <w:rStyle w:val="aa"/>
          <w:rFonts w:ascii="Times New Roman" w:hAnsi="Times New Roman" w:cs="Times New Roman"/>
          <w:sz w:val="24"/>
          <w:szCs w:val="24"/>
        </w:rPr>
        <w:footnoteReference w:id="201"/>
      </w:r>
      <w:r w:rsidRPr="009E6775">
        <w:rPr>
          <w:rFonts w:ascii="Times New Roman" w:hAnsi="Times New Roman" w:cs="Times New Roman"/>
          <w:sz w:val="24"/>
          <w:szCs w:val="24"/>
        </w:rPr>
        <w:t xml:space="preserve"> </w:t>
      </w:r>
      <w:r w:rsidR="009A05EF" w:rsidRPr="009E6775">
        <w:rPr>
          <w:rFonts w:ascii="Times New Roman" w:hAnsi="Times New Roman" w:cs="Times New Roman"/>
          <w:sz w:val="24"/>
          <w:szCs w:val="24"/>
        </w:rPr>
        <w:t>it may well be that the</w:t>
      </w:r>
      <w:r w:rsidRPr="009E6775">
        <w:rPr>
          <w:rFonts w:ascii="Times New Roman" w:hAnsi="Times New Roman" w:cs="Times New Roman"/>
          <w:sz w:val="24"/>
          <w:szCs w:val="24"/>
        </w:rPr>
        <w:t xml:space="preserve"> </w:t>
      </w:r>
      <w:r w:rsidR="003D1FC8" w:rsidRPr="009E6775">
        <w:rPr>
          <w:rFonts w:ascii="Times New Roman" w:hAnsi="Times New Roman" w:cs="Times New Roman"/>
          <w:sz w:val="24"/>
          <w:szCs w:val="24"/>
        </w:rPr>
        <w:t>SC</w:t>
      </w:r>
      <w:r w:rsidR="009A05EF" w:rsidRPr="009E6775">
        <w:rPr>
          <w:rFonts w:ascii="Times New Roman" w:hAnsi="Times New Roman" w:cs="Times New Roman"/>
          <w:sz w:val="24"/>
          <w:szCs w:val="24"/>
        </w:rPr>
        <w:t xml:space="preserve"> </w:t>
      </w:r>
      <w:r w:rsidR="009A7EA4" w:rsidRPr="009E6775">
        <w:rPr>
          <w:rFonts w:ascii="Times New Roman" w:hAnsi="Times New Roman" w:cs="Times New Roman"/>
          <w:sz w:val="24"/>
          <w:szCs w:val="24"/>
        </w:rPr>
        <w:t xml:space="preserve">struck </w:t>
      </w:r>
      <w:r w:rsidRPr="009E6775">
        <w:rPr>
          <w:rFonts w:ascii="Times New Roman" w:hAnsi="Times New Roman" w:cs="Times New Roman"/>
          <w:sz w:val="24"/>
          <w:szCs w:val="24"/>
        </w:rPr>
        <w:t xml:space="preserve">a careful balance between its need to </w:t>
      </w:r>
      <w:r w:rsidR="009A7EA4" w:rsidRPr="009E6775">
        <w:rPr>
          <w:rFonts w:ascii="Times New Roman" w:hAnsi="Times New Roman" w:cs="Times New Roman"/>
          <w:sz w:val="24"/>
          <w:szCs w:val="24"/>
        </w:rPr>
        <w:t xml:space="preserve">defer to </w:t>
      </w:r>
      <w:r w:rsidRPr="009E6775">
        <w:rPr>
          <w:rFonts w:ascii="Times New Roman" w:hAnsi="Times New Roman" w:cs="Times New Roman"/>
          <w:sz w:val="24"/>
          <w:szCs w:val="24"/>
        </w:rPr>
        <w:t xml:space="preserve">the military authorities’ expertise in security matters and its role in addressing </w:t>
      </w:r>
      <w:r w:rsidR="009A7EA4" w:rsidRPr="009E6775">
        <w:rPr>
          <w:rFonts w:ascii="Times New Roman" w:hAnsi="Times New Roman" w:cs="Times New Roman"/>
          <w:sz w:val="24"/>
          <w:szCs w:val="24"/>
        </w:rPr>
        <w:t>rights of petitioners</w:t>
      </w:r>
      <w:r w:rsidRPr="009E6775">
        <w:rPr>
          <w:rFonts w:ascii="Times New Roman" w:hAnsi="Times New Roman" w:cs="Times New Roman"/>
          <w:sz w:val="24"/>
          <w:szCs w:val="24"/>
        </w:rPr>
        <w:t xml:space="preserve">. Yet, </w:t>
      </w:r>
      <w:r w:rsidR="00DF7E49" w:rsidRPr="009E6775">
        <w:rPr>
          <w:rFonts w:ascii="Times New Roman" w:hAnsi="Times New Roman" w:cs="Times New Roman"/>
          <w:sz w:val="24"/>
          <w:szCs w:val="24"/>
        </w:rPr>
        <w:t xml:space="preserve">this deviates from the </w:t>
      </w:r>
      <w:r w:rsidR="00462F4B">
        <w:rPr>
          <w:rFonts w:ascii="Times New Roman" w:hAnsi="Times New Roman" w:cs="Times New Roman"/>
          <w:sz w:val="24"/>
          <w:szCs w:val="24"/>
        </w:rPr>
        <w:t>reasoning</w:t>
      </w:r>
      <w:r w:rsidR="00DF7E49" w:rsidRPr="009E6775">
        <w:rPr>
          <w:rFonts w:ascii="Times New Roman" w:hAnsi="Times New Roman" w:cs="Times New Roman"/>
          <w:sz w:val="24"/>
          <w:szCs w:val="24"/>
        </w:rPr>
        <w:t xml:space="preserve"> of </w:t>
      </w:r>
      <w:r w:rsidR="00462F4B" w:rsidRPr="009E6775">
        <w:rPr>
          <w:rFonts w:ascii="Times New Roman" w:hAnsi="Times New Roman" w:cs="Times New Roman"/>
          <w:sz w:val="24"/>
          <w:szCs w:val="24"/>
        </w:rPr>
        <w:t>the Court of Justice of the European Union</w:t>
      </w:r>
      <w:r w:rsidR="00462F4B" w:rsidRPr="009E6775">
        <w:rPr>
          <w:rStyle w:val="aa"/>
          <w:rFonts w:ascii="Times New Roman" w:hAnsi="Times New Roman" w:cs="Times New Roman"/>
          <w:sz w:val="24"/>
          <w:szCs w:val="24"/>
        </w:rPr>
        <w:footnoteReference w:id="202"/>
      </w:r>
      <w:r w:rsidR="00462F4B" w:rsidRPr="009E6775">
        <w:rPr>
          <w:rFonts w:ascii="Times New Roman" w:hAnsi="Times New Roman" w:cs="Times New Roman"/>
          <w:sz w:val="24"/>
          <w:szCs w:val="24"/>
        </w:rPr>
        <w:t xml:space="preserve"> </w:t>
      </w:r>
      <w:r w:rsidR="00462F4B">
        <w:rPr>
          <w:rFonts w:ascii="Times New Roman" w:hAnsi="Times New Roman" w:cs="Times New Roman"/>
          <w:sz w:val="24"/>
          <w:szCs w:val="24"/>
        </w:rPr>
        <w:t xml:space="preserve">discernible in its application of </w:t>
      </w:r>
      <w:r w:rsidR="00DF7E49" w:rsidRPr="009E6775">
        <w:rPr>
          <w:rFonts w:ascii="Times New Roman" w:hAnsi="Times New Roman" w:cs="Times New Roman"/>
          <w:sz w:val="24"/>
          <w:szCs w:val="24"/>
        </w:rPr>
        <w:t>the test of proportionality</w:t>
      </w:r>
      <w:r w:rsidR="004D35A0" w:rsidRPr="009E6775">
        <w:rPr>
          <w:rFonts w:ascii="Times New Roman" w:hAnsi="Times New Roman" w:cs="Times New Roman"/>
          <w:sz w:val="24"/>
          <w:szCs w:val="24"/>
        </w:rPr>
        <w:t xml:space="preserve"> with its tripartite rationalising process</w:t>
      </w:r>
      <w:r w:rsidR="00462F4B">
        <w:rPr>
          <w:rFonts w:ascii="Times New Roman" w:hAnsi="Times New Roman" w:cs="Times New Roman"/>
          <w:sz w:val="24"/>
          <w:szCs w:val="24"/>
        </w:rPr>
        <w:t>.</w:t>
      </w:r>
      <w:r w:rsidR="00822E41" w:rsidRPr="009E6775">
        <w:rPr>
          <w:rStyle w:val="aa"/>
          <w:rFonts w:ascii="Times New Roman" w:hAnsi="Times New Roman" w:cs="Times New Roman"/>
          <w:sz w:val="24"/>
          <w:szCs w:val="24"/>
        </w:rPr>
        <w:footnoteReference w:id="203"/>
      </w:r>
      <w:r w:rsidR="00822E41" w:rsidRPr="009E6775">
        <w:rPr>
          <w:rFonts w:ascii="Times New Roman" w:hAnsi="Times New Roman" w:cs="Times New Roman"/>
          <w:sz w:val="24"/>
          <w:szCs w:val="24"/>
        </w:rPr>
        <w:t xml:space="preserve"> </w:t>
      </w:r>
      <w:r w:rsidR="00DF7E49" w:rsidRPr="009E6775">
        <w:rPr>
          <w:rFonts w:ascii="Times New Roman" w:hAnsi="Times New Roman" w:cs="Times New Roman"/>
          <w:sz w:val="24"/>
          <w:szCs w:val="24"/>
        </w:rPr>
        <w:t>As</w:t>
      </w:r>
      <w:r w:rsidR="003D1FC8" w:rsidRPr="009E6775">
        <w:rPr>
          <w:rFonts w:ascii="Times New Roman" w:hAnsi="Times New Roman" w:cs="Times New Roman"/>
          <w:sz w:val="24"/>
          <w:szCs w:val="24"/>
        </w:rPr>
        <w:t xml:space="preserve"> De B</w:t>
      </w:r>
      <w:r w:rsidR="009E6775" w:rsidRPr="009E6775">
        <w:rPr>
          <w:rFonts w:ascii="Times New Roman" w:eastAsia="游明朝" w:hAnsi="Times New Roman" w:cs="Times New Roman"/>
          <w:sz w:val="24"/>
          <w:szCs w:val="24"/>
        </w:rPr>
        <w:t>ú</w:t>
      </w:r>
      <w:r w:rsidR="003D1FC8" w:rsidRPr="009E6775">
        <w:rPr>
          <w:rFonts w:ascii="Times New Roman" w:hAnsi="Times New Roman" w:cs="Times New Roman"/>
          <w:sz w:val="24"/>
          <w:szCs w:val="24"/>
        </w:rPr>
        <w:t xml:space="preserve">rca observes in the context of the EU law, </w:t>
      </w:r>
      <w:r w:rsidR="00AF36AA" w:rsidRPr="009E6775">
        <w:rPr>
          <w:rFonts w:ascii="Times New Roman" w:hAnsi="Times New Roman" w:cs="Times New Roman"/>
          <w:sz w:val="24"/>
          <w:szCs w:val="24"/>
        </w:rPr>
        <w:t>the</w:t>
      </w:r>
      <w:r w:rsidR="009A7EA4" w:rsidRPr="009E6775">
        <w:rPr>
          <w:rFonts w:ascii="Times New Roman" w:hAnsi="Times New Roman" w:cs="Times New Roman"/>
          <w:sz w:val="24"/>
          <w:szCs w:val="24"/>
        </w:rPr>
        <w:t xml:space="preserve"> effect of the</w:t>
      </w:r>
      <w:r w:rsidR="00AF36AA"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third </w:t>
      </w:r>
      <w:r w:rsidR="009A7EA4" w:rsidRPr="009E6775">
        <w:rPr>
          <w:rFonts w:ascii="Times New Roman" w:hAnsi="Times New Roman" w:cs="Times New Roman"/>
          <w:sz w:val="24"/>
          <w:szCs w:val="24"/>
        </w:rPr>
        <w:t>limb</w:t>
      </w:r>
      <w:r w:rsidRPr="009E6775">
        <w:rPr>
          <w:rFonts w:ascii="Times New Roman" w:hAnsi="Times New Roman" w:cs="Times New Roman"/>
          <w:sz w:val="24"/>
          <w:szCs w:val="24"/>
        </w:rPr>
        <w:t xml:space="preserve"> of proportionality </w:t>
      </w:r>
      <w:r w:rsidR="009A7EA4" w:rsidRPr="009E6775">
        <w:rPr>
          <w:rFonts w:ascii="Times New Roman" w:hAnsi="Times New Roman" w:cs="Times New Roman"/>
          <w:sz w:val="24"/>
          <w:szCs w:val="24"/>
        </w:rPr>
        <w:t xml:space="preserve">(the subtest of proportionality </w:t>
      </w:r>
      <w:r w:rsidRPr="009E6775">
        <w:rPr>
          <w:rFonts w:ascii="Times New Roman" w:hAnsi="Times New Roman" w:cs="Times New Roman"/>
          <w:sz w:val="24"/>
          <w:szCs w:val="24"/>
        </w:rPr>
        <w:t>in a narrow sense</w:t>
      </w:r>
      <w:r w:rsidR="009A7EA4" w:rsidRPr="009E6775">
        <w:rPr>
          <w:rFonts w:ascii="Times New Roman" w:hAnsi="Times New Roman" w:cs="Times New Roman"/>
          <w:sz w:val="24"/>
          <w:szCs w:val="24"/>
        </w:rPr>
        <w:t xml:space="preserve">) </w:t>
      </w:r>
      <w:r w:rsidR="002B5715" w:rsidRPr="009E6775">
        <w:rPr>
          <w:rFonts w:ascii="Times New Roman" w:hAnsi="Times New Roman" w:cs="Times New Roman"/>
          <w:sz w:val="24"/>
          <w:szCs w:val="24"/>
        </w:rPr>
        <w:t xml:space="preserve">is </w:t>
      </w:r>
      <w:r w:rsidRPr="009E6775">
        <w:rPr>
          <w:rFonts w:ascii="Times New Roman" w:hAnsi="Times New Roman" w:cs="Times New Roman"/>
          <w:sz w:val="24"/>
          <w:szCs w:val="24"/>
        </w:rPr>
        <w:t xml:space="preserve">to prevent </w:t>
      </w:r>
      <w:r w:rsidR="009A7EA4" w:rsidRPr="009E6775">
        <w:rPr>
          <w:rFonts w:ascii="Times New Roman" w:hAnsi="Times New Roman" w:cs="Times New Roman"/>
          <w:sz w:val="24"/>
          <w:szCs w:val="24"/>
        </w:rPr>
        <w:t xml:space="preserve">even </w:t>
      </w:r>
      <w:r w:rsidRPr="009E6775">
        <w:rPr>
          <w:rFonts w:ascii="Times New Roman" w:hAnsi="Times New Roman" w:cs="Times New Roman"/>
          <w:sz w:val="24"/>
          <w:szCs w:val="24"/>
        </w:rPr>
        <w:t xml:space="preserve">the measure that is </w:t>
      </w:r>
      <w:r w:rsidR="00FD260D" w:rsidRPr="009E6775">
        <w:rPr>
          <w:rFonts w:ascii="Times New Roman" w:hAnsi="Times New Roman" w:cs="Times New Roman"/>
          <w:sz w:val="24"/>
          <w:szCs w:val="24"/>
        </w:rPr>
        <w:t>likely</w:t>
      </w:r>
      <w:r w:rsidRPr="009E6775">
        <w:rPr>
          <w:rFonts w:ascii="Times New Roman" w:hAnsi="Times New Roman" w:cs="Times New Roman"/>
          <w:sz w:val="24"/>
          <w:szCs w:val="24"/>
        </w:rPr>
        <w:t xml:space="preserve"> to cause the least harm to the individual persons </w:t>
      </w:r>
      <w:r w:rsidR="00446AB6" w:rsidRPr="009E6775">
        <w:rPr>
          <w:rFonts w:ascii="Times New Roman" w:hAnsi="Times New Roman" w:cs="Times New Roman"/>
          <w:sz w:val="24"/>
          <w:szCs w:val="24"/>
        </w:rPr>
        <w:t xml:space="preserve">among the feasible options </w:t>
      </w:r>
      <w:r w:rsidRPr="009E6775">
        <w:rPr>
          <w:rFonts w:ascii="Times New Roman" w:hAnsi="Times New Roman" w:cs="Times New Roman"/>
          <w:sz w:val="24"/>
          <w:szCs w:val="24"/>
        </w:rPr>
        <w:t>but nonetheless to upset the balance due to the anticipated harm.</w:t>
      </w:r>
      <w:r w:rsidR="00AF36AA" w:rsidRPr="009E6775">
        <w:rPr>
          <w:rStyle w:val="aa"/>
          <w:rFonts w:ascii="Times New Roman" w:hAnsi="Times New Roman" w:cs="Times New Roman"/>
          <w:sz w:val="24"/>
          <w:szCs w:val="24"/>
        </w:rPr>
        <w:footnoteReference w:id="204"/>
      </w:r>
    </w:p>
    <w:p w14:paraId="21885816" w14:textId="77777777" w:rsidR="00112759" w:rsidRPr="009E6775" w:rsidRDefault="00112759" w:rsidP="0081540D">
      <w:pPr>
        <w:rPr>
          <w:rFonts w:ascii="Times New Roman" w:hAnsi="Times New Roman" w:cs="Times New Roman"/>
          <w:sz w:val="24"/>
          <w:szCs w:val="24"/>
        </w:rPr>
      </w:pPr>
    </w:p>
    <w:p w14:paraId="59C60795" w14:textId="097953A1" w:rsidR="00B8138F" w:rsidRPr="009E6775" w:rsidRDefault="00B8138F" w:rsidP="0081540D">
      <w:pPr>
        <w:rPr>
          <w:rFonts w:ascii="Times New Roman" w:hAnsi="Times New Roman" w:cs="Times New Roman"/>
          <w:sz w:val="24"/>
          <w:szCs w:val="24"/>
        </w:rPr>
      </w:pPr>
      <w:r w:rsidRPr="009E6775">
        <w:rPr>
          <w:rFonts w:ascii="Times New Roman" w:hAnsi="Times New Roman" w:cs="Times New Roman"/>
          <w:sz w:val="24"/>
          <w:szCs w:val="24"/>
        </w:rPr>
        <w:t xml:space="preserve">Further, in the overall picture of its proportionality appraisals, the </w:t>
      </w:r>
      <w:r w:rsidR="008660BF" w:rsidRPr="009E6775">
        <w:rPr>
          <w:rFonts w:ascii="Times New Roman" w:hAnsi="Times New Roman" w:cs="Times New Roman"/>
          <w:sz w:val="24"/>
          <w:szCs w:val="24"/>
        </w:rPr>
        <w:t>SC’s</w:t>
      </w:r>
      <w:r w:rsidRPr="009E6775">
        <w:rPr>
          <w:rFonts w:ascii="Times New Roman" w:hAnsi="Times New Roman" w:cs="Times New Roman"/>
          <w:sz w:val="24"/>
          <w:szCs w:val="24"/>
        </w:rPr>
        <w:t xml:space="preserve"> modality of proportionality reveals </w:t>
      </w:r>
      <w:r w:rsidR="00516DC5" w:rsidRPr="009E6775">
        <w:rPr>
          <w:rFonts w:ascii="Times New Roman" w:hAnsi="Times New Roman" w:cs="Times New Roman"/>
          <w:sz w:val="24"/>
          <w:szCs w:val="24"/>
        </w:rPr>
        <w:t xml:space="preserve">some </w:t>
      </w:r>
      <w:r w:rsidR="00FD260D" w:rsidRPr="009E6775">
        <w:rPr>
          <w:rFonts w:ascii="Times New Roman" w:hAnsi="Times New Roman" w:cs="Times New Roman"/>
          <w:sz w:val="24"/>
          <w:szCs w:val="24"/>
        </w:rPr>
        <w:t>incongruency</w:t>
      </w:r>
      <w:r w:rsidRPr="009E6775">
        <w:rPr>
          <w:rFonts w:ascii="Times New Roman" w:hAnsi="Times New Roman" w:cs="Times New Roman"/>
          <w:sz w:val="24"/>
          <w:szCs w:val="24"/>
        </w:rPr>
        <w:t xml:space="preserve">. On one hand, even when the </w:t>
      </w:r>
      <w:r w:rsidR="000A4F42" w:rsidRPr="009E6775">
        <w:rPr>
          <w:rFonts w:ascii="Times New Roman" w:hAnsi="Times New Roman" w:cs="Times New Roman"/>
          <w:sz w:val="24"/>
          <w:szCs w:val="24"/>
        </w:rPr>
        <w:t xml:space="preserve">advantage for </w:t>
      </w:r>
      <w:r w:rsidRPr="009E6775">
        <w:rPr>
          <w:rFonts w:ascii="Times New Roman" w:hAnsi="Times New Roman" w:cs="Times New Roman"/>
          <w:sz w:val="24"/>
          <w:szCs w:val="24"/>
        </w:rPr>
        <w:t xml:space="preserve">the Palestinian population is only indirect, </w:t>
      </w:r>
      <w:r w:rsidR="00516DC5" w:rsidRPr="009E6775">
        <w:rPr>
          <w:rFonts w:ascii="Times New Roman" w:hAnsi="Times New Roman" w:cs="Times New Roman"/>
          <w:sz w:val="24"/>
          <w:szCs w:val="24"/>
        </w:rPr>
        <w:t xml:space="preserve">it seems that </w:t>
      </w:r>
      <w:r w:rsidRPr="009E6775">
        <w:rPr>
          <w:rFonts w:ascii="Times New Roman" w:hAnsi="Times New Roman" w:cs="Times New Roman"/>
          <w:sz w:val="24"/>
          <w:szCs w:val="24"/>
        </w:rPr>
        <w:t xml:space="preserve">the </w:t>
      </w:r>
      <w:r w:rsidR="008660BF" w:rsidRPr="009E6775">
        <w:rPr>
          <w:rFonts w:ascii="Times New Roman" w:hAnsi="Times New Roman" w:cs="Times New Roman"/>
          <w:sz w:val="24"/>
          <w:szCs w:val="24"/>
        </w:rPr>
        <w:t>SC</w:t>
      </w:r>
      <w:r w:rsidRPr="009E6775">
        <w:rPr>
          <w:rFonts w:ascii="Times New Roman" w:hAnsi="Times New Roman" w:cs="Times New Roman"/>
          <w:sz w:val="24"/>
          <w:szCs w:val="24"/>
        </w:rPr>
        <w:t xml:space="preserve"> has </w:t>
      </w:r>
      <w:r w:rsidR="00516DC5" w:rsidRPr="009E6775">
        <w:rPr>
          <w:rFonts w:ascii="Times New Roman" w:hAnsi="Times New Roman" w:cs="Times New Roman"/>
          <w:sz w:val="24"/>
          <w:szCs w:val="24"/>
        </w:rPr>
        <w:t xml:space="preserve">found </w:t>
      </w:r>
      <w:r w:rsidRPr="009E6775">
        <w:rPr>
          <w:rFonts w:ascii="Times New Roman" w:hAnsi="Times New Roman" w:cs="Times New Roman"/>
          <w:sz w:val="24"/>
          <w:szCs w:val="24"/>
        </w:rPr>
        <w:t xml:space="preserve">the </w:t>
      </w:r>
      <w:r w:rsidR="008660BF" w:rsidRPr="009E6775">
        <w:rPr>
          <w:rFonts w:ascii="Times New Roman" w:hAnsi="Times New Roman" w:cs="Times New Roman"/>
          <w:sz w:val="24"/>
          <w:szCs w:val="24"/>
        </w:rPr>
        <w:t xml:space="preserve">test of </w:t>
      </w:r>
      <w:r w:rsidRPr="009E6775">
        <w:rPr>
          <w:rFonts w:ascii="Times New Roman" w:hAnsi="Times New Roman" w:cs="Times New Roman"/>
          <w:sz w:val="24"/>
          <w:szCs w:val="24"/>
        </w:rPr>
        <w:t>‘benefit for the local population’ under Article 43 Hague Regulations</w:t>
      </w:r>
      <w:r w:rsidR="008660BF" w:rsidRPr="009E6775">
        <w:rPr>
          <w:rFonts w:ascii="Times New Roman" w:hAnsi="Times New Roman" w:cs="Times New Roman"/>
          <w:sz w:val="24"/>
          <w:szCs w:val="24"/>
        </w:rPr>
        <w:t xml:space="preserve"> to be satisfied</w:t>
      </w:r>
      <w:r w:rsidRPr="009E6775">
        <w:rPr>
          <w:rFonts w:ascii="Times New Roman" w:hAnsi="Times New Roman" w:cs="Times New Roman"/>
          <w:sz w:val="24"/>
          <w:szCs w:val="24"/>
        </w:rPr>
        <w:t>.</w:t>
      </w:r>
      <w:r w:rsidR="009A05EF" w:rsidRPr="009E6775">
        <w:rPr>
          <w:rStyle w:val="aa"/>
          <w:rFonts w:ascii="Times New Roman" w:hAnsi="Times New Roman" w:cs="Times New Roman"/>
          <w:sz w:val="24"/>
          <w:szCs w:val="24"/>
        </w:rPr>
        <w:footnoteReference w:id="205"/>
      </w:r>
      <w:r w:rsidRPr="009E6775">
        <w:rPr>
          <w:rFonts w:ascii="Times New Roman" w:hAnsi="Times New Roman" w:cs="Times New Roman"/>
          <w:sz w:val="24"/>
          <w:szCs w:val="24"/>
        </w:rPr>
        <w:t xml:space="preserve"> On the other, when it comes to the assessment of adverse effect on the Palestinian inhabitants in the occupied territories, the </w:t>
      </w:r>
      <w:r w:rsidR="008660BF" w:rsidRPr="009E6775">
        <w:rPr>
          <w:rFonts w:ascii="Times New Roman" w:hAnsi="Times New Roman" w:cs="Times New Roman"/>
          <w:sz w:val="24"/>
          <w:szCs w:val="24"/>
        </w:rPr>
        <w:t>SC’s</w:t>
      </w:r>
      <w:r w:rsidRPr="009E6775">
        <w:rPr>
          <w:rFonts w:ascii="Times New Roman" w:hAnsi="Times New Roman" w:cs="Times New Roman"/>
          <w:sz w:val="24"/>
          <w:szCs w:val="24"/>
        </w:rPr>
        <w:t xml:space="preserve"> proclivity </w:t>
      </w:r>
      <w:r w:rsidR="00E862B6" w:rsidRPr="009E6775">
        <w:rPr>
          <w:rFonts w:ascii="Times New Roman" w:hAnsi="Times New Roman" w:cs="Times New Roman"/>
          <w:sz w:val="24"/>
          <w:szCs w:val="24"/>
        </w:rPr>
        <w:t>seems to be</w:t>
      </w:r>
      <w:r w:rsidRPr="009E6775">
        <w:rPr>
          <w:rFonts w:ascii="Times New Roman" w:hAnsi="Times New Roman" w:cs="Times New Roman"/>
          <w:sz w:val="24"/>
          <w:szCs w:val="24"/>
        </w:rPr>
        <w:t xml:space="preserve"> to reckon only with the </w:t>
      </w:r>
      <w:r w:rsidR="003B15A8">
        <w:rPr>
          <w:rFonts w:ascii="Times New Roman" w:hAnsi="Times New Roman" w:cs="Times New Roman"/>
          <w:sz w:val="24"/>
          <w:szCs w:val="24"/>
        </w:rPr>
        <w:t>deleterious</w:t>
      </w:r>
      <w:r w:rsidR="00BC424A" w:rsidRPr="009E6775">
        <w:rPr>
          <w:rFonts w:ascii="Times New Roman" w:hAnsi="Times New Roman" w:cs="Times New Roman"/>
          <w:sz w:val="24"/>
          <w:szCs w:val="24"/>
        </w:rPr>
        <w:t xml:space="preserve"> effect of </w:t>
      </w:r>
      <w:r w:rsidRPr="009E6775">
        <w:rPr>
          <w:rFonts w:ascii="Times New Roman" w:hAnsi="Times New Roman" w:cs="Times New Roman"/>
          <w:sz w:val="24"/>
          <w:szCs w:val="24"/>
        </w:rPr>
        <w:t xml:space="preserve">immediate (geographic and temporal) </w:t>
      </w:r>
      <w:r w:rsidR="00BC424A" w:rsidRPr="009E6775">
        <w:rPr>
          <w:rFonts w:ascii="Times New Roman" w:hAnsi="Times New Roman" w:cs="Times New Roman"/>
          <w:sz w:val="24"/>
          <w:szCs w:val="24"/>
        </w:rPr>
        <w:t>nature</w:t>
      </w:r>
      <w:r w:rsidRPr="009E6775">
        <w:rPr>
          <w:rFonts w:ascii="Times New Roman" w:hAnsi="Times New Roman" w:cs="Times New Roman"/>
          <w:sz w:val="24"/>
          <w:szCs w:val="24"/>
        </w:rPr>
        <w:t xml:space="preserve">, to the exclusion of long-term </w:t>
      </w:r>
      <w:r w:rsidR="00BC424A" w:rsidRPr="009E6775">
        <w:rPr>
          <w:rFonts w:ascii="Times New Roman" w:hAnsi="Times New Roman" w:cs="Times New Roman"/>
          <w:sz w:val="24"/>
          <w:szCs w:val="24"/>
        </w:rPr>
        <w:t xml:space="preserve">harm on Palestinians’ </w:t>
      </w:r>
      <w:r w:rsidRPr="009E6775">
        <w:rPr>
          <w:rFonts w:ascii="Times New Roman" w:hAnsi="Times New Roman" w:cs="Times New Roman"/>
          <w:sz w:val="24"/>
          <w:szCs w:val="24"/>
        </w:rPr>
        <w:t xml:space="preserve">political interests (such </w:t>
      </w:r>
      <w:r w:rsidR="00446AB6" w:rsidRPr="009E6775">
        <w:rPr>
          <w:rFonts w:ascii="Times New Roman" w:hAnsi="Times New Roman" w:cs="Times New Roman"/>
          <w:sz w:val="24"/>
          <w:szCs w:val="24"/>
        </w:rPr>
        <w:t xml:space="preserve">as </w:t>
      </w:r>
      <w:r w:rsidRPr="009E6775">
        <w:rPr>
          <w:rFonts w:ascii="Times New Roman" w:hAnsi="Times New Roman" w:cs="Times New Roman"/>
          <w:sz w:val="24"/>
          <w:szCs w:val="24"/>
        </w:rPr>
        <w:t>political autonomy or independence</w:t>
      </w:r>
      <w:r w:rsidR="00446AB6" w:rsidRPr="009E6775">
        <w:rPr>
          <w:rFonts w:ascii="Times New Roman" w:hAnsi="Times New Roman" w:cs="Times New Roman"/>
          <w:sz w:val="24"/>
          <w:szCs w:val="24"/>
        </w:rPr>
        <w:t>)</w:t>
      </w:r>
      <w:r w:rsidR="0068265F" w:rsidRPr="009E6775">
        <w:rPr>
          <w:rFonts w:ascii="Times New Roman" w:hAnsi="Times New Roman" w:cs="Times New Roman"/>
          <w:sz w:val="24"/>
          <w:szCs w:val="24"/>
        </w:rPr>
        <w:t xml:space="preserve"> </w:t>
      </w:r>
      <w:r w:rsidRPr="009E6775">
        <w:rPr>
          <w:rFonts w:ascii="Times New Roman" w:hAnsi="Times New Roman" w:cs="Times New Roman"/>
          <w:sz w:val="24"/>
          <w:szCs w:val="24"/>
        </w:rPr>
        <w:t>and economic self-sufficiency.</w:t>
      </w:r>
      <w:r w:rsidR="00401BCC" w:rsidRPr="009E6775">
        <w:rPr>
          <w:rStyle w:val="aa"/>
          <w:rFonts w:ascii="Times New Roman" w:hAnsi="Times New Roman" w:cs="Times New Roman"/>
          <w:sz w:val="24"/>
          <w:szCs w:val="24"/>
        </w:rPr>
        <w:footnoteReference w:id="206"/>
      </w:r>
      <w:r w:rsidR="00E862B6" w:rsidRPr="009E6775">
        <w:rPr>
          <w:rFonts w:ascii="Times New Roman" w:hAnsi="Times New Roman" w:cs="Times New Roman"/>
          <w:sz w:val="24"/>
          <w:szCs w:val="24"/>
        </w:rPr>
        <w:t xml:space="preserve"> Such </w:t>
      </w:r>
      <w:r w:rsidR="003B15A8">
        <w:rPr>
          <w:rFonts w:ascii="Times New Roman" w:hAnsi="Times New Roman" w:cs="Times New Roman"/>
          <w:sz w:val="24"/>
          <w:szCs w:val="24"/>
        </w:rPr>
        <w:t>an incoherent</w:t>
      </w:r>
      <w:r w:rsidR="00E862B6" w:rsidRPr="009E6775">
        <w:rPr>
          <w:rFonts w:ascii="Times New Roman" w:hAnsi="Times New Roman" w:cs="Times New Roman"/>
          <w:sz w:val="24"/>
          <w:szCs w:val="24"/>
        </w:rPr>
        <w:t xml:space="preserve"> feature </w:t>
      </w:r>
      <w:r w:rsidR="003B15A8">
        <w:rPr>
          <w:rFonts w:ascii="Times New Roman" w:hAnsi="Times New Roman" w:cs="Times New Roman"/>
          <w:sz w:val="24"/>
          <w:szCs w:val="24"/>
        </w:rPr>
        <w:t>seems to contribute to</w:t>
      </w:r>
      <w:r w:rsidR="00E862B6" w:rsidRPr="009E6775">
        <w:rPr>
          <w:rFonts w:ascii="Times New Roman" w:hAnsi="Times New Roman" w:cs="Times New Roman"/>
          <w:sz w:val="24"/>
          <w:szCs w:val="24"/>
        </w:rPr>
        <w:t xml:space="preserve"> the </w:t>
      </w:r>
      <w:r w:rsidR="0068265F" w:rsidRPr="009E6775">
        <w:rPr>
          <w:rFonts w:ascii="Times New Roman" w:hAnsi="Times New Roman" w:cs="Times New Roman"/>
          <w:sz w:val="24"/>
          <w:szCs w:val="24"/>
        </w:rPr>
        <w:t>SC’s</w:t>
      </w:r>
      <w:r w:rsidR="00E862B6" w:rsidRPr="009E6775">
        <w:rPr>
          <w:rFonts w:ascii="Times New Roman" w:hAnsi="Times New Roman" w:cs="Times New Roman"/>
          <w:sz w:val="24"/>
          <w:szCs w:val="24"/>
        </w:rPr>
        <w:t xml:space="preserve"> deferential standard </w:t>
      </w:r>
      <w:r w:rsidR="009E32AB" w:rsidRPr="009E6775">
        <w:rPr>
          <w:rFonts w:ascii="Times New Roman" w:hAnsi="Times New Roman" w:cs="Times New Roman"/>
          <w:sz w:val="24"/>
          <w:szCs w:val="24"/>
        </w:rPr>
        <w:t>of proportionality review when</w:t>
      </w:r>
      <w:r w:rsidR="003B15A8">
        <w:rPr>
          <w:rFonts w:ascii="Times New Roman" w:hAnsi="Times New Roman" w:cs="Times New Roman"/>
          <w:sz w:val="24"/>
          <w:szCs w:val="24"/>
        </w:rPr>
        <w:t>ever</w:t>
      </w:r>
      <w:r w:rsidR="009E32AB" w:rsidRPr="009E6775">
        <w:rPr>
          <w:rFonts w:ascii="Times New Roman" w:hAnsi="Times New Roman" w:cs="Times New Roman"/>
          <w:sz w:val="24"/>
          <w:szCs w:val="24"/>
        </w:rPr>
        <w:t xml:space="preserve"> rights of </w:t>
      </w:r>
      <w:r w:rsidR="009E32AB" w:rsidRPr="009E6775">
        <w:rPr>
          <w:rFonts w:ascii="Times New Roman" w:hAnsi="Times New Roman" w:cs="Times New Roman"/>
          <w:sz w:val="24"/>
          <w:szCs w:val="24"/>
        </w:rPr>
        <w:lastRenderedPageBreak/>
        <w:t xml:space="preserve">settlers (or other Israelis) are marshalled </w:t>
      </w:r>
      <w:r w:rsidR="00CC0ADD" w:rsidRPr="009E6775">
        <w:rPr>
          <w:rFonts w:ascii="Times New Roman" w:hAnsi="Times New Roman" w:cs="Times New Roman"/>
          <w:sz w:val="24"/>
          <w:szCs w:val="24"/>
        </w:rPr>
        <w:t xml:space="preserve">as the robust counterweight </w:t>
      </w:r>
      <w:r w:rsidR="009E32AB" w:rsidRPr="009E6775">
        <w:rPr>
          <w:rFonts w:ascii="Times New Roman" w:hAnsi="Times New Roman" w:cs="Times New Roman"/>
          <w:sz w:val="24"/>
          <w:szCs w:val="24"/>
        </w:rPr>
        <w:t>to the IHL rights of the Palesti</w:t>
      </w:r>
      <w:r w:rsidR="0074471B" w:rsidRPr="009E6775">
        <w:rPr>
          <w:rFonts w:ascii="Times New Roman" w:hAnsi="Times New Roman" w:cs="Times New Roman"/>
          <w:sz w:val="24"/>
          <w:szCs w:val="24"/>
        </w:rPr>
        <w:t xml:space="preserve">nians. </w:t>
      </w:r>
    </w:p>
    <w:p w14:paraId="749B610B" w14:textId="77777777" w:rsidR="00B8138F" w:rsidRPr="009E6775" w:rsidRDefault="00B8138F" w:rsidP="0081540D">
      <w:pPr>
        <w:rPr>
          <w:rFonts w:ascii="Times New Roman" w:hAnsi="Times New Roman" w:cs="Times New Roman"/>
          <w:sz w:val="24"/>
          <w:szCs w:val="24"/>
        </w:rPr>
      </w:pPr>
    </w:p>
    <w:p w14:paraId="12E71249" w14:textId="3F979871" w:rsidR="0074471B" w:rsidRPr="009E6775" w:rsidRDefault="00E258EE" w:rsidP="0081540D">
      <w:pPr>
        <w:pStyle w:val="pf0"/>
        <w:numPr>
          <w:ilvl w:val="0"/>
          <w:numId w:val="13"/>
        </w:numPr>
        <w:jc w:val="both"/>
        <w:rPr>
          <w:rFonts w:ascii="Times New Roman" w:hAnsi="Times New Roman" w:cs="Times New Roman"/>
          <w:b/>
          <w:bCs/>
        </w:rPr>
      </w:pPr>
      <w:r w:rsidRPr="009E6775">
        <w:rPr>
          <w:rFonts w:ascii="Times New Roman" w:hAnsi="Times New Roman" w:cs="Times New Roman"/>
          <w:b/>
          <w:bCs/>
        </w:rPr>
        <w:t>Conclu</w:t>
      </w:r>
      <w:r w:rsidR="00850D49">
        <w:rPr>
          <w:rFonts w:ascii="Times New Roman" w:hAnsi="Times New Roman" w:cs="Times New Roman"/>
          <w:b/>
          <w:bCs/>
        </w:rPr>
        <w:t>ding Observations</w:t>
      </w:r>
    </w:p>
    <w:p w14:paraId="2A9C0D00" w14:textId="7C85741E" w:rsidR="00CC0ADD" w:rsidRPr="009E6775" w:rsidRDefault="00CC0ADD" w:rsidP="0081540D">
      <w:pPr>
        <w:pStyle w:val="pf0"/>
        <w:jc w:val="both"/>
        <w:rPr>
          <w:rFonts w:ascii="Times New Roman" w:hAnsi="Times New Roman" w:cs="Times New Roman"/>
        </w:rPr>
      </w:pPr>
      <w:r w:rsidRPr="009E6775">
        <w:rPr>
          <w:rFonts w:ascii="Times New Roman" w:hAnsi="Times New Roman" w:cs="Times New Roman"/>
        </w:rPr>
        <w:t>Liberal Israeli scholars suggest</w:t>
      </w:r>
      <w:r w:rsidR="0074471B" w:rsidRPr="009E6775">
        <w:rPr>
          <w:rFonts w:ascii="Times New Roman" w:hAnsi="Times New Roman" w:cs="Times New Roman"/>
        </w:rPr>
        <w:t xml:space="preserve"> that</w:t>
      </w:r>
      <w:r w:rsidR="00E204A2" w:rsidRPr="009E6775">
        <w:rPr>
          <w:rFonts w:ascii="Times New Roman" w:hAnsi="Times New Roman" w:cs="Times New Roman"/>
        </w:rPr>
        <w:t xml:space="preserve"> any good intention behind the</w:t>
      </w:r>
      <w:r w:rsidR="00B84BA2" w:rsidRPr="009E6775">
        <w:rPr>
          <w:rFonts w:ascii="Times New Roman" w:hAnsi="Times New Roman" w:cs="Times New Roman"/>
        </w:rPr>
        <w:t xml:space="preserve"> </w:t>
      </w:r>
      <w:r w:rsidR="00E204A2" w:rsidRPr="009E6775">
        <w:rPr>
          <w:rFonts w:ascii="Times New Roman" w:hAnsi="Times New Roman" w:cs="Times New Roman"/>
        </w:rPr>
        <w:t>SC’s</w:t>
      </w:r>
      <w:r w:rsidR="00B84BA2" w:rsidRPr="009E6775">
        <w:rPr>
          <w:rFonts w:ascii="Times New Roman" w:hAnsi="Times New Roman" w:cs="Times New Roman"/>
        </w:rPr>
        <w:t xml:space="preserve"> receptiveness to petitions from occupied territories is tempered</w:t>
      </w:r>
      <w:r w:rsidR="0074471B" w:rsidRPr="009E6775">
        <w:rPr>
          <w:rFonts w:ascii="Times New Roman" w:hAnsi="Times New Roman" w:cs="Times New Roman"/>
        </w:rPr>
        <w:t xml:space="preserve"> </w:t>
      </w:r>
      <w:r w:rsidR="00B84BA2" w:rsidRPr="009E6775">
        <w:rPr>
          <w:rFonts w:ascii="Times New Roman" w:hAnsi="Times New Roman" w:cs="Times New Roman"/>
        </w:rPr>
        <w:t>by the implicit or express operationalization of some judicial techniques, which constrain the degree of its review</w:t>
      </w:r>
      <w:r w:rsidRPr="009E6775">
        <w:rPr>
          <w:rFonts w:ascii="Times New Roman" w:hAnsi="Times New Roman" w:cs="Times New Roman"/>
        </w:rPr>
        <w:t>.</w:t>
      </w:r>
      <w:r w:rsidR="00B84BA2" w:rsidRPr="009E6775">
        <w:rPr>
          <w:rStyle w:val="aa"/>
          <w:rFonts w:ascii="Times New Roman" w:hAnsi="Times New Roman" w:cs="Times New Roman"/>
        </w:rPr>
        <w:footnoteReference w:id="207"/>
      </w:r>
      <w:r w:rsidR="00B84BA2" w:rsidRPr="009E6775">
        <w:rPr>
          <w:rFonts w:ascii="Times New Roman" w:hAnsi="Times New Roman" w:cs="Times New Roman"/>
        </w:rPr>
        <w:t xml:space="preserve"> </w:t>
      </w:r>
      <w:r w:rsidR="00462F4B">
        <w:rPr>
          <w:rFonts w:ascii="Times New Roman" w:hAnsi="Times New Roman" w:cs="Times New Roman"/>
        </w:rPr>
        <w:t xml:space="preserve">On their view, the SC’s supervision </w:t>
      </w:r>
      <w:r w:rsidR="00E204A2" w:rsidRPr="009E6775">
        <w:rPr>
          <w:rFonts w:ascii="Times New Roman" w:hAnsi="Times New Roman" w:cs="Times New Roman"/>
        </w:rPr>
        <w:t>for the occupied Palestinian petitioners</w:t>
      </w:r>
      <w:r w:rsidRPr="009E6775">
        <w:rPr>
          <w:rFonts w:ascii="Times New Roman" w:hAnsi="Times New Roman" w:cs="Times New Roman"/>
        </w:rPr>
        <w:t xml:space="preserve"> tends to be </w:t>
      </w:r>
      <w:r w:rsidR="00A76F41">
        <w:rPr>
          <w:rFonts w:ascii="Times New Roman" w:hAnsi="Times New Roman" w:cs="Times New Roman"/>
        </w:rPr>
        <w:t xml:space="preserve">of limited </w:t>
      </w:r>
      <w:r w:rsidR="00A76F41" w:rsidRPr="009E6775">
        <w:rPr>
          <w:rFonts w:ascii="Times New Roman" w:hAnsi="Times New Roman" w:cs="Times New Roman"/>
        </w:rPr>
        <w:t>potential</w:t>
      </w:r>
      <w:r w:rsidR="00E204A2" w:rsidRPr="009E6775">
        <w:rPr>
          <w:rFonts w:ascii="Times New Roman" w:hAnsi="Times New Roman" w:cs="Times New Roman"/>
        </w:rPr>
        <w:t xml:space="preserve">, </w:t>
      </w:r>
      <w:r w:rsidR="00B84BA2" w:rsidRPr="009E6775">
        <w:rPr>
          <w:rFonts w:ascii="Times New Roman" w:hAnsi="Times New Roman" w:cs="Times New Roman"/>
        </w:rPr>
        <w:t xml:space="preserve">even though the </w:t>
      </w:r>
      <w:r w:rsidR="0074471B" w:rsidRPr="009E6775">
        <w:rPr>
          <w:rFonts w:ascii="Times New Roman" w:hAnsi="Times New Roman" w:cs="Times New Roman"/>
        </w:rPr>
        <w:t>SC</w:t>
      </w:r>
      <w:r w:rsidR="00B84BA2" w:rsidRPr="009E6775">
        <w:rPr>
          <w:rFonts w:ascii="Times New Roman" w:hAnsi="Times New Roman" w:cs="Times New Roman"/>
        </w:rPr>
        <w:t xml:space="preserve"> has treated as justiciable all petitions relating to </w:t>
      </w:r>
      <w:r w:rsidR="00B84BA2" w:rsidRPr="009E6775">
        <w:rPr>
          <w:rFonts w:ascii="Times New Roman" w:hAnsi="Times New Roman" w:cs="Times New Roman"/>
          <w:i/>
          <w:iCs/>
        </w:rPr>
        <w:t>specific</w:t>
      </w:r>
      <w:r w:rsidR="00B84BA2" w:rsidRPr="009E6775">
        <w:rPr>
          <w:rFonts w:ascii="Times New Roman" w:hAnsi="Times New Roman" w:cs="Times New Roman"/>
        </w:rPr>
        <w:t xml:space="preserve"> measures.</w:t>
      </w:r>
      <w:r w:rsidR="00B84BA2" w:rsidRPr="009E6775">
        <w:rPr>
          <w:rStyle w:val="aa"/>
          <w:rFonts w:ascii="Times New Roman" w:hAnsi="Times New Roman" w:cs="Times New Roman"/>
        </w:rPr>
        <w:footnoteReference w:id="208"/>
      </w:r>
      <w:r w:rsidR="00B84BA2" w:rsidRPr="009E6775">
        <w:rPr>
          <w:rFonts w:ascii="Times New Roman" w:hAnsi="Times New Roman" w:cs="Times New Roman"/>
        </w:rPr>
        <w:t xml:space="preserve"> </w:t>
      </w:r>
      <w:r w:rsidR="00B22665" w:rsidRPr="009E6775">
        <w:rPr>
          <w:rFonts w:ascii="Times New Roman" w:hAnsi="Times New Roman" w:cs="Times New Roman"/>
        </w:rPr>
        <w:t xml:space="preserve">The SC’s considerably deference approaches are </w:t>
      </w:r>
      <w:r w:rsidR="00AE0F99" w:rsidRPr="009E6775">
        <w:rPr>
          <w:rFonts w:ascii="Times New Roman" w:hAnsi="Times New Roman" w:cs="Times New Roman"/>
        </w:rPr>
        <w:t xml:space="preserve">discernible not least in </w:t>
      </w:r>
      <w:r w:rsidR="001220A1" w:rsidRPr="009E6775">
        <w:rPr>
          <w:rFonts w:ascii="Times New Roman" w:hAnsi="Times New Roman" w:cs="Times New Roman"/>
        </w:rPr>
        <w:t>relati</w:t>
      </w:r>
      <w:r w:rsidR="00AE0F99" w:rsidRPr="009E6775">
        <w:rPr>
          <w:rFonts w:ascii="Times New Roman" w:hAnsi="Times New Roman" w:cs="Times New Roman"/>
        </w:rPr>
        <w:t xml:space="preserve">on to the heart of occupation, namely issues relating </w:t>
      </w:r>
      <w:r w:rsidR="001220A1" w:rsidRPr="009E6775">
        <w:rPr>
          <w:rFonts w:ascii="Times New Roman" w:hAnsi="Times New Roman" w:cs="Times New Roman"/>
        </w:rPr>
        <w:t xml:space="preserve">to the land and people of </w:t>
      </w:r>
      <w:r w:rsidR="00385793" w:rsidRPr="009E6775">
        <w:rPr>
          <w:rFonts w:ascii="Times New Roman" w:hAnsi="Times New Roman" w:cs="Times New Roman"/>
        </w:rPr>
        <w:t>the occupied territories</w:t>
      </w:r>
      <w:r w:rsidR="00D1227A" w:rsidRPr="009E6775">
        <w:rPr>
          <w:rFonts w:ascii="Times New Roman" w:hAnsi="Times New Roman" w:cs="Times New Roman"/>
        </w:rPr>
        <w:t>. This is</w:t>
      </w:r>
      <w:r w:rsidR="00385793" w:rsidRPr="009E6775">
        <w:rPr>
          <w:rFonts w:ascii="Times New Roman" w:hAnsi="Times New Roman" w:cs="Times New Roman"/>
        </w:rPr>
        <w:t xml:space="preserve"> </w:t>
      </w:r>
      <w:r w:rsidR="001220A1" w:rsidRPr="009E6775">
        <w:rPr>
          <w:rFonts w:ascii="Times New Roman" w:hAnsi="Times New Roman" w:cs="Times New Roman"/>
        </w:rPr>
        <w:t>where</w:t>
      </w:r>
      <w:r w:rsidR="00385793" w:rsidRPr="009E6775">
        <w:rPr>
          <w:rFonts w:ascii="Times New Roman" w:hAnsi="Times New Roman" w:cs="Times New Roman"/>
        </w:rPr>
        <w:t xml:space="preserve"> interests of settlements and </w:t>
      </w:r>
      <w:r w:rsidR="00F363DF" w:rsidRPr="009E6775">
        <w:rPr>
          <w:rFonts w:ascii="Times New Roman" w:hAnsi="Times New Roman" w:cs="Times New Roman"/>
        </w:rPr>
        <w:t xml:space="preserve">a variety of civil, </w:t>
      </w:r>
      <w:proofErr w:type="gramStart"/>
      <w:r w:rsidR="00F363DF" w:rsidRPr="009E6775">
        <w:rPr>
          <w:rFonts w:ascii="Times New Roman" w:hAnsi="Times New Roman" w:cs="Times New Roman"/>
        </w:rPr>
        <w:t>economic</w:t>
      </w:r>
      <w:proofErr w:type="gramEnd"/>
      <w:r w:rsidR="00F363DF" w:rsidRPr="009E6775">
        <w:rPr>
          <w:rFonts w:ascii="Times New Roman" w:hAnsi="Times New Roman" w:cs="Times New Roman"/>
        </w:rPr>
        <w:t xml:space="preserve"> and social</w:t>
      </w:r>
      <w:r w:rsidR="00385793" w:rsidRPr="009E6775">
        <w:rPr>
          <w:rFonts w:ascii="Times New Roman" w:hAnsi="Times New Roman" w:cs="Times New Roman"/>
        </w:rPr>
        <w:t xml:space="preserve"> rights of settlers </w:t>
      </w:r>
      <w:r w:rsidR="00B22665" w:rsidRPr="009E6775">
        <w:rPr>
          <w:rFonts w:ascii="Times New Roman" w:hAnsi="Times New Roman" w:cs="Times New Roman"/>
        </w:rPr>
        <w:t xml:space="preserve">are poised to serve as </w:t>
      </w:r>
      <w:r w:rsidR="00D1227A" w:rsidRPr="009E6775">
        <w:rPr>
          <w:rFonts w:ascii="Times New Roman" w:hAnsi="Times New Roman" w:cs="Times New Roman"/>
        </w:rPr>
        <w:t xml:space="preserve">the powerful countervailing interests against the rights of Palestinians </w:t>
      </w:r>
      <w:r w:rsidR="00AE0F99" w:rsidRPr="009E6775">
        <w:rPr>
          <w:rFonts w:ascii="Times New Roman" w:hAnsi="Times New Roman" w:cs="Times New Roman"/>
        </w:rPr>
        <w:t>derived from</w:t>
      </w:r>
      <w:r w:rsidR="00D1227A" w:rsidRPr="009E6775">
        <w:rPr>
          <w:rFonts w:ascii="Times New Roman" w:hAnsi="Times New Roman" w:cs="Times New Roman"/>
        </w:rPr>
        <w:t xml:space="preserve"> the law of occupation</w:t>
      </w:r>
      <w:r w:rsidR="00385793" w:rsidRPr="009E6775">
        <w:rPr>
          <w:rFonts w:ascii="Times New Roman" w:hAnsi="Times New Roman" w:cs="Times New Roman"/>
        </w:rPr>
        <w:t>.</w:t>
      </w:r>
      <w:r w:rsidR="00F363DF" w:rsidRPr="009E6775">
        <w:rPr>
          <w:rFonts w:ascii="Times New Roman" w:hAnsi="Times New Roman" w:cs="Times New Roman"/>
        </w:rPr>
        <w:t xml:space="preserve"> </w:t>
      </w:r>
      <w:r w:rsidR="00B22665" w:rsidRPr="009E6775">
        <w:rPr>
          <w:rFonts w:ascii="Times New Roman" w:hAnsi="Times New Roman" w:cs="Times New Roman"/>
        </w:rPr>
        <w:t xml:space="preserve">Kretzmer’s and Ronen’s work suggests that the </w:t>
      </w:r>
      <w:r w:rsidR="00885C84" w:rsidRPr="009E6775">
        <w:rPr>
          <w:rFonts w:ascii="Times New Roman" w:hAnsi="Times New Roman" w:cs="Times New Roman"/>
        </w:rPr>
        <w:t>SC has nearly consistently recoiled from challenging the right-wing government’s settlement policies in the occupied Palestinian territories</w:t>
      </w:r>
      <w:r w:rsidR="00D11590" w:rsidRPr="009E6775">
        <w:rPr>
          <w:rFonts w:ascii="Times New Roman" w:hAnsi="Times New Roman" w:cs="Times New Roman"/>
        </w:rPr>
        <w:t xml:space="preserve">. </w:t>
      </w:r>
    </w:p>
    <w:p w14:paraId="30D71AD3" w14:textId="3A99A754" w:rsidR="00971E33" w:rsidRPr="000432E5" w:rsidRDefault="00F30D66" w:rsidP="0081540D">
      <w:pPr>
        <w:pStyle w:val="pf0"/>
        <w:jc w:val="both"/>
        <w:rPr>
          <w:rFonts w:ascii="Times New Roman" w:hAnsi="Times New Roman" w:cs="Times New Roman"/>
        </w:rPr>
      </w:pPr>
      <w:r w:rsidRPr="009E6775">
        <w:rPr>
          <w:rFonts w:ascii="Times New Roman" w:hAnsi="Times New Roman" w:cs="Times New Roman"/>
        </w:rPr>
        <w:t>Perusing</w:t>
      </w:r>
      <w:r w:rsidR="00B22665" w:rsidRPr="009E6775">
        <w:rPr>
          <w:rFonts w:ascii="Times New Roman" w:hAnsi="Times New Roman" w:cs="Times New Roman"/>
        </w:rPr>
        <w:t xml:space="preserve"> this book would leave readers with an inescapable impression that </w:t>
      </w:r>
      <w:r w:rsidR="00EF3CE6" w:rsidRPr="009E6775">
        <w:rPr>
          <w:rFonts w:ascii="Times New Roman" w:hAnsi="Times New Roman" w:cs="Times New Roman"/>
        </w:rPr>
        <w:t xml:space="preserve">the </w:t>
      </w:r>
      <w:r w:rsidR="00885C84" w:rsidRPr="009E6775">
        <w:rPr>
          <w:rFonts w:ascii="Times New Roman" w:hAnsi="Times New Roman" w:cs="Times New Roman"/>
        </w:rPr>
        <w:t>SC</w:t>
      </w:r>
      <w:r w:rsidR="00885C84" w:rsidRPr="009E6775">
        <w:rPr>
          <w:rStyle w:val="cf01"/>
          <w:rFonts w:ascii="Times New Roman" w:hAnsi="Times New Roman" w:cs="Times New Roman" w:hint="default"/>
          <w:sz w:val="24"/>
          <w:szCs w:val="24"/>
        </w:rPr>
        <w:t xml:space="preserve"> </w:t>
      </w:r>
      <w:r w:rsidR="00005F33">
        <w:rPr>
          <w:rStyle w:val="cf01"/>
          <w:rFonts w:ascii="Times New Roman" w:hAnsi="Times New Roman" w:cs="Times New Roman" w:hint="default"/>
          <w:sz w:val="24"/>
          <w:szCs w:val="24"/>
        </w:rPr>
        <w:t xml:space="preserve">has </w:t>
      </w:r>
      <w:r w:rsidR="000432E5">
        <w:rPr>
          <w:rStyle w:val="cf01"/>
          <w:rFonts w:ascii="Times New Roman" w:hAnsi="Times New Roman" w:cs="Times New Roman" w:hint="default"/>
          <w:sz w:val="24"/>
          <w:szCs w:val="24"/>
        </w:rPr>
        <w:t>tended to</w:t>
      </w:r>
      <w:r w:rsidR="00EF3CE6" w:rsidRPr="009E6775">
        <w:rPr>
          <w:rStyle w:val="cf01"/>
          <w:rFonts w:ascii="Times New Roman" w:hAnsi="Times New Roman" w:cs="Times New Roman" w:hint="default"/>
          <w:sz w:val="24"/>
          <w:szCs w:val="24"/>
        </w:rPr>
        <w:t xml:space="preserve"> </w:t>
      </w:r>
      <w:r w:rsidR="00885C84" w:rsidRPr="009E6775">
        <w:rPr>
          <w:rStyle w:val="cf01"/>
          <w:rFonts w:ascii="Times New Roman" w:hAnsi="Times New Roman" w:cs="Times New Roman" w:hint="default"/>
          <w:sz w:val="24"/>
          <w:szCs w:val="24"/>
        </w:rPr>
        <w:t xml:space="preserve">grant an imprimatur to controversial policies </w:t>
      </w:r>
      <w:r w:rsidR="00D11590" w:rsidRPr="009E6775">
        <w:rPr>
          <w:rStyle w:val="cf01"/>
          <w:rFonts w:ascii="Times New Roman" w:hAnsi="Times New Roman" w:cs="Times New Roman" w:hint="default"/>
          <w:sz w:val="24"/>
          <w:szCs w:val="24"/>
        </w:rPr>
        <w:t xml:space="preserve">even when </w:t>
      </w:r>
      <w:r w:rsidR="00885C84" w:rsidRPr="009E6775">
        <w:rPr>
          <w:rStyle w:val="cf01"/>
          <w:rFonts w:ascii="Times New Roman" w:hAnsi="Times New Roman" w:cs="Times New Roman" w:hint="default"/>
          <w:sz w:val="24"/>
          <w:szCs w:val="24"/>
        </w:rPr>
        <w:t>in defiance of various obligations of</w:t>
      </w:r>
      <w:r w:rsidR="00945BA8" w:rsidRPr="009E6775">
        <w:rPr>
          <w:rStyle w:val="cf01"/>
          <w:rFonts w:ascii="Times New Roman" w:hAnsi="Times New Roman" w:cs="Times New Roman" w:hint="default"/>
          <w:sz w:val="24"/>
          <w:szCs w:val="24"/>
        </w:rPr>
        <w:t xml:space="preserve"> IHL</w:t>
      </w:r>
      <w:r w:rsidR="00885C84" w:rsidRPr="009E6775">
        <w:rPr>
          <w:rStyle w:val="cf01"/>
          <w:rFonts w:ascii="Times New Roman" w:hAnsi="Times New Roman" w:cs="Times New Roman" w:hint="default"/>
          <w:sz w:val="24"/>
          <w:szCs w:val="24"/>
        </w:rPr>
        <w:t xml:space="preserve">. </w:t>
      </w:r>
      <w:r w:rsidR="00EF3CE6" w:rsidRPr="009E6775">
        <w:rPr>
          <w:rFonts w:ascii="Times New Roman" w:hAnsi="Times New Roman" w:cs="Times New Roman"/>
        </w:rPr>
        <w:t>Nevertheless</w:t>
      </w:r>
      <w:r w:rsidR="00945BA8" w:rsidRPr="009E6775">
        <w:rPr>
          <w:rFonts w:ascii="Times New Roman" w:hAnsi="Times New Roman" w:cs="Times New Roman"/>
        </w:rPr>
        <w:t>, this author</w:t>
      </w:r>
      <w:r w:rsidR="00267053" w:rsidRPr="009E6775">
        <w:rPr>
          <w:rFonts w:ascii="Times New Roman" w:hAnsi="Times New Roman" w:cs="Times New Roman"/>
        </w:rPr>
        <w:t xml:space="preserve"> </w:t>
      </w:r>
      <w:r w:rsidRPr="009E6775">
        <w:rPr>
          <w:rFonts w:ascii="Times New Roman" w:hAnsi="Times New Roman" w:cs="Times New Roman"/>
        </w:rPr>
        <w:t xml:space="preserve">believes </w:t>
      </w:r>
      <w:r w:rsidR="000432E5">
        <w:rPr>
          <w:rFonts w:ascii="Times New Roman" w:hAnsi="Times New Roman" w:cs="Times New Roman"/>
        </w:rPr>
        <w:t>in</w:t>
      </w:r>
      <w:r w:rsidR="00945BA8" w:rsidRPr="009E6775">
        <w:rPr>
          <w:rFonts w:ascii="Times New Roman" w:hAnsi="Times New Roman" w:cs="Times New Roman"/>
        </w:rPr>
        <w:t xml:space="preserve"> </w:t>
      </w:r>
      <w:r w:rsidR="00267053" w:rsidRPr="009E6775">
        <w:rPr>
          <w:rFonts w:ascii="Times New Roman" w:hAnsi="Times New Roman" w:cs="Times New Roman"/>
        </w:rPr>
        <w:t>the</w:t>
      </w:r>
      <w:r w:rsidR="000432E5">
        <w:rPr>
          <w:rFonts w:ascii="Times New Roman" w:hAnsi="Times New Roman" w:cs="Times New Roman"/>
        </w:rPr>
        <w:t xml:space="preserve"> discursive potential of the</w:t>
      </w:r>
      <w:r w:rsidR="00267053" w:rsidRPr="009E6775">
        <w:rPr>
          <w:rFonts w:ascii="Times New Roman" w:hAnsi="Times New Roman" w:cs="Times New Roman"/>
        </w:rPr>
        <w:t xml:space="preserve"> SC’s </w:t>
      </w:r>
      <w:r w:rsidR="000432E5">
        <w:rPr>
          <w:rFonts w:ascii="Times New Roman" w:hAnsi="Times New Roman" w:cs="Times New Roman"/>
        </w:rPr>
        <w:t>continuing engagement with</w:t>
      </w:r>
      <w:r w:rsidR="00B750ED" w:rsidRPr="009E6775">
        <w:rPr>
          <w:rFonts w:ascii="Times New Roman" w:hAnsi="Times New Roman" w:cs="Times New Roman"/>
        </w:rPr>
        <w:t xml:space="preserve"> </w:t>
      </w:r>
      <w:r w:rsidR="003A578B" w:rsidRPr="009E6775">
        <w:rPr>
          <w:rFonts w:ascii="Times New Roman" w:hAnsi="Times New Roman" w:cs="Times New Roman"/>
        </w:rPr>
        <w:t>the petitions relating to the occupied territories</w:t>
      </w:r>
      <w:r w:rsidR="00B713BE">
        <w:rPr>
          <w:rFonts w:ascii="Times New Roman" w:hAnsi="Times New Roman" w:cs="Times New Roman"/>
        </w:rPr>
        <w:t xml:space="preserve"> when the reining influence of IHL and IHRL come gradually to obtain. </w:t>
      </w:r>
      <w:r w:rsidR="000432E5">
        <w:rPr>
          <w:rFonts w:ascii="Times New Roman" w:hAnsi="Times New Roman" w:cs="Times New Roman"/>
        </w:rPr>
        <w:t xml:space="preserve">It </w:t>
      </w:r>
      <w:r w:rsidR="00922B7A" w:rsidRPr="009E6775">
        <w:rPr>
          <w:rFonts w:ascii="Times New Roman" w:hAnsi="Times New Roman" w:cs="Times New Roman"/>
        </w:rPr>
        <w:t xml:space="preserve">bears reiterating how the SC’s bold policy of subjecting measures taken </w:t>
      </w:r>
      <w:r w:rsidR="00E006A0" w:rsidRPr="009E6775">
        <w:rPr>
          <w:rFonts w:ascii="Times New Roman" w:hAnsi="Times New Roman" w:cs="Times New Roman"/>
        </w:rPr>
        <w:t xml:space="preserve">even </w:t>
      </w:r>
      <w:r w:rsidR="00922B7A" w:rsidRPr="009E6775">
        <w:rPr>
          <w:rFonts w:ascii="Times New Roman" w:hAnsi="Times New Roman" w:cs="Times New Roman"/>
        </w:rPr>
        <w:t>during active phases of hostilities to judicial supervision can proffer useful lessons for the monitoring bodies of IHRL.</w:t>
      </w:r>
      <w:r w:rsidR="001E51CE" w:rsidRPr="009E6775">
        <w:rPr>
          <w:rFonts w:ascii="Times New Roman" w:hAnsi="Times New Roman" w:cs="Times New Roman"/>
        </w:rPr>
        <w:t xml:space="preserve"> </w:t>
      </w:r>
      <w:r w:rsidR="00E006A0" w:rsidRPr="009E6775">
        <w:rPr>
          <w:rFonts w:ascii="Times New Roman" w:hAnsi="Times New Roman" w:cs="Times New Roman"/>
        </w:rPr>
        <w:t>On the practical dimension for Palestinian petitioners</w:t>
      </w:r>
      <w:r w:rsidR="00922B7A" w:rsidRPr="009E6775">
        <w:rPr>
          <w:rFonts w:ascii="Times New Roman" w:hAnsi="Times New Roman" w:cs="Times New Roman"/>
        </w:rPr>
        <w:t>, the</w:t>
      </w:r>
      <w:r w:rsidR="00971E33" w:rsidRPr="009E6775">
        <w:rPr>
          <w:rFonts w:ascii="Times New Roman" w:hAnsi="Times New Roman" w:cs="Times New Roman"/>
        </w:rPr>
        <w:t xml:space="preserve"> SC’s added value of reviewing petitions by reference to rules of IHL and IHRL can be corroborated by many </w:t>
      </w:r>
      <w:r w:rsidR="00966634" w:rsidRPr="009E6775">
        <w:rPr>
          <w:rFonts w:ascii="Times New Roman" w:hAnsi="Times New Roman" w:cs="Times New Roman"/>
        </w:rPr>
        <w:t>of the SC’s d</w:t>
      </w:r>
      <w:r w:rsidR="00971E33" w:rsidRPr="009E6775">
        <w:rPr>
          <w:rFonts w:ascii="Times New Roman" w:hAnsi="Times New Roman" w:cs="Times New Roman"/>
        </w:rPr>
        <w:t xml:space="preserve">ecisions </w:t>
      </w:r>
      <w:r w:rsidR="00966634" w:rsidRPr="009E6775">
        <w:rPr>
          <w:rFonts w:ascii="Times New Roman" w:hAnsi="Times New Roman" w:cs="Times New Roman"/>
        </w:rPr>
        <w:t xml:space="preserve">having resulted </w:t>
      </w:r>
      <w:r w:rsidR="00971E33" w:rsidRPr="009E6775">
        <w:rPr>
          <w:rFonts w:ascii="Times New Roman" w:hAnsi="Times New Roman" w:cs="Times New Roman"/>
        </w:rPr>
        <w:t>in remedies for human rights violations either in or out of court.</w:t>
      </w:r>
      <w:r w:rsidR="00966634" w:rsidRPr="009E6775">
        <w:rPr>
          <w:rFonts w:ascii="Times New Roman" w:hAnsi="Times New Roman" w:cs="Times New Roman"/>
        </w:rPr>
        <w:t xml:space="preserve"> Kretzmer and Ronen observe that ‘When modification of the authorities’ position after submission of a petition and out-of-court settlements are </w:t>
      </w:r>
      <w:proofErr w:type="gramStart"/>
      <w:r w:rsidR="00966634" w:rsidRPr="009E6775">
        <w:rPr>
          <w:rFonts w:ascii="Times New Roman" w:hAnsi="Times New Roman" w:cs="Times New Roman"/>
        </w:rPr>
        <w:t>taken into account</w:t>
      </w:r>
      <w:proofErr w:type="gramEnd"/>
      <w:r w:rsidR="00966634" w:rsidRPr="009E6775">
        <w:rPr>
          <w:rFonts w:ascii="Times New Roman" w:hAnsi="Times New Roman" w:cs="Times New Roman"/>
        </w:rPr>
        <w:t>, the rate of actual success of Palestinian petitioners from the Occupied Territories, measure</w:t>
      </w:r>
      <w:r w:rsidR="001F1924" w:rsidRPr="009E6775">
        <w:rPr>
          <w:rFonts w:ascii="Times New Roman" w:hAnsi="Times New Roman" w:cs="Times New Roman"/>
        </w:rPr>
        <w:t xml:space="preserve">d </w:t>
      </w:r>
      <w:r w:rsidR="00966634" w:rsidRPr="009E6775">
        <w:rPr>
          <w:rFonts w:ascii="Times New Roman" w:hAnsi="Times New Roman" w:cs="Times New Roman"/>
        </w:rPr>
        <w:t xml:space="preserve">in terms </w:t>
      </w:r>
      <w:r w:rsidR="00966634" w:rsidRPr="009E6775">
        <w:rPr>
          <w:rFonts w:ascii="Times New Roman" w:hAnsi="Times New Roman" w:cs="Times New Roman"/>
        </w:rPr>
        <w:lastRenderedPageBreak/>
        <w:t>of their receiving at least part of the remedy requested, is higher than the overall success rate in petitions to the Supreme Court as a High Court of Justice’.</w:t>
      </w:r>
      <w:r w:rsidR="00971E33" w:rsidRPr="009E6775">
        <w:rPr>
          <w:rStyle w:val="aa"/>
          <w:rFonts w:ascii="Times New Roman" w:hAnsi="Times New Roman" w:cs="Times New Roman"/>
        </w:rPr>
        <w:footnoteReference w:id="209"/>
      </w:r>
      <w:r w:rsidR="00971E33" w:rsidRPr="009E6775">
        <w:rPr>
          <w:rFonts w:ascii="Times New Roman" w:hAnsi="Times New Roman" w:cs="Times New Roman"/>
        </w:rPr>
        <w:t xml:space="preserve"> </w:t>
      </w:r>
    </w:p>
    <w:p w14:paraId="21669091" w14:textId="3F6D1CB3" w:rsidR="006B1A11" w:rsidRPr="009E6775" w:rsidRDefault="00A32AFF" w:rsidP="0081540D">
      <w:pPr>
        <w:rPr>
          <w:rFonts w:ascii="Times New Roman" w:hAnsi="Times New Roman" w:cs="Times New Roman"/>
          <w:sz w:val="24"/>
          <w:szCs w:val="24"/>
        </w:rPr>
      </w:pPr>
      <w:r w:rsidRPr="009E6775">
        <w:rPr>
          <w:rFonts w:ascii="Times New Roman" w:hAnsi="Times New Roman" w:cs="Times New Roman"/>
          <w:sz w:val="24"/>
          <w:szCs w:val="24"/>
        </w:rPr>
        <w:t xml:space="preserve">In </w:t>
      </w:r>
      <w:r w:rsidR="00D51740" w:rsidRPr="009E6775">
        <w:rPr>
          <w:rFonts w:ascii="Times New Roman" w:hAnsi="Times New Roman" w:cs="Times New Roman"/>
          <w:sz w:val="24"/>
          <w:szCs w:val="24"/>
        </w:rPr>
        <w:t xml:space="preserve">the context of occupation, </w:t>
      </w:r>
      <w:r w:rsidR="00EF3CE6" w:rsidRPr="009E6775">
        <w:rPr>
          <w:rFonts w:ascii="Times New Roman" w:hAnsi="Times New Roman" w:cs="Times New Roman"/>
          <w:sz w:val="24"/>
          <w:szCs w:val="24"/>
        </w:rPr>
        <w:t xml:space="preserve">needly to say, </w:t>
      </w:r>
      <w:r w:rsidR="00D51740" w:rsidRPr="009E6775">
        <w:rPr>
          <w:rFonts w:ascii="Times New Roman" w:hAnsi="Times New Roman" w:cs="Times New Roman"/>
          <w:sz w:val="24"/>
          <w:szCs w:val="24"/>
        </w:rPr>
        <w:t xml:space="preserve">there is no ‘social contract’ between the occupied ‘indigenous’ population and the occupying organs. </w:t>
      </w:r>
      <w:r w:rsidR="00E862B6" w:rsidRPr="009E6775">
        <w:rPr>
          <w:rFonts w:ascii="Times New Roman" w:hAnsi="Times New Roman" w:cs="Times New Roman"/>
          <w:sz w:val="24"/>
          <w:szCs w:val="24"/>
        </w:rPr>
        <w:t xml:space="preserve">The </w:t>
      </w:r>
      <w:r w:rsidR="0028297F" w:rsidRPr="009E6775">
        <w:rPr>
          <w:rFonts w:ascii="Times New Roman" w:hAnsi="Times New Roman" w:cs="Times New Roman"/>
          <w:sz w:val="24"/>
          <w:szCs w:val="24"/>
        </w:rPr>
        <w:t xml:space="preserve">Israeli </w:t>
      </w:r>
      <w:r w:rsidR="00D26768" w:rsidRPr="009E6775">
        <w:rPr>
          <w:rFonts w:ascii="Times New Roman" w:hAnsi="Times New Roman" w:cs="Times New Roman"/>
          <w:i/>
          <w:iCs/>
          <w:sz w:val="24"/>
          <w:szCs w:val="24"/>
        </w:rPr>
        <w:t>demos</w:t>
      </w:r>
      <w:r w:rsidR="00D26768" w:rsidRPr="009E6775">
        <w:rPr>
          <w:rFonts w:ascii="Times New Roman" w:hAnsi="Times New Roman" w:cs="Times New Roman"/>
          <w:sz w:val="24"/>
          <w:szCs w:val="24"/>
        </w:rPr>
        <w:t xml:space="preserve"> do not include </w:t>
      </w:r>
      <w:r w:rsidR="0056470C" w:rsidRPr="009E6775">
        <w:rPr>
          <w:rFonts w:ascii="Times New Roman" w:hAnsi="Times New Roman" w:cs="Times New Roman"/>
          <w:sz w:val="24"/>
          <w:szCs w:val="24"/>
        </w:rPr>
        <w:t xml:space="preserve">the </w:t>
      </w:r>
      <w:r w:rsidR="00D26768" w:rsidRPr="009E6775">
        <w:rPr>
          <w:rFonts w:ascii="Times New Roman" w:hAnsi="Times New Roman" w:cs="Times New Roman"/>
          <w:sz w:val="24"/>
          <w:szCs w:val="24"/>
        </w:rPr>
        <w:t>Palestinian</w:t>
      </w:r>
      <w:r w:rsidR="001220A1" w:rsidRPr="009E6775">
        <w:rPr>
          <w:rFonts w:ascii="Times New Roman" w:hAnsi="Times New Roman" w:cs="Times New Roman"/>
          <w:sz w:val="24"/>
          <w:szCs w:val="24"/>
        </w:rPr>
        <w:t xml:space="preserve"> </w:t>
      </w:r>
      <w:r w:rsidR="00D26768" w:rsidRPr="009E6775">
        <w:rPr>
          <w:rFonts w:ascii="Times New Roman" w:hAnsi="Times New Roman" w:cs="Times New Roman"/>
          <w:sz w:val="24"/>
          <w:szCs w:val="24"/>
        </w:rPr>
        <w:t>resident</w:t>
      </w:r>
      <w:r w:rsidR="007E4A87" w:rsidRPr="009E6775">
        <w:rPr>
          <w:rFonts w:ascii="Times New Roman" w:hAnsi="Times New Roman" w:cs="Times New Roman"/>
          <w:sz w:val="24"/>
          <w:szCs w:val="24"/>
        </w:rPr>
        <w:t>s</w:t>
      </w:r>
      <w:r w:rsidR="00D26768" w:rsidRPr="009E6775">
        <w:rPr>
          <w:rFonts w:ascii="Times New Roman" w:hAnsi="Times New Roman" w:cs="Times New Roman"/>
          <w:sz w:val="24"/>
          <w:szCs w:val="24"/>
        </w:rPr>
        <w:t xml:space="preserve"> </w:t>
      </w:r>
      <w:r w:rsidR="00C93CFA" w:rsidRPr="009E6775">
        <w:rPr>
          <w:rFonts w:ascii="Times New Roman" w:hAnsi="Times New Roman" w:cs="Times New Roman"/>
          <w:sz w:val="24"/>
          <w:szCs w:val="24"/>
        </w:rPr>
        <w:t>of</w:t>
      </w:r>
      <w:r w:rsidR="00D26768" w:rsidRPr="009E6775">
        <w:rPr>
          <w:rFonts w:ascii="Times New Roman" w:hAnsi="Times New Roman" w:cs="Times New Roman"/>
          <w:sz w:val="24"/>
          <w:szCs w:val="24"/>
        </w:rPr>
        <w:t xml:space="preserve"> </w:t>
      </w:r>
      <w:r w:rsidR="0056470C" w:rsidRPr="009E6775">
        <w:rPr>
          <w:rFonts w:ascii="Times New Roman" w:hAnsi="Times New Roman" w:cs="Times New Roman"/>
          <w:sz w:val="24"/>
          <w:szCs w:val="24"/>
        </w:rPr>
        <w:t xml:space="preserve">the </w:t>
      </w:r>
      <w:r w:rsidR="009669D8" w:rsidRPr="009E6775">
        <w:rPr>
          <w:rFonts w:ascii="Times New Roman" w:hAnsi="Times New Roman" w:cs="Times New Roman"/>
          <w:sz w:val="24"/>
          <w:szCs w:val="24"/>
        </w:rPr>
        <w:t>occupied territories.</w:t>
      </w:r>
      <w:r w:rsidR="009669D8" w:rsidRPr="009E6775">
        <w:rPr>
          <w:rStyle w:val="aa"/>
          <w:rFonts w:ascii="Times New Roman" w:hAnsi="Times New Roman" w:cs="Times New Roman"/>
          <w:sz w:val="24"/>
          <w:szCs w:val="24"/>
        </w:rPr>
        <w:footnoteReference w:id="210"/>
      </w:r>
      <w:r w:rsidR="0028297F" w:rsidRPr="009E6775">
        <w:rPr>
          <w:rFonts w:ascii="Times New Roman" w:hAnsi="Times New Roman" w:cs="Times New Roman"/>
          <w:sz w:val="24"/>
          <w:szCs w:val="24"/>
        </w:rPr>
        <w:t xml:space="preserve"> </w:t>
      </w:r>
      <w:r w:rsidR="00293B4A" w:rsidRPr="009E6775">
        <w:rPr>
          <w:rFonts w:ascii="Times New Roman" w:hAnsi="Times New Roman" w:cs="Times New Roman"/>
          <w:sz w:val="24"/>
          <w:szCs w:val="24"/>
        </w:rPr>
        <w:t xml:space="preserve">The drafters of the law of occupation were fully aware of </w:t>
      </w:r>
      <w:r w:rsidR="002B5715" w:rsidRPr="009E6775">
        <w:rPr>
          <w:rFonts w:ascii="Times New Roman" w:hAnsi="Times New Roman" w:cs="Times New Roman"/>
          <w:sz w:val="24"/>
          <w:szCs w:val="24"/>
        </w:rPr>
        <w:t xml:space="preserve">such general </w:t>
      </w:r>
      <w:r w:rsidR="00293B4A" w:rsidRPr="009E6775">
        <w:rPr>
          <w:rFonts w:ascii="Times New Roman" w:hAnsi="Times New Roman" w:cs="Times New Roman"/>
          <w:sz w:val="24"/>
          <w:szCs w:val="24"/>
        </w:rPr>
        <w:t xml:space="preserve">precarity </w:t>
      </w:r>
      <w:r w:rsidR="009D3294" w:rsidRPr="009E6775">
        <w:rPr>
          <w:rFonts w:ascii="Times New Roman" w:hAnsi="Times New Roman" w:cs="Times New Roman"/>
          <w:sz w:val="24"/>
          <w:szCs w:val="24"/>
        </w:rPr>
        <w:t xml:space="preserve">of </w:t>
      </w:r>
      <w:r w:rsidR="007D1549" w:rsidRPr="009E6775">
        <w:rPr>
          <w:rFonts w:ascii="Times New Roman" w:hAnsi="Times New Roman" w:cs="Times New Roman"/>
          <w:sz w:val="24"/>
          <w:szCs w:val="24"/>
        </w:rPr>
        <w:t>the local population under occupation</w:t>
      </w:r>
      <w:r w:rsidR="009D3294" w:rsidRPr="009E6775">
        <w:rPr>
          <w:rFonts w:ascii="Times New Roman" w:hAnsi="Times New Roman" w:cs="Times New Roman"/>
          <w:sz w:val="24"/>
          <w:szCs w:val="24"/>
        </w:rPr>
        <w:t xml:space="preserve">, the </w:t>
      </w:r>
      <w:r w:rsidR="007D1549" w:rsidRPr="009E6775">
        <w:rPr>
          <w:rFonts w:ascii="Times New Roman" w:hAnsi="Times New Roman" w:cs="Times New Roman"/>
          <w:sz w:val="24"/>
          <w:szCs w:val="24"/>
        </w:rPr>
        <w:t xml:space="preserve">lack of </w:t>
      </w:r>
      <w:r w:rsidR="00293B4A" w:rsidRPr="009E6775">
        <w:rPr>
          <w:rFonts w:ascii="Times New Roman" w:hAnsi="Times New Roman" w:cs="Times New Roman"/>
          <w:sz w:val="24"/>
          <w:szCs w:val="24"/>
        </w:rPr>
        <w:t>political accountability</w:t>
      </w:r>
      <w:r w:rsidR="009D3294" w:rsidRPr="009E6775">
        <w:rPr>
          <w:rFonts w:ascii="Times New Roman" w:hAnsi="Times New Roman" w:cs="Times New Roman"/>
          <w:sz w:val="24"/>
          <w:szCs w:val="24"/>
        </w:rPr>
        <w:t>,</w:t>
      </w:r>
      <w:r w:rsidR="00293B4A" w:rsidRPr="009E6775">
        <w:rPr>
          <w:rFonts w:ascii="Times New Roman" w:hAnsi="Times New Roman" w:cs="Times New Roman"/>
          <w:sz w:val="24"/>
          <w:szCs w:val="24"/>
        </w:rPr>
        <w:t xml:space="preserve"> and </w:t>
      </w:r>
      <w:r w:rsidR="007D1549" w:rsidRPr="009E6775">
        <w:rPr>
          <w:rFonts w:ascii="Times New Roman" w:hAnsi="Times New Roman" w:cs="Times New Roman"/>
          <w:sz w:val="24"/>
          <w:szCs w:val="24"/>
        </w:rPr>
        <w:t xml:space="preserve">of the </w:t>
      </w:r>
      <w:r w:rsidR="00293B4A" w:rsidRPr="009E6775">
        <w:rPr>
          <w:rFonts w:ascii="Times New Roman" w:hAnsi="Times New Roman" w:cs="Times New Roman"/>
          <w:sz w:val="24"/>
          <w:szCs w:val="24"/>
        </w:rPr>
        <w:t>structural power imbalance between the occupying power and the inhabitants of the occupied territory.</w:t>
      </w:r>
      <w:r w:rsidR="00E862B6" w:rsidRPr="009E6775">
        <w:rPr>
          <w:rFonts w:ascii="Times New Roman" w:hAnsi="Times New Roman" w:cs="Times New Roman"/>
          <w:sz w:val="24"/>
          <w:szCs w:val="24"/>
        </w:rPr>
        <w:t xml:space="preserve"> It is for this reason that the law of belligerent occupation confers special obligations on the occupying authorities to fill a vacuum created by the ousting of the territorial government.</w:t>
      </w:r>
      <w:r w:rsidR="00293B4A" w:rsidRPr="009E6775">
        <w:rPr>
          <w:rFonts w:ascii="Times New Roman" w:hAnsi="Times New Roman" w:cs="Times New Roman"/>
          <w:sz w:val="24"/>
          <w:szCs w:val="24"/>
        </w:rPr>
        <w:t xml:space="preserve"> </w:t>
      </w:r>
      <w:r w:rsidR="002B5715" w:rsidRPr="009E6775">
        <w:rPr>
          <w:rFonts w:ascii="Times New Roman" w:hAnsi="Times New Roman" w:cs="Times New Roman"/>
          <w:sz w:val="24"/>
          <w:szCs w:val="24"/>
        </w:rPr>
        <w:t>Such underlying rationales of the law of occupation</w:t>
      </w:r>
      <w:r w:rsidR="00C93CFA" w:rsidRPr="009E6775">
        <w:rPr>
          <w:rFonts w:ascii="Times New Roman" w:hAnsi="Times New Roman" w:cs="Times New Roman"/>
          <w:sz w:val="24"/>
          <w:szCs w:val="24"/>
        </w:rPr>
        <w:t xml:space="preserve"> make it clear why integrating </w:t>
      </w:r>
      <w:r w:rsidR="00293B4A" w:rsidRPr="009E6775">
        <w:rPr>
          <w:rFonts w:ascii="Times New Roman" w:hAnsi="Times New Roman" w:cs="Times New Roman"/>
          <w:sz w:val="24"/>
          <w:szCs w:val="24"/>
        </w:rPr>
        <w:t xml:space="preserve">the settlers </w:t>
      </w:r>
      <w:r w:rsidR="0056470C" w:rsidRPr="009E6775">
        <w:rPr>
          <w:rFonts w:ascii="Times New Roman" w:hAnsi="Times New Roman" w:cs="Times New Roman"/>
          <w:sz w:val="24"/>
          <w:szCs w:val="24"/>
        </w:rPr>
        <w:t>who are nationals of</w:t>
      </w:r>
      <w:r w:rsidR="00293B4A" w:rsidRPr="009E6775">
        <w:rPr>
          <w:rFonts w:ascii="Times New Roman" w:hAnsi="Times New Roman" w:cs="Times New Roman"/>
          <w:sz w:val="24"/>
          <w:szCs w:val="24"/>
        </w:rPr>
        <w:t xml:space="preserve"> the occupying power </w:t>
      </w:r>
      <w:r w:rsidR="001A1D6B" w:rsidRPr="009E6775">
        <w:rPr>
          <w:rFonts w:ascii="Times New Roman" w:hAnsi="Times New Roman" w:cs="Times New Roman"/>
          <w:sz w:val="24"/>
          <w:szCs w:val="24"/>
        </w:rPr>
        <w:t>as part of</w:t>
      </w:r>
      <w:r w:rsidR="00293B4A" w:rsidRPr="009E6775">
        <w:rPr>
          <w:rFonts w:ascii="Times New Roman" w:hAnsi="Times New Roman" w:cs="Times New Roman"/>
          <w:sz w:val="24"/>
          <w:szCs w:val="24"/>
        </w:rPr>
        <w:t xml:space="preserve"> </w:t>
      </w:r>
      <w:r w:rsidR="001A1D6B" w:rsidRPr="009E6775">
        <w:rPr>
          <w:rFonts w:ascii="Times New Roman" w:hAnsi="Times New Roman" w:cs="Times New Roman"/>
          <w:sz w:val="24"/>
          <w:szCs w:val="24"/>
        </w:rPr>
        <w:t xml:space="preserve">the ‘local inhabitants’ </w:t>
      </w:r>
      <w:r w:rsidR="007F7038" w:rsidRPr="009E6775">
        <w:rPr>
          <w:rFonts w:ascii="Times New Roman" w:hAnsi="Times New Roman" w:cs="Times New Roman"/>
          <w:sz w:val="24"/>
          <w:szCs w:val="24"/>
        </w:rPr>
        <w:t xml:space="preserve">is counter-sensical </w:t>
      </w:r>
      <w:r w:rsidR="002D5EC9" w:rsidRPr="009E6775">
        <w:rPr>
          <w:rFonts w:ascii="Times New Roman" w:hAnsi="Times New Roman" w:cs="Times New Roman"/>
          <w:sz w:val="24"/>
          <w:szCs w:val="24"/>
        </w:rPr>
        <w:t xml:space="preserve">by upsetting </w:t>
      </w:r>
      <w:r w:rsidR="0056470C" w:rsidRPr="009E6775">
        <w:rPr>
          <w:rFonts w:ascii="Times New Roman" w:hAnsi="Times New Roman" w:cs="Times New Roman"/>
          <w:sz w:val="24"/>
          <w:szCs w:val="24"/>
        </w:rPr>
        <w:t xml:space="preserve">a delicate </w:t>
      </w:r>
      <w:r w:rsidR="00293B4A" w:rsidRPr="009E6775">
        <w:rPr>
          <w:rFonts w:ascii="Times New Roman" w:hAnsi="Times New Roman" w:cs="Times New Roman"/>
          <w:sz w:val="24"/>
          <w:szCs w:val="24"/>
        </w:rPr>
        <w:t>equil</w:t>
      </w:r>
      <w:r w:rsidR="001A1D6B" w:rsidRPr="009E6775">
        <w:rPr>
          <w:rFonts w:ascii="Times New Roman" w:hAnsi="Times New Roman" w:cs="Times New Roman"/>
          <w:sz w:val="24"/>
          <w:szCs w:val="24"/>
        </w:rPr>
        <w:t>ibrium</w:t>
      </w:r>
      <w:r w:rsidR="0056470C" w:rsidRPr="009E6775">
        <w:rPr>
          <w:rFonts w:ascii="Times New Roman" w:hAnsi="Times New Roman" w:cs="Times New Roman"/>
          <w:sz w:val="24"/>
          <w:szCs w:val="24"/>
        </w:rPr>
        <w:t xml:space="preserve"> between the </w:t>
      </w:r>
      <w:r w:rsidR="00C1289B" w:rsidRPr="009E6775">
        <w:rPr>
          <w:rFonts w:ascii="Times New Roman" w:hAnsi="Times New Roman" w:cs="Times New Roman"/>
          <w:sz w:val="24"/>
          <w:szCs w:val="24"/>
        </w:rPr>
        <w:t xml:space="preserve">(military) necessity and humanitarian needs of </w:t>
      </w:r>
      <w:r w:rsidR="0056470C" w:rsidRPr="009E6775">
        <w:rPr>
          <w:rFonts w:ascii="Times New Roman" w:hAnsi="Times New Roman" w:cs="Times New Roman"/>
          <w:sz w:val="24"/>
          <w:szCs w:val="24"/>
        </w:rPr>
        <w:t>the occupied population</w:t>
      </w:r>
      <w:r w:rsidR="006B1A11" w:rsidRPr="009E6775">
        <w:rPr>
          <w:rFonts w:ascii="Times New Roman" w:hAnsi="Times New Roman" w:cs="Times New Roman"/>
          <w:sz w:val="24"/>
          <w:szCs w:val="24"/>
        </w:rPr>
        <w:t xml:space="preserve"> under Article 43 Hague Regulations and Article 64 GCIV (and their corresponding customary rules)</w:t>
      </w:r>
      <w:r w:rsidR="00181D48" w:rsidRPr="009E6775">
        <w:rPr>
          <w:rFonts w:ascii="Times New Roman" w:hAnsi="Times New Roman" w:cs="Times New Roman"/>
          <w:sz w:val="24"/>
          <w:szCs w:val="24"/>
        </w:rPr>
        <w:t>.</w:t>
      </w:r>
      <w:r w:rsidR="00181D48" w:rsidRPr="009E6775">
        <w:rPr>
          <w:rStyle w:val="aa"/>
          <w:rFonts w:ascii="Times New Roman" w:hAnsi="Times New Roman" w:cs="Times New Roman"/>
          <w:sz w:val="24"/>
          <w:szCs w:val="24"/>
        </w:rPr>
        <w:footnoteReference w:id="211"/>
      </w:r>
      <w:r w:rsidR="00412D16" w:rsidRPr="009E6775">
        <w:rPr>
          <w:rFonts w:ascii="Times New Roman" w:hAnsi="Times New Roman" w:cs="Times New Roman"/>
          <w:sz w:val="24"/>
          <w:szCs w:val="24"/>
        </w:rPr>
        <w:t xml:space="preserve"> </w:t>
      </w:r>
      <w:r w:rsidR="006808BB" w:rsidRPr="009E6775">
        <w:rPr>
          <w:rFonts w:ascii="Times New Roman" w:hAnsi="Times New Roman" w:cs="Times New Roman"/>
          <w:sz w:val="24"/>
          <w:szCs w:val="24"/>
        </w:rPr>
        <w:t xml:space="preserve">This </w:t>
      </w:r>
      <w:r w:rsidR="00EF3CE6" w:rsidRPr="009E6775">
        <w:rPr>
          <w:rFonts w:ascii="Times New Roman" w:hAnsi="Times New Roman" w:cs="Times New Roman"/>
          <w:sz w:val="24"/>
          <w:szCs w:val="24"/>
        </w:rPr>
        <w:t>observation is aptly applicable to the meaning o</w:t>
      </w:r>
      <w:r w:rsidR="006B1A11" w:rsidRPr="009E6775">
        <w:rPr>
          <w:rFonts w:ascii="Times New Roman" w:hAnsi="Times New Roman" w:cs="Times New Roman"/>
          <w:sz w:val="24"/>
          <w:szCs w:val="24"/>
        </w:rPr>
        <w:t>f proportionality appraisal in liberal democracy. Given that proportionality balancing is often about weighing inherently incommensurable values and interests,</w:t>
      </w:r>
      <w:r w:rsidR="006B1A11" w:rsidRPr="009E6775">
        <w:rPr>
          <w:rStyle w:val="aa"/>
          <w:rFonts w:ascii="Times New Roman" w:hAnsi="Times New Roman" w:cs="Times New Roman"/>
          <w:sz w:val="24"/>
          <w:szCs w:val="24"/>
        </w:rPr>
        <w:footnoteReference w:id="212"/>
      </w:r>
      <w:r w:rsidR="006B1A11" w:rsidRPr="009E6775">
        <w:rPr>
          <w:rFonts w:ascii="Times New Roman" w:hAnsi="Times New Roman" w:cs="Times New Roman"/>
          <w:sz w:val="24"/>
          <w:szCs w:val="24"/>
        </w:rPr>
        <w:t xml:space="preserve"> this author considers it crucial to stress legitimacy of the interests or rights of persons to be reckoned with in the equation. </w:t>
      </w:r>
    </w:p>
    <w:p w14:paraId="69C8B172" w14:textId="4280E385" w:rsidR="005F69B9" w:rsidRPr="009E6775" w:rsidRDefault="006B1A11" w:rsidP="0081540D">
      <w:pPr>
        <w:tabs>
          <w:tab w:val="left" w:pos="5448"/>
        </w:tabs>
        <w:rPr>
          <w:rFonts w:ascii="Times New Roman" w:hAnsi="Times New Roman" w:cs="Times New Roman"/>
          <w:sz w:val="24"/>
          <w:szCs w:val="24"/>
        </w:rPr>
      </w:pPr>
      <w:r w:rsidRPr="009E6775">
        <w:rPr>
          <w:rFonts w:ascii="Times New Roman" w:hAnsi="Times New Roman" w:cs="Times New Roman"/>
          <w:sz w:val="24"/>
          <w:szCs w:val="24"/>
        </w:rPr>
        <w:tab/>
      </w:r>
    </w:p>
    <w:p w14:paraId="262CA0B0" w14:textId="4E8D311A" w:rsidR="00877E0C" w:rsidRPr="009E6775" w:rsidRDefault="00DF24AA" w:rsidP="0081540D">
      <w:pPr>
        <w:rPr>
          <w:rFonts w:ascii="Times New Roman" w:hAnsi="Times New Roman" w:cs="Times New Roman"/>
          <w:sz w:val="24"/>
          <w:szCs w:val="24"/>
        </w:rPr>
      </w:pPr>
      <w:r w:rsidRPr="009E6775">
        <w:rPr>
          <w:rFonts w:ascii="Times New Roman" w:hAnsi="Times New Roman" w:cs="Times New Roman"/>
          <w:sz w:val="24"/>
          <w:szCs w:val="24"/>
        </w:rPr>
        <w:t xml:space="preserve">In this book, </w:t>
      </w:r>
      <w:r w:rsidR="00A660BC" w:rsidRPr="009E6775">
        <w:rPr>
          <w:rFonts w:ascii="Times New Roman" w:hAnsi="Times New Roman" w:cs="Times New Roman"/>
          <w:sz w:val="24"/>
          <w:szCs w:val="24"/>
        </w:rPr>
        <w:t>Kretzmer and Ronen</w:t>
      </w:r>
      <w:r w:rsidR="00F363DF" w:rsidRPr="009E6775">
        <w:rPr>
          <w:rFonts w:ascii="Times New Roman" w:hAnsi="Times New Roman" w:cs="Times New Roman"/>
          <w:sz w:val="24"/>
          <w:szCs w:val="24"/>
        </w:rPr>
        <w:t xml:space="preserve"> have successfully </w:t>
      </w:r>
      <w:r w:rsidRPr="009E6775">
        <w:rPr>
          <w:rFonts w:ascii="Times New Roman" w:hAnsi="Times New Roman" w:cs="Times New Roman"/>
          <w:sz w:val="24"/>
          <w:szCs w:val="24"/>
        </w:rPr>
        <w:t>carried out</w:t>
      </w:r>
      <w:r w:rsidR="00F363DF" w:rsidRPr="009E6775">
        <w:rPr>
          <w:rFonts w:ascii="Times New Roman" w:hAnsi="Times New Roman" w:cs="Times New Roman"/>
          <w:sz w:val="24"/>
          <w:szCs w:val="24"/>
        </w:rPr>
        <w:t xml:space="preserve"> the</w:t>
      </w:r>
      <w:r w:rsidR="002C23DD" w:rsidRPr="009E6775">
        <w:rPr>
          <w:rFonts w:ascii="Times New Roman" w:hAnsi="Times New Roman" w:cs="Times New Roman"/>
          <w:sz w:val="24"/>
          <w:szCs w:val="24"/>
        </w:rPr>
        <w:t xml:space="preserve"> </w:t>
      </w:r>
      <w:r w:rsidR="00F363DF" w:rsidRPr="009E6775">
        <w:rPr>
          <w:rFonts w:ascii="Times New Roman" w:hAnsi="Times New Roman" w:cs="Times New Roman"/>
          <w:sz w:val="24"/>
          <w:szCs w:val="24"/>
        </w:rPr>
        <w:t xml:space="preserve">Herculean task of analysing voluminous amount of </w:t>
      </w:r>
      <w:r w:rsidRPr="009E6775">
        <w:rPr>
          <w:rFonts w:ascii="Times New Roman" w:hAnsi="Times New Roman" w:cs="Times New Roman"/>
          <w:sz w:val="24"/>
          <w:szCs w:val="24"/>
        </w:rPr>
        <w:t>‘raw materials’ (</w:t>
      </w:r>
      <w:r w:rsidR="00F363DF" w:rsidRPr="009E6775">
        <w:rPr>
          <w:rFonts w:ascii="Times New Roman" w:hAnsi="Times New Roman" w:cs="Times New Roman"/>
          <w:sz w:val="24"/>
          <w:szCs w:val="24"/>
        </w:rPr>
        <w:t>both primary and secondary sources</w:t>
      </w:r>
      <w:r w:rsidRPr="009E6775">
        <w:rPr>
          <w:rFonts w:ascii="Times New Roman" w:hAnsi="Times New Roman" w:cs="Times New Roman"/>
          <w:sz w:val="24"/>
          <w:szCs w:val="24"/>
        </w:rPr>
        <w:t>), extrapolating numerous inferences,</w:t>
      </w:r>
      <w:r w:rsidR="00F363DF" w:rsidRPr="009E6775">
        <w:rPr>
          <w:rFonts w:ascii="Times New Roman" w:hAnsi="Times New Roman" w:cs="Times New Roman"/>
          <w:sz w:val="24"/>
          <w:szCs w:val="24"/>
        </w:rPr>
        <w:t xml:space="preserve"> and weaving</w:t>
      </w:r>
      <w:r w:rsidRPr="009E6775">
        <w:rPr>
          <w:rFonts w:ascii="Times New Roman" w:hAnsi="Times New Roman" w:cs="Times New Roman"/>
          <w:sz w:val="24"/>
          <w:szCs w:val="24"/>
        </w:rPr>
        <w:t xml:space="preserve"> them into</w:t>
      </w:r>
      <w:r w:rsidR="00F363DF" w:rsidRPr="009E6775">
        <w:rPr>
          <w:rFonts w:ascii="Times New Roman" w:hAnsi="Times New Roman" w:cs="Times New Roman"/>
          <w:sz w:val="24"/>
          <w:szCs w:val="24"/>
        </w:rPr>
        <w:t xml:space="preserve"> a coherent </w:t>
      </w:r>
      <w:r w:rsidRPr="009E6775">
        <w:rPr>
          <w:rFonts w:ascii="Times New Roman" w:hAnsi="Times New Roman" w:cs="Times New Roman"/>
          <w:sz w:val="24"/>
          <w:szCs w:val="24"/>
        </w:rPr>
        <w:t>thread</w:t>
      </w:r>
      <w:r w:rsidR="002C23DD" w:rsidRPr="009E6775">
        <w:rPr>
          <w:rFonts w:ascii="Times New Roman" w:hAnsi="Times New Roman" w:cs="Times New Roman"/>
          <w:sz w:val="24"/>
          <w:szCs w:val="24"/>
        </w:rPr>
        <w:t xml:space="preserve"> of </w:t>
      </w:r>
      <w:r w:rsidRPr="009E6775">
        <w:rPr>
          <w:rFonts w:ascii="Times New Roman" w:hAnsi="Times New Roman" w:cs="Times New Roman"/>
          <w:sz w:val="24"/>
          <w:szCs w:val="24"/>
        </w:rPr>
        <w:t>arguments</w:t>
      </w:r>
      <w:r w:rsidR="002C23DD" w:rsidRPr="009E6775">
        <w:rPr>
          <w:rFonts w:ascii="Times New Roman" w:hAnsi="Times New Roman" w:cs="Times New Roman"/>
          <w:sz w:val="24"/>
          <w:szCs w:val="24"/>
        </w:rPr>
        <w:t>. In</w:t>
      </w:r>
      <w:r w:rsidR="00F363DF" w:rsidRPr="009E6775">
        <w:rPr>
          <w:rFonts w:ascii="Times New Roman" w:hAnsi="Times New Roman" w:cs="Times New Roman"/>
          <w:sz w:val="24"/>
          <w:szCs w:val="24"/>
        </w:rPr>
        <w:t xml:space="preserve"> view of its </w:t>
      </w:r>
      <w:r w:rsidR="007D7704" w:rsidRPr="009E6775">
        <w:rPr>
          <w:rFonts w:ascii="Times New Roman" w:hAnsi="Times New Roman" w:cs="Times New Roman"/>
          <w:sz w:val="24"/>
          <w:szCs w:val="24"/>
        </w:rPr>
        <w:t xml:space="preserve">rigorous </w:t>
      </w:r>
      <w:r w:rsidR="00F363DF" w:rsidRPr="009E6775">
        <w:rPr>
          <w:rFonts w:ascii="Times New Roman" w:hAnsi="Times New Roman" w:cs="Times New Roman"/>
          <w:sz w:val="24"/>
          <w:szCs w:val="24"/>
        </w:rPr>
        <w:t>analyses, critical but balanced assessment</w:t>
      </w:r>
      <w:r w:rsidR="00195DC0" w:rsidRPr="009E6775">
        <w:rPr>
          <w:rFonts w:ascii="Times New Roman" w:hAnsi="Times New Roman" w:cs="Times New Roman"/>
          <w:sz w:val="24"/>
          <w:szCs w:val="24"/>
        </w:rPr>
        <w:t>s corroborated b</w:t>
      </w:r>
      <w:r w:rsidR="0030022D">
        <w:rPr>
          <w:rFonts w:ascii="Times New Roman" w:hAnsi="Times New Roman" w:cs="Times New Roman"/>
          <w:sz w:val="24"/>
          <w:szCs w:val="24"/>
        </w:rPr>
        <w:t>y</w:t>
      </w:r>
      <w:r w:rsidR="00195DC0" w:rsidRPr="009E6775">
        <w:rPr>
          <w:rFonts w:ascii="Times New Roman" w:hAnsi="Times New Roman" w:cs="Times New Roman"/>
          <w:sz w:val="24"/>
          <w:szCs w:val="24"/>
        </w:rPr>
        <w:t xml:space="preserve"> ample references to primary and secondary </w:t>
      </w:r>
      <w:r w:rsidR="007D7704" w:rsidRPr="009E6775">
        <w:rPr>
          <w:rFonts w:ascii="Times New Roman" w:hAnsi="Times New Roman" w:cs="Times New Roman"/>
          <w:sz w:val="24"/>
          <w:szCs w:val="24"/>
        </w:rPr>
        <w:t xml:space="preserve">sources, </w:t>
      </w:r>
      <w:r w:rsidR="002C23DD" w:rsidRPr="009E6775">
        <w:rPr>
          <w:rFonts w:ascii="Times New Roman" w:hAnsi="Times New Roman" w:cs="Times New Roman"/>
          <w:sz w:val="24"/>
          <w:szCs w:val="24"/>
        </w:rPr>
        <w:t xml:space="preserve">this </w:t>
      </w:r>
      <w:r w:rsidR="00F440FE" w:rsidRPr="009E6775">
        <w:rPr>
          <w:rFonts w:ascii="Times New Roman" w:hAnsi="Times New Roman" w:cs="Times New Roman"/>
          <w:sz w:val="24"/>
          <w:szCs w:val="24"/>
        </w:rPr>
        <w:t>book is</w:t>
      </w:r>
      <w:r w:rsidR="002C23DD"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an outstanding scholarly achievement. </w:t>
      </w:r>
      <w:r w:rsidR="00EF3CE6" w:rsidRPr="009E6775">
        <w:rPr>
          <w:rFonts w:ascii="Times New Roman" w:hAnsi="Times New Roman" w:cs="Times New Roman"/>
          <w:sz w:val="24"/>
          <w:szCs w:val="24"/>
        </w:rPr>
        <w:t xml:space="preserve">This </w:t>
      </w:r>
      <w:r w:rsidR="0030022D">
        <w:rPr>
          <w:rFonts w:ascii="Times New Roman" w:hAnsi="Times New Roman" w:cs="Times New Roman"/>
          <w:sz w:val="24"/>
          <w:szCs w:val="24"/>
        </w:rPr>
        <w:t>should c</w:t>
      </w:r>
      <w:r w:rsidR="00EF3CE6" w:rsidRPr="009E6775">
        <w:rPr>
          <w:rFonts w:ascii="Times New Roman" w:hAnsi="Times New Roman" w:cs="Times New Roman"/>
          <w:sz w:val="24"/>
          <w:szCs w:val="24"/>
        </w:rPr>
        <w:t xml:space="preserve">onstitute </w:t>
      </w:r>
      <w:r w:rsidR="002C23DD" w:rsidRPr="009E6775">
        <w:rPr>
          <w:rFonts w:ascii="Times New Roman" w:hAnsi="Times New Roman" w:cs="Times New Roman"/>
          <w:sz w:val="24"/>
          <w:szCs w:val="24"/>
        </w:rPr>
        <w:t xml:space="preserve">the ‘instant </w:t>
      </w:r>
      <w:r w:rsidR="00F440FE" w:rsidRPr="009E6775">
        <w:rPr>
          <w:rFonts w:ascii="Times New Roman" w:hAnsi="Times New Roman" w:cs="Times New Roman"/>
          <w:sz w:val="24"/>
          <w:szCs w:val="24"/>
        </w:rPr>
        <w:t>classic</w:t>
      </w:r>
      <w:r w:rsidR="00372AFD" w:rsidRPr="009E6775">
        <w:rPr>
          <w:rFonts w:ascii="Times New Roman" w:hAnsi="Times New Roman" w:cs="Times New Roman"/>
          <w:sz w:val="24"/>
          <w:szCs w:val="24"/>
        </w:rPr>
        <w:t>’</w:t>
      </w:r>
      <w:r w:rsidR="00F440FE" w:rsidRPr="009E6775">
        <w:rPr>
          <w:rFonts w:ascii="Times New Roman" w:hAnsi="Times New Roman" w:cs="Times New Roman"/>
          <w:sz w:val="24"/>
          <w:szCs w:val="24"/>
        </w:rPr>
        <w:t xml:space="preserve"> </w:t>
      </w:r>
      <w:r w:rsidR="002C23DD" w:rsidRPr="009E6775">
        <w:rPr>
          <w:rFonts w:ascii="Times New Roman" w:hAnsi="Times New Roman" w:cs="Times New Roman"/>
          <w:sz w:val="24"/>
          <w:szCs w:val="24"/>
        </w:rPr>
        <w:t>treatise in the genres of</w:t>
      </w:r>
      <w:r w:rsidR="00F440FE" w:rsidRPr="009E6775">
        <w:rPr>
          <w:rFonts w:ascii="Times New Roman" w:hAnsi="Times New Roman" w:cs="Times New Roman"/>
          <w:sz w:val="24"/>
          <w:szCs w:val="24"/>
        </w:rPr>
        <w:t xml:space="preserve"> </w:t>
      </w:r>
      <w:r w:rsidR="002C23DD" w:rsidRPr="009E6775">
        <w:rPr>
          <w:rFonts w:ascii="Times New Roman" w:hAnsi="Times New Roman" w:cs="Times New Roman"/>
          <w:sz w:val="24"/>
          <w:szCs w:val="24"/>
        </w:rPr>
        <w:t xml:space="preserve">IHL, </w:t>
      </w:r>
      <w:r w:rsidR="002C23DD" w:rsidRPr="009E6775">
        <w:rPr>
          <w:rFonts w:ascii="Times New Roman" w:hAnsi="Times New Roman" w:cs="Times New Roman"/>
          <w:sz w:val="24"/>
          <w:szCs w:val="24"/>
        </w:rPr>
        <w:lastRenderedPageBreak/>
        <w:t xml:space="preserve">IHRL and comparative public law. </w:t>
      </w:r>
      <w:r w:rsidRPr="009E6775">
        <w:rPr>
          <w:rFonts w:ascii="Times New Roman" w:hAnsi="Times New Roman" w:cs="Times New Roman"/>
          <w:sz w:val="24"/>
          <w:szCs w:val="24"/>
        </w:rPr>
        <w:t xml:space="preserve">Together </w:t>
      </w:r>
      <w:r w:rsidR="001E50B9" w:rsidRPr="009E6775">
        <w:rPr>
          <w:rFonts w:ascii="Times New Roman" w:hAnsi="Times New Roman" w:cs="Times New Roman"/>
          <w:sz w:val="24"/>
          <w:szCs w:val="24"/>
        </w:rPr>
        <w:t>with other recent cutting-edge monographs of liberal Israeli scholars,</w:t>
      </w:r>
      <w:r w:rsidR="001E50B9" w:rsidRPr="009E6775">
        <w:rPr>
          <w:rStyle w:val="aa"/>
          <w:rFonts w:ascii="Times New Roman" w:hAnsi="Times New Roman" w:cs="Times New Roman"/>
          <w:sz w:val="24"/>
          <w:szCs w:val="24"/>
        </w:rPr>
        <w:footnoteReference w:id="213"/>
      </w:r>
      <w:r w:rsidR="001E50B9" w:rsidRPr="009E6775">
        <w:rPr>
          <w:rFonts w:ascii="Times New Roman" w:hAnsi="Times New Roman" w:cs="Times New Roman"/>
          <w:sz w:val="24"/>
          <w:szCs w:val="24"/>
        </w:rPr>
        <w:t xml:space="preserve"> </w:t>
      </w:r>
      <w:r w:rsidRPr="009E6775">
        <w:rPr>
          <w:rFonts w:ascii="Times New Roman" w:hAnsi="Times New Roman" w:cs="Times New Roman"/>
          <w:sz w:val="24"/>
          <w:szCs w:val="24"/>
        </w:rPr>
        <w:t xml:space="preserve">it also </w:t>
      </w:r>
      <w:r w:rsidR="007D7704" w:rsidRPr="009E6775">
        <w:rPr>
          <w:rFonts w:ascii="Times New Roman" w:hAnsi="Times New Roman" w:cs="Times New Roman"/>
          <w:sz w:val="24"/>
          <w:szCs w:val="24"/>
        </w:rPr>
        <w:t>manifests</w:t>
      </w:r>
      <w:r w:rsidR="001E50B9" w:rsidRPr="009E6775">
        <w:rPr>
          <w:rFonts w:ascii="Times New Roman" w:hAnsi="Times New Roman" w:cs="Times New Roman"/>
          <w:sz w:val="24"/>
          <w:szCs w:val="24"/>
        </w:rPr>
        <w:t xml:space="preserve"> the vitality</w:t>
      </w:r>
      <w:r w:rsidR="007D7704" w:rsidRPr="009E6775">
        <w:rPr>
          <w:rFonts w:ascii="Times New Roman" w:hAnsi="Times New Roman" w:cs="Times New Roman"/>
          <w:sz w:val="24"/>
          <w:szCs w:val="24"/>
        </w:rPr>
        <w:t xml:space="preserve"> </w:t>
      </w:r>
      <w:r w:rsidR="001E50B9" w:rsidRPr="009E6775">
        <w:rPr>
          <w:rFonts w:ascii="Times New Roman" w:hAnsi="Times New Roman" w:cs="Times New Roman"/>
          <w:sz w:val="24"/>
          <w:szCs w:val="24"/>
        </w:rPr>
        <w:t xml:space="preserve">of the Israeli </w:t>
      </w:r>
      <w:r w:rsidR="007D7704" w:rsidRPr="009E6775">
        <w:rPr>
          <w:rFonts w:ascii="Times New Roman" w:hAnsi="Times New Roman" w:cs="Times New Roman"/>
          <w:sz w:val="24"/>
          <w:szCs w:val="24"/>
        </w:rPr>
        <w:t xml:space="preserve">legal </w:t>
      </w:r>
      <w:r w:rsidR="001E50B9" w:rsidRPr="009E6775">
        <w:rPr>
          <w:rFonts w:ascii="Times New Roman" w:hAnsi="Times New Roman" w:cs="Times New Roman"/>
          <w:sz w:val="24"/>
          <w:szCs w:val="24"/>
        </w:rPr>
        <w:t xml:space="preserve">scholars’ </w:t>
      </w:r>
      <w:r w:rsidR="007D7704" w:rsidRPr="009E6775">
        <w:rPr>
          <w:rFonts w:ascii="Times New Roman" w:hAnsi="Times New Roman" w:cs="Times New Roman"/>
          <w:sz w:val="24"/>
          <w:szCs w:val="24"/>
        </w:rPr>
        <w:t xml:space="preserve">enduring quest for the rule of law in their </w:t>
      </w:r>
      <w:r w:rsidR="00E86E83" w:rsidRPr="009E6775">
        <w:rPr>
          <w:rFonts w:ascii="Times New Roman" w:hAnsi="Times New Roman" w:cs="Times New Roman"/>
          <w:sz w:val="24"/>
          <w:szCs w:val="24"/>
        </w:rPr>
        <w:t>discursive</w:t>
      </w:r>
      <w:r w:rsidR="007D7704" w:rsidRPr="009E6775">
        <w:rPr>
          <w:rFonts w:ascii="Times New Roman" w:hAnsi="Times New Roman" w:cs="Times New Roman"/>
          <w:sz w:val="24"/>
          <w:szCs w:val="24"/>
        </w:rPr>
        <w:t xml:space="preserve"> </w:t>
      </w:r>
      <w:r w:rsidR="001E50B9" w:rsidRPr="009E6775">
        <w:rPr>
          <w:rFonts w:ascii="Times New Roman" w:hAnsi="Times New Roman" w:cs="Times New Roman"/>
          <w:sz w:val="24"/>
          <w:szCs w:val="24"/>
        </w:rPr>
        <w:t>critical</w:t>
      </w:r>
      <w:r w:rsidR="007D7704" w:rsidRPr="009E6775">
        <w:rPr>
          <w:rFonts w:ascii="Times New Roman" w:hAnsi="Times New Roman" w:cs="Times New Roman"/>
          <w:sz w:val="24"/>
          <w:szCs w:val="24"/>
        </w:rPr>
        <w:t xml:space="preserve"> mind.</w:t>
      </w:r>
    </w:p>
    <w:sectPr w:rsidR="00877E0C" w:rsidRPr="009E6775">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AFD25" w14:textId="77777777" w:rsidR="00967193" w:rsidRDefault="00967193" w:rsidP="00756808">
      <w:r>
        <w:separator/>
      </w:r>
    </w:p>
  </w:endnote>
  <w:endnote w:type="continuationSeparator" w:id="0">
    <w:p w14:paraId="1882BD11" w14:textId="77777777" w:rsidR="00967193" w:rsidRDefault="00967193" w:rsidP="0075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001145"/>
      <w:docPartObj>
        <w:docPartGallery w:val="Page Numbers (Bottom of Page)"/>
        <w:docPartUnique/>
      </w:docPartObj>
    </w:sdtPr>
    <w:sdtContent>
      <w:p w14:paraId="3AD09BA6" w14:textId="77777777" w:rsidR="00D0725B" w:rsidRDefault="00D0725B">
        <w:pPr>
          <w:pStyle w:val="a8"/>
          <w:jc w:val="center"/>
        </w:pPr>
        <w:r>
          <w:fldChar w:fldCharType="begin"/>
        </w:r>
        <w:r>
          <w:instrText>PAGE   \* MERGEFORMAT</w:instrText>
        </w:r>
        <w:r>
          <w:fldChar w:fldCharType="separate"/>
        </w:r>
        <w:r w:rsidRPr="009B476A">
          <w:rPr>
            <w:noProof/>
            <w:lang w:val="ja-JP"/>
          </w:rPr>
          <w:t>11</w:t>
        </w:r>
        <w:r>
          <w:fldChar w:fldCharType="end"/>
        </w:r>
      </w:p>
    </w:sdtContent>
  </w:sdt>
  <w:p w14:paraId="6FEFFE47" w14:textId="77777777" w:rsidR="00D0725B" w:rsidRDefault="00D0725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BCD5B" w14:textId="77777777" w:rsidR="00967193" w:rsidRDefault="00967193" w:rsidP="00756808">
      <w:r>
        <w:separator/>
      </w:r>
    </w:p>
  </w:footnote>
  <w:footnote w:type="continuationSeparator" w:id="0">
    <w:p w14:paraId="03ECC7A5" w14:textId="77777777" w:rsidR="00967193" w:rsidRDefault="00967193" w:rsidP="00756808">
      <w:r>
        <w:continuationSeparator/>
      </w:r>
    </w:p>
  </w:footnote>
  <w:footnote w:id="1">
    <w:p w14:paraId="5B439F0E" w14:textId="07322265" w:rsidR="004E5F74" w:rsidRPr="006B6544" w:rsidRDefault="004E5F74" w:rsidP="004E5F74">
      <w:pPr>
        <w:pStyle w:val="a4"/>
        <w:jc w:val="both"/>
        <w:rPr>
          <w:rFonts w:ascii="Times New Roman" w:hAnsi="Times New Roman"/>
          <w:sz w:val="20"/>
          <w:szCs w:val="20"/>
        </w:rPr>
      </w:pPr>
      <w:r w:rsidRPr="006B6544">
        <w:rPr>
          <w:rStyle w:val="aa"/>
          <w:rFonts w:ascii="Times New Roman" w:hAnsi="Times New Roman"/>
          <w:sz w:val="20"/>
          <w:szCs w:val="20"/>
        </w:rPr>
        <w:t>*</w:t>
      </w:r>
      <w:r w:rsidRPr="006B6544">
        <w:rPr>
          <w:rFonts w:ascii="Times New Roman" w:hAnsi="Times New Roman"/>
          <w:sz w:val="20"/>
          <w:szCs w:val="20"/>
        </w:rPr>
        <w:t xml:space="preserve"> Professor of International Human Rights Law, University of Kent, Brussels</w:t>
      </w:r>
      <w:r>
        <w:rPr>
          <w:rFonts w:ascii="Times New Roman" w:hAnsi="Times New Roman" w:hint="eastAsia"/>
          <w:sz w:val="20"/>
          <w:szCs w:val="20"/>
        </w:rPr>
        <w:t xml:space="preserve"> </w:t>
      </w:r>
      <w:r>
        <w:rPr>
          <w:rFonts w:ascii="Times New Roman" w:hAnsi="Times New Roman"/>
          <w:sz w:val="20"/>
          <w:szCs w:val="20"/>
        </w:rPr>
        <w:t>(BSIS), Belgium [y.arai@kent.ac.uk].</w:t>
      </w:r>
      <w:r w:rsidRPr="006B6544">
        <w:rPr>
          <w:rFonts w:ascii="Times New Roman" w:hAnsi="Times New Roman"/>
          <w:sz w:val="20"/>
          <w:szCs w:val="20"/>
        </w:rPr>
        <w:t xml:space="preserve"> Special thanks to Prof. </w:t>
      </w:r>
      <w:r>
        <w:rPr>
          <w:rFonts w:ascii="Times New Roman" w:hAnsi="Times New Roman"/>
          <w:sz w:val="20"/>
          <w:szCs w:val="20"/>
        </w:rPr>
        <w:t>Vaios Koutroulis for his valuable comments and suggestions on the earlier version of this paper</w:t>
      </w:r>
      <w:r w:rsidRPr="006B6544">
        <w:rPr>
          <w:rFonts w:ascii="Times New Roman" w:hAnsi="Times New Roman"/>
          <w:sz w:val="20"/>
          <w:szCs w:val="20"/>
        </w:rPr>
        <w:t>.</w:t>
      </w:r>
      <w:r w:rsidRPr="006B6544">
        <w:rPr>
          <w:rFonts w:ascii="Times New Roman" w:hAnsi="Times New Roman"/>
          <w:sz w:val="20"/>
          <w:szCs w:val="20"/>
          <w:lang w:val="en-CA"/>
        </w:rPr>
        <w:t xml:space="preserve"> </w:t>
      </w:r>
      <w:r>
        <w:rPr>
          <w:rFonts w:ascii="Times New Roman" w:hAnsi="Times New Roman"/>
          <w:sz w:val="20"/>
          <w:szCs w:val="20"/>
          <w:lang w:val="en-CA"/>
        </w:rPr>
        <w:t xml:space="preserve">This author attaches a disclaimer with regard to his research methodology in view of his lack of ability to read both Hebrew and Arabic texts, the ability that he considers essential for study of </w:t>
      </w:r>
      <w:proofErr w:type="gramStart"/>
      <w:r>
        <w:rPr>
          <w:rFonts w:ascii="Times New Roman" w:hAnsi="Times New Roman"/>
          <w:sz w:val="20"/>
          <w:szCs w:val="20"/>
          <w:lang w:val="en-CA"/>
        </w:rPr>
        <w:t>Arab-Israeli</w:t>
      </w:r>
      <w:proofErr w:type="gramEnd"/>
      <w:r>
        <w:rPr>
          <w:rFonts w:ascii="Times New Roman" w:hAnsi="Times New Roman"/>
          <w:sz w:val="20"/>
          <w:szCs w:val="20"/>
          <w:lang w:val="en-CA"/>
        </w:rPr>
        <w:t xml:space="preserve"> conflicts.</w:t>
      </w:r>
    </w:p>
  </w:footnote>
  <w:footnote w:id="2">
    <w:p w14:paraId="6CE937AE" w14:textId="6081E5A4"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337/71, </w:t>
      </w:r>
      <w:r w:rsidRPr="009E6775">
        <w:rPr>
          <w:rFonts w:ascii="Times New Roman" w:hAnsi="Times New Roman"/>
          <w:i/>
          <w:iCs/>
          <w:sz w:val="20"/>
          <w:szCs w:val="20"/>
        </w:rPr>
        <w:t>The Christian Society for the Holy Places v. Minister of Defense</w:t>
      </w:r>
      <w:r w:rsidRPr="009E6775">
        <w:rPr>
          <w:rFonts w:ascii="Times New Roman" w:hAnsi="Times New Roman"/>
          <w:sz w:val="20"/>
          <w:szCs w:val="20"/>
        </w:rPr>
        <w:t>, (1971) 26(1) PD 574.</w:t>
      </w:r>
    </w:p>
  </w:footnote>
  <w:footnote w:id="3">
    <w:p w14:paraId="5D1C99E5" w14:textId="41F4C5CA"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S. Weil, </w:t>
      </w:r>
      <w:r w:rsidRPr="009E6775">
        <w:rPr>
          <w:rFonts w:ascii="Times New Roman" w:hAnsi="Times New Roman"/>
          <w:i/>
          <w:iCs/>
          <w:sz w:val="20"/>
          <w:szCs w:val="20"/>
        </w:rPr>
        <w:t xml:space="preserve">The Role of National Courts in Applying International Humanitarian Law, </w:t>
      </w:r>
      <w:r w:rsidRPr="009E6775">
        <w:rPr>
          <w:rFonts w:ascii="Times New Roman" w:hAnsi="Times New Roman"/>
          <w:sz w:val="20"/>
          <w:szCs w:val="20"/>
        </w:rPr>
        <w:t>(Oxford:  OUP, 2014) at 19.</w:t>
      </w:r>
    </w:p>
  </w:footnote>
  <w:footnote w:id="4">
    <w:p w14:paraId="15812E29" w14:textId="299E2546"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68226F" w:rsidRPr="009E6775">
        <w:rPr>
          <w:rFonts w:ascii="Times New Roman" w:hAnsi="Times New Roman"/>
          <w:sz w:val="20"/>
          <w:szCs w:val="20"/>
        </w:rPr>
        <w:t xml:space="preserve">D. </w:t>
      </w:r>
      <w:r w:rsidRPr="009E6775">
        <w:rPr>
          <w:rFonts w:ascii="Times New Roman" w:hAnsi="Times New Roman"/>
          <w:sz w:val="20"/>
          <w:szCs w:val="20"/>
        </w:rPr>
        <w:t xml:space="preserve">Kretzmer and </w:t>
      </w:r>
      <w:r w:rsidR="0068226F" w:rsidRPr="009E6775">
        <w:rPr>
          <w:rFonts w:ascii="Times New Roman" w:hAnsi="Times New Roman"/>
          <w:sz w:val="20"/>
          <w:szCs w:val="20"/>
        </w:rPr>
        <w:t xml:space="preserve">Y. </w:t>
      </w:r>
      <w:r w:rsidRPr="009E6775">
        <w:rPr>
          <w:rFonts w:ascii="Times New Roman" w:hAnsi="Times New Roman"/>
          <w:sz w:val="20"/>
          <w:szCs w:val="20"/>
        </w:rPr>
        <w:t xml:space="preserve">Ronen, </w:t>
      </w:r>
      <w:r w:rsidR="0068226F" w:rsidRPr="009E6775">
        <w:rPr>
          <w:rFonts w:ascii="Times New Roman" w:hAnsi="Times New Roman"/>
          <w:bCs/>
          <w:i/>
          <w:iCs/>
          <w:sz w:val="20"/>
          <w:szCs w:val="20"/>
        </w:rPr>
        <w:t>The Occupation of Justice</w:t>
      </w:r>
      <w:r w:rsidR="00061148" w:rsidRPr="009E6775">
        <w:rPr>
          <w:rFonts w:ascii="Times New Roman" w:hAnsi="Times New Roman"/>
          <w:bCs/>
          <w:sz w:val="20"/>
          <w:szCs w:val="20"/>
        </w:rPr>
        <w:t xml:space="preserve">, </w:t>
      </w:r>
      <w:r w:rsidR="0068226F" w:rsidRPr="009E6775">
        <w:rPr>
          <w:rFonts w:ascii="Times New Roman" w:hAnsi="Times New Roman"/>
          <w:bCs/>
          <w:sz w:val="20"/>
          <w:szCs w:val="20"/>
        </w:rPr>
        <w:t>2</w:t>
      </w:r>
      <w:r w:rsidR="0068226F" w:rsidRPr="009E6775">
        <w:rPr>
          <w:rFonts w:ascii="Times New Roman" w:hAnsi="Times New Roman"/>
          <w:bCs/>
          <w:sz w:val="20"/>
          <w:szCs w:val="20"/>
          <w:vertAlign w:val="superscript"/>
        </w:rPr>
        <w:t>nd</w:t>
      </w:r>
      <w:r w:rsidR="0068226F" w:rsidRPr="009E6775">
        <w:rPr>
          <w:rFonts w:ascii="Times New Roman" w:hAnsi="Times New Roman"/>
          <w:bCs/>
          <w:sz w:val="20"/>
          <w:szCs w:val="20"/>
        </w:rPr>
        <w:t xml:space="preserve"> ed., (2021), </w:t>
      </w:r>
      <w:r w:rsidRPr="009E6775">
        <w:rPr>
          <w:rFonts w:ascii="Times New Roman" w:hAnsi="Times New Roman"/>
          <w:sz w:val="20"/>
          <w:szCs w:val="20"/>
        </w:rPr>
        <w:t xml:space="preserve">at 51. See also G. Harpaz and Y. Shany, ‘The Israeli Supreme Court and the Incremental Expansion of the Scope of Discretion under Belligerent Occupation’, (2010) 43 </w:t>
      </w:r>
      <w:r w:rsidRPr="009E6775">
        <w:rPr>
          <w:rFonts w:ascii="Times New Roman" w:hAnsi="Times New Roman"/>
          <w:i/>
          <w:iCs/>
          <w:sz w:val="20"/>
          <w:szCs w:val="20"/>
        </w:rPr>
        <w:t xml:space="preserve">Israel Law Review </w:t>
      </w:r>
      <w:r w:rsidRPr="009E6775">
        <w:rPr>
          <w:rFonts w:ascii="Times New Roman" w:hAnsi="Times New Roman"/>
          <w:sz w:val="20"/>
          <w:szCs w:val="20"/>
        </w:rPr>
        <w:t xml:space="preserve">514 at 514; Weil, </w:t>
      </w:r>
      <w:proofErr w:type="gramStart"/>
      <w:r w:rsidRPr="009E6775">
        <w:rPr>
          <w:rFonts w:ascii="Times New Roman" w:hAnsi="Times New Roman"/>
          <w:i/>
          <w:iCs/>
          <w:sz w:val="20"/>
          <w:szCs w:val="20"/>
        </w:rPr>
        <w:t>ibid.,</w:t>
      </w:r>
      <w:r w:rsidRPr="009E6775">
        <w:rPr>
          <w:rFonts w:ascii="Times New Roman" w:hAnsi="Times New Roman"/>
          <w:sz w:val="20"/>
          <w:szCs w:val="20"/>
        </w:rPr>
        <w:t>at</w:t>
      </w:r>
      <w:proofErr w:type="gramEnd"/>
      <w:r w:rsidRPr="009E6775">
        <w:rPr>
          <w:rFonts w:ascii="Times New Roman" w:hAnsi="Times New Roman"/>
          <w:sz w:val="20"/>
          <w:szCs w:val="20"/>
        </w:rPr>
        <w:t xml:space="preserve"> 18-20. </w:t>
      </w:r>
    </w:p>
  </w:footnote>
  <w:footnote w:id="5">
    <w:p w14:paraId="031FB3FA" w14:textId="3B5F74D5" w:rsidR="00030B23" w:rsidRPr="009E6775" w:rsidRDefault="00030B23"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w:t>
      </w:r>
      <w:r w:rsidR="0070225B" w:rsidRPr="009E6775">
        <w:rPr>
          <w:rFonts w:ascii="Times New Roman" w:hAnsi="Times New Roman"/>
          <w:sz w:val="20"/>
          <w:szCs w:val="20"/>
        </w:rPr>
        <w:t>, ibid.</w:t>
      </w:r>
      <w:r w:rsidRPr="009E6775">
        <w:rPr>
          <w:rFonts w:ascii="Times New Roman" w:hAnsi="Times New Roman"/>
          <w:sz w:val="20"/>
          <w:szCs w:val="20"/>
        </w:rPr>
        <w:t>, at 25-26, 213-214, 220, 256, and 513.</w:t>
      </w:r>
    </w:p>
  </w:footnote>
  <w:footnote w:id="6">
    <w:p w14:paraId="4F98BA67" w14:textId="34BF5D3C"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B84BA2" w:rsidRPr="009E6775">
        <w:rPr>
          <w:rFonts w:ascii="Times New Roman" w:hAnsi="Times New Roman"/>
          <w:sz w:val="20"/>
          <w:szCs w:val="20"/>
        </w:rPr>
        <w:t>Kretzmer and Ronen</w:t>
      </w:r>
      <w:r w:rsidRPr="009E6775">
        <w:rPr>
          <w:rFonts w:ascii="Times New Roman" w:hAnsi="Times New Roman"/>
          <w:sz w:val="20"/>
          <w:szCs w:val="20"/>
        </w:rPr>
        <w:t xml:space="preserve">, </w:t>
      </w:r>
      <w:r w:rsidR="00B84BA2" w:rsidRPr="009E6775">
        <w:rPr>
          <w:rFonts w:ascii="Times New Roman" w:hAnsi="Times New Roman"/>
          <w:sz w:val="20"/>
          <w:szCs w:val="20"/>
        </w:rPr>
        <w:t>supra n</w:t>
      </w:r>
      <w:r w:rsidR="00EA7F43" w:rsidRPr="009E6775">
        <w:rPr>
          <w:rFonts w:ascii="Times New Roman" w:hAnsi="Times New Roman"/>
          <w:sz w:val="20"/>
          <w:szCs w:val="20"/>
        </w:rPr>
        <w:t>ote 3,</w:t>
      </w:r>
      <w:r w:rsidR="00B84BA2" w:rsidRPr="009E6775">
        <w:rPr>
          <w:rFonts w:ascii="Times New Roman" w:hAnsi="Times New Roman"/>
          <w:sz w:val="20"/>
          <w:szCs w:val="20"/>
        </w:rPr>
        <w:t xml:space="preserve"> a</w:t>
      </w:r>
      <w:r w:rsidRPr="009E6775">
        <w:rPr>
          <w:rFonts w:ascii="Times New Roman" w:hAnsi="Times New Roman"/>
          <w:sz w:val="20"/>
          <w:szCs w:val="20"/>
        </w:rPr>
        <w:t>t 29.</w:t>
      </w:r>
    </w:p>
    <w:p w14:paraId="2C68A954" w14:textId="77777777" w:rsidR="00CB55E7" w:rsidRPr="009E6775" w:rsidRDefault="00CB55E7" w:rsidP="008918A0">
      <w:pPr>
        <w:pStyle w:val="a4"/>
        <w:jc w:val="both"/>
        <w:rPr>
          <w:rFonts w:ascii="Times New Roman" w:hAnsi="Times New Roman"/>
          <w:sz w:val="20"/>
          <w:szCs w:val="20"/>
        </w:rPr>
      </w:pPr>
    </w:p>
  </w:footnote>
  <w:footnote w:id="7">
    <w:p w14:paraId="6D35CFAC" w14:textId="2B9234DC"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See, for instance, HCJ 302/72, </w:t>
      </w:r>
      <w:r w:rsidRPr="009E6775">
        <w:rPr>
          <w:rFonts w:ascii="Times New Roman" w:hAnsi="Times New Roman"/>
          <w:i/>
          <w:iCs/>
          <w:sz w:val="20"/>
          <w:szCs w:val="20"/>
        </w:rPr>
        <w:t>Abu Hilou et al v. Government of Israel,</w:t>
      </w:r>
      <w:r w:rsidRPr="009E6775">
        <w:rPr>
          <w:rFonts w:ascii="Times New Roman" w:hAnsi="Times New Roman"/>
          <w:sz w:val="20"/>
          <w:szCs w:val="20"/>
        </w:rPr>
        <w:t xml:space="preserve"> (1972) 27(2) PD 169, 176.</w:t>
      </w:r>
    </w:p>
  </w:footnote>
  <w:footnote w:id="8">
    <w:p w14:paraId="40F94EA6" w14:textId="066A40BB"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Pr="009E6775">
        <w:rPr>
          <w:rFonts w:ascii="Times New Roman" w:hAnsi="Times New Roman"/>
          <w:i/>
          <w:iCs/>
          <w:sz w:val="20"/>
          <w:szCs w:val="20"/>
        </w:rPr>
        <w:t>The Christian Society for the Holy Places</w:t>
      </w:r>
      <w:r w:rsidRPr="009E6775">
        <w:rPr>
          <w:rFonts w:ascii="Times New Roman" w:hAnsi="Times New Roman"/>
          <w:sz w:val="20"/>
          <w:szCs w:val="20"/>
        </w:rPr>
        <w:t xml:space="preserve">, </w:t>
      </w:r>
      <w:r w:rsidRPr="009E6775">
        <w:rPr>
          <w:rFonts w:ascii="Times New Roman" w:hAnsi="Times New Roman"/>
          <w:i/>
          <w:iCs/>
          <w:sz w:val="20"/>
          <w:szCs w:val="20"/>
        </w:rPr>
        <w:t>supra</w:t>
      </w:r>
      <w:r w:rsidRPr="009E6775">
        <w:rPr>
          <w:rFonts w:ascii="Times New Roman" w:hAnsi="Times New Roman"/>
          <w:sz w:val="20"/>
          <w:szCs w:val="20"/>
        </w:rPr>
        <w:t xml:space="preserve"> n. 1.</w:t>
      </w:r>
    </w:p>
  </w:footnote>
  <w:footnote w:id="9">
    <w:p w14:paraId="40983F57" w14:textId="77777777"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8276/05, </w:t>
      </w:r>
      <w:r w:rsidRPr="009E6775">
        <w:rPr>
          <w:rFonts w:ascii="Times New Roman" w:hAnsi="Times New Roman"/>
          <w:i/>
          <w:iCs/>
          <w:sz w:val="20"/>
          <w:szCs w:val="20"/>
        </w:rPr>
        <w:t xml:space="preserve">Adalah – The Legal Center for Arab Minority Rights in Israel v. Minister of Defence </w:t>
      </w:r>
      <w:r w:rsidRPr="009E6775">
        <w:rPr>
          <w:rFonts w:ascii="Times New Roman" w:hAnsi="Times New Roman"/>
          <w:sz w:val="20"/>
          <w:szCs w:val="20"/>
        </w:rPr>
        <w:t>(12 Dec 2006) (Chief Justice Barak holding that the occupying authorities had the duty to safeguard the rights under the Basic Law in the area under their effective control, but that while the Israelis enjoyed such a constitutional safeguard, the Palestinians should be seen as beneficiaries of international law).</w:t>
      </w:r>
    </w:p>
  </w:footnote>
  <w:footnote w:id="10">
    <w:p w14:paraId="2BC2D55B" w14:textId="19F85A12"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70225B" w:rsidRPr="009E6775">
        <w:rPr>
          <w:rFonts w:ascii="Times New Roman" w:hAnsi="Times New Roman"/>
          <w:sz w:val="20"/>
          <w:szCs w:val="20"/>
        </w:rPr>
        <w:t xml:space="preserve">supra note 3, </w:t>
      </w:r>
      <w:r w:rsidRPr="009E6775">
        <w:rPr>
          <w:rFonts w:ascii="Times New Roman" w:hAnsi="Times New Roman"/>
          <w:sz w:val="20"/>
          <w:szCs w:val="20"/>
        </w:rPr>
        <w:t>at 102-103.</w:t>
      </w:r>
    </w:p>
  </w:footnote>
  <w:footnote w:id="11">
    <w:p w14:paraId="6C7FDB59" w14:textId="77777777"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2722/92, </w:t>
      </w:r>
      <w:r w:rsidRPr="009E6775">
        <w:rPr>
          <w:rFonts w:ascii="Times New Roman" w:hAnsi="Times New Roman"/>
          <w:i/>
          <w:iCs/>
          <w:sz w:val="20"/>
          <w:szCs w:val="20"/>
        </w:rPr>
        <w:t>Al</w:t>
      </w:r>
      <w:proofErr w:type="gramStart"/>
      <w:r w:rsidRPr="009E6775">
        <w:rPr>
          <w:rFonts w:ascii="Times New Roman" w:hAnsi="Times New Roman"/>
          <w:i/>
          <w:iCs/>
          <w:sz w:val="20"/>
          <w:szCs w:val="20"/>
        </w:rPr>
        <w:t>-‘</w:t>
      </w:r>
      <w:proofErr w:type="gramEnd"/>
      <w:r w:rsidRPr="009E6775">
        <w:rPr>
          <w:rFonts w:ascii="Times New Roman" w:hAnsi="Times New Roman"/>
          <w:i/>
          <w:iCs/>
          <w:sz w:val="20"/>
          <w:szCs w:val="20"/>
        </w:rPr>
        <w:t xml:space="preserve">Amarin v. IDF Commander in the Gaza Strip </w:t>
      </w:r>
      <w:r w:rsidRPr="009E6775">
        <w:rPr>
          <w:rFonts w:ascii="Times New Roman" w:hAnsi="Times New Roman"/>
          <w:sz w:val="20"/>
          <w:szCs w:val="20"/>
        </w:rPr>
        <w:t>(4 June 1992).</w:t>
      </w:r>
    </w:p>
  </w:footnote>
  <w:footnote w:id="12">
    <w:p w14:paraId="000ED6A1" w14:textId="77777777"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10356/02, </w:t>
      </w:r>
      <w:r w:rsidRPr="009E6775">
        <w:rPr>
          <w:rFonts w:ascii="Times New Roman" w:hAnsi="Times New Roman"/>
          <w:i/>
          <w:iCs/>
          <w:sz w:val="20"/>
          <w:szCs w:val="20"/>
        </w:rPr>
        <w:t xml:space="preserve">Haas v. IDF Commander in the West Bank </w:t>
      </w:r>
      <w:r w:rsidRPr="009E6775">
        <w:rPr>
          <w:rFonts w:ascii="Times New Roman" w:hAnsi="Times New Roman"/>
          <w:sz w:val="20"/>
          <w:szCs w:val="20"/>
        </w:rPr>
        <w:t>(3 March 2004), paras, 14, 15, para 16 heading, 21.</w:t>
      </w:r>
    </w:p>
  </w:footnote>
  <w:footnote w:id="13">
    <w:p w14:paraId="544C842D" w14:textId="77777777"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1890/03, </w:t>
      </w:r>
      <w:r w:rsidRPr="009E6775">
        <w:rPr>
          <w:rFonts w:ascii="Times New Roman" w:hAnsi="Times New Roman"/>
          <w:i/>
          <w:iCs/>
          <w:sz w:val="20"/>
          <w:szCs w:val="20"/>
        </w:rPr>
        <w:t xml:space="preserve">Bethlehem Municipality v. State of Israel </w:t>
      </w:r>
      <w:r w:rsidRPr="009E6775">
        <w:rPr>
          <w:rFonts w:ascii="Times New Roman" w:hAnsi="Times New Roman"/>
          <w:sz w:val="20"/>
          <w:szCs w:val="20"/>
        </w:rPr>
        <w:t>(3 Feb 2005).</w:t>
      </w:r>
    </w:p>
  </w:footnote>
  <w:footnote w:id="14">
    <w:p w14:paraId="16779A34" w14:textId="1FF023F5"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70225B" w:rsidRPr="009E6775">
        <w:rPr>
          <w:rFonts w:ascii="Times New Roman" w:hAnsi="Times New Roman"/>
          <w:sz w:val="20"/>
          <w:szCs w:val="20"/>
        </w:rPr>
        <w:t xml:space="preserve">supra note 3, </w:t>
      </w:r>
      <w:r w:rsidRPr="009E6775">
        <w:rPr>
          <w:rFonts w:ascii="Times New Roman" w:hAnsi="Times New Roman"/>
          <w:sz w:val="20"/>
          <w:szCs w:val="20"/>
        </w:rPr>
        <w:t>at 103.</w:t>
      </w:r>
    </w:p>
  </w:footnote>
  <w:footnote w:id="15">
    <w:p w14:paraId="05637491" w14:textId="77777777"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See the cases cited in ibid, n. 24, that is, HCJ 10467/0, Sharabati v Commander of the Home Front Command (15 Dec 2003); HCJ 8084/02, ‘Abassi v. Commander of the Home Front Command (5 Jan 2003); HCJ 6288/03, S’aada v. Commander of the Home Front Command (27 Nov 2003).</w:t>
      </w:r>
    </w:p>
  </w:footnote>
  <w:footnote w:id="16">
    <w:p w14:paraId="537B9094" w14:textId="6A42D86B"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As Dinstein notes, this annexation is unlawful: </w:t>
      </w:r>
      <w:r w:rsidR="00982E60" w:rsidRPr="009E6775">
        <w:rPr>
          <w:rFonts w:ascii="Times New Roman" w:hAnsi="Times New Roman"/>
          <w:sz w:val="20"/>
          <w:szCs w:val="20"/>
        </w:rPr>
        <w:t xml:space="preserve">Y. Dinstein, </w:t>
      </w:r>
      <w:r w:rsidR="00982E60" w:rsidRPr="009E6775">
        <w:rPr>
          <w:rFonts w:ascii="Times New Roman" w:hAnsi="Times New Roman"/>
          <w:i/>
          <w:iCs/>
          <w:sz w:val="20"/>
          <w:szCs w:val="20"/>
        </w:rPr>
        <w:t>The International Law of Belligerent Occupation</w:t>
      </w:r>
      <w:r w:rsidR="00982E60" w:rsidRPr="009E6775">
        <w:rPr>
          <w:rFonts w:ascii="Times New Roman" w:hAnsi="Times New Roman"/>
          <w:sz w:val="20"/>
          <w:szCs w:val="20"/>
        </w:rPr>
        <w:t xml:space="preserve">, (Cambridge:  CUP, 2009), </w:t>
      </w:r>
      <w:r w:rsidRPr="009E6775">
        <w:rPr>
          <w:rFonts w:ascii="Times New Roman" w:hAnsi="Times New Roman"/>
          <w:sz w:val="20"/>
          <w:szCs w:val="20"/>
        </w:rPr>
        <w:t xml:space="preserve">at 19, para. 45. </w:t>
      </w:r>
    </w:p>
  </w:footnote>
  <w:footnote w:id="17">
    <w:p w14:paraId="4666568E" w14:textId="5FBC3A46"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70225B" w:rsidRPr="009E6775">
        <w:rPr>
          <w:rFonts w:ascii="Times New Roman" w:hAnsi="Times New Roman"/>
          <w:sz w:val="20"/>
          <w:szCs w:val="20"/>
        </w:rPr>
        <w:t xml:space="preserve">supra note 3, </w:t>
      </w:r>
      <w:r w:rsidRPr="009E6775">
        <w:rPr>
          <w:rFonts w:ascii="Times New Roman" w:hAnsi="Times New Roman"/>
          <w:sz w:val="20"/>
          <w:szCs w:val="20"/>
        </w:rPr>
        <w:t>at 103.</w:t>
      </w:r>
    </w:p>
  </w:footnote>
  <w:footnote w:id="18">
    <w:p w14:paraId="5F1368CA" w14:textId="493673B0"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70225B" w:rsidRPr="009E6775">
        <w:rPr>
          <w:rFonts w:ascii="Times New Roman" w:hAnsi="Times New Roman"/>
          <w:sz w:val="20"/>
          <w:szCs w:val="20"/>
        </w:rPr>
        <w:t xml:space="preserve">ibid, </w:t>
      </w:r>
      <w:r w:rsidRPr="009E6775">
        <w:rPr>
          <w:rFonts w:ascii="Times New Roman" w:hAnsi="Times New Roman"/>
          <w:sz w:val="20"/>
          <w:szCs w:val="20"/>
        </w:rPr>
        <w:t>at 103.</w:t>
      </w:r>
    </w:p>
  </w:footnote>
  <w:footnote w:id="19">
    <w:p w14:paraId="06A7FA1C" w14:textId="77777777"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Email from Prof. Yael Ronen, 30 September 2021 (case on this author’s file).</w:t>
      </w:r>
    </w:p>
  </w:footnote>
  <w:footnote w:id="20">
    <w:p w14:paraId="7532A6C9" w14:textId="77777777"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1661/05, </w:t>
      </w:r>
      <w:r w:rsidRPr="009E6775">
        <w:rPr>
          <w:rFonts w:ascii="Times New Roman" w:hAnsi="Times New Roman"/>
          <w:i/>
          <w:iCs/>
          <w:sz w:val="20"/>
          <w:szCs w:val="20"/>
        </w:rPr>
        <w:t xml:space="preserve">Gaza Coast Regional Council v. Knesset of Israel </w:t>
      </w:r>
      <w:r w:rsidRPr="009E6775">
        <w:rPr>
          <w:rFonts w:ascii="Times New Roman" w:hAnsi="Times New Roman"/>
          <w:sz w:val="20"/>
          <w:szCs w:val="20"/>
        </w:rPr>
        <w:t>(9 June 2005), paras 126-128.</w:t>
      </w:r>
    </w:p>
  </w:footnote>
  <w:footnote w:id="21">
    <w:p w14:paraId="33356A13" w14:textId="77777777" w:rsidR="00325D6C" w:rsidRPr="009E6775" w:rsidRDefault="00325D6C" w:rsidP="008918A0">
      <w:pPr>
        <w:pStyle w:val="a4"/>
        <w:jc w:val="both"/>
        <w:rPr>
          <w:rFonts w:ascii="Times New Roman" w:hAnsi="Times New Roman"/>
          <w:sz w:val="20"/>
          <w:szCs w:val="20"/>
          <w:lang w:val="nl-BE"/>
        </w:rPr>
      </w:pPr>
      <w:r w:rsidRPr="009E6775">
        <w:rPr>
          <w:rStyle w:val="aa"/>
          <w:rFonts w:ascii="Times New Roman" w:hAnsi="Times New Roman"/>
          <w:sz w:val="20"/>
          <w:szCs w:val="20"/>
        </w:rPr>
        <w:footnoteRef/>
      </w:r>
      <w:r w:rsidRPr="009E6775">
        <w:rPr>
          <w:rFonts w:ascii="Times New Roman" w:hAnsi="Times New Roman"/>
          <w:sz w:val="20"/>
          <w:szCs w:val="20"/>
          <w:lang w:val="nl-BE"/>
        </w:rPr>
        <w:t xml:space="preserve"> </w:t>
      </w:r>
      <w:r w:rsidRPr="009E6775">
        <w:rPr>
          <w:rFonts w:ascii="Times New Roman" w:hAnsi="Times New Roman"/>
          <w:sz w:val="20"/>
          <w:szCs w:val="20"/>
          <w:lang w:val="nl-BE"/>
        </w:rPr>
        <w:t xml:space="preserve">HCJ 7957/04, </w:t>
      </w:r>
      <w:r w:rsidRPr="009E6775">
        <w:rPr>
          <w:rFonts w:ascii="Times New Roman" w:hAnsi="Times New Roman"/>
          <w:i/>
          <w:iCs/>
          <w:sz w:val="20"/>
          <w:szCs w:val="20"/>
          <w:lang w:val="nl-BE"/>
        </w:rPr>
        <w:t>Mara’abe et al. v. Israel Prime Minister et al</w:t>
      </w:r>
      <w:r w:rsidRPr="009E6775">
        <w:rPr>
          <w:rFonts w:ascii="Times New Roman" w:hAnsi="Times New Roman"/>
          <w:sz w:val="20"/>
          <w:szCs w:val="20"/>
          <w:lang w:val="nl-BE"/>
        </w:rPr>
        <w:t>, (15 September 2005).</w:t>
      </w:r>
    </w:p>
  </w:footnote>
  <w:footnote w:id="22">
    <w:p w14:paraId="23333AE3" w14:textId="228C8EEE" w:rsidR="00325D6C" w:rsidRPr="009E6775" w:rsidRDefault="00325D6C" w:rsidP="008918A0">
      <w:pPr>
        <w:pStyle w:val="1"/>
        <w:shd w:val="clear" w:color="auto" w:fill="FFFFFF"/>
        <w:spacing w:line="310" w:lineRule="atLeast"/>
        <w:jc w:val="both"/>
        <w:textAlignment w:val="baseline"/>
        <w:rPr>
          <w:rFonts w:ascii="Times New Roman" w:hAnsi="Times New Roman" w:cs="Times New Roman"/>
          <w:b w:val="0"/>
          <w:bCs w:val="0"/>
          <w:sz w:val="20"/>
          <w:szCs w:val="20"/>
        </w:rPr>
      </w:pPr>
      <w:r w:rsidRPr="009E6775">
        <w:rPr>
          <w:rStyle w:val="aa"/>
          <w:rFonts w:ascii="Times New Roman" w:hAnsi="Times New Roman" w:cs="Times New Roman"/>
          <w:b w:val="0"/>
          <w:bCs w:val="0"/>
          <w:sz w:val="20"/>
          <w:szCs w:val="20"/>
        </w:rPr>
        <w:footnoteRef/>
      </w:r>
      <w:r w:rsidRPr="009E6775">
        <w:rPr>
          <w:rFonts w:ascii="Times New Roman" w:hAnsi="Times New Roman" w:cs="Times New Roman"/>
          <w:b w:val="0"/>
          <w:bCs w:val="0"/>
          <w:sz w:val="20"/>
          <w:szCs w:val="20"/>
        </w:rPr>
        <w:t xml:space="preserve"> Kretzmer and Ronen, </w:t>
      </w:r>
      <w:r w:rsidR="0070225B" w:rsidRPr="009E6775">
        <w:rPr>
          <w:rFonts w:ascii="Times New Roman" w:hAnsi="Times New Roman" w:cs="Times New Roman"/>
          <w:b w:val="0"/>
          <w:bCs w:val="0"/>
          <w:sz w:val="20"/>
          <w:szCs w:val="20"/>
        </w:rPr>
        <w:t xml:space="preserve">supra note 3, </w:t>
      </w:r>
      <w:r w:rsidRPr="009E6775">
        <w:rPr>
          <w:rFonts w:ascii="Times New Roman" w:hAnsi="Times New Roman" w:cs="Times New Roman"/>
          <w:b w:val="0"/>
          <w:bCs w:val="0"/>
          <w:sz w:val="20"/>
          <w:szCs w:val="20"/>
        </w:rPr>
        <w:t>at 247-252. Compare, Harpaz and Shany, supra n</w:t>
      </w:r>
      <w:r w:rsidR="0070225B" w:rsidRPr="009E6775">
        <w:rPr>
          <w:rFonts w:ascii="Times New Roman" w:hAnsi="Times New Roman" w:cs="Times New Roman"/>
          <w:b w:val="0"/>
          <w:bCs w:val="0"/>
          <w:sz w:val="20"/>
          <w:szCs w:val="20"/>
        </w:rPr>
        <w:t xml:space="preserve">ote </w:t>
      </w:r>
      <w:r w:rsidRPr="009E6775">
        <w:rPr>
          <w:rFonts w:ascii="Times New Roman" w:hAnsi="Times New Roman" w:cs="Times New Roman"/>
          <w:b w:val="0"/>
          <w:bCs w:val="0"/>
          <w:sz w:val="20"/>
          <w:szCs w:val="20"/>
        </w:rPr>
        <w:t>3.</w:t>
      </w:r>
    </w:p>
  </w:footnote>
  <w:footnote w:id="23">
    <w:p w14:paraId="29492717" w14:textId="21C242DD"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70225B" w:rsidRPr="009E6775">
        <w:rPr>
          <w:rFonts w:ascii="Times New Roman" w:hAnsi="Times New Roman"/>
          <w:sz w:val="20"/>
          <w:szCs w:val="20"/>
        </w:rPr>
        <w:t xml:space="preserve">supra note 3, </w:t>
      </w:r>
      <w:r w:rsidRPr="009E6775">
        <w:rPr>
          <w:rFonts w:ascii="Times New Roman" w:hAnsi="Times New Roman"/>
          <w:sz w:val="20"/>
          <w:szCs w:val="20"/>
        </w:rPr>
        <w:t>at 110.</w:t>
      </w:r>
    </w:p>
  </w:footnote>
  <w:footnote w:id="24">
    <w:p w14:paraId="766D6403" w14:textId="77777777"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5488/04, </w:t>
      </w:r>
      <w:r w:rsidRPr="009E6775">
        <w:rPr>
          <w:rFonts w:ascii="Times New Roman" w:hAnsi="Times New Roman"/>
          <w:i/>
          <w:iCs/>
          <w:sz w:val="20"/>
          <w:szCs w:val="20"/>
        </w:rPr>
        <w:t xml:space="preserve">Al-Ram v. Government of Israel </w:t>
      </w:r>
      <w:r w:rsidRPr="009E6775">
        <w:rPr>
          <w:rFonts w:ascii="Times New Roman" w:hAnsi="Times New Roman"/>
          <w:sz w:val="20"/>
          <w:szCs w:val="20"/>
        </w:rPr>
        <w:t>(13 Dec 2006).</w:t>
      </w:r>
    </w:p>
  </w:footnote>
  <w:footnote w:id="25">
    <w:p w14:paraId="5DA2ABF1" w14:textId="5E493C42"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70225B" w:rsidRPr="009E6775">
        <w:rPr>
          <w:rFonts w:ascii="Times New Roman" w:hAnsi="Times New Roman"/>
          <w:sz w:val="20"/>
          <w:szCs w:val="20"/>
        </w:rPr>
        <w:t xml:space="preserve">supra </w:t>
      </w:r>
      <w:proofErr w:type="gramStart"/>
      <w:r w:rsidR="0070225B" w:rsidRPr="009E6775">
        <w:rPr>
          <w:rFonts w:ascii="Times New Roman" w:hAnsi="Times New Roman"/>
          <w:sz w:val="20"/>
          <w:szCs w:val="20"/>
        </w:rPr>
        <w:t>note ,</w:t>
      </w:r>
      <w:proofErr w:type="gramEnd"/>
      <w:r w:rsidR="0070225B" w:rsidRPr="009E6775">
        <w:rPr>
          <w:rFonts w:ascii="Times New Roman" w:hAnsi="Times New Roman"/>
          <w:sz w:val="20"/>
          <w:szCs w:val="20"/>
        </w:rPr>
        <w:t xml:space="preserve"> at</w:t>
      </w:r>
      <w:r w:rsidRPr="009E6775">
        <w:rPr>
          <w:rFonts w:ascii="Times New Roman" w:hAnsi="Times New Roman"/>
          <w:sz w:val="20"/>
          <w:szCs w:val="20"/>
        </w:rPr>
        <w:t xml:space="preserve"> 105-109.</w:t>
      </w:r>
    </w:p>
  </w:footnote>
  <w:footnote w:id="26">
    <w:p w14:paraId="44AB2946" w14:textId="77777777"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7957/04, </w:t>
      </w:r>
      <w:r w:rsidRPr="009E6775">
        <w:rPr>
          <w:rFonts w:ascii="Times New Roman" w:hAnsi="Times New Roman"/>
          <w:i/>
          <w:iCs/>
          <w:sz w:val="20"/>
          <w:szCs w:val="20"/>
        </w:rPr>
        <w:t>Mara’abe et al. v. Israel Prime Minister et al</w:t>
      </w:r>
      <w:r w:rsidRPr="009E6775">
        <w:rPr>
          <w:rFonts w:ascii="Times New Roman" w:hAnsi="Times New Roman"/>
          <w:sz w:val="20"/>
          <w:szCs w:val="20"/>
        </w:rPr>
        <w:t>, (15 September 2005), paras 22 and 24.</w:t>
      </w:r>
    </w:p>
  </w:footnote>
  <w:footnote w:id="27">
    <w:p w14:paraId="755B2B68" w14:textId="77777777"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Style w:val="aa"/>
          <w:rFonts w:ascii="Times New Roman" w:hAnsi="Times New Roman"/>
          <w:sz w:val="20"/>
          <w:szCs w:val="20"/>
        </w:rPr>
        <w:footnoteRef/>
      </w:r>
      <w:r w:rsidRPr="009E6775">
        <w:rPr>
          <w:rFonts w:ascii="Times New Roman" w:hAnsi="Times New Roman"/>
          <w:sz w:val="20"/>
          <w:szCs w:val="20"/>
        </w:rPr>
        <w:t xml:space="preserve"> HCJ 1890/03, </w:t>
      </w:r>
      <w:r w:rsidRPr="009E6775">
        <w:rPr>
          <w:rFonts w:ascii="Times New Roman" w:hAnsi="Times New Roman"/>
          <w:i/>
          <w:iCs/>
          <w:sz w:val="20"/>
          <w:szCs w:val="20"/>
        </w:rPr>
        <w:t xml:space="preserve">Bethlehem Municipality v. State of Israel </w:t>
      </w:r>
      <w:r w:rsidRPr="009E6775">
        <w:rPr>
          <w:rFonts w:ascii="Times New Roman" w:hAnsi="Times New Roman"/>
          <w:sz w:val="20"/>
          <w:szCs w:val="20"/>
        </w:rPr>
        <w:t>(3 Feb 2005), paras 20-21.</w:t>
      </w:r>
    </w:p>
  </w:footnote>
  <w:footnote w:id="28">
    <w:p w14:paraId="459D31D6" w14:textId="77777777"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7862/04, Abu Daher v. IDF Commander in Judea and Samaria (16 Feb 2005), para.8.</w:t>
      </w:r>
    </w:p>
  </w:footnote>
  <w:footnote w:id="29">
    <w:p w14:paraId="3A8DBEBA" w14:textId="77777777"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1308/17, </w:t>
      </w:r>
      <w:r w:rsidRPr="009E6775">
        <w:rPr>
          <w:rFonts w:ascii="Times New Roman" w:hAnsi="Times New Roman"/>
          <w:i/>
          <w:iCs/>
          <w:sz w:val="20"/>
          <w:szCs w:val="20"/>
        </w:rPr>
        <w:t xml:space="preserve">Silwad Municipality v. Knesset </w:t>
      </w:r>
      <w:r w:rsidRPr="009E6775">
        <w:rPr>
          <w:rFonts w:ascii="Times New Roman" w:hAnsi="Times New Roman"/>
          <w:sz w:val="20"/>
          <w:szCs w:val="20"/>
        </w:rPr>
        <w:t>(9 June 2020), para 32 (</w:t>
      </w:r>
      <w:r w:rsidRPr="009E6775">
        <w:rPr>
          <w:rFonts w:ascii="Times New Roman" w:hAnsi="Times New Roman"/>
          <w:i/>
          <w:iCs/>
          <w:sz w:val="20"/>
          <w:szCs w:val="20"/>
        </w:rPr>
        <w:t>Settlement Regularisation</w:t>
      </w:r>
      <w:r w:rsidRPr="009E6775">
        <w:rPr>
          <w:rFonts w:ascii="Times New Roman" w:hAnsi="Times New Roman"/>
          <w:sz w:val="20"/>
          <w:szCs w:val="20"/>
        </w:rPr>
        <w:t>).</w:t>
      </w:r>
    </w:p>
  </w:footnote>
  <w:footnote w:id="30">
    <w:p w14:paraId="6ADAB332" w14:textId="50901654" w:rsidR="00325D6C" w:rsidRPr="009E6775" w:rsidRDefault="00325D6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4E0267" w:rsidRPr="009E6775">
        <w:rPr>
          <w:rFonts w:ascii="Times New Roman" w:hAnsi="Times New Roman"/>
          <w:sz w:val="20"/>
          <w:szCs w:val="20"/>
        </w:rPr>
        <w:t xml:space="preserve">It should be noted that in this case, whatever its added value may be, the Court relied not only on the Israeli constitutional safeguards but also on the law of occupation to boost the rights of the Palestinians in the occupied territory. See </w:t>
      </w:r>
      <w:r w:rsidRPr="009E6775">
        <w:rPr>
          <w:rFonts w:ascii="Times New Roman" w:hAnsi="Times New Roman"/>
          <w:sz w:val="20"/>
          <w:szCs w:val="20"/>
        </w:rPr>
        <w:t>Kretzmer and Ronen, supra n</w:t>
      </w:r>
      <w:r w:rsidR="0070225B" w:rsidRPr="009E6775">
        <w:rPr>
          <w:rFonts w:ascii="Times New Roman" w:hAnsi="Times New Roman"/>
          <w:sz w:val="20"/>
          <w:szCs w:val="20"/>
        </w:rPr>
        <w:t xml:space="preserve">ote 3, </w:t>
      </w:r>
      <w:r w:rsidRPr="009E6775">
        <w:rPr>
          <w:rFonts w:ascii="Times New Roman" w:hAnsi="Times New Roman"/>
          <w:sz w:val="20"/>
          <w:szCs w:val="20"/>
        </w:rPr>
        <w:t>at 111-115.</w:t>
      </w:r>
    </w:p>
  </w:footnote>
  <w:footnote w:id="31">
    <w:p w14:paraId="7729EA5E" w14:textId="77777777" w:rsidR="007635C1" w:rsidRPr="009E6775" w:rsidRDefault="007635C1"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Ibid, at 318.</w:t>
      </w:r>
    </w:p>
  </w:footnote>
  <w:footnote w:id="32">
    <w:p w14:paraId="1E111CEC" w14:textId="77777777" w:rsidR="007635C1" w:rsidRPr="009E6775" w:rsidRDefault="007635C1"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Ibid, at 271.</w:t>
      </w:r>
    </w:p>
  </w:footnote>
  <w:footnote w:id="33">
    <w:p w14:paraId="118F5E7B" w14:textId="77777777" w:rsidR="007635C1" w:rsidRPr="009E6775" w:rsidRDefault="007635C1"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Ibid, at 52.</w:t>
      </w:r>
    </w:p>
  </w:footnote>
  <w:footnote w:id="34">
    <w:p w14:paraId="442858DE" w14:textId="6BF53369" w:rsidR="007635C1" w:rsidRPr="009E6775" w:rsidRDefault="007635C1"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Weil, supra n</w:t>
      </w:r>
      <w:r w:rsidR="0070225B" w:rsidRPr="009E6775">
        <w:rPr>
          <w:rFonts w:ascii="Times New Roman" w:hAnsi="Times New Roman"/>
          <w:sz w:val="20"/>
          <w:szCs w:val="20"/>
        </w:rPr>
        <w:t>ote 2,</w:t>
      </w:r>
      <w:r w:rsidRPr="009E6775">
        <w:rPr>
          <w:rFonts w:ascii="Times New Roman" w:hAnsi="Times New Roman"/>
          <w:sz w:val="20"/>
          <w:szCs w:val="20"/>
        </w:rPr>
        <w:t xml:space="preserve"> at 36 and 40-4.</w:t>
      </w:r>
    </w:p>
  </w:footnote>
  <w:footnote w:id="35">
    <w:p w14:paraId="5AE621BA" w14:textId="4E5F6534" w:rsidR="007635C1" w:rsidRPr="009E6775" w:rsidRDefault="007635C1"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70225B" w:rsidRPr="009E6775">
        <w:rPr>
          <w:rFonts w:ascii="Times New Roman" w:hAnsi="Times New Roman"/>
          <w:sz w:val="20"/>
          <w:szCs w:val="20"/>
        </w:rPr>
        <w:t xml:space="preserve">supra note 3, </w:t>
      </w:r>
      <w:r w:rsidRPr="009E6775">
        <w:rPr>
          <w:rFonts w:ascii="Times New Roman" w:hAnsi="Times New Roman"/>
          <w:sz w:val="20"/>
          <w:szCs w:val="20"/>
        </w:rPr>
        <w:t>at 109, 151 and 155. See also Weil, ibid, at 44-45.</w:t>
      </w:r>
    </w:p>
  </w:footnote>
  <w:footnote w:id="36">
    <w:p w14:paraId="036BC8EA" w14:textId="0320671E" w:rsidR="00B12B9E" w:rsidRPr="009E6775" w:rsidRDefault="00B12B9E"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70225B" w:rsidRPr="009E6775">
        <w:rPr>
          <w:rFonts w:ascii="Times New Roman" w:hAnsi="Times New Roman"/>
          <w:sz w:val="20"/>
          <w:szCs w:val="20"/>
        </w:rPr>
        <w:t>ibid, a</w:t>
      </w:r>
      <w:r w:rsidRPr="009E6775">
        <w:rPr>
          <w:rFonts w:ascii="Times New Roman" w:hAnsi="Times New Roman"/>
          <w:sz w:val="20"/>
          <w:szCs w:val="20"/>
        </w:rPr>
        <w:t>t 89.</w:t>
      </w:r>
    </w:p>
  </w:footnote>
  <w:footnote w:id="37">
    <w:p w14:paraId="59077194" w14:textId="77777777" w:rsidR="00B12B9E" w:rsidRPr="009E6775" w:rsidRDefault="00B12B9E"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ICJ, </w:t>
      </w:r>
      <w:r w:rsidRPr="009E6775">
        <w:rPr>
          <w:rFonts w:ascii="Times New Roman" w:hAnsi="Times New Roman"/>
          <w:i/>
          <w:iCs/>
          <w:sz w:val="20"/>
          <w:szCs w:val="20"/>
        </w:rPr>
        <w:t xml:space="preserve">Legal Consequences on the Construction of a Wall in the Occupied Palestinian Territory, </w:t>
      </w:r>
      <w:r w:rsidRPr="009E6775">
        <w:rPr>
          <w:rFonts w:ascii="Times New Roman" w:hAnsi="Times New Roman"/>
          <w:sz w:val="20"/>
          <w:szCs w:val="20"/>
        </w:rPr>
        <w:t>Advisory Opinion, 9 July 2004.</w:t>
      </w:r>
    </w:p>
  </w:footnote>
  <w:footnote w:id="38">
    <w:p w14:paraId="0D9D19EE" w14:textId="5F3E6269" w:rsidR="00B12B9E" w:rsidRPr="009E6775" w:rsidRDefault="00B12B9E"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AE4633" w:rsidRPr="009E6775">
        <w:rPr>
          <w:rFonts w:ascii="Times New Roman" w:hAnsi="Times New Roman"/>
          <w:sz w:val="20"/>
          <w:szCs w:val="20"/>
        </w:rPr>
        <w:t xml:space="preserve">supra note 3, </w:t>
      </w:r>
      <w:r w:rsidRPr="009E6775">
        <w:rPr>
          <w:rFonts w:ascii="Times New Roman" w:hAnsi="Times New Roman"/>
          <w:sz w:val="20"/>
          <w:szCs w:val="20"/>
        </w:rPr>
        <w:t>at 97.</w:t>
      </w:r>
    </w:p>
  </w:footnote>
  <w:footnote w:id="39">
    <w:p w14:paraId="296FE1E6" w14:textId="183E7C1F"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Y.Z. Blum, ‘The Missing Reversioner:  Reflections on the Status of Judea and Samaria’, (1968) 3 Israel Law Review 279.</w:t>
      </w:r>
    </w:p>
  </w:footnote>
  <w:footnote w:id="40">
    <w:p w14:paraId="148F35DB" w14:textId="32DB6435"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Dinstein</w:t>
      </w:r>
      <w:r w:rsidR="00982E60" w:rsidRPr="009E6775">
        <w:rPr>
          <w:rFonts w:ascii="Times New Roman" w:hAnsi="Times New Roman"/>
          <w:sz w:val="20"/>
          <w:szCs w:val="20"/>
        </w:rPr>
        <w:t xml:space="preserve"> </w:t>
      </w:r>
      <w:r w:rsidRPr="009E6775">
        <w:rPr>
          <w:rFonts w:ascii="Times New Roman" w:hAnsi="Times New Roman"/>
          <w:sz w:val="20"/>
          <w:szCs w:val="20"/>
        </w:rPr>
        <w:t xml:space="preserve">(2009), </w:t>
      </w:r>
      <w:r w:rsidR="00982E60" w:rsidRPr="009E6775">
        <w:rPr>
          <w:rFonts w:ascii="Times New Roman" w:hAnsi="Times New Roman"/>
          <w:sz w:val="20"/>
          <w:szCs w:val="20"/>
        </w:rPr>
        <w:t xml:space="preserve">supra note 15, </w:t>
      </w:r>
      <w:r w:rsidRPr="009E6775">
        <w:rPr>
          <w:rFonts w:ascii="Times New Roman" w:hAnsi="Times New Roman"/>
          <w:sz w:val="20"/>
          <w:szCs w:val="20"/>
        </w:rPr>
        <w:t>at 21, para. 51.</w:t>
      </w:r>
    </w:p>
  </w:footnote>
  <w:footnote w:id="41">
    <w:p w14:paraId="7884F396" w14:textId="53647951"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The drafters had in mind the German occupation of Denmark </w:t>
      </w:r>
      <w:r w:rsidR="00AE4633" w:rsidRPr="009E6775">
        <w:rPr>
          <w:rFonts w:ascii="Times New Roman" w:hAnsi="Times New Roman"/>
          <w:sz w:val="20"/>
          <w:szCs w:val="20"/>
        </w:rPr>
        <w:t xml:space="preserve">and </w:t>
      </w:r>
      <w:r w:rsidRPr="009E6775">
        <w:rPr>
          <w:rFonts w:ascii="Times New Roman" w:hAnsi="Times New Roman"/>
          <w:sz w:val="20"/>
          <w:szCs w:val="20"/>
        </w:rPr>
        <w:t>during the Second World War.</w:t>
      </w:r>
      <w:r w:rsidRPr="009E6775">
        <w:rPr>
          <w:rFonts w:ascii="Times New Roman" w:hAnsi="Times New Roman"/>
          <w:sz w:val="20"/>
          <w:szCs w:val="20"/>
          <w:shd w:val="clear" w:color="auto" w:fill="FFFFFF"/>
        </w:rPr>
        <w:t xml:space="preserve"> See D. Schindler, ‘The Different Types of Armed Conflicts according to the Geneva Conventions and Protocols’, (1979) 163 R</w:t>
      </w:r>
      <w:r w:rsidR="00191796" w:rsidRPr="009E6775">
        <w:rPr>
          <w:rFonts w:ascii="Times New Roman" w:hAnsi="Times New Roman"/>
          <w:sz w:val="20"/>
          <w:szCs w:val="20"/>
          <w:shd w:val="clear" w:color="auto" w:fill="FFFFFF"/>
        </w:rPr>
        <w:t>C</w:t>
      </w:r>
      <w:r w:rsidRPr="009E6775">
        <w:rPr>
          <w:rFonts w:ascii="Times New Roman" w:hAnsi="Times New Roman"/>
          <w:sz w:val="20"/>
          <w:szCs w:val="20"/>
          <w:shd w:val="clear" w:color="auto" w:fill="FFFFFF"/>
        </w:rPr>
        <w:t xml:space="preserve">ADI 117 at 132. See also International Military Tribunal (IMT), </w:t>
      </w:r>
      <w:r w:rsidRPr="009E6775">
        <w:rPr>
          <w:rFonts w:ascii="Times New Roman" w:hAnsi="Times New Roman"/>
          <w:i/>
          <w:iCs/>
          <w:sz w:val="20"/>
          <w:szCs w:val="20"/>
          <w:shd w:val="clear" w:color="auto" w:fill="FFFFFF"/>
        </w:rPr>
        <w:t xml:space="preserve">Case of the Major War Criminals, </w:t>
      </w:r>
      <w:r w:rsidRPr="009E6775">
        <w:rPr>
          <w:rFonts w:ascii="Times New Roman" w:hAnsi="Times New Roman"/>
          <w:sz w:val="20"/>
          <w:szCs w:val="20"/>
          <w:shd w:val="clear" w:color="auto" w:fill="FFFFFF"/>
        </w:rPr>
        <w:t>Judgment, 1946, at 198-199, 217, 254, 270, 286, 300-2, 333-5 (suggesting that it treated Bohemia and Moravia as the occupied territories).</w:t>
      </w:r>
    </w:p>
  </w:footnote>
  <w:footnote w:id="42">
    <w:p w14:paraId="5941CE83" w14:textId="0D3B558D"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ICJ, </w:t>
      </w:r>
      <w:r w:rsidRPr="009E6775">
        <w:rPr>
          <w:rFonts w:ascii="Times New Roman" w:hAnsi="Times New Roman"/>
          <w:i/>
          <w:iCs/>
          <w:sz w:val="20"/>
          <w:szCs w:val="20"/>
        </w:rPr>
        <w:t>Legal Consequences of the Construction of a Wall in the Occupied Palestinian Territory,</w:t>
      </w:r>
      <w:r w:rsidRPr="009E6775">
        <w:rPr>
          <w:rFonts w:ascii="Times New Roman" w:hAnsi="Times New Roman"/>
          <w:sz w:val="20"/>
          <w:szCs w:val="20"/>
        </w:rPr>
        <w:t xml:space="preserve"> Advisory Opinion, 9 July 2004</w:t>
      </w:r>
      <w:r w:rsidR="00AA3686" w:rsidRPr="009E6775">
        <w:rPr>
          <w:rFonts w:ascii="Times New Roman" w:hAnsi="Times New Roman"/>
          <w:sz w:val="20"/>
          <w:szCs w:val="20"/>
        </w:rPr>
        <w:t xml:space="preserve"> (hereinafter </w:t>
      </w:r>
      <w:r w:rsidR="00AA3686" w:rsidRPr="009E6775">
        <w:rPr>
          <w:rFonts w:ascii="Times New Roman" w:hAnsi="Times New Roman"/>
          <w:i/>
          <w:iCs/>
          <w:sz w:val="20"/>
          <w:szCs w:val="20"/>
        </w:rPr>
        <w:t>Wall</w:t>
      </w:r>
      <w:r w:rsidR="00AA3686" w:rsidRPr="009E6775">
        <w:rPr>
          <w:rFonts w:ascii="Times New Roman" w:hAnsi="Times New Roman"/>
          <w:sz w:val="20"/>
          <w:szCs w:val="20"/>
        </w:rPr>
        <w:t xml:space="preserve"> Advisory Opinion),</w:t>
      </w:r>
      <w:r w:rsidRPr="009E6775">
        <w:rPr>
          <w:rFonts w:ascii="Times New Roman" w:hAnsi="Times New Roman"/>
          <w:sz w:val="20"/>
          <w:szCs w:val="20"/>
        </w:rPr>
        <w:t xml:space="preserve"> para. 95.</w:t>
      </w:r>
    </w:p>
  </w:footnote>
  <w:footnote w:id="43">
    <w:p w14:paraId="281104BD" w14:textId="77777777" w:rsidR="002B5BFD" w:rsidRPr="009E6775" w:rsidRDefault="002B5BFD"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351/80, </w:t>
      </w:r>
      <w:r w:rsidRPr="009E6775">
        <w:rPr>
          <w:rFonts w:ascii="Times New Roman" w:hAnsi="Times New Roman"/>
          <w:i/>
          <w:iCs/>
          <w:sz w:val="20"/>
          <w:szCs w:val="20"/>
        </w:rPr>
        <w:t xml:space="preserve">Electricity Company for Jerusalem District </w:t>
      </w:r>
      <w:proofErr w:type="gramStart"/>
      <w:r w:rsidRPr="009E6775">
        <w:rPr>
          <w:rFonts w:ascii="Times New Roman" w:hAnsi="Times New Roman"/>
          <w:i/>
          <w:iCs/>
          <w:sz w:val="20"/>
          <w:szCs w:val="20"/>
        </w:rPr>
        <w:t>Ltd .v</w:t>
      </w:r>
      <w:proofErr w:type="gramEnd"/>
      <w:r w:rsidRPr="009E6775">
        <w:rPr>
          <w:rFonts w:ascii="Times New Roman" w:hAnsi="Times New Roman"/>
          <w:i/>
          <w:iCs/>
          <w:sz w:val="20"/>
          <w:szCs w:val="20"/>
        </w:rPr>
        <w:t xml:space="preserve"> Minister of Energy and Infrastructure </w:t>
      </w:r>
      <w:r w:rsidRPr="009E6775">
        <w:rPr>
          <w:rFonts w:ascii="Times New Roman" w:hAnsi="Times New Roman"/>
          <w:sz w:val="20"/>
          <w:szCs w:val="20"/>
        </w:rPr>
        <w:t>(16 Feb 1981) (</w:t>
      </w:r>
      <w:r w:rsidRPr="009E6775">
        <w:rPr>
          <w:rFonts w:ascii="Times New Roman" w:hAnsi="Times New Roman"/>
          <w:i/>
          <w:iCs/>
          <w:sz w:val="20"/>
          <w:szCs w:val="20"/>
        </w:rPr>
        <w:t>Electricity ((No 2).</w:t>
      </w:r>
    </w:p>
  </w:footnote>
  <w:footnote w:id="44">
    <w:p w14:paraId="2FEF9B41" w14:textId="0A64EBCE" w:rsidR="002B5BFD" w:rsidRPr="009E6775" w:rsidRDefault="002B5BFD"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191796" w:rsidRPr="009E6775">
        <w:rPr>
          <w:rFonts w:ascii="Times New Roman" w:hAnsi="Times New Roman"/>
          <w:sz w:val="20"/>
          <w:szCs w:val="20"/>
        </w:rPr>
        <w:t>supra note 3, a</w:t>
      </w:r>
      <w:r w:rsidRPr="009E6775">
        <w:rPr>
          <w:rFonts w:ascii="Times New Roman" w:hAnsi="Times New Roman"/>
          <w:sz w:val="20"/>
          <w:szCs w:val="20"/>
        </w:rPr>
        <w:t>t 66-67.</w:t>
      </w:r>
    </w:p>
  </w:footnote>
  <w:footnote w:id="45">
    <w:p w14:paraId="1623E93A" w14:textId="77777777" w:rsidR="002B5BFD" w:rsidRPr="009E6775" w:rsidRDefault="002B5BFD"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393/82, </w:t>
      </w:r>
      <w:r w:rsidRPr="009E6775">
        <w:rPr>
          <w:rFonts w:ascii="Times New Roman" w:hAnsi="Times New Roman"/>
          <w:i/>
          <w:iCs/>
          <w:sz w:val="20"/>
          <w:szCs w:val="20"/>
        </w:rPr>
        <w:t>Jamait Askan et al. v. IDF Commander of Judea and Samaria et al.</w:t>
      </w:r>
      <w:r w:rsidRPr="009E6775">
        <w:rPr>
          <w:rFonts w:ascii="Times New Roman" w:hAnsi="Times New Roman"/>
          <w:sz w:val="20"/>
          <w:szCs w:val="20"/>
        </w:rPr>
        <w:t>, 37(4) PD 785, 792.</w:t>
      </w:r>
    </w:p>
  </w:footnote>
  <w:footnote w:id="46">
    <w:p w14:paraId="4BAFD441" w14:textId="30D9F988"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w:t>
      </w:r>
      <w:r w:rsidR="00191796" w:rsidRPr="009E6775">
        <w:rPr>
          <w:rFonts w:ascii="Times New Roman" w:hAnsi="Times New Roman"/>
          <w:sz w:val="20"/>
          <w:szCs w:val="20"/>
        </w:rPr>
        <w:t xml:space="preserve"> supra note 3,</w:t>
      </w:r>
      <w:r w:rsidRPr="009E6775">
        <w:rPr>
          <w:rFonts w:ascii="Times New Roman" w:hAnsi="Times New Roman"/>
          <w:sz w:val="20"/>
          <w:szCs w:val="20"/>
        </w:rPr>
        <w:t xml:space="preserve"> at 63.</w:t>
      </w:r>
    </w:p>
  </w:footnote>
  <w:footnote w:id="47">
    <w:p w14:paraId="5EB728A7" w14:textId="71670217" w:rsidR="00F66261" w:rsidRPr="009E6775" w:rsidRDefault="00F66261"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w:t>
      </w:r>
      <w:r w:rsidR="00191796" w:rsidRPr="009E6775">
        <w:rPr>
          <w:rFonts w:ascii="Times New Roman" w:hAnsi="Times New Roman"/>
          <w:sz w:val="20"/>
          <w:szCs w:val="20"/>
        </w:rPr>
        <w:t xml:space="preserve"> ibid,</w:t>
      </w:r>
      <w:r w:rsidRPr="009E6775">
        <w:rPr>
          <w:rFonts w:ascii="Times New Roman" w:hAnsi="Times New Roman"/>
          <w:sz w:val="20"/>
          <w:szCs w:val="20"/>
        </w:rPr>
        <w:t xml:space="preserve"> at 124.</w:t>
      </w:r>
    </w:p>
  </w:footnote>
  <w:footnote w:id="48">
    <w:p w14:paraId="154E8B44" w14:textId="77777777" w:rsidR="00F66261" w:rsidRPr="009E6775" w:rsidRDefault="00F66261"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This presumption was established in HCJ 6713/95, </w:t>
      </w:r>
      <w:r w:rsidRPr="009E6775">
        <w:rPr>
          <w:rFonts w:ascii="Times New Roman" w:hAnsi="Times New Roman"/>
          <w:i/>
          <w:iCs/>
          <w:sz w:val="20"/>
          <w:szCs w:val="20"/>
        </w:rPr>
        <w:t xml:space="preserve">Padesco v. Minister of Defence </w:t>
      </w:r>
      <w:r w:rsidRPr="009E6775">
        <w:rPr>
          <w:rFonts w:ascii="Times New Roman" w:hAnsi="Times New Roman"/>
          <w:sz w:val="20"/>
          <w:szCs w:val="20"/>
        </w:rPr>
        <w:t>(2 Sept 1998), para. 19.</w:t>
      </w:r>
    </w:p>
  </w:footnote>
  <w:footnote w:id="49">
    <w:p w14:paraId="1B2B9E10" w14:textId="1682F444" w:rsidR="00F05D81" w:rsidRPr="009E6775" w:rsidRDefault="00F05D81"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191796" w:rsidRPr="009E6775">
        <w:rPr>
          <w:rFonts w:ascii="Times New Roman" w:hAnsi="Times New Roman"/>
          <w:sz w:val="20"/>
          <w:szCs w:val="20"/>
        </w:rPr>
        <w:t xml:space="preserve">supra note 3, </w:t>
      </w:r>
      <w:r w:rsidRPr="009E6775">
        <w:rPr>
          <w:rFonts w:ascii="Times New Roman" w:hAnsi="Times New Roman"/>
          <w:sz w:val="20"/>
          <w:szCs w:val="20"/>
        </w:rPr>
        <w:t xml:space="preserve">at 120. </w:t>
      </w:r>
      <w:r w:rsidRPr="009E6775">
        <w:rPr>
          <w:rFonts w:ascii="Times New Roman" w:hAnsi="Times New Roman"/>
          <w:i/>
          <w:iCs/>
          <w:sz w:val="20"/>
          <w:szCs w:val="20"/>
        </w:rPr>
        <w:t>Contra</w:t>
      </w:r>
      <w:r w:rsidRPr="009E6775">
        <w:rPr>
          <w:rFonts w:ascii="Times New Roman" w:hAnsi="Times New Roman"/>
          <w:sz w:val="20"/>
          <w:szCs w:val="20"/>
        </w:rPr>
        <w:t xml:space="preserve">, Y.Z. Blum, ‘From Camp David to Oslo’, (1994) 28 </w:t>
      </w:r>
      <w:r w:rsidRPr="009E6775">
        <w:rPr>
          <w:rFonts w:ascii="Times New Roman" w:hAnsi="Times New Roman"/>
          <w:i/>
          <w:iCs/>
          <w:sz w:val="20"/>
          <w:szCs w:val="20"/>
        </w:rPr>
        <w:t xml:space="preserve">Israel Law Review </w:t>
      </w:r>
      <w:r w:rsidRPr="009E6775">
        <w:rPr>
          <w:rFonts w:ascii="Times New Roman" w:hAnsi="Times New Roman"/>
          <w:sz w:val="20"/>
          <w:szCs w:val="20"/>
        </w:rPr>
        <w:t xml:space="preserve">211, at 211-3. </w:t>
      </w:r>
    </w:p>
  </w:footnote>
  <w:footnote w:id="50">
    <w:p w14:paraId="735B84FB" w14:textId="3AAEBDE8" w:rsidR="00F05D81" w:rsidRPr="009E6775" w:rsidRDefault="00F05D81"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7E56DE" w:rsidRPr="009E6775">
        <w:rPr>
          <w:rFonts w:ascii="Times New Roman" w:hAnsi="Times New Roman"/>
          <w:sz w:val="20"/>
          <w:szCs w:val="20"/>
        </w:rPr>
        <w:t xml:space="preserve">HCJ 2690/09, </w:t>
      </w:r>
      <w:r w:rsidR="007E56DE" w:rsidRPr="009E6775">
        <w:rPr>
          <w:rFonts w:ascii="Times New Roman" w:hAnsi="Times New Roman"/>
          <w:i/>
          <w:iCs/>
          <w:sz w:val="20"/>
          <w:szCs w:val="20"/>
        </w:rPr>
        <w:t xml:space="preserve">Yesh Din v. IDF Commander in the West Bank </w:t>
      </w:r>
      <w:r w:rsidR="007E56DE" w:rsidRPr="009E6775">
        <w:rPr>
          <w:rFonts w:ascii="Times New Roman" w:hAnsi="Times New Roman"/>
          <w:sz w:val="20"/>
          <w:szCs w:val="20"/>
        </w:rPr>
        <w:t>(28 March 2010)</w:t>
      </w:r>
      <w:r w:rsidR="00D342DE" w:rsidRPr="009E6775">
        <w:rPr>
          <w:rFonts w:ascii="Times New Roman" w:hAnsi="Times New Roman"/>
          <w:sz w:val="20"/>
          <w:szCs w:val="20"/>
        </w:rPr>
        <w:t>.</w:t>
      </w:r>
    </w:p>
  </w:footnote>
  <w:footnote w:id="51">
    <w:p w14:paraId="190981BB" w14:textId="77777777" w:rsidR="00F05D81" w:rsidRPr="009E6775" w:rsidRDefault="00F05D81"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8355/12, </w:t>
      </w:r>
      <w:r w:rsidRPr="009E6775">
        <w:rPr>
          <w:rFonts w:ascii="Times New Roman" w:hAnsi="Times New Roman"/>
          <w:i/>
          <w:iCs/>
          <w:sz w:val="20"/>
          <w:szCs w:val="20"/>
        </w:rPr>
        <w:t xml:space="preserve">Al-Batran v. Committee for Supervision of Construction in Judea and Samaria </w:t>
      </w:r>
      <w:r w:rsidRPr="009E6775">
        <w:rPr>
          <w:rFonts w:ascii="Times New Roman" w:hAnsi="Times New Roman"/>
          <w:sz w:val="20"/>
          <w:szCs w:val="20"/>
        </w:rPr>
        <w:t xml:space="preserve">(21 May 2017) (right to water); HCJ 4920/06, </w:t>
      </w:r>
      <w:r w:rsidRPr="009E6775">
        <w:rPr>
          <w:rFonts w:ascii="Times New Roman" w:hAnsi="Times New Roman"/>
          <w:i/>
          <w:iCs/>
          <w:sz w:val="20"/>
          <w:szCs w:val="20"/>
        </w:rPr>
        <w:t xml:space="preserve">Physicians for Human Rights v. IDF Commander in Judea and Samaria </w:t>
      </w:r>
      <w:r w:rsidRPr="009E6775">
        <w:rPr>
          <w:rFonts w:ascii="Times New Roman" w:hAnsi="Times New Roman"/>
          <w:sz w:val="20"/>
          <w:szCs w:val="20"/>
        </w:rPr>
        <w:t xml:space="preserve">(25 June 2007) (right to health). See also and HCJ 6288/09, </w:t>
      </w:r>
      <w:r w:rsidRPr="009E6775">
        <w:rPr>
          <w:rFonts w:ascii="Times New Roman" w:hAnsi="Times New Roman"/>
          <w:i/>
          <w:iCs/>
          <w:sz w:val="20"/>
          <w:szCs w:val="20"/>
        </w:rPr>
        <w:t xml:space="preserve">‘Ara’arah v. Head of the Civil Administration for Judea and Samaria </w:t>
      </w:r>
      <w:r w:rsidRPr="009E6775">
        <w:rPr>
          <w:rFonts w:ascii="Times New Roman" w:hAnsi="Times New Roman"/>
          <w:sz w:val="20"/>
          <w:szCs w:val="20"/>
        </w:rPr>
        <w:t>(2 March 2010) (right to education).</w:t>
      </w:r>
    </w:p>
  </w:footnote>
  <w:footnote w:id="52">
    <w:p w14:paraId="1CC28FD1" w14:textId="3BDE5BA0" w:rsidR="00F05D81" w:rsidRPr="009E6775" w:rsidRDefault="00F05D81"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191796" w:rsidRPr="009E6775">
        <w:rPr>
          <w:rFonts w:ascii="Times New Roman" w:hAnsi="Times New Roman"/>
          <w:sz w:val="20"/>
          <w:szCs w:val="20"/>
        </w:rPr>
        <w:t>supra note 3, at</w:t>
      </w:r>
      <w:r w:rsidRPr="009E6775">
        <w:rPr>
          <w:rFonts w:ascii="Times New Roman" w:hAnsi="Times New Roman"/>
          <w:sz w:val="20"/>
          <w:szCs w:val="20"/>
        </w:rPr>
        <w:t xml:space="preserve"> 128-129.</w:t>
      </w:r>
    </w:p>
  </w:footnote>
  <w:footnote w:id="53">
    <w:p w14:paraId="6F141732" w14:textId="77777777" w:rsidR="00F05D81" w:rsidRPr="009E6775" w:rsidRDefault="00F05D81"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5290/14, </w:t>
      </w:r>
      <w:r w:rsidRPr="009E6775">
        <w:rPr>
          <w:rFonts w:ascii="Times New Roman" w:hAnsi="Times New Roman"/>
          <w:i/>
          <w:iCs/>
          <w:sz w:val="20"/>
          <w:szCs w:val="20"/>
        </w:rPr>
        <w:t>Qawasmi v. Military Commander in the West Bank</w:t>
      </w:r>
      <w:r w:rsidRPr="009E6775">
        <w:rPr>
          <w:rFonts w:ascii="Times New Roman" w:hAnsi="Times New Roman"/>
          <w:sz w:val="20"/>
          <w:szCs w:val="20"/>
        </w:rPr>
        <w:t xml:space="preserve"> (11 Aug 2015),</w:t>
      </w:r>
    </w:p>
  </w:footnote>
  <w:footnote w:id="54">
    <w:p w14:paraId="70CAC3EF" w14:textId="4CFFFCFB" w:rsidR="00F05D81" w:rsidRPr="009E6775" w:rsidRDefault="00F05D81"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See the cases cited in Kretzmer and Ronen, </w:t>
      </w:r>
      <w:r w:rsidR="00191796" w:rsidRPr="009E6775">
        <w:rPr>
          <w:rFonts w:ascii="Times New Roman" w:hAnsi="Times New Roman"/>
          <w:sz w:val="20"/>
          <w:szCs w:val="20"/>
        </w:rPr>
        <w:t>supra note 3, at</w:t>
      </w:r>
      <w:r w:rsidRPr="009E6775">
        <w:rPr>
          <w:rFonts w:ascii="Times New Roman" w:hAnsi="Times New Roman"/>
          <w:sz w:val="20"/>
          <w:szCs w:val="20"/>
        </w:rPr>
        <w:t xml:space="preserve"> 124, n. 31.</w:t>
      </w:r>
    </w:p>
  </w:footnote>
  <w:footnote w:id="55">
    <w:p w14:paraId="2DCBA1E2" w14:textId="6CC43FC5" w:rsidR="00F05D81" w:rsidRPr="009E6775" w:rsidRDefault="00F05D81"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Pr="009E6775">
        <w:rPr>
          <w:rFonts w:ascii="Times New Roman" w:hAnsi="Times New Roman"/>
          <w:i/>
          <w:iCs/>
          <w:sz w:val="20"/>
          <w:szCs w:val="20"/>
        </w:rPr>
        <w:t>Qawasmi</w:t>
      </w:r>
      <w:r w:rsidRPr="009E6775">
        <w:rPr>
          <w:rFonts w:ascii="Times New Roman" w:hAnsi="Times New Roman"/>
          <w:sz w:val="20"/>
          <w:szCs w:val="20"/>
        </w:rPr>
        <w:t xml:space="preserve"> (2015), </w:t>
      </w:r>
      <w:r w:rsidRPr="009E6775">
        <w:rPr>
          <w:rFonts w:ascii="Times New Roman" w:hAnsi="Times New Roman"/>
          <w:i/>
          <w:iCs/>
          <w:sz w:val="20"/>
          <w:szCs w:val="20"/>
        </w:rPr>
        <w:t>supra</w:t>
      </w:r>
      <w:r w:rsidRPr="009E6775">
        <w:rPr>
          <w:rFonts w:ascii="Times New Roman" w:hAnsi="Times New Roman"/>
          <w:sz w:val="20"/>
          <w:szCs w:val="20"/>
        </w:rPr>
        <w:t xml:space="preserve"> n</w:t>
      </w:r>
      <w:r w:rsidR="00191796" w:rsidRPr="009E6775">
        <w:rPr>
          <w:rFonts w:ascii="Times New Roman" w:hAnsi="Times New Roman"/>
          <w:sz w:val="20"/>
          <w:szCs w:val="20"/>
        </w:rPr>
        <w:t>ote</w:t>
      </w:r>
      <w:r w:rsidR="00F909F2" w:rsidRPr="009E6775">
        <w:rPr>
          <w:rFonts w:ascii="Times New Roman" w:hAnsi="Times New Roman"/>
          <w:sz w:val="20"/>
          <w:szCs w:val="20"/>
        </w:rPr>
        <w:t xml:space="preserve"> 52</w:t>
      </w:r>
      <w:r w:rsidRPr="009E6775">
        <w:rPr>
          <w:rFonts w:ascii="Times New Roman" w:hAnsi="Times New Roman"/>
          <w:sz w:val="20"/>
          <w:szCs w:val="20"/>
        </w:rPr>
        <w:t>, para. 28.</w:t>
      </w:r>
    </w:p>
  </w:footnote>
  <w:footnote w:id="56">
    <w:p w14:paraId="4D79F079" w14:textId="3C5703D9"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698/80, </w:t>
      </w:r>
      <w:r w:rsidRPr="009E6775">
        <w:rPr>
          <w:rFonts w:ascii="Times New Roman" w:hAnsi="Times New Roman"/>
          <w:i/>
          <w:iCs/>
          <w:sz w:val="20"/>
          <w:szCs w:val="20"/>
        </w:rPr>
        <w:t xml:space="preserve">Qawasmi v. Minister of Defence </w:t>
      </w:r>
      <w:r w:rsidRPr="009E6775">
        <w:rPr>
          <w:rFonts w:ascii="Times New Roman" w:hAnsi="Times New Roman"/>
          <w:sz w:val="20"/>
          <w:szCs w:val="20"/>
        </w:rPr>
        <w:t>(4 Dec 1980) (</w:t>
      </w:r>
      <w:r w:rsidRPr="009E6775">
        <w:rPr>
          <w:rFonts w:ascii="Times New Roman" w:hAnsi="Times New Roman"/>
          <w:i/>
          <w:iCs/>
          <w:sz w:val="20"/>
          <w:szCs w:val="20"/>
        </w:rPr>
        <w:t>Qawasmi</w:t>
      </w:r>
      <w:r w:rsidRPr="009E6775">
        <w:rPr>
          <w:rFonts w:ascii="Times New Roman" w:hAnsi="Times New Roman"/>
          <w:sz w:val="20"/>
          <w:szCs w:val="20"/>
        </w:rPr>
        <w:t xml:space="preserve"> </w:t>
      </w:r>
      <w:r w:rsidRPr="009E6775">
        <w:rPr>
          <w:rFonts w:ascii="Times New Roman" w:hAnsi="Times New Roman"/>
          <w:i/>
          <w:iCs/>
          <w:sz w:val="20"/>
          <w:szCs w:val="20"/>
        </w:rPr>
        <w:t>(No 2)</w:t>
      </w:r>
      <w:r w:rsidRPr="009E6775">
        <w:rPr>
          <w:rFonts w:ascii="Times New Roman" w:hAnsi="Times New Roman"/>
          <w:sz w:val="20"/>
          <w:szCs w:val="20"/>
        </w:rPr>
        <w:t>)</w:t>
      </w:r>
    </w:p>
  </w:footnote>
  <w:footnote w:id="57">
    <w:p w14:paraId="2582225D" w14:textId="67EB06FB"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191796" w:rsidRPr="009E6775">
        <w:rPr>
          <w:rFonts w:ascii="Times New Roman" w:hAnsi="Times New Roman"/>
          <w:sz w:val="20"/>
          <w:szCs w:val="20"/>
        </w:rPr>
        <w:t xml:space="preserve">supra note 3, </w:t>
      </w:r>
      <w:r w:rsidRPr="009E6775">
        <w:rPr>
          <w:rFonts w:ascii="Times New Roman" w:hAnsi="Times New Roman"/>
          <w:sz w:val="20"/>
          <w:szCs w:val="20"/>
        </w:rPr>
        <w:t>at 70.</w:t>
      </w:r>
    </w:p>
  </w:footnote>
  <w:footnote w:id="58">
    <w:p w14:paraId="34F74562" w14:textId="374FDD78"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Pr="009E6775">
        <w:rPr>
          <w:rFonts w:ascii="Times New Roman" w:hAnsi="Times New Roman"/>
          <w:i/>
          <w:iCs/>
          <w:sz w:val="20"/>
          <w:szCs w:val="20"/>
        </w:rPr>
        <w:t>Yesh Din</w:t>
      </w:r>
      <w:r w:rsidR="007E56DE" w:rsidRPr="009E6775">
        <w:rPr>
          <w:rFonts w:ascii="Times New Roman" w:hAnsi="Times New Roman"/>
          <w:i/>
          <w:iCs/>
          <w:sz w:val="20"/>
          <w:szCs w:val="20"/>
        </w:rPr>
        <w:t xml:space="preserve">, supra </w:t>
      </w:r>
      <w:r w:rsidR="007E56DE" w:rsidRPr="009E6775">
        <w:rPr>
          <w:rFonts w:ascii="Times New Roman" w:hAnsi="Times New Roman"/>
          <w:sz w:val="20"/>
          <w:szCs w:val="20"/>
        </w:rPr>
        <w:t xml:space="preserve">note 49, </w:t>
      </w:r>
      <w:r w:rsidRPr="009E6775">
        <w:rPr>
          <w:rFonts w:ascii="Times New Roman" w:hAnsi="Times New Roman"/>
          <w:sz w:val="20"/>
          <w:szCs w:val="20"/>
        </w:rPr>
        <w:t>para 6.</w:t>
      </w:r>
    </w:p>
  </w:footnote>
  <w:footnote w:id="59">
    <w:p w14:paraId="0ED0C311" w14:textId="5F53D10A" w:rsidR="00090DB4" w:rsidRPr="009E6775" w:rsidRDefault="00090DB4"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B41155" w:rsidRPr="009E6775">
        <w:rPr>
          <w:rFonts w:ascii="Times New Roman" w:hAnsi="Times New Roman"/>
          <w:sz w:val="20"/>
          <w:szCs w:val="20"/>
        </w:rPr>
        <w:t xml:space="preserve">This is what Kretzmer and Ronen call ‘contrived interpretation’:  </w:t>
      </w:r>
      <w:r w:rsidRPr="009E6775">
        <w:rPr>
          <w:rFonts w:ascii="Times New Roman" w:hAnsi="Times New Roman"/>
          <w:sz w:val="20"/>
          <w:szCs w:val="20"/>
        </w:rPr>
        <w:t xml:space="preserve">Kretzmer and Ronen, </w:t>
      </w:r>
      <w:r w:rsidR="00191796" w:rsidRPr="009E6775">
        <w:rPr>
          <w:rFonts w:ascii="Times New Roman" w:hAnsi="Times New Roman"/>
          <w:sz w:val="20"/>
          <w:szCs w:val="20"/>
        </w:rPr>
        <w:t xml:space="preserve">supra note 3, </w:t>
      </w:r>
      <w:r w:rsidRPr="009E6775">
        <w:rPr>
          <w:rFonts w:ascii="Times New Roman" w:hAnsi="Times New Roman"/>
          <w:sz w:val="20"/>
          <w:szCs w:val="20"/>
        </w:rPr>
        <w:t xml:space="preserve">at 493-4. See also ibid, at 81, 197; Weil, </w:t>
      </w:r>
      <w:r w:rsidRPr="009E6775">
        <w:rPr>
          <w:rFonts w:ascii="Times New Roman" w:hAnsi="Times New Roman"/>
          <w:i/>
          <w:iCs/>
          <w:sz w:val="20"/>
          <w:szCs w:val="20"/>
        </w:rPr>
        <w:t>supra</w:t>
      </w:r>
      <w:r w:rsidRPr="009E6775">
        <w:rPr>
          <w:rFonts w:ascii="Times New Roman" w:hAnsi="Times New Roman"/>
          <w:sz w:val="20"/>
          <w:szCs w:val="20"/>
        </w:rPr>
        <w:t xml:space="preserve"> n</w:t>
      </w:r>
      <w:r w:rsidR="00191796" w:rsidRPr="009E6775">
        <w:rPr>
          <w:rFonts w:ascii="Times New Roman" w:hAnsi="Times New Roman"/>
          <w:sz w:val="20"/>
          <w:szCs w:val="20"/>
        </w:rPr>
        <w:t>ote 2</w:t>
      </w:r>
      <w:r w:rsidRPr="009E6775">
        <w:rPr>
          <w:rFonts w:ascii="Times New Roman" w:hAnsi="Times New Roman"/>
          <w:sz w:val="20"/>
          <w:szCs w:val="20"/>
        </w:rPr>
        <w:t>, at 25 (‘selective use (or misuse)’ of international law).</w:t>
      </w:r>
    </w:p>
  </w:footnote>
  <w:footnote w:id="60">
    <w:p w14:paraId="5CC94B15" w14:textId="2754548C" w:rsidR="00317B8C" w:rsidRPr="009E6775" w:rsidRDefault="00317B8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191796" w:rsidRPr="009E6775">
        <w:rPr>
          <w:rFonts w:ascii="Times New Roman" w:hAnsi="Times New Roman"/>
          <w:sz w:val="20"/>
          <w:szCs w:val="20"/>
        </w:rPr>
        <w:t xml:space="preserve">ibid, </w:t>
      </w:r>
      <w:r w:rsidRPr="009E6775">
        <w:rPr>
          <w:rFonts w:ascii="Times New Roman" w:hAnsi="Times New Roman"/>
          <w:sz w:val="20"/>
          <w:szCs w:val="20"/>
        </w:rPr>
        <w:t>at 81.</w:t>
      </w:r>
    </w:p>
  </w:footnote>
  <w:footnote w:id="61">
    <w:p w14:paraId="31524F41" w14:textId="77777777" w:rsidR="00317B8C" w:rsidRPr="009E6775" w:rsidRDefault="00317B8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Ibid, at 76-77.</w:t>
      </w:r>
    </w:p>
  </w:footnote>
  <w:footnote w:id="62">
    <w:p w14:paraId="0739A9EE" w14:textId="01F37FAF" w:rsidR="00317B8C" w:rsidRPr="009E6775" w:rsidRDefault="00317B8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191796" w:rsidRPr="009E6775">
        <w:rPr>
          <w:rFonts w:ascii="Times New Roman" w:hAnsi="Times New Roman"/>
          <w:sz w:val="20"/>
          <w:szCs w:val="20"/>
        </w:rPr>
        <w:t xml:space="preserve">supra note 3, </w:t>
      </w:r>
      <w:r w:rsidRPr="009E6775">
        <w:rPr>
          <w:rFonts w:ascii="Times New Roman" w:hAnsi="Times New Roman"/>
          <w:sz w:val="20"/>
          <w:szCs w:val="20"/>
        </w:rPr>
        <w:t>at 80-81, 85 (describing this as ‘anti-formalist’ construction).</w:t>
      </w:r>
    </w:p>
  </w:footnote>
  <w:footnote w:id="63">
    <w:p w14:paraId="4A38D153" w14:textId="3CE051D2" w:rsidR="00317B8C" w:rsidRPr="009E6775" w:rsidRDefault="00317B8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Compare A. Orakhelashvili, ‘Restrictive Interpretation of Human Rights Treaties in the Recent Jurisprudence of the European Court of Human Rights’, (2003) 14(3) EJIL 529.</w:t>
      </w:r>
    </w:p>
  </w:footnote>
  <w:footnote w:id="64">
    <w:p w14:paraId="00BDE3CC" w14:textId="17FF4C32"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785/87,</w:t>
      </w:r>
      <w:r w:rsidRPr="009E6775">
        <w:rPr>
          <w:rFonts w:ascii="Times New Roman" w:hAnsi="Times New Roman"/>
          <w:i/>
          <w:iCs/>
          <w:sz w:val="20"/>
          <w:szCs w:val="20"/>
        </w:rPr>
        <w:t xml:space="preserve"> ‘Abed Al</w:t>
      </w:r>
      <w:proofErr w:type="gramStart"/>
      <w:r w:rsidRPr="009E6775">
        <w:rPr>
          <w:rFonts w:ascii="Times New Roman" w:hAnsi="Times New Roman"/>
          <w:i/>
          <w:iCs/>
          <w:sz w:val="20"/>
          <w:szCs w:val="20"/>
        </w:rPr>
        <w:t>-‘</w:t>
      </w:r>
      <w:proofErr w:type="gramEnd"/>
      <w:r w:rsidRPr="009E6775">
        <w:rPr>
          <w:rFonts w:ascii="Times New Roman" w:hAnsi="Times New Roman"/>
          <w:i/>
          <w:iCs/>
          <w:sz w:val="20"/>
          <w:szCs w:val="20"/>
        </w:rPr>
        <w:t>Afou v. IDF Commander in the West Bank</w:t>
      </w:r>
      <w:r w:rsidRPr="009E6775">
        <w:rPr>
          <w:rFonts w:ascii="Times New Roman" w:hAnsi="Times New Roman"/>
          <w:sz w:val="20"/>
          <w:szCs w:val="20"/>
        </w:rPr>
        <w:t xml:space="preserve"> (10 April 1988).</w:t>
      </w:r>
    </w:p>
  </w:footnote>
  <w:footnote w:id="65">
    <w:p w14:paraId="304E067F" w14:textId="77A2EFE5"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Ibid, para 3(4) (</w:t>
      </w:r>
      <w:r w:rsidRPr="009E6775">
        <w:rPr>
          <w:rFonts w:ascii="Times New Roman" w:hAnsi="Times New Roman"/>
          <w:i/>
          <w:iCs/>
          <w:sz w:val="20"/>
          <w:szCs w:val="20"/>
        </w:rPr>
        <w:t>per</w:t>
      </w:r>
      <w:r w:rsidRPr="009E6775">
        <w:rPr>
          <w:rFonts w:ascii="Times New Roman" w:hAnsi="Times New Roman"/>
          <w:sz w:val="20"/>
          <w:szCs w:val="20"/>
        </w:rPr>
        <w:t xml:space="preserve"> Justice Shamgar).</w:t>
      </w:r>
    </w:p>
  </w:footnote>
  <w:footnote w:id="66">
    <w:p w14:paraId="05B6F004" w14:textId="039E917C" w:rsidR="00723401" w:rsidRPr="009E6775" w:rsidRDefault="00723401"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supra </w:t>
      </w:r>
      <w:r w:rsidR="00191796" w:rsidRPr="009E6775">
        <w:rPr>
          <w:rFonts w:ascii="Times New Roman" w:hAnsi="Times New Roman"/>
          <w:sz w:val="20"/>
          <w:szCs w:val="20"/>
        </w:rPr>
        <w:t>note 3, a</w:t>
      </w:r>
      <w:r w:rsidRPr="009E6775">
        <w:rPr>
          <w:rFonts w:ascii="Times New Roman" w:hAnsi="Times New Roman"/>
          <w:sz w:val="20"/>
          <w:szCs w:val="20"/>
        </w:rPr>
        <w:t>t 429.</w:t>
      </w:r>
    </w:p>
  </w:footnote>
  <w:footnote w:id="67">
    <w:p w14:paraId="08FCCF93" w14:textId="6D4AD43D" w:rsidR="00F20072" w:rsidRPr="009E6775" w:rsidRDefault="00F20072"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See Article 19(b) of the </w:t>
      </w:r>
      <w:r w:rsidR="00191796" w:rsidRPr="009E6775">
        <w:rPr>
          <w:rFonts w:ascii="Times New Roman" w:hAnsi="Times New Roman"/>
          <w:sz w:val="20"/>
          <w:szCs w:val="20"/>
        </w:rPr>
        <w:t xml:space="preserve">ICRC’s </w:t>
      </w:r>
      <w:r w:rsidRPr="009E6775">
        <w:rPr>
          <w:rFonts w:ascii="Times New Roman" w:hAnsi="Times New Roman"/>
          <w:sz w:val="20"/>
          <w:szCs w:val="20"/>
        </w:rPr>
        <w:t xml:space="preserve">Tokyo draft, which provides that ‘Deportations outside the territory of the occupied State are forbidden, unless they are evacuations intended, on account of the extension of military operations, to ensure the security of the </w:t>
      </w:r>
      <w:proofErr w:type="gramStart"/>
      <w:r w:rsidRPr="009E6775">
        <w:rPr>
          <w:rFonts w:ascii="Times New Roman" w:hAnsi="Times New Roman"/>
          <w:sz w:val="20"/>
          <w:szCs w:val="20"/>
        </w:rPr>
        <w:t>inhabitants’</w:t>
      </w:r>
      <w:proofErr w:type="gramEnd"/>
      <w:r w:rsidRPr="009E6775">
        <w:rPr>
          <w:rFonts w:ascii="Times New Roman" w:hAnsi="Times New Roman"/>
          <w:sz w:val="20"/>
          <w:szCs w:val="20"/>
        </w:rPr>
        <w:t>. Draft International Convention on the Condition and Protection of Civilians of Enemy Nationality Who Are on Territory Belonging to or Occupied by a Belligerent (ICRC 1934).</w:t>
      </w:r>
    </w:p>
  </w:footnote>
  <w:footnote w:id="68">
    <w:p w14:paraId="110527E6" w14:textId="72183803"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E. Benvenisti, </w:t>
      </w:r>
      <w:r w:rsidRPr="009E6775">
        <w:rPr>
          <w:rFonts w:ascii="Times New Roman" w:hAnsi="Times New Roman"/>
          <w:i/>
          <w:iCs/>
          <w:sz w:val="20"/>
          <w:szCs w:val="20"/>
        </w:rPr>
        <w:t>The International Law of Occupation</w:t>
      </w:r>
      <w:r w:rsidRPr="009E6775">
        <w:rPr>
          <w:rFonts w:ascii="Times New Roman" w:hAnsi="Times New Roman"/>
          <w:sz w:val="20"/>
          <w:szCs w:val="20"/>
        </w:rPr>
        <w:t>, 2</w:t>
      </w:r>
      <w:r w:rsidRPr="009E6775">
        <w:rPr>
          <w:rFonts w:ascii="Times New Roman" w:hAnsi="Times New Roman"/>
          <w:sz w:val="20"/>
          <w:szCs w:val="20"/>
          <w:vertAlign w:val="superscript"/>
        </w:rPr>
        <w:t>nd</w:t>
      </w:r>
      <w:r w:rsidRPr="009E6775">
        <w:rPr>
          <w:rFonts w:ascii="Times New Roman" w:hAnsi="Times New Roman"/>
          <w:sz w:val="20"/>
          <w:szCs w:val="20"/>
        </w:rPr>
        <w:t xml:space="preserve"> ed, (Oxford:  OUP, 2012), at 69.</w:t>
      </w:r>
    </w:p>
  </w:footnote>
  <w:footnote w:id="69">
    <w:p w14:paraId="10C1E9AE" w14:textId="72BEE273"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Pr="009E6775">
        <w:rPr>
          <w:rFonts w:ascii="Times New Roman" w:hAnsi="Times New Roman"/>
          <w:i/>
          <w:iCs/>
          <w:sz w:val="20"/>
          <w:szCs w:val="20"/>
        </w:rPr>
        <w:t>The Christian Society for the Holy Places</w:t>
      </w:r>
      <w:r w:rsidRPr="009E6775">
        <w:rPr>
          <w:rFonts w:ascii="Times New Roman" w:hAnsi="Times New Roman"/>
          <w:sz w:val="20"/>
          <w:szCs w:val="20"/>
        </w:rPr>
        <w:t>, supra n</w:t>
      </w:r>
      <w:r w:rsidR="00EA7F43" w:rsidRPr="009E6775">
        <w:rPr>
          <w:rFonts w:ascii="Times New Roman" w:hAnsi="Times New Roman"/>
          <w:sz w:val="20"/>
          <w:szCs w:val="20"/>
        </w:rPr>
        <w:t>ote</w:t>
      </w:r>
      <w:r w:rsidRPr="009E6775">
        <w:rPr>
          <w:rFonts w:ascii="Times New Roman" w:hAnsi="Times New Roman"/>
          <w:sz w:val="20"/>
          <w:szCs w:val="20"/>
        </w:rPr>
        <w:t xml:space="preserve"> 1, at 82.</w:t>
      </w:r>
    </w:p>
  </w:footnote>
  <w:footnote w:id="70">
    <w:p w14:paraId="163ED615" w14:textId="5BE33414"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E.H. Schwenk, ‘Legislative Power of the Military Occupant under Article 43, Hague Regulations’, (1945) 54 </w:t>
      </w:r>
      <w:r w:rsidRPr="009E6775">
        <w:rPr>
          <w:rFonts w:ascii="Times New Roman" w:hAnsi="Times New Roman"/>
          <w:i/>
          <w:iCs/>
          <w:sz w:val="20"/>
          <w:szCs w:val="20"/>
        </w:rPr>
        <w:t xml:space="preserve">Yale Law Journal </w:t>
      </w:r>
      <w:r w:rsidRPr="009E6775">
        <w:rPr>
          <w:rFonts w:ascii="Times New Roman" w:hAnsi="Times New Roman"/>
          <w:sz w:val="20"/>
          <w:szCs w:val="20"/>
        </w:rPr>
        <w:t>393.</w:t>
      </w:r>
    </w:p>
  </w:footnote>
  <w:footnote w:id="71">
    <w:p w14:paraId="0481C16F" w14:textId="0EF751FA"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Weil, supra n</w:t>
      </w:r>
      <w:r w:rsidR="00191796" w:rsidRPr="009E6775">
        <w:rPr>
          <w:rFonts w:ascii="Times New Roman" w:hAnsi="Times New Roman"/>
          <w:sz w:val="20"/>
          <w:szCs w:val="20"/>
        </w:rPr>
        <w:t>ote</w:t>
      </w:r>
      <w:r w:rsidRPr="009E6775">
        <w:rPr>
          <w:rFonts w:ascii="Times New Roman" w:hAnsi="Times New Roman"/>
          <w:sz w:val="20"/>
          <w:szCs w:val="20"/>
        </w:rPr>
        <w:t xml:space="preserve"> 2, at 26. </w:t>
      </w:r>
    </w:p>
  </w:footnote>
  <w:footnote w:id="72">
    <w:p w14:paraId="39C078BF" w14:textId="203302E6"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See, for instance, V. Kou</w:t>
      </w:r>
      <w:r w:rsidR="00C83637" w:rsidRPr="009E6775">
        <w:rPr>
          <w:rFonts w:ascii="Times New Roman" w:hAnsi="Times New Roman"/>
          <w:sz w:val="20"/>
          <w:szCs w:val="20"/>
        </w:rPr>
        <w:t>t</w:t>
      </w:r>
      <w:r w:rsidRPr="009E6775">
        <w:rPr>
          <w:rFonts w:ascii="Times New Roman" w:hAnsi="Times New Roman"/>
          <w:sz w:val="20"/>
          <w:szCs w:val="20"/>
        </w:rPr>
        <w:t>roulis, ‘The Application of International Humanitarian Law and International Human Rights Law in Situation of Prolonged Occupation: Only a Matter of Time?’ (2012) 92 IRRC165 at 177-178 and the sources cited therein.</w:t>
      </w:r>
    </w:p>
  </w:footnote>
  <w:footnote w:id="73">
    <w:p w14:paraId="4C29674A" w14:textId="2BC2082F"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Schwenk, </w:t>
      </w:r>
      <w:r w:rsidRPr="009E6775">
        <w:rPr>
          <w:rFonts w:ascii="Times New Roman" w:hAnsi="Times New Roman"/>
          <w:i/>
          <w:iCs/>
          <w:sz w:val="20"/>
          <w:szCs w:val="20"/>
        </w:rPr>
        <w:t>supra</w:t>
      </w:r>
      <w:r w:rsidRPr="009E6775">
        <w:rPr>
          <w:rFonts w:ascii="Times New Roman" w:hAnsi="Times New Roman"/>
          <w:sz w:val="20"/>
          <w:szCs w:val="20"/>
        </w:rPr>
        <w:t xml:space="preserve"> n. </w:t>
      </w:r>
      <w:r w:rsidR="00191796" w:rsidRPr="009E6775">
        <w:rPr>
          <w:rFonts w:ascii="Times New Roman" w:hAnsi="Times New Roman"/>
          <w:sz w:val="20"/>
          <w:szCs w:val="20"/>
        </w:rPr>
        <w:t>69</w:t>
      </w:r>
      <w:r w:rsidRPr="009E6775">
        <w:rPr>
          <w:rFonts w:ascii="Times New Roman" w:hAnsi="Times New Roman"/>
          <w:sz w:val="20"/>
          <w:szCs w:val="20"/>
        </w:rPr>
        <w:t xml:space="preserve">; L. Oppenheim, </w:t>
      </w:r>
      <w:r w:rsidRPr="009E6775">
        <w:rPr>
          <w:rFonts w:ascii="Times New Roman" w:hAnsi="Times New Roman"/>
          <w:i/>
          <w:iCs/>
          <w:sz w:val="20"/>
          <w:szCs w:val="20"/>
        </w:rPr>
        <w:t xml:space="preserve">International Law </w:t>
      </w:r>
      <w:r w:rsidRPr="009E6775">
        <w:rPr>
          <w:rFonts w:ascii="Times New Roman" w:hAnsi="Times New Roman"/>
          <w:sz w:val="20"/>
          <w:szCs w:val="20"/>
        </w:rPr>
        <w:t xml:space="preserve">434 (7th ed., by H. Lauterpacht, 1952); Y. Dinstein, ‘The International Law of Belligerent Occupation and Human Rights’, (1978) 8 </w:t>
      </w:r>
      <w:r w:rsidRPr="009E6775">
        <w:rPr>
          <w:rFonts w:ascii="Times New Roman" w:hAnsi="Times New Roman"/>
          <w:i/>
          <w:iCs/>
          <w:sz w:val="20"/>
          <w:szCs w:val="20"/>
        </w:rPr>
        <w:t>Israel Yearbook on Human Rights</w:t>
      </w:r>
      <w:r w:rsidRPr="009E6775">
        <w:rPr>
          <w:rFonts w:ascii="Times New Roman" w:hAnsi="Times New Roman"/>
          <w:sz w:val="20"/>
          <w:szCs w:val="20"/>
        </w:rPr>
        <w:t xml:space="preserve"> 104 at 112.</w:t>
      </w:r>
    </w:p>
  </w:footnote>
  <w:footnote w:id="74">
    <w:p w14:paraId="2C089FC5" w14:textId="4DC0B982" w:rsidR="004A142E" w:rsidRPr="009E6775" w:rsidRDefault="004A142E"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See Y. Arai-Takahashi, </w:t>
      </w:r>
      <w:r w:rsidRPr="009E6775">
        <w:rPr>
          <w:rFonts w:ascii="Times New Roman" w:hAnsi="Times New Roman"/>
          <w:i/>
          <w:iCs/>
          <w:sz w:val="20"/>
          <w:szCs w:val="20"/>
        </w:rPr>
        <w:t xml:space="preserve">The Law of Occupation Continuity and Change of International Humanitarian Law, and its Interaction with International Human Rights Law, </w:t>
      </w:r>
      <w:r w:rsidRPr="009E6775">
        <w:rPr>
          <w:rFonts w:ascii="Times New Roman" w:hAnsi="Times New Roman"/>
          <w:sz w:val="20"/>
          <w:szCs w:val="20"/>
        </w:rPr>
        <w:t>(2009) at 93-97.</w:t>
      </w:r>
    </w:p>
  </w:footnote>
  <w:footnote w:id="75">
    <w:p w14:paraId="4CC22C94" w14:textId="7BEFF597"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R.Y. Jennings, ’Government in Commission’, (1946) 23 BYIL at 132, n. 1; M. Sassoli, ‘Legislation and Maintenance of Public Order and Civil Life by Occupying Powers’ (2005) 16 (4) EJIL 661, at 676-678. See also UK Military </w:t>
      </w:r>
      <w:r w:rsidR="00191796" w:rsidRPr="009E6775">
        <w:rPr>
          <w:rFonts w:ascii="Times New Roman" w:hAnsi="Times New Roman"/>
          <w:sz w:val="20"/>
          <w:szCs w:val="20"/>
        </w:rPr>
        <w:t>M</w:t>
      </w:r>
      <w:r w:rsidRPr="009E6775">
        <w:rPr>
          <w:rFonts w:ascii="Times New Roman" w:hAnsi="Times New Roman"/>
          <w:sz w:val="20"/>
          <w:szCs w:val="20"/>
        </w:rPr>
        <w:t>anual</w:t>
      </w:r>
      <w:r w:rsidR="00191796" w:rsidRPr="009E6775">
        <w:rPr>
          <w:rFonts w:ascii="Times New Roman" w:hAnsi="Times New Roman"/>
          <w:sz w:val="20"/>
          <w:szCs w:val="20"/>
        </w:rPr>
        <w:t>, (Oxford:  OUP, 2004),</w:t>
      </w:r>
      <w:r w:rsidRPr="009E6775">
        <w:rPr>
          <w:rFonts w:ascii="Times New Roman" w:hAnsi="Times New Roman"/>
          <w:sz w:val="20"/>
          <w:szCs w:val="20"/>
        </w:rPr>
        <w:t xml:space="preserve"> at 278—9, para. 11.11.</w:t>
      </w:r>
    </w:p>
  </w:footnote>
  <w:footnote w:id="76">
    <w:p w14:paraId="4F8EE28B" w14:textId="07934460"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J. Stone, ‘Aspects of the </w:t>
      </w:r>
      <w:r w:rsidRPr="009E6775">
        <w:rPr>
          <w:rFonts w:ascii="Times New Roman" w:hAnsi="Times New Roman"/>
          <w:i/>
          <w:iCs/>
          <w:sz w:val="20"/>
          <w:szCs w:val="20"/>
        </w:rPr>
        <w:t xml:space="preserve">Beit-El </w:t>
      </w:r>
      <w:r w:rsidRPr="009E6775">
        <w:rPr>
          <w:rFonts w:ascii="Times New Roman" w:hAnsi="Times New Roman"/>
          <w:sz w:val="20"/>
          <w:szCs w:val="20"/>
        </w:rPr>
        <w:t>and</w:t>
      </w:r>
      <w:r w:rsidRPr="009E6775">
        <w:rPr>
          <w:rFonts w:ascii="Times New Roman" w:hAnsi="Times New Roman"/>
          <w:i/>
          <w:iCs/>
          <w:sz w:val="20"/>
          <w:szCs w:val="20"/>
        </w:rPr>
        <w:t xml:space="preserve"> Eilon Moreh Cases </w:t>
      </w:r>
      <w:r w:rsidRPr="009E6775">
        <w:rPr>
          <w:rFonts w:ascii="Times New Roman" w:hAnsi="Times New Roman"/>
          <w:sz w:val="20"/>
          <w:szCs w:val="20"/>
        </w:rPr>
        <w:t xml:space="preserve">– Use of the Terms “Municipal Law”, “International Law”, “Justiciability”, and “Military Needs”’, (1980) 15(4) </w:t>
      </w:r>
      <w:r w:rsidRPr="009E6775">
        <w:rPr>
          <w:rFonts w:ascii="Times New Roman" w:hAnsi="Times New Roman"/>
          <w:i/>
          <w:iCs/>
          <w:sz w:val="20"/>
          <w:szCs w:val="20"/>
        </w:rPr>
        <w:t xml:space="preserve">Israel Law Review </w:t>
      </w:r>
      <w:r w:rsidRPr="009E6775">
        <w:rPr>
          <w:rFonts w:ascii="Times New Roman" w:hAnsi="Times New Roman"/>
          <w:sz w:val="20"/>
          <w:szCs w:val="20"/>
        </w:rPr>
        <w:t xml:space="preserve">476, at 486; Koutroulis, </w:t>
      </w:r>
      <w:r w:rsidRPr="009E6775">
        <w:rPr>
          <w:rFonts w:ascii="Times New Roman" w:hAnsi="Times New Roman"/>
          <w:i/>
          <w:iCs/>
          <w:sz w:val="20"/>
          <w:szCs w:val="20"/>
        </w:rPr>
        <w:t>supra</w:t>
      </w:r>
      <w:r w:rsidRPr="009E6775">
        <w:rPr>
          <w:rFonts w:ascii="Times New Roman" w:hAnsi="Times New Roman"/>
          <w:sz w:val="20"/>
          <w:szCs w:val="20"/>
        </w:rPr>
        <w:t xml:space="preserve"> n</w:t>
      </w:r>
      <w:r w:rsidR="005E5B4E" w:rsidRPr="009E6775">
        <w:rPr>
          <w:rFonts w:ascii="Times New Roman" w:hAnsi="Times New Roman"/>
          <w:sz w:val="20"/>
          <w:szCs w:val="20"/>
        </w:rPr>
        <w:t>ote 71</w:t>
      </w:r>
      <w:r w:rsidRPr="009E6775">
        <w:rPr>
          <w:rFonts w:ascii="Times New Roman" w:hAnsi="Times New Roman"/>
          <w:sz w:val="20"/>
          <w:szCs w:val="20"/>
        </w:rPr>
        <w:t>, at 177-8.</w:t>
      </w:r>
    </w:p>
  </w:footnote>
  <w:footnote w:id="77">
    <w:p w14:paraId="5BE4099D" w14:textId="3CB611F5" w:rsidR="00CF2CCD" w:rsidRPr="009E6775" w:rsidRDefault="00CF2CCD"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For a critique of Stone’s apologetic stance on Israel’s approach to Palestine, see B. Saul, ‘Julius Stone and the Question of Palestine in International Law’, </w:t>
      </w:r>
      <w:r w:rsidR="00935766" w:rsidRPr="009E6775">
        <w:rPr>
          <w:rFonts w:ascii="Times New Roman" w:hAnsi="Times New Roman"/>
          <w:sz w:val="20"/>
          <w:szCs w:val="20"/>
        </w:rPr>
        <w:t>Sydney Law School Legal Studies Research Paper No. 09/106 October 2009</w:t>
      </w:r>
      <w:r w:rsidR="0064003D" w:rsidRPr="009E6775">
        <w:rPr>
          <w:rFonts w:ascii="Times New Roman" w:hAnsi="Times New Roman"/>
          <w:sz w:val="20"/>
          <w:szCs w:val="20"/>
        </w:rPr>
        <w:t xml:space="preserve"> at 4</w:t>
      </w:r>
      <w:r w:rsidR="005E5B4E" w:rsidRPr="009E6775">
        <w:rPr>
          <w:rFonts w:ascii="Times New Roman" w:hAnsi="Times New Roman"/>
          <w:sz w:val="20"/>
          <w:szCs w:val="20"/>
        </w:rPr>
        <w:t>.</w:t>
      </w:r>
    </w:p>
  </w:footnote>
  <w:footnote w:id="78">
    <w:p w14:paraId="67AA2A56" w14:textId="3B18ED68" w:rsidR="00AF45A6" w:rsidRPr="009E6775" w:rsidRDefault="00AF45A6" w:rsidP="008918A0">
      <w:pPr>
        <w:rPr>
          <w:rFonts w:ascii="Times New Roman" w:hAnsi="Times New Roman" w:cs="Times New Roman"/>
          <w:b/>
          <w:bCs/>
          <w:sz w:val="20"/>
          <w:szCs w:val="20"/>
        </w:rPr>
      </w:pPr>
      <w:r w:rsidRPr="009E6775">
        <w:rPr>
          <w:rStyle w:val="aa"/>
          <w:rFonts w:ascii="Times New Roman" w:hAnsi="Times New Roman" w:cs="Times New Roman"/>
          <w:sz w:val="20"/>
          <w:szCs w:val="20"/>
        </w:rPr>
        <w:footnoteRef/>
      </w:r>
      <w:r w:rsidRPr="009E6775">
        <w:rPr>
          <w:rFonts w:ascii="Times New Roman" w:hAnsi="Times New Roman" w:cs="Times New Roman"/>
          <w:sz w:val="20"/>
          <w:szCs w:val="20"/>
        </w:rPr>
        <w:t xml:space="preserve"> Compare Kretzmer and Ronen, supra n</w:t>
      </w:r>
      <w:r w:rsidR="005E5B4E" w:rsidRPr="009E6775">
        <w:rPr>
          <w:rFonts w:ascii="Times New Roman" w:hAnsi="Times New Roman" w:cs="Times New Roman"/>
          <w:sz w:val="20"/>
          <w:szCs w:val="20"/>
        </w:rPr>
        <w:t xml:space="preserve">ote 3, </w:t>
      </w:r>
      <w:r w:rsidRPr="009E6775">
        <w:rPr>
          <w:rFonts w:ascii="Times New Roman" w:hAnsi="Times New Roman" w:cs="Times New Roman"/>
          <w:sz w:val="20"/>
          <w:szCs w:val="20"/>
        </w:rPr>
        <w:t xml:space="preserve">at 159-160. They </w:t>
      </w:r>
      <w:r w:rsidR="001422FC" w:rsidRPr="009E6775">
        <w:rPr>
          <w:rFonts w:ascii="Times New Roman" w:hAnsi="Times New Roman" w:cs="Times New Roman"/>
          <w:sz w:val="20"/>
          <w:szCs w:val="20"/>
        </w:rPr>
        <w:t>identify</w:t>
      </w:r>
      <w:r w:rsidR="005E5B4E" w:rsidRPr="009E6775">
        <w:rPr>
          <w:rFonts w:ascii="Times New Roman" w:hAnsi="Times New Roman" w:cs="Times New Roman"/>
          <w:sz w:val="20"/>
          <w:szCs w:val="20"/>
        </w:rPr>
        <w:t xml:space="preserve"> </w:t>
      </w:r>
      <w:r w:rsidRPr="009E6775">
        <w:rPr>
          <w:rFonts w:ascii="Times New Roman" w:hAnsi="Times New Roman" w:cs="Times New Roman"/>
          <w:sz w:val="20"/>
          <w:szCs w:val="20"/>
        </w:rPr>
        <w:t xml:space="preserve">the </w:t>
      </w:r>
      <w:r w:rsidR="005E5B4E" w:rsidRPr="009E6775">
        <w:rPr>
          <w:rFonts w:ascii="Times New Roman" w:hAnsi="Times New Roman" w:cs="Times New Roman"/>
          <w:sz w:val="20"/>
          <w:szCs w:val="20"/>
        </w:rPr>
        <w:t>SC’s</w:t>
      </w:r>
      <w:r w:rsidRPr="009E6775">
        <w:rPr>
          <w:rFonts w:ascii="Times New Roman" w:hAnsi="Times New Roman" w:cs="Times New Roman"/>
          <w:sz w:val="20"/>
          <w:szCs w:val="20"/>
        </w:rPr>
        <w:t xml:space="preserve"> three approaches when interpreting the meaning of ‘public order and civil life’ under Article 43 Hague Regulations:  (1) a readiness of the Court to endorse measures which are ostensibly purported to serve the Israeli interests as befitting for the local population; (2) the approach</w:t>
      </w:r>
      <w:r w:rsidR="005E5B4E" w:rsidRPr="009E6775">
        <w:rPr>
          <w:rFonts w:ascii="Times New Roman" w:hAnsi="Times New Roman" w:cs="Times New Roman"/>
          <w:sz w:val="20"/>
          <w:szCs w:val="20"/>
        </w:rPr>
        <w:t xml:space="preserve"> </w:t>
      </w:r>
      <w:r w:rsidRPr="009E6775">
        <w:rPr>
          <w:rFonts w:ascii="Times New Roman" w:hAnsi="Times New Roman" w:cs="Times New Roman"/>
          <w:sz w:val="20"/>
          <w:szCs w:val="20"/>
        </w:rPr>
        <w:t>of reading broadly the phrase ‘public order and (civil) safety’ so as to demarcate the outer boundaries of the (military) necessity exception to the status quo principle; (3) the tendency that Palestinians’ long-term political end is either overlooked or downplayed to favour their short-term material and economic gains.</w:t>
      </w:r>
    </w:p>
  </w:footnote>
  <w:footnote w:id="79">
    <w:p w14:paraId="7936D8A7" w14:textId="0C6BF3C7"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5E5B4E" w:rsidRPr="009E6775">
        <w:rPr>
          <w:rFonts w:ascii="Times New Roman" w:hAnsi="Times New Roman"/>
          <w:sz w:val="20"/>
          <w:szCs w:val="20"/>
        </w:rPr>
        <w:t xml:space="preserve">ibid, </w:t>
      </w:r>
      <w:r w:rsidRPr="009E6775">
        <w:rPr>
          <w:rFonts w:ascii="Times New Roman" w:hAnsi="Times New Roman"/>
          <w:sz w:val="20"/>
          <w:szCs w:val="20"/>
        </w:rPr>
        <w:t>at 159.</w:t>
      </w:r>
    </w:p>
  </w:footnote>
  <w:footnote w:id="80">
    <w:p w14:paraId="15E3F480" w14:textId="77777777"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390/79, </w:t>
      </w:r>
      <w:r w:rsidRPr="009E6775">
        <w:rPr>
          <w:rFonts w:ascii="Times New Roman" w:hAnsi="Times New Roman"/>
          <w:i/>
          <w:iCs/>
          <w:sz w:val="20"/>
          <w:szCs w:val="20"/>
        </w:rPr>
        <w:t xml:space="preserve">Dweikat v. Government of Israel </w:t>
      </w:r>
      <w:r w:rsidRPr="009E6775">
        <w:rPr>
          <w:rFonts w:ascii="Times New Roman" w:hAnsi="Times New Roman"/>
          <w:sz w:val="20"/>
          <w:szCs w:val="20"/>
        </w:rPr>
        <w:t>(22 Oct. 1979), 34(1) PD 34 1</w:t>
      </w:r>
      <w:r w:rsidRPr="009E6775">
        <w:rPr>
          <w:rFonts w:ascii="Times New Roman" w:hAnsi="Times New Roman"/>
          <w:i/>
          <w:iCs/>
          <w:sz w:val="20"/>
          <w:szCs w:val="20"/>
        </w:rPr>
        <w:t xml:space="preserve"> (Elon Moreh).</w:t>
      </w:r>
    </w:p>
  </w:footnote>
  <w:footnote w:id="81">
    <w:p w14:paraId="6527940F" w14:textId="384DDA1A"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5E5B4E" w:rsidRPr="009E6775">
        <w:rPr>
          <w:rFonts w:ascii="Times New Roman" w:hAnsi="Times New Roman"/>
          <w:sz w:val="20"/>
          <w:szCs w:val="20"/>
        </w:rPr>
        <w:t xml:space="preserve">supra note 3, </w:t>
      </w:r>
      <w:r w:rsidRPr="009E6775">
        <w:rPr>
          <w:rFonts w:ascii="Times New Roman" w:hAnsi="Times New Roman"/>
          <w:sz w:val="20"/>
          <w:szCs w:val="20"/>
        </w:rPr>
        <w:t>at 203. See also HCJ 393/82</w:t>
      </w:r>
      <w:r w:rsidRPr="009E6775">
        <w:rPr>
          <w:rFonts w:ascii="Times New Roman" w:hAnsi="Times New Roman"/>
          <w:i/>
          <w:iCs/>
          <w:sz w:val="20"/>
          <w:szCs w:val="20"/>
        </w:rPr>
        <w:t xml:space="preserve"> Jam’iyat Iskan v. IDF Commander in Judea and Samaria </w:t>
      </w:r>
      <w:r w:rsidRPr="009E6775">
        <w:rPr>
          <w:rFonts w:ascii="Times New Roman" w:hAnsi="Times New Roman"/>
          <w:sz w:val="20"/>
          <w:szCs w:val="20"/>
        </w:rPr>
        <w:t xml:space="preserve">(28 Dec 1983) para. 13 (Justice Barak’s criticism of the wider reading of the concept of ‘the needs of the army of occupation’ in </w:t>
      </w:r>
      <w:r w:rsidRPr="009E6775">
        <w:rPr>
          <w:rFonts w:ascii="Times New Roman" w:hAnsi="Times New Roman"/>
          <w:i/>
          <w:iCs/>
          <w:sz w:val="20"/>
          <w:szCs w:val="20"/>
        </w:rPr>
        <w:t>Beit El).</w:t>
      </w:r>
    </w:p>
  </w:footnote>
  <w:footnote w:id="82">
    <w:p w14:paraId="6F3ED656" w14:textId="0CBAE257"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5E5B4E" w:rsidRPr="009E6775">
        <w:rPr>
          <w:rFonts w:ascii="Times New Roman" w:hAnsi="Times New Roman"/>
          <w:sz w:val="20"/>
          <w:szCs w:val="20"/>
        </w:rPr>
        <w:t xml:space="preserve">ibid, </w:t>
      </w:r>
      <w:r w:rsidRPr="009E6775">
        <w:rPr>
          <w:rFonts w:ascii="Times New Roman" w:hAnsi="Times New Roman"/>
          <w:sz w:val="20"/>
          <w:szCs w:val="20"/>
        </w:rPr>
        <w:t>at 159.</w:t>
      </w:r>
    </w:p>
  </w:footnote>
  <w:footnote w:id="83">
    <w:p w14:paraId="268BFFCE" w14:textId="3FB200C6"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Ibid., at 108.</w:t>
      </w:r>
    </w:p>
  </w:footnote>
  <w:footnote w:id="84">
    <w:p w14:paraId="4C3CA9B1" w14:textId="1CD46D32"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Harpaz and Shany, </w:t>
      </w:r>
      <w:r w:rsidRPr="009E6775">
        <w:rPr>
          <w:rFonts w:ascii="Times New Roman" w:hAnsi="Times New Roman"/>
          <w:i/>
          <w:iCs/>
          <w:sz w:val="20"/>
          <w:szCs w:val="20"/>
        </w:rPr>
        <w:t>supra</w:t>
      </w:r>
      <w:r w:rsidRPr="009E6775">
        <w:rPr>
          <w:rFonts w:ascii="Times New Roman" w:hAnsi="Times New Roman"/>
          <w:sz w:val="20"/>
          <w:szCs w:val="20"/>
        </w:rPr>
        <w:t xml:space="preserve"> n</w:t>
      </w:r>
      <w:r w:rsidR="005E5B4E" w:rsidRPr="009E6775">
        <w:rPr>
          <w:rFonts w:ascii="Times New Roman" w:hAnsi="Times New Roman"/>
          <w:sz w:val="20"/>
          <w:szCs w:val="20"/>
        </w:rPr>
        <w:t xml:space="preserve">ote </w:t>
      </w:r>
      <w:r w:rsidRPr="009E6775">
        <w:rPr>
          <w:rFonts w:ascii="Times New Roman" w:hAnsi="Times New Roman"/>
          <w:sz w:val="20"/>
          <w:szCs w:val="20"/>
        </w:rPr>
        <w:t>3, at 518, 529, 534, 537, 541.</w:t>
      </w:r>
    </w:p>
  </w:footnote>
  <w:footnote w:id="85">
    <w:p w14:paraId="4F203B11" w14:textId="184617A2"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Weil, </w:t>
      </w:r>
      <w:r w:rsidRPr="009E6775">
        <w:rPr>
          <w:rFonts w:ascii="Times New Roman" w:hAnsi="Times New Roman"/>
          <w:i/>
          <w:iCs/>
          <w:sz w:val="20"/>
          <w:szCs w:val="20"/>
        </w:rPr>
        <w:t>supra</w:t>
      </w:r>
      <w:r w:rsidRPr="009E6775">
        <w:rPr>
          <w:rFonts w:ascii="Times New Roman" w:hAnsi="Times New Roman"/>
          <w:sz w:val="20"/>
          <w:szCs w:val="20"/>
        </w:rPr>
        <w:t xml:space="preserve"> n</w:t>
      </w:r>
      <w:r w:rsidR="005E5B4E" w:rsidRPr="009E6775">
        <w:rPr>
          <w:rFonts w:ascii="Times New Roman" w:hAnsi="Times New Roman"/>
          <w:sz w:val="20"/>
          <w:szCs w:val="20"/>
        </w:rPr>
        <w:t>ote</w:t>
      </w:r>
      <w:r w:rsidRPr="009E6775">
        <w:rPr>
          <w:rFonts w:ascii="Times New Roman" w:hAnsi="Times New Roman"/>
          <w:sz w:val="20"/>
          <w:szCs w:val="20"/>
        </w:rPr>
        <w:t xml:space="preserve"> 2, at 33. </w:t>
      </w:r>
    </w:p>
  </w:footnote>
  <w:footnote w:id="86">
    <w:p w14:paraId="5111F816" w14:textId="4DD6F4D2"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Harpaz and Shany, </w:t>
      </w:r>
      <w:r w:rsidRPr="009E6775">
        <w:rPr>
          <w:rFonts w:ascii="Times New Roman" w:hAnsi="Times New Roman"/>
          <w:i/>
          <w:iCs/>
          <w:sz w:val="20"/>
          <w:szCs w:val="20"/>
        </w:rPr>
        <w:t>supra</w:t>
      </w:r>
      <w:r w:rsidRPr="009E6775">
        <w:rPr>
          <w:rFonts w:ascii="Times New Roman" w:hAnsi="Times New Roman"/>
          <w:sz w:val="20"/>
          <w:szCs w:val="20"/>
        </w:rPr>
        <w:t xml:space="preserve"> n</w:t>
      </w:r>
      <w:r w:rsidR="005E5B4E" w:rsidRPr="009E6775">
        <w:rPr>
          <w:rFonts w:ascii="Times New Roman" w:hAnsi="Times New Roman"/>
          <w:sz w:val="20"/>
          <w:szCs w:val="20"/>
        </w:rPr>
        <w:t xml:space="preserve">ote </w:t>
      </w:r>
      <w:r w:rsidRPr="009E6775">
        <w:rPr>
          <w:rFonts w:ascii="Times New Roman" w:hAnsi="Times New Roman"/>
          <w:sz w:val="20"/>
          <w:szCs w:val="20"/>
        </w:rPr>
        <w:t>3, at 525, 540.</w:t>
      </w:r>
    </w:p>
  </w:footnote>
  <w:footnote w:id="87">
    <w:p w14:paraId="3D73BCDA" w14:textId="50A1DB26"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Weil, </w:t>
      </w:r>
      <w:r w:rsidRPr="009E6775">
        <w:rPr>
          <w:rFonts w:ascii="Times New Roman" w:hAnsi="Times New Roman"/>
          <w:i/>
          <w:iCs/>
          <w:sz w:val="20"/>
          <w:szCs w:val="20"/>
        </w:rPr>
        <w:t>supra</w:t>
      </w:r>
      <w:r w:rsidRPr="009E6775">
        <w:rPr>
          <w:rFonts w:ascii="Times New Roman" w:hAnsi="Times New Roman"/>
          <w:sz w:val="20"/>
          <w:szCs w:val="20"/>
        </w:rPr>
        <w:t xml:space="preserve"> n</w:t>
      </w:r>
      <w:r w:rsidR="005E5B4E" w:rsidRPr="009E6775">
        <w:rPr>
          <w:rFonts w:ascii="Times New Roman" w:hAnsi="Times New Roman"/>
          <w:sz w:val="20"/>
          <w:szCs w:val="20"/>
        </w:rPr>
        <w:t>ote</w:t>
      </w:r>
      <w:r w:rsidRPr="009E6775">
        <w:rPr>
          <w:rFonts w:ascii="Times New Roman" w:hAnsi="Times New Roman"/>
          <w:sz w:val="20"/>
          <w:szCs w:val="20"/>
        </w:rPr>
        <w:t xml:space="preserve"> 2, at 44. Harpaz and Shany, ibid., at 542.</w:t>
      </w:r>
    </w:p>
  </w:footnote>
  <w:footnote w:id="88">
    <w:p w14:paraId="09F1B2C9" w14:textId="24EFA73D"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5E5B4E" w:rsidRPr="009E6775">
        <w:rPr>
          <w:rFonts w:ascii="Times New Roman" w:hAnsi="Times New Roman"/>
          <w:sz w:val="20"/>
          <w:szCs w:val="20"/>
        </w:rPr>
        <w:t xml:space="preserve">supra note 3, </w:t>
      </w:r>
      <w:r w:rsidRPr="009E6775">
        <w:rPr>
          <w:rFonts w:ascii="Times New Roman" w:hAnsi="Times New Roman"/>
          <w:sz w:val="20"/>
          <w:szCs w:val="20"/>
        </w:rPr>
        <w:t>at 258.</w:t>
      </w:r>
    </w:p>
  </w:footnote>
  <w:footnote w:id="89">
    <w:p w14:paraId="6002E6BA" w14:textId="77777777" w:rsidR="00493DDE" w:rsidRPr="009E6775" w:rsidRDefault="00493DDE"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Harpaz and Shany, supra note 3, at 533.</w:t>
      </w:r>
    </w:p>
  </w:footnote>
  <w:footnote w:id="90">
    <w:p w14:paraId="1FC36733" w14:textId="4E681879" w:rsidR="00493DDE" w:rsidRPr="009E6775" w:rsidRDefault="00493DDE"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BE17F3" w:rsidRPr="009E6775">
        <w:rPr>
          <w:rFonts w:ascii="Times New Roman" w:hAnsi="Times New Roman"/>
          <w:sz w:val="20"/>
          <w:szCs w:val="20"/>
        </w:rPr>
        <w:t>Ibid,</w:t>
      </w:r>
      <w:r w:rsidRPr="009E6775">
        <w:rPr>
          <w:rFonts w:ascii="Times New Roman" w:hAnsi="Times New Roman"/>
          <w:sz w:val="20"/>
          <w:szCs w:val="20"/>
        </w:rPr>
        <w:t xml:space="preserve"> at 542.</w:t>
      </w:r>
    </w:p>
  </w:footnote>
  <w:footnote w:id="91">
    <w:p w14:paraId="64AFF744" w14:textId="2AD48FD0"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See J.B. Scott (ed.), </w:t>
      </w:r>
      <w:r w:rsidRPr="009E6775">
        <w:rPr>
          <w:rFonts w:ascii="Times New Roman" w:hAnsi="Times New Roman"/>
          <w:i/>
          <w:iCs/>
          <w:sz w:val="20"/>
          <w:szCs w:val="20"/>
        </w:rPr>
        <w:t xml:space="preserve">Proceedings of the Hague Peace Conferences </w:t>
      </w:r>
      <w:r w:rsidRPr="009E6775">
        <w:rPr>
          <w:rFonts w:ascii="Times New Roman" w:hAnsi="Times New Roman"/>
          <w:sz w:val="20"/>
          <w:szCs w:val="20"/>
        </w:rPr>
        <w:t>Vol. I, (New York:  Oxford University Press, 1920).</w:t>
      </w:r>
    </w:p>
  </w:footnote>
  <w:footnote w:id="92">
    <w:p w14:paraId="47FAB706" w14:textId="62C8033A"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See, for example, G. Von Glahn, </w:t>
      </w:r>
      <w:r w:rsidRPr="009E6775">
        <w:rPr>
          <w:rFonts w:ascii="Times New Roman" w:hAnsi="Times New Roman"/>
          <w:i/>
          <w:iCs/>
          <w:sz w:val="20"/>
          <w:szCs w:val="20"/>
        </w:rPr>
        <w:t xml:space="preserve">The Occupation of Enemy Territory:  A Commentary on the Law and Practice of Belligerent occupation </w:t>
      </w:r>
      <w:r w:rsidRPr="009E6775">
        <w:rPr>
          <w:rFonts w:ascii="Times New Roman" w:hAnsi="Times New Roman"/>
          <w:sz w:val="20"/>
          <w:szCs w:val="20"/>
        </w:rPr>
        <w:t xml:space="preserve">(1957), at 33-34; A. Roberts, ‘Prolonged Military Occupation: The Israeli-Occupied Territories Since 1967’, (1990) 84 </w:t>
      </w:r>
      <w:r w:rsidRPr="009E6775">
        <w:rPr>
          <w:rFonts w:ascii="Times New Roman" w:hAnsi="Times New Roman"/>
          <w:i/>
          <w:iCs/>
          <w:sz w:val="20"/>
          <w:szCs w:val="20"/>
        </w:rPr>
        <w:t xml:space="preserve">American Journal of International Law </w:t>
      </w:r>
      <w:r w:rsidRPr="009E6775">
        <w:rPr>
          <w:rFonts w:ascii="Times New Roman" w:hAnsi="Times New Roman"/>
          <w:sz w:val="20"/>
          <w:szCs w:val="20"/>
        </w:rPr>
        <w:t>44, at 46.</w:t>
      </w:r>
    </w:p>
  </w:footnote>
  <w:footnote w:id="93">
    <w:p w14:paraId="1A48DBA2" w14:textId="6CCE486D"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The ‘supplementary’ character of GC IV to the 1907 Hague Regulations is confirmed in Article 154 GC IV. See Pictet’s Commentary</w:t>
      </w:r>
      <w:r w:rsidR="00692D49" w:rsidRPr="009E6775">
        <w:rPr>
          <w:rFonts w:ascii="Times New Roman" w:hAnsi="Times New Roman"/>
          <w:sz w:val="20"/>
          <w:szCs w:val="20"/>
        </w:rPr>
        <w:t xml:space="preserve"> </w:t>
      </w:r>
      <w:r w:rsidRPr="009E6775">
        <w:rPr>
          <w:rFonts w:ascii="Times New Roman" w:hAnsi="Times New Roman"/>
          <w:sz w:val="20"/>
          <w:szCs w:val="20"/>
        </w:rPr>
        <w:t>to GCIV, at 335; R.T. Yingling and R.W. Ginnane, ‘The Geneva Conventions of 1949’, (1952) 46 AJIL 393, at 422.</w:t>
      </w:r>
    </w:p>
  </w:footnote>
  <w:footnote w:id="94">
    <w:p w14:paraId="35944410" w14:textId="29DE1356"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Article 4(1) GC IV provides that ‘</w:t>
      </w:r>
      <w:r w:rsidRPr="009E6775">
        <w:rPr>
          <w:rFonts w:ascii="Times New Roman" w:hAnsi="Times New Roman"/>
          <w:sz w:val="20"/>
          <w:szCs w:val="20"/>
          <w:shd w:val="clear" w:color="auto" w:fill="FFFFFF"/>
        </w:rPr>
        <w:t xml:space="preserve">Persons protected by the Convention are those who, at a given moment </w:t>
      </w:r>
      <w:proofErr w:type="gramStart"/>
      <w:r w:rsidRPr="009E6775">
        <w:rPr>
          <w:rFonts w:ascii="Times New Roman" w:hAnsi="Times New Roman"/>
          <w:sz w:val="20"/>
          <w:szCs w:val="20"/>
          <w:shd w:val="clear" w:color="auto" w:fill="FFFFFF"/>
        </w:rPr>
        <w:t>and in any manner</w:t>
      </w:r>
      <w:proofErr w:type="gramEnd"/>
      <w:r w:rsidRPr="009E6775">
        <w:rPr>
          <w:rFonts w:ascii="Times New Roman" w:hAnsi="Times New Roman"/>
          <w:sz w:val="20"/>
          <w:szCs w:val="20"/>
          <w:shd w:val="clear" w:color="auto" w:fill="FFFFFF"/>
        </w:rPr>
        <w:t xml:space="preserve"> whatsoever, find themselves, in case of a conflict or occupation, in the hands of a Party to the conflict or Occupying Power </w:t>
      </w:r>
      <w:r w:rsidRPr="009E6775">
        <w:rPr>
          <w:rFonts w:ascii="Times New Roman" w:hAnsi="Times New Roman"/>
          <w:i/>
          <w:iCs/>
          <w:sz w:val="20"/>
          <w:szCs w:val="20"/>
          <w:shd w:val="clear" w:color="auto" w:fill="FFFFFF"/>
        </w:rPr>
        <w:t>of which they are not nationals’</w:t>
      </w:r>
      <w:r w:rsidRPr="009E6775">
        <w:rPr>
          <w:rFonts w:ascii="Times New Roman" w:hAnsi="Times New Roman"/>
          <w:i/>
          <w:iCs/>
          <w:sz w:val="20"/>
          <w:szCs w:val="20"/>
        </w:rPr>
        <w:t xml:space="preserve"> </w:t>
      </w:r>
      <w:r w:rsidRPr="009E6775">
        <w:rPr>
          <w:rFonts w:ascii="Times New Roman" w:hAnsi="Times New Roman"/>
          <w:sz w:val="20"/>
          <w:szCs w:val="20"/>
        </w:rPr>
        <w:t>(emphasis added).</w:t>
      </w:r>
    </w:p>
  </w:footnote>
  <w:footnote w:id="95">
    <w:p w14:paraId="729E40B6" w14:textId="474B8F6B"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w:t>
      </w:r>
      <w:r w:rsidR="00692D49" w:rsidRPr="009E6775">
        <w:rPr>
          <w:rFonts w:ascii="Times New Roman" w:hAnsi="Times New Roman"/>
          <w:sz w:val="20"/>
          <w:szCs w:val="20"/>
        </w:rPr>
        <w:t>, supra note 3</w:t>
      </w:r>
      <w:r w:rsidRPr="009E6775">
        <w:rPr>
          <w:rFonts w:ascii="Times New Roman" w:hAnsi="Times New Roman"/>
          <w:sz w:val="20"/>
          <w:szCs w:val="20"/>
        </w:rPr>
        <w:t xml:space="preserve"> at 300.</w:t>
      </w:r>
    </w:p>
  </w:footnote>
  <w:footnote w:id="96">
    <w:p w14:paraId="5E7D8F6F" w14:textId="77777777" w:rsidR="00C76929" w:rsidRPr="009E6775" w:rsidRDefault="00C76929" w:rsidP="008918A0">
      <w:pPr>
        <w:pStyle w:val="a4"/>
        <w:tabs>
          <w:tab w:val="left" w:pos="3261"/>
        </w:tabs>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ICTY, Appeals Chamber, </w:t>
      </w:r>
      <w:r w:rsidRPr="009E6775">
        <w:rPr>
          <w:rFonts w:ascii="Times New Roman" w:hAnsi="Times New Roman"/>
          <w:i/>
          <w:iCs/>
          <w:sz w:val="20"/>
          <w:szCs w:val="20"/>
        </w:rPr>
        <w:t>Prosecutor v. Tadić</w:t>
      </w:r>
      <w:r w:rsidRPr="009E6775">
        <w:rPr>
          <w:rFonts w:ascii="Times New Roman" w:hAnsi="Times New Roman"/>
          <w:sz w:val="20"/>
          <w:szCs w:val="20"/>
        </w:rPr>
        <w:t xml:space="preserve">, IT-94-1-A, 15 July 1999, para. 166. </w:t>
      </w:r>
    </w:p>
  </w:footnote>
  <w:footnote w:id="97">
    <w:p w14:paraId="54471C01" w14:textId="0A3CFE5E"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Weil, </w:t>
      </w:r>
      <w:r w:rsidRPr="009E6775">
        <w:rPr>
          <w:rFonts w:ascii="Times New Roman" w:hAnsi="Times New Roman"/>
          <w:i/>
          <w:iCs/>
          <w:sz w:val="20"/>
          <w:szCs w:val="20"/>
        </w:rPr>
        <w:t>supra</w:t>
      </w:r>
      <w:r w:rsidRPr="009E6775">
        <w:rPr>
          <w:rFonts w:ascii="Times New Roman" w:hAnsi="Times New Roman"/>
          <w:sz w:val="20"/>
          <w:szCs w:val="20"/>
        </w:rPr>
        <w:t xml:space="preserve"> n</w:t>
      </w:r>
      <w:r w:rsidR="00692D49" w:rsidRPr="009E6775">
        <w:rPr>
          <w:rFonts w:ascii="Times New Roman" w:hAnsi="Times New Roman"/>
          <w:sz w:val="20"/>
          <w:szCs w:val="20"/>
        </w:rPr>
        <w:t>ote</w:t>
      </w:r>
      <w:r w:rsidRPr="009E6775">
        <w:rPr>
          <w:rFonts w:ascii="Times New Roman" w:hAnsi="Times New Roman"/>
          <w:sz w:val="20"/>
          <w:szCs w:val="20"/>
        </w:rPr>
        <w:t xml:space="preserve"> 2, at 32-33.</w:t>
      </w:r>
    </w:p>
  </w:footnote>
  <w:footnote w:id="98">
    <w:p w14:paraId="3C257250" w14:textId="451A1411"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1E0DC2" w:rsidRPr="009E6775">
        <w:rPr>
          <w:rFonts w:ascii="Times New Roman" w:hAnsi="Times New Roman"/>
          <w:sz w:val="20"/>
          <w:szCs w:val="20"/>
        </w:rPr>
        <w:t xml:space="preserve">See, however, </w:t>
      </w:r>
      <w:r w:rsidRPr="009E6775">
        <w:rPr>
          <w:rFonts w:ascii="Times New Roman" w:hAnsi="Times New Roman"/>
          <w:sz w:val="20"/>
          <w:szCs w:val="20"/>
        </w:rPr>
        <w:t xml:space="preserve">Harpaz and Shany, </w:t>
      </w:r>
      <w:r w:rsidRPr="009E6775">
        <w:rPr>
          <w:rFonts w:ascii="Times New Roman" w:hAnsi="Times New Roman"/>
          <w:i/>
          <w:iCs/>
          <w:sz w:val="20"/>
          <w:szCs w:val="20"/>
        </w:rPr>
        <w:t>supra</w:t>
      </w:r>
      <w:r w:rsidRPr="009E6775">
        <w:rPr>
          <w:rFonts w:ascii="Times New Roman" w:hAnsi="Times New Roman"/>
          <w:sz w:val="20"/>
          <w:szCs w:val="20"/>
        </w:rPr>
        <w:t xml:space="preserve"> n</w:t>
      </w:r>
      <w:r w:rsidR="00982E60" w:rsidRPr="009E6775">
        <w:rPr>
          <w:rFonts w:ascii="Times New Roman" w:hAnsi="Times New Roman"/>
          <w:sz w:val="20"/>
          <w:szCs w:val="20"/>
        </w:rPr>
        <w:t xml:space="preserve">ote </w:t>
      </w:r>
      <w:r w:rsidRPr="009E6775">
        <w:rPr>
          <w:rFonts w:ascii="Times New Roman" w:hAnsi="Times New Roman"/>
          <w:sz w:val="20"/>
          <w:szCs w:val="20"/>
        </w:rPr>
        <w:t>3, at 527</w:t>
      </w:r>
      <w:r w:rsidR="001E0DC2" w:rsidRPr="009E6775">
        <w:rPr>
          <w:rFonts w:ascii="Times New Roman" w:hAnsi="Times New Roman"/>
          <w:sz w:val="20"/>
          <w:szCs w:val="20"/>
        </w:rPr>
        <w:t xml:space="preserve"> (cautiously endorsing the Court’s incremental challenge to the pro-status quo tilt of the law of occupation in situations of long-term occupation).</w:t>
      </w:r>
    </w:p>
  </w:footnote>
  <w:footnote w:id="99">
    <w:p w14:paraId="61893FBF" w14:textId="1C69E683"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982E60" w:rsidRPr="009E6775">
        <w:rPr>
          <w:rFonts w:ascii="Times New Roman" w:hAnsi="Times New Roman"/>
          <w:sz w:val="20"/>
          <w:szCs w:val="20"/>
        </w:rPr>
        <w:t xml:space="preserve">supra note 3, </w:t>
      </w:r>
      <w:r w:rsidRPr="009E6775">
        <w:rPr>
          <w:rFonts w:ascii="Times New Roman" w:hAnsi="Times New Roman"/>
          <w:sz w:val="20"/>
          <w:szCs w:val="20"/>
        </w:rPr>
        <w:t>at 254.</w:t>
      </w:r>
    </w:p>
  </w:footnote>
  <w:footnote w:id="100">
    <w:p w14:paraId="2C36C5BD" w14:textId="64D696A7" w:rsidR="00D52162" w:rsidRPr="009E6775" w:rsidRDefault="00D52162"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Weil, </w:t>
      </w:r>
      <w:r w:rsidRPr="009E6775">
        <w:rPr>
          <w:rFonts w:ascii="Times New Roman" w:hAnsi="Times New Roman"/>
          <w:i/>
          <w:iCs/>
          <w:sz w:val="20"/>
          <w:szCs w:val="20"/>
        </w:rPr>
        <w:t>supra</w:t>
      </w:r>
      <w:r w:rsidRPr="009E6775">
        <w:rPr>
          <w:rFonts w:ascii="Times New Roman" w:hAnsi="Times New Roman"/>
          <w:sz w:val="20"/>
          <w:szCs w:val="20"/>
        </w:rPr>
        <w:t xml:space="preserve"> n</w:t>
      </w:r>
      <w:r w:rsidR="00982E60" w:rsidRPr="009E6775">
        <w:rPr>
          <w:rFonts w:ascii="Times New Roman" w:hAnsi="Times New Roman"/>
          <w:sz w:val="20"/>
          <w:szCs w:val="20"/>
        </w:rPr>
        <w:t>ote</w:t>
      </w:r>
      <w:r w:rsidRPr="009E6775">
        <w:rPr>
          <w:rFonts w:ascii="Times New Roman" w:hAnsi="Times New Roman"/>
          <w:sz w:val="20"/>
          <w:szCs w:val="20"/>
        </w:rPr>
        <w:t xml:space="preserve"> 2, at 32-33.</w:t>
      </w:r>
    </w:p>
  </w:footnote>
  <w:footnote w:id="101">
    <w:p w14:paraId="600A42CC" w14:textId="785D197A"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358/18, </w:t>
      </w:r>
      <w:r w:rsidRPr="009E6775">
        <w:rPr>
          <w:rFonts w:ascii="Times New Roman" w:hAnsi="Times New Roman"/>
          <w:i/>
          <w:iCs/>
          <w:sz w:val="20"/>
          <w:szCs w:val="20"/>
        </w:rPr>
        <w:t xml:space="preserve">Hebron Municipality v. State of Israel </w:t>
      </w:r>
      <w:r w:rsidRPr="009E6775">
        <w:rPr>
          <w:rFonts w:ascii="Times New Roman" w:hAnsi="Times New Roman"/>
          <w:sz w:val="20"/>
          <w:szCs w:val="20"/>
        </w:rPr>
        <w:t>(30 June 2019).</w:t>
      </w:r>
    </w:p>
  </w:footnote>
  <w:footnote w:id="102">
    <w:p w14:paraId="039F4BFF" w14:textId="1480B867"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982E60" w:rsidRPr="009E6775">
        <w:rPr>
          <w:rFonts w:ascii="Times New Roman" w:hAnsi="Times New Roman"/>
          <w:sz w:val="20"/>
          <w:szCs w:val="20"/>
        </w:rPr>
        <w:t xml:space="preserve">supra note 3, </w:t>
      </w:r>
      <w:r w:rsidRPr="009E6775">
        <w:rPr>
          <w:rFonts w:ascii="Times New Roman" w:hAnsi="Times New Roman"/>
          <w:sz w:val="20"/>
          <w:szCs w:val="20"/>
        </w:rPr>
        <w:t xml:space="preserve">at 225. Compare Harpaz and Shany, </w:t>
      </w:r>
      <w:r w:rsidRPr="009E6775">
        <w:rPr>
          <w:rFonts w:ascii="Times New Roman" w:hAnsi="Times New Roman"/>
          <w:i/>
          <w:iCs/>
          <w:sz w:val="20"/>
          <w:szCs w:val="20"/>
        </w:rPr>
        <w:t>supra</w:t>
      </w:r>
      <w:r w:rsidRPr="009E6775">
        <w:rPr>
          <w:rFonts w:ascii="Times New Roman" w:hAnsi="Times New Roman"/>
          <w:sz w:val="20"/>
          <w:szCs w:val="20"/>
        </w:rPr>
        <w:t xml:space="preserve"> n</w:t>
      </w:r>
      <w:r w:rsidR="00982E60" w:rsidRPr="009E6775">
        <w:rPr>
          <w:rFonts w:ascii="Times New Roman" w:hAnsi="Times New Roman"/>
          <w:sz w:val="20"/>
          <w:szCs w:val="20"/>
        </w:rPr>
        <w:t>ote</w:t>
      </w:r>
      <w:r w:rsidRPr="009E6775">
        <w:rPr>
          <w:rFonts w:ascii="Times New Roman" w:hAnsi="Times New Roman"/>
          <w:sz w:val="20"/>
          <w:szCs w:val="20"/>
        </w:rPr>
        <w:t xml:space="preserve"> 3 at 537 (conciliatory to the </w:t>
      </w:r>
      <w:r w:rsidR="00982E60" w:rsidRPr="009E6775">
        <w:rPr>
          <w:rFonts w:ascii="Times New Roman" w:hAnsi="Times New Roman"/>
          <w:sz w:val="20"/>
          <w:szCs w:val="20"/>
        </w:rPr>
        <w:t>SC’s</w:t>
      </w:r>
      <w:r w:rsidRPr="009E6775">
        <w:rPr>
          <w:rFonts w:ascii="Times New Roman" w:hAnsi="Times New Roman"/>
          <w:sz w:val="20"/>
          <w:szCs w:val="20"/>
        </w:rPr>
        <w:t xml:space="preserve"> impulse to consider the rights of the Israeli settlers as one of the ‘stakeholders’).</w:t>
      </w:r>
    </w:p>
  </w:footnote>
  <w:footnote w:id="103">
    <w:p w14:paraId="4E75DB91" w14:textId="73D0731C"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See Benvenisti, </w:t>
      </w:r>
      <w:r w:rsidRPr="009E6775">
        <w:rPr>
          <w:rFonts w:ascii="Times New Roman" w:hAnsi="Times New Roman"/>
          <w:i/>
          <w:iCs/>
          <w:sz w:val="20"/>
          <w:szCs w:val="20"/>
        </w:rPr>
        <w:t>supra</w:t>
      </w:r>
      <w:r w:rsidRPr="009E6775">
        <w:rPr>
          <w:rFonts w:ascii="Times New Roman" w:hAnsi="Times New Roman"/>
          <w:sz w:val="20"/>
          <w:szCs w:val="20"/>
        </w:rPr>
        <w:t xml:space="preserve"> n</w:t>
      </w:r>
      <w:r w:rsidR="00982E60" w:rsidRPr="009E6775">
        <w:rPr>
          <w:rFonts w:ascii="Times New Roman" w:hAnsi="Times New Roman"/>
          <w:sz w:val="20"/>
          <w:szCs w:val="20"/>
        </w:rPr>
        <w:t>ote 67</w:t>
      </w:r>
      <w:r w:rsidRPr="009E6775">
        <w:rPr>
          <w:rFonts w:ascii="Times New Roman" w:hAnsi="Times New Roman"/>
          <w:sz w:val="20"/>
          <w:szCs w:val="20"/>
        </w:rPr>
        <w:t>, at 72-74; Dinstein</w:t>
      </w:r>
      <w:r w:rsidR="00982E60" w:rsidRPr="009E6775">
        <w:rPr>
          <w:rFonts w:ascii="Times New Roman" w:hAnsi="Times New Roman"/>
          <w:sz w:val="20"/>
          <w:szCs w:val="20"/>
        </w:rPr>
        <w:t xml:space="preserve"> </w:t>
      </w:r>
      <w:r w:rsidRPr="009E6775">
        <w:rPr>
          <w:rFonts w:ascii="Times New Roman" w:hAnsi="Times New Roman"/>
          <w:sz w:val="20"/>
          <w:szCs w:val="20"/>
        </w:rPr>
        <w:t xml:space="preserve">(2009), </w:t>
      </w:r>
      <w:r w:rsidRPr="009E6775">
        <w:rPr>
          <w:rFonts w:ascii="Times New Roman" w:hAnsi="Times New Roman"/>
          <w:i/>
          <w:iCs/>
          <w:sz w:val="20"/>
          <w:szCs w:val="20"/>
        </w:rPr>
        <w:t>supra</w:t>
      </w:r>
      <w:r w:rsidRPr="009E6775">
        <w:rPr>
          <w:rFonts w:ascii="Times New Roman" w:hAnsi="Times New Roman"/>
          <w:sz w:val="20"/>
          <w:szCs w:val="20"/>
        </w:rPr>
        <w:t xml:space="preserve"> </w:t>
      </w:r>
      <w:r w:rsidR="00982E60" w:rsidRPr="009E6775">
        <w:rPr>
          <w:rFonts w:ascii="Times New Roman" w:hAnsi="Times New Roman"/>
          <w:sz w:val="20"/>
          <w:szCs w:val="20"/>
        </w:rPr>
        <w:t>note 15</w:t>
      </w:r>
      <w:r w:rsidRPr="009E6775">
        <w:rPr>
          <w:rFonts w:ascii="Times New Roman" w:hAnsi="Times New Roman"/>
          <w:sz w:val="20"/>
          <w:szCs w:val="20"/>
        </w:rPr>
        <w:t>, at 110-116, paras. 257-259.</w:t>
      </w:r>
    </w:p>
  </w:footnote>
  <w:footnote w:id="104">
    <w:p w14:paraId="2A151313" w14:textId="5F69A00B"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T. Ferraro, ‘Determining the Beginning and End of an Occupation under International Humanitarian law’, (2012) 94 IRRC 133 at 149.</w:t>
      </w:r>
    </w:p>
  </w:footnote>
  <w:footnote w:id="105">
    <w:p w14:paraId="78156236" w14:textId="0CD4EBB6"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For the pro-status quo principle, see N. Ando, </w:t>
      </w:r>
      <w:r w:rsidRPr="009E6775">
        <w:rPr>
          <w:rStyle w:val="ab"/>
          <w:rFonts w:ascii="Times New Roman" w:hAnsi="Times New Roman"/>
          <w:sz w:val="20"/>
          <w:szCs w:val="20"/>
          <w:shd w:val="clear" w:color="auto" w:fill="FFFFFF"/>
        </w:rPr>
        <w:t>Surrender</w:t>
      </w:r>
      <w:r w:rsidRPr="009E6775">
        <w:rPr>
          <w:rFonts w:ascii="Times New Roman" w:hAnsi="Times New Roman"/>
          <w:sz w:val="20"/>
          <w:szCs w:val="20"/>
          <w:shd w:val="clear" w:color="auto" w:fill="FFFFFF"/>
        </w:rPr>
        <w:t>, </w:t>
      </w:r>
      <w:r w:rsidRPr="009E6775">
        <w:rPr>
          <w:rStyle w:val="ab"/>
          <w:rFonts w:ascii="Times New Roman" w:hAnsi="Times New Roman"/>
          <w:sz w:val="20"/>
          <w:szCs w:val="20"/>
          <w:shd w:val="clear" w:color="auto" w:fill="FFFFFF"/>
        </w:rPr>
        <w:t>Occupation</w:t>
      </w:r>
      <w:r w:rsidRPr="009E6775">
        <w:rPr>
          <w:rFonts w:ascii="Times New Roman" w:hAnsi="Times New Roman"/>
          <w:sz w:val="20"/>
          <w:szCs w:val="20"/>
          <w:shd w:val="clear" w:color="auto" w:fill="FFFFFF"/>
        </w:rPr>
        <w:t xml:space="preserve">, </w:t>
      </w:r>
      <w:r w:rsidRPr="009E6775">
        <w:rPr>
          <w:rFonts w:ascii="Times New Roman" w:hAnsi="Times New Roman"/>
          <w:i/>
          <w:iCs/>
          <w:sz w:val="20"/>
          <w:szCs w:val="20"/>
          <w:shd w:val="clear" w:color="auto" w:fill="FFFFFF"/>
        </w:rPr>
        <w:t>and Private Property in International </w:t>
      </w:r>
      <w:r w:rsidRPr="009E6775">
        <w:rPr>
          <w:rStyle w:val="ab"/>
          <w:rFonts w:ascii="Times New Roman" w:hAnsi="Times New Roman"/>
          <w:i w:val="0"/>
          <w:iCs w:val="0"/>
          <w:sz w:val="20"/>
          <w:szCs w:val="20"/>
          <w:shd w:val="clear" w:color="auto" w:fill="FFFFFF"/>
        </w:rPr>
        <w:t>Law</w:t>
      </w:r>
      <w:r w:rsidRPr="009E6775">
        <w:rPr>
          <w:rFonts w:ascii="Times New Roman" w:hAnsi="Times New Roman"/>
          <w:i/>
          <w:iCs/>
          <w:sz w:val="20"/>
          <w:szCs w:val="20"/>
          <w:shd w:val="clear" w:color="auto" w:fill="FFFFFF"/>
        </w:rPr>
        <w:t>: An Evaluation of U.S. Practice in </w:t>
      </w:r>
      <w:r w:rsidRPr="009E6775">
        <w:rPr>
          <w:rStyle w:val="ab"/>
          <w:rFonts w:ascii="Times New Roman" w:hAnsi="Times New Roman"/>
          <w:i w:val="0"/>
          <w:iCs w:val="0"/>
          <w:sz w:val="20"/>
          <w:szCs w:val="20"/>
          <w:shd w:val="clear" w:color="auto" w:fill="FFFFFF"/>
        </w:rPr>
        <w:t>Japan</w:t>
      </w:r>
      <w:r w:rsidRPr="009E6775">
        <w:rPr>
          <w:rFonts w:ascii="Times New Roman" w:hAnsi="Times New Roman"/>
          <w:i/>
          <w:iCs/>
          <w:sz w:val="20"/>
          <w:szCs w:val="20"/>
          <w:shd w:val="clear" w:color="auto" w:fill="FFFFFF"/>
        </w:rPr>
        <w:t>.</w:t>
      </w:r>
      <w:r w:rsidRPr="009E6775">
        <w:rPr>
          <w:rFonts w:ascii="Times New Roman" w:hAnsi="Times New Roman"/>
          <w:sz w:val="20"/>
          <w:szCs w:val="20"/>
          <w:shd w:val="clear" w:color="auto" w:fill="FFFFFF"/>
        </w:rPr>
        <w:t xml:space="preserve"> (</w:t>
      </w:r>
      <w:r w:rsidRPr="009E6775">
        <w:rPr>
          <w:rStyle w:val="ab"/>
          <w:rFonts w:ascii="Times New Roman" w:hAnsi="Times New Roman"/>
          <w:i w:val="0"/>
          <w:iCs w:val="0"/>
          <w:sz w:val="20"/>
          <w:szCs w:val="20"/>
          <w:shd w:val="clear" w:color="auto" w:fill="FFFFFF"/>
        </w:rPr>
        <w:t>Oxford</w:t>
      </w:r>
      <w:r w:rsidRPr="009E6775">
        <w:rPr>
          <w:rFonts w:ascii="Times New Roman" w:hAnsi="Times New Roman"/>
          <w:sz w:val="20"/>
          <w:szCs w:val="20"/>
          <w:shd w:val="clear" w:color="auto" w:fill="FFFFFF"/>
        </w:rPr>
        <w:t>: </w:t>
      </w:r>
      <w:r w:rsidR="001E0DC2" w:rsidRPr="009E6775">
        <w:rPr>
          <w:rStyle w:val="ab"/>
          <w:rFonts w:ascii="Times New Roman" w:hAnsi="Times New Roman"/>
          <w:i w:val="0"/>
          <w:iCs w:val="0"/>
          <w:sz w:val="20"/>
          <w:szCs w:val="20"/>
          <w:shd w:val="clear" w:color="auto" w:fill="FFFFFF"/>
        </w:rPr>
        <w:t>Oxford University</w:t>
      </w:r>
      <w:r w:rsidRPr="009E6775">
        <w:rPr>
          <w:rFonts w:ascii="Times New Roman" w:hAnsi="Times New Roman"/>
          <w:sz w:val="20"/>
          <w:szCs w:val="20"/>
          <w:shd w:val="clear" w:color="auto" w:fill="FFFFFF"/>
        </w:rPr>
        <w:t xml:space="preserve"> Press, 1991) (‘preservation principle’); </w:t>
      </w:r>
      <w:r w:rsidRPr="009E6775">
        <w:rPr>
          <w:rFonts w:ascii="Times New Roman" w:hAnsi="Times New Roman"/>
          <w:sz w:val="20"/>
          <w:szCs w:val="20"/>
        </w:rPr>
        <w:t xml:space="preserve">G.H. Fox, </w:t>
      </w:r>
      <w:r w:rsidRPr="009E6775">
        <w:rPr>
          <w:rFonts w:ascii="Times New Roman" w:hAnsi="Times New Roman"/>
          <w:i/>
          <w:iCs/>
          <w:sz w:val="20"/>
          <w:szCs w:val="20"/>
        </w:rPr>
        <w:t xml:space="preserve">Humanitarian Occupation, </w:t>
      </w:r>
      <w:r w:rsidRPr="009E6775">
        <w:rPr>
          <w:rFonts w:ascii="Times New Roman" w:hAnsi="Times New Roman"/>
          <w:sz w:val="20"/>
          <w:szCs w:val="20"/>
        </w:rPr>
        <w:t>(Cambridge:  Cambridge University Press, 2008), at 233–237 (‘conservation principle’).</w:t>
      </w:r>
    </w:p>
  </w:footnote>
  <w:footnote w:id="106">
    <w:p w14:paraId="7B741AE7" w14:textId="65B4EEF7"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Benvenisti, </w:t>
      </w:r>
      <w:r w:rsidRPr="009E6775">
        <w:rPr>
          <w:rFonts w:ascii="Times New Roman" w:hAnsi="Times New Roman"/>
          <w:i/>
          <w:iCs/>
          <w:sz w:val="20"/>
          <w:szCs w:val="20"/>
        </w:rPr>
        <w:t>supra</w:t>
      </w:r>
      <w:r w:rsidRPr="009E6775">
        <w:rPr>
          <w:rFonts w:ascii="Times New Roman" w:hAnsi="Times New Roman"/>
          <w:sz w:val="20"/>
          <w:szCs w:val="20"/>
        </w:rPr>
        <w:t xml:space="preserve"> n. 66, at 72-74; Dinstein</w:t>
      </w:r>
      <w:r w:rsidR="00982E60" w:rsidRPr="009E6775">
        <w:rPr>
          <w:rFonts w:ascii="Times New Roman" w:hAnsi="Times New Roman"/>
          <w:sz w:val="20"/>
          <w:szCs w:val="20"/>
        </w:rPr>
        <w:t xml:space="preserve"> (</w:t>
      </w:r>
      <w:r w:rsidRPr="009E6775">
        <w:rPr>
          <w:rFonts w:ascii="Times New Roman" w:hAnsi="Times New Roman"/>
          <w:sz w:val="20"/>
          <w:szCs w:val="20"/>
        </w:rPr>
        <w:t xml:space="preserve">2009), </w:t>
      </w:r>
      <w:r w:rsidR="00982E60" w:rsidRPr="009E6775">
        <w:rPr>
          <w:rFonts w:ascii="Times New Roman" w:hAnsi="Times New Roman"/>
          <w:sz w:val="20"/>
          <w:szCs w:val="20"/>
        </w:rPr>
        <w:t xml:space="preserve">supra note 15, </w:t>
      </w:r>
      <w:r w:rsidRPr="009E6775">
        <w:rPr>
          <w:rFonts w:ascii="Times New Roman" w:hAnsi="Times New Roman"/>
          <w:sz w:val="20"/>
          <w:szCs w:val="20"/>
        </w:rPr>
        <w:t>at 110-116, paras. 257-259.</w:t>
      </w:r>
    </w:p>
  </w:footnote>
  <w:footnote w:id="107">
    <w:p w14:paraId="02E0A550" w14:textId="5AB8228D"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Pr="009E6775">
        <w:rPr>
          <w:rFonts w:ascii="Times New Roman" w:hAnsi="Times New Roman"/>
          <w:sz w:val="20"/>
          <w:szCs w:val="20"/>
          <w:shd w:val="clear" w:color="auto" w:fill="FFFFFF"/>
        </w:rPr>
        <w:t>Kretzmer and Ronen, supra n</w:t>
      </w:r>
      <w:r w:rsidR="001E0DC2" w:rsidRPr="009E6775">
        <w:rPr>
          <w:rFonts w:ascii="Times New Roman" w:hAnsi="Times New Roman"/>
          <w:sz w:val="20"/>
          <w:szCs w:val="20"/>
          <w:shd w:val="clear" w:color="auto" w:fill="FFFFFF"/>
        </w:rPr>
        <w:t>ote 3</w:t>
      </w:r>
      <w:r w:rsidRPr="009E6775">
        <w:rPr>
          <w:rFonts w:ascii="Times New Roman" w:hAnsi="Times New Roman"/>
          <w:sz w:val="20"/>
          <w:szCs w:val="20"/>
          <w:shd w:val="clear" w:color="auto" w:fill="FFFFFF"/>
        </w:rPr>
        <w:t xml:space="preserve"> at 139. See also Y. Dinstein, ‘The Israel Supreme Court and the Law of Belligerent Occupation:  Article 43 of the Hague Regulations’, (1996) 25 </w:t>
      </w:r>
      <w:r w:rsidRPr="009E6775">
        <w:rPr>
          <w:rFonts w:ascii="Times New Roman" w:hAnsi="Times New Roman"/>
          <w:i/>
          <w:iCs/>
          <w:sz w:val="20"/>
          <w:szCs w:val="20"/>
          <w:shd w:val="clear" w:color="auto" w:fill="FFFFFF"/>
        </w:rPr>
        <w:t xml:space="preserve">Israel Yearbook on Human Rights </w:t>
      </w:r>
      <w:r w:rsidRPr="009E6775">
        <w:rPr>
          <w:rFonts w:ascii="Times New Roman" w:hAnsi="Times New Roman"/>
          <w:sz w:val="20"/>
          <w:szCs w:val="20"/>
          <w:shd w:val="clear" w:color="auto" w:fill="FFFFFF"/>
        </w:rPr>
        <w:t>1.</w:t>
      </w:r>
    </w:p>
  </w:footnote>
  <w:footnote w:id="108">
    <w:p w14:paraId="49088A20" w14:textId="54967538"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EA7F43" w:rsidRPr="009E6775">
        <w:rPr>
          <w:rFonts w:ascii="Times New Roman" w:hAnsi="Times New Roman"/>
          <w:sz w:val="20"/>
          <w:szCs w:val="20"/>
        </w:rPr>
        <w:t xml:space="preserve">ibid, </w:t>
      </w:r>
      <w:r w:rsidRPr="009E6775">
        <w:rPr>
          <w:rFonts w:ascii="Times New Roman" w:hAnsi="Times New Roman"/>
          <w:sz w:val="20"/>
          <w:szCs w:val="20"/>
        </w:rPr>
        <w:t xml:space="preserve">at 138-139. See also Weil, </w:t>
      </w:r>
      <w:r w:rsidRPr="009E6775">
        <w:rPr>
          <w:rFonts w:ascii="Times New Roman" w:hAnsi="Times New Roman"/>
          <w:i/>
          <w:iCs/>
          <w:sz w:val="20"/>
          <w:szCs w:val="20"/>
        </w:rPr>
        <w:t>supra</w:t>
      </w:r>
      <w:r w:rsidRPr="009E6775">
        <w:rPr>
          <w:rFonts w:ascii="Times New Roman" w:hAnsi="Times New Roman"/>
          <w:sz w:val="20"/>
          <w:szCs w:val="20"/>
        </w:rPr>
        <w:t xml:space="preserve"> n</w:t>
      </w:r>
      <w:r w:rsidR="001E0DC2" w:rsidRPr="009E6775">
        <w:rPr>
          <w:rFonts w:ascii="Times New Roman" w:hAnsi="Times New Roman"/>
          <w:sz w:val="20"/>
          <w:szCs w:val="20"/>
        </w:rPr>
        <w:t>ote</w:t>
      </w:r>
      <w:r w:rsidRPr="009E6775">
        <w:rPr>
          <w:rFonts w:ascii="Times New Roman" w:hAnsi="Times New Roman"/>
          <w:sz w:val="20"/>
          <w:szCs w:val="20"/>
        </w:rPr>
        <w:t xml:space="preserve"> 2, at 26-27.</w:t>
      </w:r>
    </w:p>
  </w:footnote>
  <w:footnote w:id="109">
    <w:p w14:paraId="75E10EBC" w14:textId="632AAB61"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shd w:val="clear" w:color="auto" w:fill="FFFFFF"/>
        </w:rPr>
        <w:t xml:space="preserve"> See </w:t>
      </w:r>
      <w:r w:rsidRPr="009E6775">
        <w:rPr>
          <w:rFonts w:ascii="Times New Roman" w:hAnsi="Times New Roman"/>
          <w:sz w:val="20"/>
          <w:szCs w:val="20"/>
        </w:rPr>
        <w:t xml:space="preserve">Schwenk, </w:t>
      </w:r>
      <w:r w:rsidRPr="009E6775">
        <w:rPr>
          <w:rFonts w:ascii="Times New Roman" w:hAnsi="Times New Roman"/>
          <w:i/>
          <w:iCs/>
          <w:sz w:val="20"/>
          <w:szCs w:val="20"/>
        </w:rPr>
        <w:t>supra</w:t>
      </w:r>
      <w:r w:rsidRPr="009E6775">
        <w:rPr>
          <w:rFonts w:ascii="Times New Roman" w:hAnsi="Times New Roman"/>
          <w:sz w:val="20"/>
          <w:szCs w:val="20"/>
        </w:rPr>
        <w:t xml:space="preserve"> n</w:t>
      </w:r>
      <w:r w:rsidR="001E0DC2" w:rsidRPr="009E6775">
        <w:rPr>
          <w:rFonts w:ascii="Times New Roman" w:hAnsi="Times New Roman"/>
          <w:sz w:val="20"/>
          <w:szCs w:val="20"/>
        </w:rPr>
        <w:t>ote 69</w:t>
      </w:r>
      <w:r w:rsidRPr="009E6775">
        <w:rPr>
          <w:rFonts w:ascii="Times New Roman" w:hAnsi="Times New Roman"/>
          <w:sz w:val="20"/>
          <w:szCs w:val="20"/>
        </w:rPr>
        <w:t xml:space="preserve">; Benvenisti </w:t>
      </w:r>
      <w:r w:rsidRPr="009E6775">
        <w:rPr>
          <w:rFonts w:ascii="Times New Roman" w:hAnsi="Times New Roman"/>
          <w:i/>
          <w:iCs/>
          <w:sz w:val="20"/>
          <w:szCs w:val="20"/>
        </w:rPr>
        <w:t>supra</w:t>
      </w:r>
      <w:r w:rsidRPr="009E6775">
        <w:rPr>
          <w:rFonts w:ascii="Times New Roman" w:hAnsi="Times New Roman"/>
          <w:sz w:val="20"/>
          <w:szCs w:val="20"/>
        </w:rPr>
        <w:t xml:space="preserve"> n. 66, at 76-77; Dinstein (2009), supra </w:t>
      </w:r>
      <w:r w:rsidR="00982E60" w:rsidRPr="009E6775">
        <w:rPr>
          <w:rFonts w:ascii="Times New Roman" w:hAnsi="Times New Roman"/>
          <w:sz w:val="20"/>
          <w:szCs w:val="20"/>
        </w:rPr>
        <w:t>note 15</w:t>
      </w:r>
      <w:r w:rsidRPr="009E6775">
        <w:rPr>
          <w:rFonts w:ascii="Times New Roman" w:hAnsi="Times New Roman"/>
          <w:sz w:val="20"/>
          <w:szCs w:val="20"/>
        </w:rPr>
        <w:t>, at 89; M. Sassoli, ‘Legislation and Maintenance of Public Order and Civil Life by Occupying Powers’ (2005) 16 (4) EJIL 661, at 676-678; Koutroulis</w:t>
      </w:r>
      <w:r w:rsidR="001E0DC2" w:rsidRPr="009E6775">
        <w:rPr>
          <w:rFonts w:ascii="Times New Roman" w:hAnsi="Times New Roman"/>
          <w:sz w:val="20"/>
          <w:szCs w:val="20"/>
        </w:rPr>
        <w:t xml:space="preserve"> (2012)</w:t>
      </w:r>
      <w:r w:rsidRPr="009E6775">
        <w:rPr>
          <w:rFonts w:ascii="Times New Roman" w:hAnsi="Times New Roman"/>
          <w:sz w:val="20"/>
          <w:szCs w:val="20"/>
        </w:rPr>
        <w:t xml:space="preserve">, </w:t>
      </w:r>
      <w:r w:rsidRPr="009E6775">
        <w:rPr>
          <w:rFonts w:ascii="Times New Roman" w:hAnsi="Times New Roman"/>
          <w:i/>
          <w:iCs/>
          <w:sz w:val="20"/>
          <w:szCs w:val="20"/>
        </w:rPr>
        <w:t>supra</w:t>
      </w:r>
      <w:r w:rsidRPr="009E6775">
        <w:rPr>
          <w:rFonts w:ascii="Times New Roman" w:hAnsi="Times New Roman"/>
          <w:sz w:val="20"/>
          <w:szCs w:val="20"/>
        </w:rPr>
        <w:t xml:space="preserve"> n</w:t>
      </w:r>
      <w:r w:rsidR="001E0DC2" w:rsidRPr="009E6775">
        <w:rPr>
          <w:rFonts w:ascii="Times New Roman" w:hAnsi="Times New Roman"/>
          <w:sz w:val="20"/>
          <w:szCs w:val="20"/>
        </w:rPr>
        <w:t>ote</w:t>
      </w:r>
      <w:r w:rsidRPr="009E6775">
        <w:rPr>
          <w:rFonts w:ascii="Times New Roman" w:hAnsi="Times New Roman"/>
          <w:sz w:val="20"/>
          <w:szCs w:val="20"/>
        </w:rPr>
        <w:t xml:space="preserve"> 70, at 178.</w:t>
      </w:r>
    </w:p>
  </w:footnote>
  <w:footnote w:id="110">
    <w:p w14:paraId="384A8953" w14:textId="5061ACF5"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1E0DC2" w:rsidRPr="009E6775">
        <w:rPr>
          <w:rFonts w:ascii="Times New Roman" w:hAnsi="Times New Roman"/>
          <w:sz w:val="20"/>
          <w:szCs w:val="20"/>
        </w:rPr>
        <w:t xml:space="preserve">supra note 3, </w:t>
      </w:r>
      <w:r w:rsidRPr="009E6775">
        <w:rPr>
          <w:rFonts w:ascii="Times New Roman" w:hAnsi="Times New Roman"/>
          <w:sz w:val="20"/>
          <w:szCs w:val="20"/>
        </w:rPr>
        <w:t xml:space="preserve">at 149-156. See also Stone (1980), </w:t>
      </w:r>
      <w:r w:rsidRPr="009E6775">
        <w:rPr>
          <w:rFonts w:ascii="Times New Roman" w:hAnsi="Times New Roman"/>
          <w:i/>
          <w:iCs/>
          <w:sz w:val="20"/>
          <w:szCs w:val="20"/>
        </w:rPr>
        <w:t>supra</w:t>
      </w:r>
      <w:r w:rsidRPr="009E6775">
        <w:rPr>
          <w:rFonts w:ascii="Times New Roman" w:hAnsi="Times New Roman"/>
          <w:sz w:val="20"/>
          <w:szCs w:val="20"/>
        </w:rPr>
        <w:t xml:space="preserve"> </w:t>
      </w:r>
      <w:r w:rsidR="001E0DC2" w:rsidRPr="009E6775">
        <w:rPr>
          <w:rFonts w:ascii="Times New Roman" w:hAnsi="Times New Roman"/>
          <w:sz w:val="20"/>
          <w:szCs w:val="20"/>
        </w:rPr>
        <w:t>note 75</w:t>
      </w:r>
      <w:r w:rsidRPr="009E6775">
        <w:rPr>
          <w:rFonts w:ascii="Times New Roman" w:hAnsi="Times New Roman"/>
          <w:sz w:val="20"/>
          <w:szCs w:val="20"/>
        </w:rPr>
        <w:t>, at 489-490; Weil, supra n</w:t>
      </w:r>
      <w:r w:rsidR="001E0DC2" w:rsidRPr="009E6775">
        <w:rPr>
          <w:rFonts w:ascii="Times New Roman" w:hAnsi="Times New Roman"/>
          <w:sz w:val="20"/>
          <w:szCs w:val="20"/>
        </w:rPr>
        <w:t xml:space="preserve">ote, </w:t>
      </w:r>
      <w:r w:rsidRPr="009E6775">
        <w:rPr>
          <w:rFonts w:ascii="Times New Roman" w:hAnsi="Times New Roman"/>
          <w:sz w:val="20"/>
          <w:szCs w:val="20"/>
        </w:rPr>
        <w:t>2, at 34-35.</w:t>
      </w:r>
    </w:p>
  </w:footnote>
  <w:footnote w:id="111">
    <w:p w14:paraId="63129606" w14:textId="5BF0979A"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Weil, </w:t>
      </w:r>
      <w:r w:rsidR="001E0DC2" w:rsidRPr="009E6775">
        <w:rPr>
          <w:rFonts w:ascii="Times New Roman" w:hAnsi="Times New Roman"/>
          <w:i/>
          <w:iCs/>
          <w:sz w:val="20"/>
          <w:szCs w:val="20"/>
        </w:rPr>
        <w:t>ibid</w:t>
      </w:r>
      <w:r w:rsidRPr="009E6775">
        <w:rPr>
          <w:rFonts w:ascii="Times New Roman" w:hAnsi="Times New Roman"/>
          <w:sz w:val="20"/>
          <w:szCs w:val="20"/>
        </w:rPr>
        <w:t>, at 34-35</w:t>
      </w:r>
      <w:r w:rsidRPr="009E6775">
        <w:rPr>
          <w:rFonts w:ascii="Times New Roman" w:hAnsi="Times New Roman"/>
          <w:sz w:val="20"/>
          <w:szCs w:val="20"/>
          <w:shd w:val="clear" w:color="auto" w:fill="FFFFFF"/>
        </w:rPr>
        <w:t xml:space="preserve">. </w:t>
      </w:r>
    </w:p>
  </w:footnote>
  <w:footnote w:id="112">
    <w:p w14:paraId="73FDCE89" w14:textId="6B199487"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Harpaz and Shany, </w:t>
      </w:r>
      <w:r w:rsidRPr="009E6775">
        <w:rPr>
          <w:rFonts w:ascii="Times New Roman" w:hAnsi="Times New Roman"/>
          <w:i/>
          <w:iCs/>
          <w:sz w:val="20"/>
          <w:szCs w:val="20"/>
        </w:rPr>
        <w:t>supra</w:t>
      </w:r>
      <w:r w:rsidRPr="009E6775">
        <w:rPr>
          <w:rFonts w:ascii="Times New Roman" w:hAnsi="Times New Roman"/>
          <w:sz w:val="20"/>
          <w:szCs w:val="20"/>
        </w:rPr>
        <w:t xml:space="preserve"> n</w:t>
      </w:r>
      <w:r w:rsidR="001E0DC2" w:rsidRPr="009E6775">
        <w:rPr>
          <w:rFonts w:ascii="Times New Roman" w:hAnsi="Times New Roman"/>
          <w:sz w:val="20"/>
          <w:szCs w:val="20"/>
        </w:rPr>
        <w:t>ote</w:t>
      </w:r>
      <w:r w:rsidRPr="009E6775">
        <w:rPr>
          <w:rFonts w:ascii="Times New Roman" w:hAnsi="Times New Roman"/>
          <w:sz w:val="20"/>
          <w:szCs w:val="20"/>
        </w:rPr>
        <w:t xml:space="preserve"> 3, at 529 (describing such judicial policy as part of the ‘second-generation jurisprudence’ on Article 43 Hague Regulations). See also ibid., at 534 (‘third-generation jurisprudence’ which includes even Israeli non-residents such as travellers).</w:t>
      </w:r>
    </w:p>
  </w:footnote>
  <w:footnote w:id="113">
    <w:p w14:paraId="3544CCFC" w14:textId="6DFCC14D"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1E0DC2" w:rsidRPr="009E6775">
        <w:rPr>
          <w:rFonts w:ascii="Times New Roman" w:hAnsi="Times New Roman"/>
          <w:sz w:val="20"/>
          <w:szCs w:val="20"/>
        </w:rPr>
        <w:t xml:space="preserve">supra note 3, </w:t>
      </w:r>
      <w:r w:rsidRPr="009E6775">
        <w:rPr>
          <w:rFonts w:ascii="Times New Roman" w:hAnsi="Times New Roman"/>
          <w:sz w:val="20"/>
          <w:szCs w:val="20"/>
        </w:rPr>
        <w:t>at 148-149.</w:t>
      </w:r>
    </w:p>
  </w:footnote>
  <w:footnote w:id="114">
    <w:p w14:paraId="378A8414" w14:textId="1FF436CD"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256/72, </w:t>
      </w:r>
      <w:r w:rsidRPr="009E6775">
        <w:rPr>
          <w:rFonts w:ascii="Times New Roman" w:hAnsi="Times New Roman"/>
          <w:i/>
          <w:iCs/>
          <w:sz w:val="20"/>
          <w:szCs w:val="20"/>
        </w:rPr>
        <w:t xml:space="preserve">Electricity Corporation for Jerusalem District Ltd v. Minister of Defence </w:t>
      </w:r>
      <w:r w:rsidRPr="009E6775">
        <w:rPr>
          <w:rFonts w:ascii="Times New Roman" w:hAnsi="Times New Roman"/>
          <w:sz w:val="20"/>
          <w:szCs w:val="20"/>
        </w:rPr>
        <w:t>(20 Dec. 1972) (</w:t>
      </w:r>
      <w:r w:rsidRPr="009E6775">
        <w:rPr>
          <w:rFonts w:ascii="Times New Roman" w:hAnsi="Times New Roman"/>
          <w:i/>
          <w:iCs/>
          <w:sz w:val="20"/>
          <w:szCs w:val="20"/>
        </w:rPr>
        <w:t>Electricity Co (No 1</w:t>
      </w:r>
      <w:r w:rsidRPr="009E6775">
        <w:rPr>
          <w:rFonts w:ascii="Times New Roman" w:hAnsi="Times New Roman"/>
          <w:sz w:val="20"/>
          <w:szCs w:val="20"/>
        </w:rPr>
        <w:t>)).</w:t>
      </w:r>
    </w:p>
  </w:footnote>
  <w:footnote w:id="115">
    <w:p w14:paraId="232AC62E" w14:textId="2CFA05FA"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1E0DC2" w:rsidRPr="009E6775">
        <w:rPr>
          <w:rFonts w:ascii="Times New Roman" w:hAnsi="Times New Roman"/>
          <w:sz w:val="20"/>
          <w:szCs w:val="20"/>
        </w:rPr>
        <w:t xml:space="preserve">supra note 3, </w:t>
      </w:r>
      <w:r w:rsidRPr="009E6775">
        <w:rPr>
          <w:rFonts w:ascii="Times New Roman" w:hAnsi="Times New Roman"/>
          <w:sz w:val="20"/>
          <w:szCs w:val="20"/>
        </w:rPr>
        <w:t>at 147.</w:t>
      </w:r>
      <w:r w:rsidR="00FA3995" w:rsidRPr="009E6775">
        <w:rPr>
          <w:rFonts w:ascii="Times New Roman" w:hAnsi="Times New Roman"/>
          <w:sz w:val="20"/>
          <w:szCs w:val="20"/>
        </w:rPr>
        <w:t xml:space="preserve"> Contrast </w:t>
      </w:r>
      <w:r w:rsidR="00FA3995" w:rsidRPr="009E6775">
        <w:rPr>
          <w:rFonts w:ascii="Times New Roman" w:hAnsi="Times New Roman"/>
          <w:i/>
          <w:iCs/>
          <w:sz w:val="20"/>
          <w:szCs w:val="20"/>
        </w:rPr>
        <w:t xml:space="preserve">Electricity (No 2) supra </w:t>
      </w:r>
      <w:r w:rsidR="00F909F2" w:rsidRPr="009E6775">
        <w:rPr>
          <w:rFonts w:ascii="Times New Roman" w:hAnsi="Times New Roman"/>
          <w:sz w:val="20"/>
          <w:szCs w:val="20"/>
        </w:rPr>
        <w:t>note 42</w:t>
      </w:r>
      <w:r w:rsidR="00FA3995" w:rsidRPr="009E6775">
        <w:rPr>
          <w:rFonts w:ascii="Times New Roman" w:hAnsi="Times New Roman"/>
          <w:i/>
          <w:iCs/>
          <w:sz w:val="20"/>
          <w:szCs w:val="20"/>
        </w:rPr>
        <w:t>.</w:t>
      </w:r>
    </w:p>
  </w:footnote>
  <w:footnote w:id="116">
    <w:p w14:paraId="50417561" w14:textId="388991F5"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2150/07,</w:t>
      </w:r>
      <w:r w:rsidRPr="009E6775">
        <w:rPr>
          <w:rFonts w:ascii="Times New Roman" w:hAnsi="Times New Roman"/>
          <w:i/>
          <w:iCs/>
          <w:sz w:val="20"/>
          <w:szCs w:val="20"/>
        </w:rPr>
        <w:t xml:space="preserve"> Abu Safiya v. The Minister of Defense </w:t>
      </w:r>
      <w:r w:rsidRPr="009E6775">
        <w:rPr>
          <w:rFonts w:ascii="Times New Roman" w:hAnsi="Times New Roman"/>
          <w:sz w:val="20"/>
          <w:szCs w:val="20"/>
        </w:rPr>
        <w:t>(29 Dec 2009)</w:t>
      </w:r>
      <w:r w:rsidRPr="009E6775">
        <w:rPr>
          <w:rFonts w:ascii="Times New Roman" w:hAnsi="Times New Roman"/>
          <w:sz w:val="20"/>
          <w:szCs w:val="20"/>
          <w:shd w:val="clear" w:color="auto" w:fill="FFFFFF"/>
        </w:rPr>
        <w:t xml:space="preserve">. </w:t>
      </w:r>
    </w:p>
  </w:footnote>
  <w:footnote w:id="117">
    <w:p w14:paraId="3EC973FB" w14:textId="451ECB38"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1E0DC2" w:rsidRPr="009E6775">
        <w:rPr>
          <w:rFonts w:ascii="Times New Roman" w:hAnsi="Times New Roman"/>
          <w:sz w:val="20"/>
          <w:szCs w:val="20"/>
        </w:rPr>
        <w:t xml:space="preserve">supra note 3, </w:t>
      </w:r>
      <w:r w:rsidRPr="009E6775">
        <w:rPr>
          <w:rFonts w:ascii="Times New Roman" w:hAnsi="Times New Roman"/>
          <w:sz w:val="20"/>
          <w:szCs w:val="20"/>
        </w:rPr>
        <w:t>at 152-154.</w:t>
      </w:r>
    </w:p>
  </w:footnote>
  <w:footnote w:id="118">
    <w:p w14:paraId="0230C8E7" w14:textId="3435A34A"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Weil, </w:t>
      </w:r>
      <w:r w:rsidRPr="009E6775">
        <w:rPr>
          <w:rFonts w:ascii="Times New Roman" w:hAnsi="Times New Roman"/>
          <w:i/>
          <w:iCs/>
          <w:sz w:val="20"/>
          <w:szCs w:val="20"/>
        </w:rPr>
        <w:t>supra</w:t>
      </w:r>
      <w:r w:rsidRPr="009E6775">
        <w:rPr>
          <w:rFonts w:ascii="Times New Roman" w:hAnsi="Times New Roman"/>
          <w:sz w:val="20"/>
          <w:szCs w:val="20"/>
        </w:rPr>
        <w:t xml:space="preserve"> n</w:t>
      </w:r>
      <w:r w:rsidR="001E0DC2" w:rsidRPr="009E6775">
        <w:rPr>
          <w:rFonts w:ascii="Times New Roman" w:hAnsi="Times New Roman"/>
          <w:sz w:val="20"/>
          <w:szCs w:val="20"/>
        </w:rPr>
        <w:t xml:space="preserve">ote </w:t>
      </w:r>
      <w:r w:rsidRPr="009E6775">
        <w:rPr>
          <w:rFonts w:ascii="Times New Roman" w:hAnsi="Times New Roman"/>
          <w:sz w:val="20"/>
          <w:szCs w:val="20"/>
        </w:rPr>
        <w:t>2, at 35.</w:t>
      </w:r>
    </w:p>
  </w:footnote>
  <w:footnote w:id="119">
    <w:p w14:paraId="739BBED5" w14:textId="16EBA03F"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Pr="009E6775">
        <w:rPr>
          <w:rFonts w:ascii="Times New Roman" w:hAnsi="Times New Roman"/>
          <w:i/>
          <w:iCs/>
          <w:sz w:val="20"/>
          <w:szCs w:val="20"/>
        </w:rPr>
        <w:t>Jam’iyat Iskan</w:t>
      </w:r>
      <w:r w:rsidR="00CE0248" w:rsidRPr="009E6775">
        <w:rPr>
          <w:rFonts w:ascii="Times New Roman" w:hAnsi="Times New Roman"/>
          <w:i/>
          <w:iCs/>
          <w:sz w:val="20"/>
          <w:szCs w:val="20"/>
        </w:rPr>
        <w:t xml:space="preserve">, </w:t>
      </w:r>
      <w:r w:rsidR="001E0DC2" w:rsidRPr="009E6775">
        <w:rPr>
          <w:rFonts w:ascii="Times New Roman" w:hAnsi="Times New Roman"/>
          <w:sz w:val="20"/>
          <w:szCs w:val="20"/>
        </w:rPr>
        <w:t>supra note</w:t>
      </w:r>
      <w:r w:rsidR="00EA7F43" w:rsidRPr="009E6775">
        <w:rPr>
          <w:rFonts w:ascii="Times New Roman" w:hAnsi="Times New Roman"/>
          <w:sz w:val="20"/>
          <w:szCs w:val="20"/>
        </w:rPr>
        <w:t xml:space="preserve"> 80</w:t>
      </w:r>
      <w:r w:rsidR="00CE0248" w:rsidRPr="009E6775">
        <w:rPr>
          <w:rFonts w:ascii="Times New Roman" w:hAnsi="Times New Roman"/>
          <w:sz w:val="20"/>
          <w:szCs w:val="20"/>
        </w:rPr>
        <w:t>.</w:t>
      </w:r>
    </w:p>
  </w:footnote>
  <w:footnote w:id="120">
    <w:p w14:paraId="6E9796C5" w14:textId="646816B6"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Pr="009E6775">
        <w:rPr>
          <w:rFonts w:ascii="Times New Roman" w:hAnsi="Times New Roman"/>
          <w:sz w:val="20"/>
          <w:szCs w:val="20"/>
          <w:shd w:val="clear" w:color="auto" w:fill="FFFFFF"/>
        </w:rPr>
        <w:t xml:space="preserve">See </w:t>
      </w:r>
      <w:r w:rsidRPr="009E6775">
        <w:rPr>
          <w:rFonts w:ascii="Times New Roman" w:hAnsi="Times New Roman"/>
          <w:sz w:val="20"/>
          <w:szCs w:val="20"/>
        </w:rPr>
        <w:t xml:space="preserve">Harpaz and Shany, </w:t>
      </w:r>
      <w:r w:rsidRPr="009E6775">
        <w:rPr>
          <w:rFonts w:ascii="Times New Roman" w:hAnsi="Times New Roman"/>
          <w:i/>
          <w:iCs/>
          <w:sz w:val="20"/>
          <w:szCs w:val="20"/>
        </w:rPr>
        <w:t>supra</w:t>
      </w:r>
      <w:r w:rsidRPr="009E6775">
        <w:rPr>
          <w:rFonts w:ascii="Times New Roman" w:hAnsi="Times New Roman"/>
          <w:sz w:val="20"/>
          <w:szCs w:val="20"/>
        </w:rPr>
        <w:t xml:space="preserve"> n</w:t>
      </w:r>
      <w:r w:rsidR="001E0DC2" w:rsidRPr="009E6775">
        <w:rPr>
          <w:rFonts w:ascii="Times New Roman" w:hAnsi="Times New Roman"/>
          <w:sz w:val="20"/>
          <w:szCs w:val="20"/>
        </w:rPr>
        <w:t>ote</w:t>
      </w:r>
      <w:r w:rsidRPr="009E6775">
        <w:rPr>
          <w:rFonts w:ascii="Times New Roman" w:hAnsi="Times New Roman"/>
          <w:sz w:val="20"/>
          <w:szCs w:val="20"/>
        </w:rPr>
        <w:t xml:space="preserve"> 3, at 524.</w:t>
      </w:r>
    </w:p>
  </w:footnote>
  <w:footnote w:id="121">
    <w:p w14:paraId="1CE6BFE5" w14:textId="77777777" w:rsidR="00855ECE" w:rsidRPr="009E6775" w:rsidRDefault="00855ECE"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As confirmed by Prof. Yael Ronen in her email correspondence on 30 Sept 2021 (case on this author’s file).</w:t>
      </w:r>
    </w:p>
  </w:footnote>
  <w:footnote w:id="122">
    <w:p w14:paraId="5B5C7AB3" w14:textId="7150104E" w:rsidR="00855ECE" w:rsidRPr="009E6775" w:rsidRDefault="00855ECE"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See HCJ 794/17, </w:t>
      </w:r>
      <w:r w:rsidRPr="009E6775">
        <w:rPr>
          <w:rFonts w:ascii="Times New Roman" w:hAnsi="Times New Roman"/>
          <w:i/>
          <w:iCs/>
          <w:sz w:val="20"/>
          <w:szCs w:val="20"/>
        </w:rPr>
        <w:t xml:space="preserve">Ziada v. IDF Commander in the West Bank </w:t>
      </w:r>
      <w:r w:rsidRPr="009E6775">
        <w:rPr>
          <w:rFonts w:ascii="Times New Roman" w:hAnsi="Times New Roman"/>
          <w:sz w:val="20"/>
          <w:szCs w:val="20"/>
        </w:rPr>
        <w:t xml:space="preserve">(31 Oct. 2017) (despite </w:t>
      </w:r>
      <w:r w:rsidR="001E0DC2" w:rsidRPr="009E6775">
        <w:rPr>
          <w:rFonts w:ascii="Times New Roman" w:hAnsi="Times New Roman"/>
          <w:sz w:val="20"/>
          <w:szCs w:val="20"/>
        </w:rPr>
        <w:t xml:space="preserve">recogning </w:t>
      </w:r>
      <w:r w:rsidRPr="009E6775">
        <w:rPr>
          <w:rFonts w:ascii="Times New Roman" w:hAnsi="Times New Roman"/>
          <w:sz w:val="20"/>
          <w:szCs w:val="20"/>
        </w:rPr>
        <w:t xml:space="preserve">commander’s authority to take land for the benefit of settlers:  Kretzmer and Ronen </w:t>
      </w:r>
      <w:r w:rsidR="001E0DC2" w:rsidRPr="009E6775">
        <w:rPr>
          <w:rFonts w:ascii="Times New Roman" w:hAnsi="Times New Roman"/>
          <w:sz w:val="20"/>
          <w:szCs w:val="20"/>
        </w:rPr>
        <w:t xml:space="preserve">supra note 3, </w:t>
      </w:r>
      <w:r w:rsidRPr="009E6775">
        <w:rPr>
          <w:rFonts w:ascii="Times New Roman" w:hAnsi="Times New Roman"/>
          <w:sz w:val="20"/>
          <w:szCs w:val="20"/>
        </w:rPr>
        <w:t>at 228).</w:t>
      </w:r>
    </w:p>
  </w:footnote>
  <w:footnote w:id="123">
    <w:p w14:paraId="31724BFA" w14:textId="77777777"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w:t>
      </w:r>
      <w:r w:rsidRPr="009E6775">
        <w:rPr>
          <w:rStyle w:val="af0"/>
          <w:rFonts w:ascii="Times New Roman" w:hAnsi="Times New Roman"/>
          <w:b w:val="0"/>
          <w:bCs w:val="0"/>
          <w:sz w:val="20"/>
          <w:szCs w:val="20"/>
          <w:shd w:val="clear" w:color="auto" w:fill="FFFFFF"/>
        </w:rPr>
        <w:t xml:space="preserve">606/78, </w:t>
      </w:r>
      <w:r w:rsidRPr="009E6775">
        <w:rPr>
          <w:rStyle w:val="af0"/>
          <w:rFonts w:ascii="Times New Roman" w:hAnsi="Times New Roman"/>
          <w:b w:val="0"/>
          <w:bCs w:val="0"/>
          <w:i/>
          <w:iCs/>
          <w:sz w:val="20"/>
          <w:szCs w:val="20"/>
          <w:shd w:val="clear" w:color="auto" w:fill="FFFFFF"/>
        </w:rPr>
        <w:t>Ayub et al. v. Minister of Defence et al</w:t>
      </w:r>
      <w:r w:rsidRPr="009E6775">
        <w:rPr>
          <w:rStyle w:val="af0"/>
          <w:rFonts w:ascii="Times New Roman" w:hAnsi="Times New Roman"/>
          <w:b w:val="0"/>
          <w:bCs w:val="0"/>
          <w:sz w:val="20"/>
          <w:szCs w:val="20"/>
          <w:shd w:val="clear" w:color="auto" w:fill="FFFFFF"/>
        </w:rPr>
        <w:t xml:space="preserve"> (the </w:t>
      </w:r>
      <w:r w:rsidRPr="009E6775">
        <w:rPr>
          <w:rStyle w:val="af0"/>
          <w:rFonts w:ascii="Times New Roman" w:hAnsi="Times New Roman"/>
          <w:b w:val="0"/>
          <w:bCs w:val="0"/>
          <w:i/>
          <w:iCs/>
          <w:sz w:val="20"/>
          <w:szCs w:val="20"/>
          <w:shd w:val="clear" w:color="auto" w:fill="FFFFFF"/>
        </w:rPr>
        <w:t xml:space="preserve">Beth El </w:t>
      </w:r>
      <w:r w:rsidRPr="009E6775">
        <w:rPr>
          <w:rStyle w:val="af0"/>
          <w:rFonts w:ascii="Times New Roman" w:hAnsi="Times New Roman"/>
          <w:b w:val="0"/>
          <w:bCs w:val="0"/>
          <w:sz w:val="20"/>
          <w:szCs w:val="20"/>
          <w:shd w:val="clear" w:color="auto" w:fill="FFFFFF"/>
        </w:rPr>
        <w:t>case) (</w:t>
      </w:r>
      <w:r w:rsidRPr="009E6775">
        <w:rPr>
          <w:rStyle w:val="af0"/>
          <w:rFonts w:ascii="Times New Roman" w:hAnsi="Times New Roman"/>
          <w:b w:val="0"/>
          <w:bCs w:val="0"/>
          <w:i/>
          <w:iCs/>
          <w:sz w:val="20"/>
          <w:szCs w:val="20"/>
          <w:shd w:val="clear" w:color="auto" w:fill="FFFFFF"/>
        </w:rPr>
        <w:t>per</w:t>
      </w:r>
      <w:r w:rsidRPr="009E6775">
        <w:rPr>
          <w:rStyle w:val="af0"/>
          <w:rFonts w:ascii="Times New Roman" w:hAnsi="Times New Roman"/>
          <w:b w:val="0"/>
          <w:bCs w:val="0"/>
          <w:sz w:val="20"/>
          <w:szCs w:val="20"/>
          <w:shd w:val="clear" w:color="auto" w:fill="FFFFFF"/>
        </w:rPr>
        <w:t xml:space="preserve"> Justice Landau).</w:t>
      </w:r>
    </w:p>
  </w:footnote>
  <w:footnote w:id="124">
    <w:p w14:paraId="1A77F9F4" w14:textId="49A113BF"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Ibid., at 136-7.</w:t>
      </w:r>
    </w:p>
  </w:footnote>
  <w:footnote w:id="125">
    <w:p w14:paraId="5DC26440" w14:textId="77777777" w:rsidR="008C5872" w:rsidRPr="009E6775" w:rsidRDefault="008C5872"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See Stone, supra note 75 at 486-487; J. Stone, </w:t>
      </w:r>
      <w:r w:rsidRPr="009E6775">
        <w:rPr>
          <w:rFonts w:ascii="Times New Roman" w:hAnsi="Times New Roman"/>
          <w:i/>
          <w:iCs/>
          <w:sz w:val="20"/>
          <w:szCs w:val="20"/>
        </w:rPr>
        <w:t xml:space="preserve">Legal Controls of International Conflict </w:t>
      </w:r>
      <w:r w:rsidRPr="009E6775">
        <w:rPr>
          <w:rFonts w:ascii="Times New Roman" w:hAnsi="Times New Roman"/>
          <w:sz w:val="20"/>
          <w:szCs w:val="20"/>
        </w:rPr>
        <w:t xml:space="preserve">(1954), at 721, n. 176. </w:t>
      </w:r>
    </w:p>
  </w:footnote>
  <w:footnote w:id="126">
    <w:p w14:paraId="1A41BD93" w14:textId="77777777" w:rsidR="00504424" w:rsidRPr="009E6775" w:rsidRDefault="00504424"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Incidentally, Gabrielle Blum argues that ‘…the necessity discussed in Article 31(1)(d) [of the ICC Statute] is military necessity:  G. Blum, ‘The Laws of War and the “Lesser Evil”’, 35 </w:t>
      </w:r>
      <w:r w:rsidRPr="009E6775">
        <w:rPr>
          <w:rFonts w:ascii="Times New Roman" w:hAnsi="Times New Roman"/>
          <w:i/>
          <w:iCs/>
          <w:sz w:val="20"/>
          <w:szCs w:val="20"/>
        </w:rPr>
        <w:t xml:space="preserve">Yale Journal of International Law </w:t>
      </w:r>
      <w:r w:rsidRPr="009E6775">
        <w:rPr>
          <w:rFonts w:ascii="Times New Roman" w:hAnsi="Times New Roman"/>
          <w:sz w:val="20"/>
          <w:szCs w:val="20"/>
        </w:rPr>
        <w:t>(2010) 1, at 14. Yet, this is flawed, as it would then allow the ‘third bites’ of necessity for the defendants of war crimes, say, of destruction of private property in occupied territory.</w:t>
      </w:r>
    </w:p>
  </w:footnote>
  <w:footnote w:id="127">
    <w:p w14:paraId="6712657B" w14:textId="77777777" w:rsidR="00504424" w:rsidRPr="009E6775" w:rsidRDefault="00504424" w:rsidP="008918A0">
      <w:pPr>
        <w:rPr>
          <w:rFonts w:ascii="Times New Roman" w:hAnsi="Times New Roman" w:cs="Times New Roman"/>
          <w:sz w:val="20"/>
          <w:szCs w:val="20"/>
        </w:rPr>
      </w:pPr>
      <w:r w:rsidRPr="009E6775">
        <w:rPr>
          <w:rStyle w:val="aa"/>
          <w:rFonts w:ascii="Times New Roman" w:eastAsia="Arial Unicode MS" w:hAnsi="Times New Roman" w:cs="Times New Roman"/>
          <w:sz w:val="20"/>
          <w:szCs w:val="20"/>
        </w:rPr>
        <w:footnoteRef/>
      </w:r>
      <w:r w:rsidRPr="009E6775">
        <w:rPr>
          <w:rFonts w:ascii="Times New Roman" w:eastAsia="Arial Unicode MS" w:hAnsi="Times New Roman" w:cs="Times New Roman"/>
          <w:sz w:val="20"/>
          <w:szCs w:val="20"/>
        </w:rPr>
        <w:t xml:space="preserve"> </w:t>
      </w:r>
      <w:r w:rsidRPr="009E6775">
        <w:rPr>
          <w:rFonts w:ascii="Times New Roman" w:hAnsi="Times New Roman" w:cs="Times New Roman"/>
          <w:sz w:val="20"/>
          <w:szCs w:val="20"/>
        </w:rPr>
        <w:t>The ICJ held that:</w:t>
      </w:r>
    </w:p>
    <w:p w14:paraId="47CC1FA4" w14:textId="77777777" w:rsidR="00504424" w:rsidRPr="009E6775" w:rsidRDefault="00504424" w:rsidP="008918A0">
      <w:pPr>
        <w:rPr>
          <w:rFonts w:ascii="Times New Roman" w:hAnsi="Times New Roman" w:cs="Times New Roman"/>
          <w:sz w:val="20"/>
          <w:szCs w:val="20"/>
        </w:rPr>
      </w:pPr>
    </w:p>
    <w:p w14:paraId="7CE6C193" w14:textId="77777777" w:rsidR="00504424" w:rsidRPr="009E6775" w:rsidRDefault="00504424" w:rsidP="008918A0">
      <w:pPr>
        <w:pStyle w:val="a4"/>
        <w:ind w:leftChars="67" w:left="141"/>
        <w:jc w:val="both"/>
        <w:rPr>
          <w:rFonts w:ascii="Times New Roman" w:hAnsi="Times New Roman"/>
          <w:sz w:val="20"/>
          <w:szCs w:val="20"/>
        </w:rPr>
      </w:pPr>
      <w:r w:rsidRPr="009E6775">
        <w:rPr>
          <w:rFonts w:ascii="Times New Roman" w:hAnsi="Times New Roman"/>
          <w:sz w:val="20"/>
          <w:szCs w:val="20"/>
        </w:rPr>
        <w:t xml:space="preserve">The Court has, however, considered whether Israel could rely on a state of necessity which would preclude the wrongfulness of the construction of the wall. In this regard the Court is bound to note that some of the conventions at issue in the present instance include qualifying clauses of the rights guaranteed or provisions for derogation [Article 53 GCIV, and derogations clause of HRL]. Since those treaties already address considerations of this kind [‘military exigencies’] within their own provisions, it might be asked whether a state of necessity as recognized in customary international law could be invoked </w:t>
      </w:r>
      <w:proofErr w:type="gramStart"/>
      <w:r w:rsidRPr="009E6775">
        <w:rPr>
          <w:rFonts w:ascii="Times New Roman" w:hAnsi="Times New Roman"/>
          <w:sz w:val="20"/>
          <w:szCs w:val="20"/>
        </w:rPr>
        <w:t>with regard to</w:t>
      </w:r>
      <w:proofErr w:type="gramEnd"/>
      <w:r w:rsidRPr="009E6775">
        <w:rPr>
          <w:rFonts w:ascii="Times New Roman" w:hAnsi="Times New Roman"/>
          <w:sz w:val="20"/>
          <w:szCs w:val="20"/>
        </w:rPr>
        <w:t xml:space="preserve"> those treaties as a ground for precluding the wrongfulness of the measures or decisions being challenged.</w:t>
      </w:r>
    </w:p>
    <w:p w14:paraId="3B9D0CEE" w14:textId="77777777" w:rsidR="00504424" w:rsidRPr="009E6775" w:rsidRDefault="00504424" w:rsidP="008918A0">
      <w:pPr>
        <w:pStyle w:val="a4"/>
        <w:jc w:val="both"/>
        <w:rPr>
          <w:rFonts w:ascii="Times New Roman" w:hAnsi="Times New Roman"/>
          <w:sz w:val="20"/>
          <w:szCs w:val="20"/>
        </w:rPr>
      </w:pPr>
    </w:p>
    <w:p w14:paraId="1305C8ED" w14:textId="77777777" w:rsidR="00504424" w:rsidRPr="009E6775" w:rsidRDefault="00504424" w:rsidP="008918A0">
      <w:pPr>
        <w:pStyle w:val="a4"/>
        <w:jc w:val="both"/>
        <w:rPr>
          <w:rFonts w:ascii="Times New Roman" w:eastAsia="Arial Unicode MS" w:hAnsi="Times New Roman"/>
          <w:sz w:val="20"/>
          <w:szCs w:val="20"/>
        </w:rPr>
      </w:pPr>
      <w:r w:rsidRPr="009E6775">
        <w:rPr>
          <w:rFonts w:ascii="Times New Roman" w:eastAsia="Arial Unicode MS" w:hAnsi="Times New Roman"/>
          <w:sz w:val="20"/>
          <w:szCs w:val="20"/>
        </w:rPr>
        <w:t xml:space="preserve">ICJ, </w:t>
      </w:r>
      <w:r w:rsidRPr="009E6775">
        <w:rPr>
          <w:rFonts w:ascii="Times New Roman" w:hAnsi="Times New Roman"/>
          <w:i/>
          <w:iCs/>
          <w:sz w:val="20"/>
          <w:szCs w:val="20"/>
        </w:rPr>
        <w:t>Wall</w:t>
      </w:r>
      <w:r w:rsidRPr="009E6775">
        <w:rPr>
          <w:rFonts w:ascii="Times New Roman" w:hAnsi="Times New Roman"/>
          <w:sz w:val="20"/>
          <w:szCs w:val="20"/>
        </w:rPr>
        <w:t xml:space="preserve"> Advisory Opinion</w:t>
      </w:r>
      <w:r w:rsidRPr="009E6775">
        <w:rPr>
          <w:rFonts w:ascii="Times New Roman" w:eastAsia="Arial Unicode MS" w:hAnsi="Times New Roman"/>
          <w:sz w:val="20"/>
          <w:szCs w:val="20"/>
        </w:rPr>
        <w:t>, supra note 41, para. 140.</w:t>
      </w:r>
    </w:p>
  </w:footnote>
  <w:footnote w:id="128">
    <w:p w14:paraId="49A1AC31" w14:textId="77777777" w:rsidR="00C2464F" w:rsidRPr="009E6775" w:rsidRDefault="00C2464F"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As explained by the Kretzmer and Ronen:  ibid, at 273.</w:t>
      </w:r>
    </w:p>
  </w:footnote>
  <w:footnote w:id="129">
    <w:p w14:paraId="5A57C2EB" w14:textId="77777777" w:rsidR="00C2464F" w:rsidRPr="009E6775" w:rsidRDefault="00C2464F"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285/81, </w:t>
      </w:r>
      <w:r w:rsidRPr="009E6775">
        <w:rPr>
          <w:rFonts w:ascii="Times New Roman" w:hAnsi="Times New Roman"/>
          <w:i/>
          <w:iCs/>
          <w:sz w:val="20"/>
          <w:szCs w:val="20"/>
        </w:rPr>
        <w:t>Al-Nazer v. IDF Commander in Judea and Samaria</w:t>
      </w:r>
      <w:r w:rsidRPr="009E6775">
        <w:rPr>
          <w:rFonts w:ascii="Times New Roman" w:hAnsi="Times New Roman"/>
          <w:sz w:val="20"/>
          <w:szCs w:val="20"/>
        </w:rPr>
        <w:t xml:space="preserve"> (7 Feb 1982), 36(1) PD 701.</w:t>
      </w:r>
    </w:p>
  </w:footnote>
  <w:footnote w:id="130">
    <w:p w14:paraId="73DD9985" w14:textId="77777777" w:rsidR="00C2464F" w:rsidRPr="009E6775" w:rsidRDefault="00C2464F"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A. Cassese, ‘Powers and Duties of an Occupant in Relation to Land and Natural Resources’ in E. Playfair, </w:t>
      </w:r>
      <w:r w:rsidRPr="009E6775">
        <w:rPr>
          <w:rFonts w:ascii="Times New Roman" w:hAnsi="Times New Roman"/>
          <w:i/>
          <w:iCs/>
          <w:sz w:val="20"/>
          <w:szCs w:val="20"/>
        </w:rPr>
        <w:t xml:space="preserve">International Law and the Administration of Occupied Territories:  Two Decades of Israeli Occupation of the West Bank and Gaza Strip, </w:t>
      </w:r>
      <w:r w:rsidRPr="009E6775">
        <w:rPr>
          <w:rFonts w:ascii="Times New Roman" w:hAnsi="Times New Roman"/>
          <w:sz w:val="20"/>
          <w:szCs w:val="20"/>
        </w:rPr>
        <w:t>(Clarendon, 1992) 419, at 437-8 (</w:t>
      </w:r>
      <w:r w:rsidRPr="009E6775">
        <w:rPr>
          <w:rFonts w:ascii="Times New Roman" w:hAnsi="Times New Roman"/>
          <w:sz w:val="20"/>
          <w:szCs w:val="20"/>
          <w:shd w:val="clear" w:color="auto" w:fill="FFFFFF"/>
        </w:rPr>
        <w:t>considering this presumption incompatible with Article 55 Hague Regulations).</w:t>
      </w:r>
    </w:p>
  </w:footnote>
  <w:footnote w:id="131">
    <w:p w14:paraId="17576F97" w14:textId="19895EF3" w:rsidR="00C2464F" w:rsidRPr="009E6775" w:rsidRDefault="00C2464F" w:rsidP="008918A0">
      <w:pPr>
        <w:rPr>
          <w:rFonts w:ascii="Times New Roman" w:hAnsi="Times New Roman" w:cs="Times New Roman"/>
          <w:sz w:val="20"/>
          <w:szCs w:val="20"/>
        </w:rPr>
      </w:pPr>
      <w:r w:rsidRPr="009E6775">
        <w:rPr>
          <w:rStyle w:val="aa"/>
          <w:rFonts w:ascii="Times New Roman" w:hAnsi="Times New Roman" w:cs="Times New Roman"/>
          <w:sz w:val="20"/>
          <w:szCs w:val="20"/>
        </w:rPr>
        <w:footnoteRef/>
      </w:r>
      <w:r w:rsidRPr="009E6775">
        <w:rPr>
          <w:rFonts w:ascii="Times New Roman" w:hAnsi="Times New Roman" w:cs="Times New Roman"/>
          <w:sz w:val="20"/>
          <w:szCs w:val="20"/>
        </w:rPr>
        <w:t xml:space="preserve"> Kretzmer and Ronen, </w:t>
      </w:r>
      <w:r w:rsidR="00264064" w:rsidRPr="009E6775">
        <w:rPr>
          <w:rFonts w:ascii="Times New Roman" w:hAnsi="Times New Roman" w:cs="Times New Roman"/>
          <w:sz w:val="20"/>
          <w:szCs w:val="20"/>
        </w:rPr>
        <w:t xml:space="preserve">supra note 3, </w:t>
      </w:r>
      <w:r w:rsidRPr="009E6775">
        <w:rPr>
          <w:rFonts w:ascii="Times New Roman" w:hAnsi="Times New Roman" w:cs="Times New Roman"/>
          <w:sz w:val="20"/>
          <w:szCs w:val="20"/>
        </w:rPr>
        <w:t>at 207</w:t>
      </w:r>
      <w:r w:rsidR="00760CC6" w:rsidRPr="009E6775">
        <w:rPr>
          <w:rFonts w:ascii="Times New Roman" w:hAnsi="Times New Roman" w:cs="Times New Roman"/>
          <w:sz w:val="20"/>
          <w:szCs w:val="20"/>
        </w:rPr>
        <w:t>.</w:t>
      </w:r>
    </w:p>
  </w:footnote>
  <w:footnote w:id="132">
    <w:p w14:paraId="5CB1A48F" w14:textId="265C912D" w:rsidR="00760CC6" w:rsidRPr="009E6775" w:rsidRDefault="00760CC6"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264064" w:rsidRPr="009E6775">
        <w:rPr>
          <w:rFonts w:ascii="Times New Roman" w:hAnsi="Times New Roman"/>
          <w:sz w:val="20"/>
          <w:szCs w:val="20"/>
        </w:rPr>
        <w:t xml:space="preserve">Ibid., </w:t>
      </w:r>
      <w:r w:rsidRPr="009E6775">
        <w:rPr>
          <w:rFonts w:ascii="Times New Roman" w:hAnsi="Times New Roman"/>
          <w:sz w:val="20"/>
          <w:szCs w:val="20"/>
        </w:rPr>
        <w:t>at 213.</w:t>
      </w:r>
    </w:p>
  </w:footnote>
  <w:footnote w:id="133">
    <w:p w14:paraId="2602F6B0" w14:textId="46C0122E" w:rsidR="00760CC6" w:rsidRPr="009E6775" w:rsidRDefault="00760CC6"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264064" w:rsidRPr="009E6775">
        <w:rPr>
          <w:rFonts w:ascii="Times New Roman" w:hAnsi="Times New Roman"/>
          <w:sz w:val="20"/>
          <w:szCs w:val="20"/>
        </w:rPr>
        <w:t xml:space="preserve">Ibid, </w:t>
      </w:r>
      <w:r w:rsidRPr="009E6775">
        <w:rPr>
          <w:rFonts w:ascii="Times New Roman" w:hAnsi="Times New Roman"/>
          <w:sz w:val="20"/>
          <w:szCs w:val="20"/>
        </w:rPr>
        <w:t>at 493-4.</w:t>
      </w:r>
    </w:p>
  </w:footnote>
  <w:footnote w:id="134">
    <w:p w14:paraId="5ABE97A0" w14:textId="4119E5DA" w:rsidR="00760CC6" w:rsidRPr="009E6775" w:rsidRDefault="00760CC6"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264064" w:rsidRPr="009E6775">
        <w:rPr>
          <w:rFonts w:ascii="Times New Roman" w:hAnsi="Times New Roman"/>
          <w:sz w:val="20"/>
          <w:szCs w:val="20"/>
        </w:rPr>
        <w:t>Weil</w:t>
      </w:r>
      <w:r w:rsidR="00B22435" w:rsidRPr="009E6775">
        <w:rPr>
          <w:rFonts w:ascii="Times New Roman" w:hAnsi="Times New Roman"/>
          <w:sz w:val="20"/>
          <w:szCs w:val="20"/>
        </w:rPr>
        <w:t>, supra n</w:t>
      </w:r>
      <w:r w:rsidR="00264064" w:rsidRPr="009E6775">
        <w:rPr>
          <w:rFonts w:ascii="Times New Roman" w:hAnsi="Times New Roman"/>
          <w:sz w:val="20"/>
          <w:szCs w:val="20"/>
        </w:rPr>
        <w:t>ote 2,</w:t>
      </w:r>
      <w:r w:rsidRPr="009E6775">
        <w:rPr>
          <w:rFonts w:ascii="Times New Roman" w:hAnsi="Times New Roman"/>
          <w:sz w:val="20"/>
          <w:szCs w:val="20"/>
        </w:rPr>
        <w:t xml:space="preserve"> at 25 (</w:t>
      </w:r>
      <w:r w:rsidR="00264064" w:rsidRPr="009E6775">
        <w:rPr>
          <w:rFonts w:ascii="Times New Roman" w:hAnsi="Times New Roman"/>
          <w:sz w:val="20"/>
          <w:szCs w:val="20"/>
        </w:rPr>
        <w:t xml:space="preserve">even </w:t>
      </w:r>
      <w:r w:rsidRPr="009E6775">
        <w:rPr>
          <w:rFonts w:ascii="Times New Roman" w:hAnsi="Times New Roman"/>
          <w:sz w:val="20"/>
          <w:szCs w:val="20"/>
        </w:rPr>
        <w:t>describ</w:t>
      </w:r>
      <w:r w:rsidR="00264064" w:rsidRPr="009E6775">
        <w:rPr>
          <w:rFonts w:ascii="Times New Roman" w:hAnsi="Times New Roman"/>
          <w:sz w:val="20"/>
          <w:szCs w:val="20"/>
        </w:rPr>
        <w:t>ing</w:t>
      </w:r>
      <w:r w:rsidRPr="009E6775">
        <w:rPr>
          <w:rFonts w:ascii="Times New Roman" w:hAnsi="Times New Roman"/>
          <w:sz w:val="20"/>
          <w:szCs w:val="20"/>
        </w:rPr>
        <w:t xml:space="preserve"> them as ‘apartheid’:  ibid., at 41, 44-46).</w:t>
      </w:r>
    </w:p>
  </w:footnote>
  <w:footnote w:id="135">
    <w:p w14:paraId="5CCBBF39" w14:textId="1E8901FD" w:rsidR="00760CC6" w:rsidRPr="009E6775" w:rsidRDefault="00760CC6"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264064" w:rsidRPr="009E6775">
        <w:rPr>
          <w:rFonts w:ascii="Times New Roman" w:hAnsi="Times New Roman"/>
          <w:sz w:val="20"/>
          <w:szCs w:val="20"/>
        </w:rPr>
        <w:t xml:space="preserve">supra note 3, </w:t>
      </w:r>
      <w:r w:rsidRPr="009E6775">
        <w:rPr>
          <w:rFonts w:ascii="Times New Roman" w:hAnsi="Times New Roman"/>
          <w:sz w:val="20"/>
          <w:szCs w:val="20"/>
        </w:rPr>
        <w:t>at 25-26, 213-214, 220, 256, and 513.</w:t>
      </w:r>
    </w:p>
  </w:footnote>
  <w:footnote w:id="136">
    <w:p w14:paraId="006E693C" w14:textId="77777777" w:rsidR="00E1028E" w:rsidRPr="009E6775" w:rsidRDefault="00E1028E"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See A. Margalit and S. Hibbin, ‘Unlawful Presence of Protected Persons in Occupied Territory? An Analysis of Israel’s Permit Regime and Expulsions from the West Bank under the Law of Occupation’, (2010) 13 </w:t>
      </w:r>
      <w:r w:rsidRPr="009E6775">
        <w:rPr>
          <w:rFonts w:ascii="Times New Roman" w:hAnsi="Times New Roman"/>
          <w:i/>
          <w:iCs/>
          <w:sz w:val="20"/>
          <w:szCs w:val="20"/>
        </w:rPr>
        <w:t xml:space="preserve">Yearbook of International Humanitarian Law </w:t>
      </w:r>
      <w:r w:rsidRPr="009E6775">
        <w:rPr>
          <w:rFonts w:ascii="Times New Roman" w:hAnsi="Times New Roman"/>
          <w:sz w:val="20"/>
          <w:szCs w:val="20"/>
        </w:rPr>
        <w:t>245.</w:t>
      </w:r>
    </w:p>
  </w:footnote>
  <w:footnote w:id="137">
    <w:p w14:paraId="26C7DB4B" w14:textId="1ABB63A5" w:rsidR="00E1028E" w:rsidRPr="009E6775" w:rsidRDefault="00E1028E"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97/79, ‘</w:t>
      </w:r>
      <w:r w:rsidRPr="009E6775">
        <w:rPr>
          <w:rFonts w:ascii="Times New Roman" w:hAnsi="Times New Roman"/>
          <w:i/>
          <w:iCs/>
          <w:sz w:val="20"/>
          <w:szCs w:val="20"/>
        </w:rPr>
        <w:t>Awad v. Commander of the Judea and Samaria Area</w:t>
      </w:r>
      <w:r w:rsidRPr="009E6775">
        <w:rPr>
          <w:rFonts w:ascii="Times New Roman" w:hAnsi="Times New Roman"/>
          <w:sz w:val="20"/>
          <w:szCs w:val="20"/>
        </w:rPr>
        <w:t xml:space="preserve"> (3 May 1979); </w:t>
      </w:r>
      <w:r w:rsidRPr="009E6775">
        <w:rPr>
          <w:rFonts w:ascii="Times New Roman" w:hAnsi="Times New Roman"/>
          <w:i/>
          <w:iCs/>
          <w:sz w:val="20"/>
          <w:szCs w:val="20"/>
        </w:rPr>
        <w:t>Qawasmi</w:t>
      </w:r>
      <w:r w:rsidRPr="009E6775">
        <w:rPr>
          <w:rFonts w:ascii="Times New Roman" w:hAnsi="Times New Roman"/>
          <w:sz w:val="20"/>
          <w:szCs w:val="20"/>
        </w:rPr>
        <w:t xml:space="preserve"> </w:t>
      </w:r>
      <w:r w:rsidRPr="009E6775">
        <w:rPr>
          <w:rFonts w:ascii="Times New Roman" w:hAnsi="Times New Roman"/>
          <w:i/>
          <w:iCs/>
          <w:sz w:val="20"/>
          <w:szCs w:val="20"/>
        </w:rPr>
        <w:t>(No 2)</w:t>
      </w:r>
      <w:r w:rsidRPr="009E6775">
        <w:rPr>
          <w:rFonts w:ascii="Times New Roman" w:hAnsi="Times New Roman"/>
          <w:sz w:val="20"/>
          <w:szCs w:val="20"/>
        </w:rPr>
        <w:t>, supr</w:t>
      </w:r>
      <w:r w:rsidR="00F909F2" w:rsidRPr="009E6775">
        <w:rPr>
          <w:rFonts w:ascii="Times New Roman" w:hAnsi="Times New Roman"/>
          <w:sz w:val="20"/>
          <w:szCs w:val="20"/>
        </w:rPr>
        <w:t xml:space="preserve">a </w:t>
      </w:r>
      <w:r w:rsidRPr="009E6775">
        <w:rPr>
          <w:rFonts w:ascii="Times New Roman" w:hAnsi="Times New Roman"/>
          <w:sz w:val="20"/>
          <w:szCs w:val="20"/>
        </w:rPr>
        <w:t>n</w:t>
      </w:r>
      <w:r w:rsidR="00264064" w:rsidRPr="009E6775">
        <w:rPr>
          <w:rFonts w:ascii="Times New Roman" w:hAnsi="Times New Roman"/>
          <w:sz w:val="20"/>
          <w:szCs w:val="20"/>
        </w:rPr>
        <w:t xml:space="preserve">ote </w:t>
      </w:r>
      <w:r w:rsidR="00F909F2" w:rsidRPr="009E6775">
        <w:rPr>
          <w:rFonts w:ascii="Times New Roman" w:hAnsi="Times New Roman"/>
          <w:sz w:val="20"/>
          <w:szCs w:val="20"/>
        </w:rPr>
        <w:t>55</w:t>
      </w:r>
      <w:r w:rsidRPr="009E6775">
        <w:rPr>
          <w:rFonts w:ascii="Times New Roman" w:hAnsi="Times New Roman"/>
          <w:sz w:val="20"/>
          <w:szCs w:val="20"/>
        </w:rPr>
        <w:t>; HCJ 785/87,</w:t>
      </w:r>
      <w:r w:rsidRPr="009E6775">
        <w:rPr>
          <w:rFonts w:ascii="Times New Roman" w:hAnsi="Times New Roman"/>
          <w:i/>
          <w:iCs/>
          <w:sz w:val="20"/>
          <w:szCs w:val="20"/>
        </w:rPr>
        <w:t xml:space="preserve"> ‘Abed Al</w:t>
      </w:r>
      <w:proofErr w:type="gramStart"/>
      <w:r w:rsidRPr="009E6775">
        <w:rPr>
          <w:rFonts w:ascii="Times New Roman" w:hAnsi="Times New Roman"/>
          <w:i/>
          <w:iCs/>
          <w:sz w:val="20"/>
          <w:szCs w:val="20"/>
        </w:rPr>
        <w:t>-‘</w:t>
      </w:r>
      <w:proofErr w:type="gramEnd"/>
      <w:r w:rsidRPr="009E6775">
        <w:rPr>
          <w:rFonts w:ascii="Times New Roman" w:hAnsi="Times New Roman"/>
          <w:i/>
          <w:iCs/>
          <w:sz w:val="20"/>
          <w:szCs w:val="20"/>
        </w:rPr>
        <w:t>Afou v. IDF Commander in the West Bank</w:t>
      </w:r>
      <w:r w:rsidRPr="009E6775">
        <w:rPr>
          <w:rFonts w:ascii="Times New Roman" w:hAnsi="Times New Roman"/>
          <w:sz w:val="20"/>
          <w:szCs w:val="20"/>
        </w:rPr>
        <w:t xml:space="preserve"> (10 April 1988).</w:t>
      </w:r>
    </w:p>
  </w:footnote>
  <w:footnote w:id="138">
    <w:p w14:paraId="5C34A470" w14:textId="77777777" w:rsidR="00E1028E" w:rsidRPr="009E6775" w:rsidRDefault="00E1028E"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7015/02, </w:t>
      </w:r>
      <w:r w:rsidRPr="009E6775">
        <w:rPr>
          <w:rFonts w:ascii="Times New Roman" w:hAnsi="Times New Roman"/>
          <w:i/>
          <w:iCs/>
          <w:sz w:val="20"/>
          <w:szCs w:val="20"/>
        </w:rPr>
        <w:t xml:space="preserve">Ajouri v The Commander of the IDF Forces in the West Bank </w:t>
      </w:r>
      <w:r w:rsidRPr="009E6775">
        <w:rPr>
          <w:rFonts w:ascii="Times New Roman" w:hAnsi="Times New Roman"/>
          <w:sz w:val="20"/>
          <w:szCs w:val="20"/>
        </w:rPr>
        <w:t>(3 Feb 2002).</w:t>
      </w:r>
    </w:p>
  </w:footnote>
  <w:footnote w:id="139">
    <w:p w14:paraId="6A953A02" w14:textId="77777777" w:rsidR="00E1028E" w:rsidRPr="009E6775" w:rsidRDefault="00E1028E"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Israeli-Palestinian Interim Agreement on the West Bank and the Gaza Strip:  </w:t>
      </w:r>
      <w:hyperlink r:id="rId1" w:history="1">
        <w:r w:rsidRPr="009E6775">
          <w:rPr>
            <w:rFonts w:ascii="Times New Roman" w:hAnsi="Times New Roman"/>
            <w:i/>
            <w:iCs/>
            <w:sz w:val="20"/>
            <w:szCs w:val="20"/>
          </w:rPr>
          <w:t xml:space="preserve">(1997) 36(3) </w:t>
        </w:r>
        <w:r w:rsidRPr="009E6775">
          <w:rPr>
            <w:rStyle w:val="text"/>
            <w:rFonts w:ascii="Times New Roman" w:hAnsi="Times New Roman"/>
            <w:i/>
            <w:iCs/>
            <w:sz w:val="20"/>
            <w:szCs w:val="20"/>
            <w:bdr w:val="none" w:sz="0" w:space="0" w:color="auto" w:frame="1"/>
          </w:rPr>
          <w:t>International Legal Materials</w:t>
        </w:r>
      </w:hyperlink>
      <w:r w:rsidRPr="009E6775">
        <w:rPr>
          <w:rFonts w:ascii="Times New Roman" w:hAnsi="Times New Roman"/>
          <w:sz w:val="20"/>
          <w:szCs w:val="20"/>
        </w:rPr>
        <w:t> (ILM) 551-649</w:t>
      </w:r>
      <w:r w:rsidRPr="009E6775">
        <w:rPr>
          <w:rFonts w:ascii="Times New Roman" w:hAnsi="Times New Roman"/>
          <w:sz w:val="20"/>
          <w:szCs w:val="20"/>
          <w:bdr w:val="none" w:sz="0" w:space="0" w:color="auto" w:frame="1"/>
        </w:rPr>
        <w:t xml:space="preserve">; </w:t>
      </w:r>
      <w:r w:rsidRPr="009E6775">
        <w:rPr>
          <w:rFonts w:ascii="Times New Roman" w:hAnsi="Times New Roman"/>
          <w:sz w:val="20"/>
          <w:szCs w:val="20"/>
        </w:rPr>
        <w:t>and https://www.un.org/unispal/document/auto-insert-185434/ (last accessed on 17 Sep 2021).</w:t>
      </w:r>
    </w:p>
  </w:footnote>
  <w:footnote w:id="140">
    <w:p w14:paraId="79DF54A9" w14:textId="6DED87FE" w:rsidR="00E1028E" w:rsidRPr="009E6775" w:rsidRDefault="00E1028E"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w:t>
      </w:r>
      <w:r w:rsidR="00264064" w:rsidRPr="009E6775">
        <w:rPr>
          <w:rFonts w:ascii="Times New Roman" w:hAnsi="Times New Roman"/>
          <w:sz w:val="20"/>
          <w:szCs w:val="20"/>
        </w:rPr>
        <w:t xml:space="preserve"> supra note 3,</w:t>
      </w:r>
      <w:r w:rsidRPr="009E6775">
        <w:rPr>
          <w:rFonts w:ascii="Times New Roman" w:hAnsi="Times New Roman"/>
          <w:sz w:val="20"/>
          <w:szCs w:val="20"/>
        </w:rPr>
        <w:t xml:space="preserve"> at 452.</w:t>
      </w:r>
    </w:p>
  </w:footnote>
  <w:footnote w:id="141">
    <w:p w14:paraId="07BFD3DB" w14:textId="16FD540D" w:rsidR="00E1028E" w:rsidRPr="009E6775" w:rsidRDefault="00E1028E"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Compare the issue relating to the right to visits by immediate family members of prisoners which became an issue in HCJ 6314/17 </w:t>
      </w:r>
      <w:r w:rsidRPr="009E6775">
        <w:rPr>
          <w:rFonts w:ascii="Times New Roman" w:hAnsi="Times New Roman"/>
          <w:i/>
          <w:iCs/>
          <w:sz w:val="20"/>
          <w:szCs w:val="20"/>
        </w:rPr>
        <w:t xml:space="preserve">Namnam v. Israel </w:t>
      </w:r>
      <w:r w:rsidRPr="009E6775">
        <w:rPr>
          <w:rFonts w:ascii="Times New Roman" w:hAnsi="Times New Roman"/>
          <w:sz w:val="20"/>
          <w:szCs w:val="20"/>
        </w:rPr>
        <w:t xml:space="preserve">(4 June 2019). For critical analyses of this case, see Y. Ronen, ‘On Prisoners, Family Life and Collective Punishment:  The </w:t>
      </w:r>
      <w:r w:rsidRPr="009E6775">
        <w:rPr>
          <w:rFonts w:ascii="Times New Roman" w:hAnsi="Times New Roman"/>
          <w:i/>
          <w:iCs/>
          <w:sz w:val="20"/>
          <w:szCs w:val="20"/>
        </w:rPr>
        <w:t>Namnam</w:t>
      </w:r>
      <w:r w:rsidRPr="009E6775">
        <w:rPr>
          <w:rFonts w:ascii="Times New Roman" w:hAnsi="Times New Roman"/>
          <w:sz w:val="20"/>
          <w:szCs w:val="20"/>
        </w:rPr>
        <w:t xml:space="preserve"> Case’, (2021) </w:t>
      </w:r>
      <w:r w:rsidR="00264064" w:rsidRPr="009E6775">
        <w:rPr>
          <w:rFonts w:ascii="Times New Roman" w:hAnsi="Times New Roman"/>
          <w:sz w:val="20"/>
          <w:szCs w:val="20"/>
        </w:rPr>
        <w:t xml:space="preserve">102 </w:t>
      </w:r>
      <w:r w:rsidRPr="009E6775">
        <w:rPr>
          <w:rFonts w:ascii="Times New Roman" w:hAnsi="Times New Roman"/>
          <w:sz w:val="20"/>
          <w:szCs w:val="20"/>
        </w:rPr>
        <w:t xml:space="preserve">IRRC 1. </w:t>
      </w:r>
    </w:p>
  </w:footnote>
  <w:footnote w:id="142">
    <w:p w14:paraId="4AAE0C9C" w14:textId="77777777" w:rsidR="00771F05" w:rsidRPr="009E6775" w:rsidRDefault="00771F05"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Israel, HCJ 5100/94 </w:t>
      </w:r>
      <w:r w:rsidRPr="009E6775">
        <w:rPr>
          <w:rFonts w:ascii="Times New Roman" w:hAnsi="Times New Roman"/>
          <w:i/>
          <w:iCs/>
          <w:sz w:val="20"/>
          <w:szCs w:val="20"/>
        </w:rPr>
        <w:t xml:space="preserve">Public Committee against Torture in Israel v. Government of Israel </w:t>
      </w:r>
      <w:r w:rsidRPr="009E6775">
        <w:rPr>
          <w:rFonts w:ascii="Times New Roman" w:hAnsi="Times New Roman"/>
          <w:sz w:val="20"/>
          <w:szCs w:val="20"/>
        </w:rPr>
        <w:t>(6 Sept 1999) (</w:t>
      </w:r>
      <w:r w:rsidRPr="009E6775">
        <w:rPr>
          <w:rFonts w:ascii="Times New Roman" w:hAnsi="Times New Roman"/>
          <w:i/>
          <w:iCs/>
          <w:sz w:val="20"/>
          <w:szCs w:val="20"/>
        </w:rPr>
        <w:t>PCATI</w:t>
      </w:r>
      <w:r w:rsidRPr="009E6775">
        <w:rPr>
          <w:rFonts w:ascii="Times New Roman" w:hAnsi="Times New Roman"/>
          <w:sz w:val="20"/>
          <w:szCs w:val="20"/>
        </w:rPr>
        <w:t>), para. 38.</w:t>
      </w:r>
    </w:p>
  </w:footnote>
  <w:footnote w:id="143">
    <w:p w14:paraId="12268C53" w14:textId="54B1D141" w:rsidR="00771F05" w:rsidRPr="009E6775" w:rsidRDefault="00771F05"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3F06D6" w:rsidRPr="009E6775">
        <w:rPr>
          <w:rFonts w:ascii="Times New Roman" w:hAnsi="Times New Roman"/>
          <w:sz w:val="20"/>
          <w:szCs w:val="20"/>
        </w:rPr>
        <w:t>Kretzmer and Ronen, supra n</w:t>
      </w:r>
      <w:r w:rsidR="00AB1033" w:rsidRPr="009E6775">
        <w:rPr>
          <w:rFonts w:ascii="Times New Roman" w:hAnsi="Times New Roman"/>
          <w:sz w:val="20"/>
          <w:szCs w:val="20"/>
        </w:rPr>
        <w:t>ote 3,</w:t>
      </w:r>
      <w:r w:rsidRPr="009E6775">
        <w:rPr>
          <w:rFonts w:ascii="Times New Roman" w:hAnsi="Times New Roman"/>
          <w:sz w:val="20"/>
          <w:szCs w:val="20"/>
        </w:rPr>
        <w:t xml:space="preserve"> at 358-359.</w:t>
      </w:r>
    </w:p>
  </w:footnote>
  <w:footnote w:id="144">
    <w:p w14:paraId="6BE202D9" w14:textId="77777777" w:rsidR="00771F05" w:rsidRPr="009E6775" w:rsidRDefault="00771F05"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Ibid.</w:t>
      </w:r>
    </w:p>
  </w:footnote>
  <w:footnote w:id="145">
    <w:p w14:paraId="58942F99" w14:textId="49D930D1" w:rsidR="00771F05" w:rsidRPr="009E6775" w:rsidRDefault="00771F05"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3F06D6" w:rsidRPr="009E6775">
        <w:rPr>
          <w:rFonts w:ascii="Times New Roman" w:hAnsi="Times New Roman"/>
          <w:sz w:val="20"/>
          <w:szCs w:val="20"/>
        </w:rPr>
        <w:t xml:space="preserve">E. Chachko, ‘Pressure Techniques’ and Oversight of Shin Bet Interrogations: </w:t>
      </w:r>
      <w:r w:rsidR="003F06D6" w:rsidRPr="009E6775">
        <w:rPr>
          <w:rFonts w:ascii="Times New Roman" w:hAnsi="Times New Roman"/>
          <w:i/>
          <w:iCs/>
          <w:sz w:val="20"/>
          <w:szCs w:val="20"/>
        </w:rPr>
        <w:t>Abu Gosh v. Attorney General’</w:t>
      </w:r>
      <w:r w:rsidR="003F06D6" w:rsidRPr="009E6775">
        <w:rPr>
          <w:rFonts w:ascii="Times New Roman" w:hAnsi="Times New Roman"/>
          <w:sz w:val="20"/>
          <w:szCs w:val="20"/>
        </w:rPr>
        <w:t>, Lawfare bog, December 22, 2017. See also Kretzmer and Ronen, supra n</w:t>
      </w:r>
      <w:r w:rsidR="00AB1033" w:rsidRPr="009E6775">
        <w:rPr>
          <w:rFonts w:ascii="Times New Roman" w:hAnsi="Times New Roman"/>
          <w:sz w:val="20"/>
          <w:szCs w:val="20"/>
        </w:rPr>
        <w:t xml:space="preserve">ote 3, </w:t>
      </w:r>
      <w:r w:rsidR="003F06D6" w:rsidRPr="009E6775">
        <w:rPr>
          <w:rFonts w:ascii="Times New Roman" w:hAnsi="Times New Roman"/>
          <w:sz w:val="20"/>
          <w:szCs w:val="20"/>
        </w:rPr>
        <w:t>at 358-359</w:t>
      </w:r>
      <w:r w:rsidRPr="009E6775">
        <w:rPr>
          <w:rFonts w:ascii="Times New Roman" w:hAnsi="Times New Roman"/>
          <w:sz w:val="20"/>
          <w:szCs w:val="20"/>
        </w:rPr>
        <w:t>.</w:t>
      </w:r>
    </w:p>
  </w:footnote>
  <w:footnote w:id="146">
    <w:p w14:paraId="47F2E8A8" w14:textId="054B1A8E" w:rsidR="00771F05" w:rsidRPr="009E6775" w:rsidRDefault="00771F05"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3F06D6" w:rsidRPr="009E6775">
        <w:rPr>
          <w:rFonts w:ascii="Times New Roman" w:hAnsi="Times New Roman"/>
          <w:sz w:val="20"/>
          <w:szCs w:val="20"/>
        </w:rPr>
        <w:t>Kretzmer and Ronen, i</w:t>
      </w:r>
      <w:r w:rsidRPr="009E6775">
        <w:rPr>
          <w:rFonts w:ascii="Times New Roman" w:hAnsi="Times New Roman"/>
          <w:sz w:val="20"/>
          <w:szCs w:val="20"/>
        </w:rPr>
        <w:t>bid, at 360.</w:t>
      </w:r>
    </w:p>
  </w:footnote>
  <w:footnote w:id="147">
    <w:p w14:paraId="4CD45A55" w14:textId="44D8B62B" w:rsidR="00771F05" w:rsidRPr="009E6775" w:rsidRDefault="00771F05"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AB1033" w:rsidRPr="009E6775">
        <w:rPr>
          <w:rFonts w:ascii="Times New Roman" w:hAnsi="Times New Roman"/>
          <w:sz w:val="20"/>
          <w:szCs w:val="20"/>
        </w:rPr>
        <w:t xml:space="preserve">Ibid., </w:t>
      </w:r>
      <w:r w:rsidRPr="009E6775">
        <w:rPr>
          <w:rFonts w:ascii="Times New Roman" w:hAnsi="Times New Roman"/>
          <w:sz w:val="20"/>
          <w:szCs w:val="20"/>
        </w:rPr>
        <w:t>at 361.</w:t>
      </w:r>
      <w:r w:rsidR="00EE4D13" w:rsidRPr="009E6775">
        <w:rPr>
          <w:rFonts w:ascii="Times New Roman" w:hAnsi="Times New Roman"/>
          <w:sz w:val="20"/>
          <w:szCs w:val="20"/>
        </w:rPr>
        <w:t xml:space="preserve"> See also</w:t>
      </w:r>
      <w:r w:rsidR="00AB1033" w:rsidRPr="009E6775">
        <w:rPr>
          <w:rFonts w:ascii="Times New Roman" w:hAnsi="Times New Roman"/>
          <w:sz w:val="20"/>
          <w:szCs w:val="20"/>
        </w:rPr>
        <w:t xml:space="preserve"> </w:t>
      </w:r>
      <w:r w:rsidR="008F0027" w:rsidRPr="009E6775">
        <w:rPr>
          <w:rFonts w:ascii="Times New Roman" w:hAnsi="Times New Roman"/>
          <w:sz w:val="20"/>
          <w:szCs w:val="20"/>
        </w:rPr>
        <w:t xml:space="preserve">Chachko, </w:t>
      </w:r>
      <w:r w:rsidR="00AB1033" w:rsidRPr="009E6775">
        <w:rPr>
          <w:rFonts w:ascii="Times New Roman" w:hAnsi="Times New Roman"/>
          <w:sz w:val="20"/>
          <w:szCs w:val="20"/>
        </w:rPr>
        <w:t>supra note 144.</w:t>
      </w:r>
    </w:p>
  </w:footnote>
  <w:footnote w:id="148">
    <w:p w14:paraId="099A5EE6" w14:textId="13AC9972" w:rsidR="00771F05" w:rsidRPr="009E6775" w:rsidRDefault="00771F05"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AB1033" w:rsidRPr="009E6775">
        <w:rPr>
          <w:rFonts w:ascii="Times New Roman" w:hAnsi="Times New Roman"/>
          <w:sz w:val="20"/>
          <w:szCs w:val="20"/>
        </w:rPr>
        <w:t xml:space="preserve">Kretzmer and Ronen, supra note 3 </w:t>
      </w:r>
      <w:r w:rsidRPr="009E6775">
        <w:rPr>
          <w:rFonts w:ascii="Times New Roman" w:hAnsi="Times New Roman"/>
          <w:sz w:val="20"/>
          <w:szCs w:val="20"/>
        </w:rPr>
        <w:t>at 368.</w:t>
      </w:r>
    </w:p>
  </w:footnote>
  <w:footnote w:id="149">
    <w:p w14:paraId="5B7EEA46" w14:textId="09A96ACC" w:rsidR="00A10DF5" w:rsidRPr="009E6775" w:rsidRDefault="00A10DF5"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Israel, Supreme Court (acting as the HCJ), </w:t>
      </w:r>
      <w:r w:rsidRPr="009E6775">
        <w:rPr>
          <w:rFonts w:ascii="Times New Roman" w:hAnsi="Times New Roman"/>
          <w:i/>
          <w:iCs/>
          <w:sz w:val="20"/>
          <w:szCs w:val="20"/>
        </w:rPr>
        <w:t>Abu Ghosh v. Attorney General</w:t>
      </w:r>
      <w:r w:rsidRPr="009E6775">
        <w:rPr>
          <w:rFonts w:ascii="Times New Roman" w:hAnsi="Times New Roman"/>
          <w:sz w:val="20"/>
          <w:szCs w:val="20"/>
        </w:rPr>
        <w:t>, 12 December 2017. The case is summarised and assessed in</w:t>
      </w:r>
      <w:r w:rsidR="006E0DA6" w:rsidRPr="009E6775">
        <w:rPr>
          <w:rFonts w:ascii="Times New Roman" w:hAnsi="Times New Roman"/>
          <w:sz w:val="20"/>
          <w:szCs w:val="20"/>
        </w:rPr>
        <w:t xml:space="preserve"> </w:t>
      </w:r>
      <w:r w:rsidRPr="009E6775">
        <w:rPr>
          <w:rFonts w:ascii="Times New Roman" w:hAnsi="Times New Roman"/>
          <w:sz w:val="20"/>
          <w:szCs w:val="20"/>
        </w:rPr>
        <w:t xml:space="preserve">Chachko, </w:t>
      </w:r>
      <w:r w:rsidR="006E0DA6" w:rsidRPr="009E6775">
        <w:rPr>
          <w:rFonts w:ascii="Times New Roman" w:hAnsi="Times New Roman"/>
          <w:sz w:val="20"/>
          <w:szCs w:val="20"/>
        </w:rPr>
        <w:t>supra note 144.</w:t>
      </w:r>
    </w:p>
  </w:footnote>
  <w:footnote w:id="150">
    <w:p w14:paraId="2BD729D5" w14:textId="6F260B17" w:rsidR="00D5270E" w:rsidRPr="009E6775" w:rsidRDefault="00771F05"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A10DF5" w:rsidRPr="009E6775">
        <w:rPr>
          <w:rFonts w:ascii="Times New Roman" w:hAnsi="Times New Roman"/>
          <w:sz w:val="20"/>
          <w:szCs w:val="20"/>
        </w:rPr>
        <w:t xml:space="preserve">Under the pressure of ill-treatment which the SC considered not to cross the bar for torture, </w:t>
      </w:r>
      <w:r w:rsidR="006E0DA6" w:rsidRPr="009E6775">
        <w:rPr>
          <w:rFonts w:ascii="Times New Roman" w:hAnsi="Times New Roman"/>
          <w:sz w:val="20"/>
          <w:szCs w:val="20"/>
        </w:rPr>
        <w:t>the petitioner</w:t>
      </w:r>
      <w:r w:rsidR="00A10DF5" w:rsidRPr="009E6775">
        <w:rPr>
          <w:rFonts w:ascii="Times New Roman" w:hAnsi="Times New Roman"/>
          <w:sz w:val="20"/>
          <w:szCs w:val="20"/>
        </w:rPr>
        <w:t xml:space="preserve"> disclosed the information about the second suspect, which led eventually the Israeli Security Agency (ISA or Shin Bet) to trace the whereabouts of the explosive vest and ‘bomb laboratory’ in Tel-Aviv, averting potentially fatal terrorist attacks</w:t>
      </w:r>
      <w:r w:rsidR="00D5270E" w:rsidRPr="009E6775">
        <w:rPr>
          <w:rFonts w:ascii="Times New Roman" w:hAnsi="Times New Roman"/>
          <w:sz w:val="20"/>
          <w:szCs w:val="20"/>
          <w:shd w:val="clear" w:color="auto" w:fill="FFFFFF"/>
        </w:rPr>
        <w:t>.</w:t>
      </w:r>
    </w:p>
  </w:footnote>
  <w:footnote w:id="151">
    <w:p w14:paraId="065185AA" w14:textId="5BFEDD4B" w:rsidR="0088670D" w:rsidRPr="009E6775" w:rsidRDefault="0088670D"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Chachko, supra n</w:t>
      </w:r>
      <w:r w:rsidR="006E0DA6" w:rsidRPr="009E6775">
        <w:rPr>
          <w:rFonts w:ascii="Times New Roman" w:hAnsi="Times New Roman"/>
          <w:sz w:val="20"/>
          <w:szCs w:val="20"/>
        </w:rPr>
        <w:t xml:space="preserve">ote </w:t>
      </w:r>
      <w:r w:rsidRPr="009E6775">
        <w:rPr>
          <w:rFonts w:ascii="Times New Roman" w:hAnsi="Times New Roman"/>
          <w:sz w:val="20"/>
          <w:szCs w:val="20"/>
        </w:rPr>
        <w:t>144.</w:t>
      </w:r>
    </w:p>
  </w:footnote>
  <w:footnote w:id="152">
    <w:p w14:paraId="4F7CF76B" w14:textId="1AAF69C9" w:rsidR="00D674BE" w:rsidRPr="009E6775" w:rsidRDefault="00E001F9"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By comparison, the ECtHR has consistently recognised the tripartite hierarchy of ill-treatment under Article 3 ECHR. See Y. Arai-Yokoi, ‘Grading Scale of </w:t>
      </w:r>
      <w:r w:rsidR="00D674BE" w:rsidRPr="009E6775">
        <w:rPr>
          <w:rFonts w:ascii="Times New Roman" w:hAnsi="Times New Roman"/>
          <w:sz w:val="20"/>
          <w:szCs w:val="20"/>
          <w:shd w:val="clear" w:color="auto" w:fill="FFFFFF"/>
        </w:rPr>
        <w:t>of Degradation: Identifying the Threshold of Degrading Treatment or Punishment under Article 3 ECHR</w:t>
      </w:r>
      <w:r w:rsidR="00D674BE" w:rsidRPr="009E6775">
        <w:rPr>
          <w:rFonts w:ascii="Times New Roman" w:hAnsi="Times New Roman"/>
          <w:sz w:val="20"/>
          <w:szCs w:val="20"/>
        </w:rPr>
        <w:t>’</w:t>
      </w:r>
      <w:r w:rsidRPr="009E6775">
        <w:rPr>
          <w:rFonts w:ascii="Times New Roman" w:hAnsi="Times New Roman"/>
          <w:sz w:val="20"/>
          <w:szCs w:val="20"/>
        </w:rPr>
        <w:t xml:space="preserve">, </w:t>
      </w:r>
      <w:r w:rsidR="00D674BE" w:rsidRPr="009E6775">
        <w:rPr>
          <w:rFonts w:ascii="Times New Roman" w:hAnsi="Times New Roman"/>
          <w:sz w:val="20"/>
          <w:szCs w:val="20"/>
        </w:rPr>
        <w:t xml:space="preserve">(2003) 21(3) </w:t>
      </w:r>
      <w:r w:rsidRPr="009E6775">
        <w:rPr>
          <w:rFonts w:ascii="Times New Roman" w:hAnsi="Times New Roman"/>
          <w:i/>
          <w:iCs/>
          <w:sz w:val="20"/>
          <w:szCs w:val="20"/>
        </w:rPr>
        <w:t>Netherlands Quarterly of Human Rights</w:t>
      </w:r>
      <w:r w:rsidR="00D674BE" w:rsidRPr="009E6775">
        <w:rPr>
          <w:rFonts w:ascii="Times New Roman" w:hAnsi="Times New Roman"/>
          <w:sz w:val="20"/>
          <w:szCs w:val="20"/>
        </w:rPr>
        <w:t xml:space="preserve"> 385.</w:t>
      </w:r>
    </w:p>
  </w:footnote>
  <w:footnote w:id="153">
    <w:p w14:paraId="419F5BDD" w14:textId="79EF277C" w:rsidR="00DA54F3" w:rsidRPr="009E6775" w:rsidRDefault="00DA54F3"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Y. Shany, ‘Back to the ‘Ticking Bomb’ Doctrine’, Lawfare Blog, December 27, 2017</w:t>
      </w:r>
      <w:r w:rsidR="006E0DA6" w:rsidRPr="009E6775">
        <w:rPr>
          <w:rFonts w:ascii="Times New Roman" w:hAnsi="Times New Roman"/>
          <w:sz w:val="20"/>
          <w:szCs w:val="20"/>
        </w:rPr>
        <w:t>.</w:t>
      </w:r>
    </w:p>
  </w:footnote>
  <w:footnote w:id="154">
    <w:p w14:paraId="077102E6" w14:textId="226A3203" w:rsidR="00847470" w:rsidRPr="009E6775" w:rsidRDefault="00847470"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6E0DA6" w:rsidRPr="009E6775">
        <w:rPr>
          <w:rFonts w:ascii="Times New Roman" w:hAnsi="Times New Roman"/>
          <w:sz w:val="20"/>
          <w:szCs w:val="20"/>
        </w:rPr>
        <w:t xml:space="preserve">Ibid </w:t>
      </w:r>
      <w:r w:rsidR="006B0D5A" w:rsidRPr="009E6775">
        <w:rPr>
          <w:rFonts w:ascii="Times New Roman" w:hAnsi="Times New Roman"/>
          <w:sz w:val="20"/>
          <w:szCs w:val="20"/>
        </w:rPr>
        <w:t xml:space="preserve">(criticising also the SC’s putative attempt to distinguish between torture and other forms of ill-treatment, to set a high onus of </w:t>
      </w:r>
      <w:r w:rsidR="002B3F4C" w:rsidRPr="009E6775">
        <w:rPr>
          <w:rFonts w:ascii="Times New Roman" w:hAnsi="Times New Roman"/>
          <w:sz w:val="20"/>
          <w:szCs w:val="20"/>
        </w:rPr>
        <w:t xml:space="preserve">medical </w:t>
      </w:r>
      <w:r w:rsidR="006B0D5A" w:rsidRPr="009E6775">
        <w:rPr>
          <w:rFonts w:ascii="Times New Roman" w:hAnsi="Times New Roman"/>
          <w:sz w:val="20"/>
          <w:szCs w:val="20"/>
        </w:rPr>
        <w:t>proof on the petitioner that claims to be a victim of ill-treatment</w:t>
      </w:r>
      <w:r w:rsidR="002B3F4C" w:rsidRPr="009E6775">
        <w:rPr>
          <w:rFonts w:ascii="Times New Roman" w:hAnsi="Times New Roman"/>
          <w:sz w:val="20"/>
          <w:szCs w:val="20"/>
        </w:rPr>
        <w:t>).</w:t>
      </w:r>
      <w:r w:rsidR="006E0DA6" w:rsidRPr="009E6775">
        <w:rPr>
          <w:rFonts w:ascii="Times New Roman" w:hAnsi="Times New Roman"/>
          <w:sz w:val="20"/>
          <w:szCs w:val="20"/>
        </w:rPr>
        <w:t xml:space="preserve"> See also Kretzmer and Ronen, supra note 3, at 373 (criticising the SC for its ‘legitimization of interrogation practices that amount either to torture or come very close to the line that distinguishes torture from cruel, inhuman, or degrading treatment’.</w:t>
      </w:r>
    </w:p>
  </w:footnote>
  <w:footnote w:id="155">
    <w:p w14:paraId="6D519BE7" w14:textId="4AF997FD" w:rsidR="007765F1" w:rsidRPr="009E6775" w:rsidRDefault="007765F1"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See ICJ, </w:t>
      </w:r>
      <w:r w:rsidR="00AA3686" w:rsidRPr="009E6775">
        <w:rPr>
          <w:rFonts w:ascii="Times New Roman" w:hAnsi="Times New Roman"/>
          <w:i/>
          <w:iCs/>
          <w:sz w:val="20"/>
          <w:szCs w:val="20"/>
        </w:rPr>
        <w:t>Wall</w:t>
      </w:r>
      <w:r w:rsidR="00AA3686" w:rsidRPr="009E6775">
        <w:rPr>
          <w:rFonts w:ascii="Times New Roman" w:hAnsi="Times New Roman"/>
          <w:sz w:val="20"/>
          <w:szCs w:val="20"/>
        </w:rPr>
        <w:t xml:space="preserve"> Advisory Opinion, supra note 41, </w:t>
      </w:r>
      <w:r w:rsidRPr="009E6775">
        <w:rPr>
          <w:rFonts w:ascii="Times New Roman" w:hAnsi="Times New Roman"/>
          <w:sz w:val="20"/>
          <w:szCs w:val="20"/>
        </w:rPr>
        <w:t>para. 133.</w:t>
      </w:r>
    </w:p>
  </w:footnote>
  <w:footnote w:id="156">
    <w:p w14:paraId="243D267B" w14:textId="01F27994" w:rsidR="00830085" w:rsidRPr="009E6775" w:rsidRDefault="00830085"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6E0DA6" w:rsidRPr="009E6775">
        <w:rPr>
          <w:rFonts w:ascii="Times New Roman" w:hAnsi="Times New Roman"/>
          <w:sz w:val="20"/>
          <w:szCs w:val="20"/>
        </w:rPr>
        <w:t xml:space="preserve">supra note 3, </w:t>
      </w:r>
      <w:r w:rsidRPr="009E6775">
        <w:rPr>
          <w:rFonts w:ascii="Times New Roman" w:hAnsi="Times New Roman"/>
          <w:sz w:val="20"/>
          <w:szCs w:val="20"/>
        </w:rPr>
        <w:t>at 244; and Weil, supra n</w:t>
      </w:r>
      <w:r w:rsidR="006E0DA6" w:rsidRPr="009E6775">
        <w:rPr>
          <w:rFonts w:ascii="Times New Roman" w:hAnsi="Times New Roman"/>
          <w:sz w:val="20"/>
          <w:szCs w:val="20"/>
        </w:rPr>
        <w:t>ote</w:t>
      </w:r>
      <w:r w:rsidRPr="009E6775">
        <w:rPr>
          <w:rFonts w:ascii="Times New Roman" w:hAnsi="Times New Roman"/>
          <w:sz w:val="20"/>
          <w:szCs w:val="20"/>
        </w:rPr>
        <w:t xml:space="preserve"> 2, at 36.</w:t>
      </w:r>
    </w:p>
  </w:footnote>
  <w:footnote w:id="157">
    <w:p w14:paraId="58F9FFBE" w14:textId="77777777" w:rsidR="00830085" w:rsidRPr="009E6775" w:rsidRDefault="00830085"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ibid.</w:t>
      </w:r>
    </w:p>
  </w:footnote>
  <w:footnote w:id="158">
    <w:p w14:paraId="2DCC2C37" w14:textId="77777777" w:rsidR="0049690E" w:rsidRPr="009E6775" w:rsidRDefault="0049690E"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ICJ, </w:t>
      </w:r>
      <w:r w:rsidRPr="009E6775">
        <w:rPr>
          <w:rFonts w:ascii="Times New Roman" w:hAnsi="Times New Roman"/>
          <w:i/>
          <w:iCs/>
          <w:sz w:val="20"/>
          <w:szCs w:val="20"/>
        </w:rPr>
        <w:t>Wall</w:t>
      </w:r>
      <w:r w:rsidRPr="009E6775">
        <w:rPr>
          <w:rFonts w:ascii="Times New Roman" w:hAnsi="Times New Roman"/>
          <w:sz w:val="20"/>
          <w:szCs w:val="20"/>
        </w:rPr>
        <w:t xml:space="preserve"> Advisory Opinion, supra note 41, paras 162. For the Court’s opinion that focused more on illegality of the </w:t>
      </w:r>
      <w:r w:rsidRPr="009E6775">
        <w:rPr>
          <w:rFonts w:ascii="Times New Roman" w:hAnsi="Times New Roman"/>
          <w:i/>
          <w:iCs/>
          <w:sz w:val="20"/>
          <w:szCs w:val="20"/>
        </w:rPr>
        <w:t>consequences</w:t>
      </w:r>
      <w:r w:rsidRPr="009E6775">
        <w:rPr>
          <w:rFonts w:ascii="Times New Roman" w:hAnsi="Times New Roman"/>
          <w:sz w:val="20"/>
          <w:szCs w:val="20"/>
        </w:rPr>
        <w:t xml:space="preserve"> flowing from the construction of the wall, rather than the wall itself, see ibid, paras 159 and 160.</w:t>
      </w:r>
    </w:p>
  </w:footnote>
  <w:footnote w:id="159">
    <w:p w14:paraId="09D50BAC" w14:textId="77777777" w:rsidR="00830085" w:rsidRPr="009E6775" w:rsidRDefault="00830085"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This subtest requires that among measures available to attain the legitimate purpose, the least restrictive of individual persons’ rights should be chosen. See Y. Arai-Takahashi, ‘Proportionality’ in D. Shelton (ed), </w:t>
      </w:r>
      <w:r w:rsidRPr="009E6775">
        <w:rPr>
          <w:rFonts w:ascii="Times New Roman" w:hAnsi="Times New Roman"/>
          <w:i/>
          <w:iCs/>
          <w:sz w:val="20"/>
          <w:szCs w:val="20"/>
        </w:rPr>
        <w:t xml:space="preserve">Oxford Handbook on International Human Rights Law </w:t>
      </w:r>
      <w:r w:rsidRPr="009E6775">
        <w:rPr>
          <w:rFonts w:ascii="Times New Roman" w:hAnsi="Times New Roman"/>
          <w:sz w:val="20"/>
          <w:szCs w:val="20"/>
        </w:rPr>
        <w:t>(Oxford: OUP, 2013).</w:t>
      </w:r>
    </w:p>
  </w:footnote>
  <w:footnote w:id="160">
    <w:p w14:paraId="4D2D6B53" w14:textId="77777777" w:rsidR="00830085" w:rsidRPr="009E6775" w:rsidRDefault="00830085"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at 256. </w:t>
      </w:r>
    </w:p>
  </w:footnote>
  <w:footnote w:id="161">
    <w:p w14:paraId="627B1E93" w14:textId="77777777" w:rsidR="00830085" w:rsidRPr="009E6775" w:rsidRDefault="00830085"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Ibid, at 254. See also ibid, at 270 (‘compartmentalization’ in the proportionality examination).</w:t>
      </w:r>
    </w:p>
  </w:footnote>
  <w:footnote w:id="162">
    <w:p w14:paraId="2850DBEC" w14:textId="5998E7F9" w:rsidR="00830085" w:rsidRPr="009E6775" w:rsidRDefault="00830085"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Weil, supra n</w:t>
      </w:r>
      <w:r w:rsidR="0026336C" w:rsidRPr="009E6775">
        <w:rPr>
          <w:rFonts w:ascii="Times New Roman" w:hAnsi="Times New Roman"/>
          <w:sz w:val="20"/>
          <w:szCs w:val="20"/>
        </w:rPr>
        <w:t>ote</w:t>
      </w:r>
      <w:r w:rsidRPr="009E6775">
        <w:rPr>
          <w:rFonts w:ascii="Times New Roman" w:hAnsi="Times New Roman"/>
          <w:sz w:val="20"/>
          <w:szCs w:val="20"/>
        </w:rPr>
        <w:t xml:space="preserve"> 2, at 38</w:t>
      </w:r>
      <w:r w:rsidR="0070683C" w:rsidRPr="009E6775">
        <w:rPr>
          <w:rFonts w:ascii="Times New Roman" w:hAnsi="Times New Roman"/>
          <w:sz w:val="20"/>
          <w:szCs w:val="20"/>
        </w:rPr>
        <w:t xml:space="preserve">. </w:t>
      </w:r>
      <w:r w:rsidR="00191808" w:rsidRPr="009E6775">
        <w:rPr>
          <w:rFonts w:ascii="Times New Roman" w:hAnsi="Times New Roman"/>
          <w:sz w:val="20"/>
          <w:szCs w:val="20"/>
        </w:rPr>
        <w:t xml:space="preserve">See also </w:t>
      </w:r>
      <w:r w:rsidR="0070683C" w:rsidRPr="009E6775">
        <w:rPr>
          <w:rFonts w:ascii="Times New Roman" w:hAnsi="Times New Roman"/>
          <w:sz w:val="20"/>
          <w:szCs w:val="20"/>
        </w:rPr>
        <w:t>Kretzmer and Ronen</w:t>
      </w:r>
      <w:r w:rsidR="00191808" w:rsidRPr="009E6775">
        <w:rPr>
          <w:rFonts w:ascii="Times New Roman" w:hAnsi="Times New Roman"/>
          <w:sz w:val="20"/>
          <w:szCs w:val="20"/>
        </w:rPr>
        <w:t xml:space="preserve">, ibid, </w:t>
      </w:r>
      <w:r w:rsidR="0070683C" w:rsidRPr="009E6775">
        <w:rPr>
          <w:rFonts w:ascii="Times New Roman" w:hAnsi="Times New Roman"/>
          <w:sz w:val="20"/>
          <w:szCs w:val="20"/>
        </w:rPr>
        <w:t>at 254</w:t>
      </w:r>
      <w:r w:rsidR="00191808" w:rsidRPr="009E6775">
        <w:rPr>
          <w:rFonts w:ascii="Times New Roman" w:hAnsi="Times New Roman"/>
          <w:sz w:val="20"/>
          <w:szCs w:val="20"/>
        </w:rPr>
        <w:t xml:space="preserve"> and </w:t>
      </w:r>
      <w:r w:rsidR="0070683C" w:rsidRPr="009E6775">
        <w:rPr>
          <w:rFonts w:ascii="Times New Roman" w:hAnsi="Times New Roman"/>
          <w:sz w:val="20"/>
          <w:szCs w:val="20"/>
        </w:rPr>
        <w:t>323.</w:t>
      </w:r>
    </w:p>
  </w:footnote>
  <w:footnote w:id="163">
    <w:p w14:paraId="4111C380" w14:textId="7E200506" w:rsidR="00830085" w:rsidRPr="009E6775" w:rsidRDefault="00830085"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As noted by Kretzmer and Ronen, </w:t>
      </w:r>
      <w:r w:rsidR="00191808" w:rsidRPr="009E6775">
        <w:rPr>
          <w:rFonts w:ascii="Times New Roman" w:hAnsi="Times New Roman"/>
          <w:sz w:val="20"/>
          <w:szCs w:val="20"/>
        </w:rPr>
        <w:t xml:space="preserve">ibid, </w:t>
      </w:r>
      <w:r w:rsidRPr="009E6775">
        <w:rPr>
          <w:rFonts w:ascii="Times New Roman" w:hAnsi="Times New Roman"/>
          <w:sz w:val="20"/>
          <w:szCs w:val="20"/>
        </w:rPr>
        <w:t>at 256.</w:t>
      </w:r>
    </w:p>
  </w:footnote>
  <w:footnote w:id="164">
    <w:p w14:paraId="6185EC60" w14:textId="3E35A4C5" w:rsidR="00830085" w:rsidRPr="009E6775" w:rsidRDefault="00830085"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191808" w:rsidRPr="009E6775">
        <w:rPr>
          <w:rFonts w:ascii="Times New Roman" w:hAnsi="Times New Roman"/>
          <w:sz w:val="20"/>
          <w:szCs w:val="20"/>
        </w:rPr>
        <w:t xml:space="preserve">Ibid, </w:t>
      </w:r>
      <w:r w:rsidRPr="009E6775">
        <w:rPr>
          <w:rFonts w:ascii="Times New Roman" w:hAnsi="Times New Roman"/>
          <w:sz w:val="20"/>
          <w:szCs w:val="20"/>
        </w:rPr>
        <w:t>at 249-251.</w:t>
      </w:r>
    </w:p>
  </w:footnote>
  <w:footnote w:id="165">
    <w:p w14:paraId="7D86E81B" w14:textId="3EE173DC" w:rsidR="00791DC9" w:rsidRPr="009E6775" w:rsidRDefault="00791DC9"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191808" w:rsidRPr="009E6775">
        <w:rPr>
          <w:rFonts w:ascii="Times New Roman" w:hAnsi="Times New Roman"/>
          <w:sz w:val="20"/>
          <w:szCs w:val="20"/>
        </w:rPr>
        <w:t xml:space="preserve">Ibid, </w:t>
      </w:r>
      <w:r w:rsidRPr="009E6775">
        <w:rPr>
          <w:rFonts w:ascii="Times New Roman" w:hAnsi="Times New Roman"/>
          <w:sz w:val="20"/>
          <w:szCs w:val="20"/>
        </w:rPr>
        <w:t xml:space="preserve">at 165. For those who deny the status of occupation, see, for instance, Y. Shany, ‘Faraway, So Close:  </w:t>
      </w:r>
      <w:proofErr w:type="gramStart"/>
      <w:r w:rsidRPr="009E6775">
        <w:rPr>
          <w:rFonts w:ascii="Times New Roman" w:hAnsi="Times New Roman"/>
          <w:sz w:val="20"/>
          <w:szCs w:val="20"/>
        </w:rPr>
        <w:t>the</w:t>
      </w:r>
      <w:proofErr w:type="gramEnd"/>
      <w:r w:rsidRPr="009E6775">
        <w:rPr>
          <w:rFonts w:ascii="Times New Roman" w:hAnsi="Times New Roman"/>
          <w:sz w:val="20"/>
          <w:szCs w:val="20"/>
        </w:rPr>
        <w:t xml:space="preserve"> Legal Status of Gaza after Israel’s Disengagement’, (2005) 8 YIHL 369; Benvenisti, supra n</w:t>
      </w:r>
      <w:r w:rsidR="00E3202D" w:rsidRPr="009E6775">
        <w:rPr>
          <w:rFonts w:ascii="Times New Roman" w:hAnsi="Times New Roman"/>
          <w:sz w:val="20"/>
          <w:szCs w:val="20"/>
        </w:rPr>
        <w:t>ote</w:t>
      </w:r>
      <w:r w:rsidRPr="009E6775">
        <w:rPr>
          <w:rFonts w:ascii="Times New Roman" w:hAnsi="Times New Roman"/>
          <w:sz w:val="20"/>
          <w:szCs w:val="20"/>
        </w:rPr>
        <w:t xml:space="preserve"> 6</w:t>
      </w:r>
      <w:r w:rsidR="00E3202D" w:rsidRPr="009E6775">
        <w:rPr>
          <w:rFonts w:ascii="Times New Roman" w:hAnsi="Times New Roman"/>
          <w:sz w:val="20"/>
          <w:szCs w:val="20"/>
        </w:rPr>
        <w:t>7</w:t>
      </w:r>
      <w:r w:rsidRPr="009E6775">
        <w:rPr>
          <w:rFonts w:ascii="Times New Roman" w:hAnsi="Times New Roman"/>
          <w:sz w:val="20"/>
          <w:szCs w:val="20"/>
        </w:rPr>
        <w:t>, at 211-212. For the opposite view, see Dinstein (2009), supra n</w:t>
      </w:r>
      <w:r w:rsidR="00982E60" w:rsidRPr="009E6775">
        <w:rPr>
          <w:rFonts w:ascii="Times New Roman" w:hAnsi="Times New Roman"/>
          <w:sz w:val="20"/>
          <w:szCs w:val="20"/>
        </w:rPr>
        <w:t xml:space="preserve">ote 15, </w:t>
      </w:r>
      <w:r w:rsidRPr="009E6775">
        <w:rPr>
          <w:rFonts w:ascii="Times New Roman" w:hAnsi="Times New Roman"/>
          <w:sz w:val="20"/>
          <w:szCs w:val="20"/>
        </w:rPr>
        <w:t>at 278</w:t>
      </w:r>
      <w:r w:rsidRPr="009E6775">
        <w:rPr>
          <w:rFonts w:ascii="Times New Roman" w:hAnsi="Times New Roman"/>
          <w:i/>
          <w:iCs/>
          <w:sz w:val="20"/>
          <w:szCs w:val="20"/>
        </w:rPr>
        <w:t xml:space="preserve">; V. Kattan, ‘Operation Cast Lead:  Use of Force Discourse and Jus ad Bellum Controversies’, (2009) 15 Palestinian Yearbook of International Law </w:t>
      </w:r>
      <w:r w:rsidRPr="009E6775">
        <w:rPr>
          <w:rFonts w:ascii="Times New Roman" w:hAnsi="Times New Roman"/>
          <w:sz w:val="20"/>
          <w:szCs w:val="20"/>
        </w:rPr>
        <w:t xml:space="preserve">95, at 107; </w:t>
      </w:r>
      <w:r w:rsidR="00D74340" w:rsidRPr="009E6775">
        <w:rPr>
          <w:rFonts w:ascii="Times New Roman" w:hAnsi="Times New Roman"/>
          <w:sz w:val="20"/>
          <w:szCs w:val="20"/>
        </w:rPr>
        <w:t xml:space="preserve">D. Akande, ‘Classification of Armed Conflicts: Relevant Legal Concepts’, in E. Wilmshurst (ed.), </w:t>
      </w:r>
      <w:r w:rsidR="00D74340" w:rsidRPr="009E6775">
        <w:rPr>
          <w:rFonts w:ascii="Times New Roman" w:hAnsi="Times New Roman"/>
          <w:i/>
          <w:iCs/>
          <w:sz w:val="20"/>
          <w:szCs w:val="20"/>
        </w:rPr>
        <w:t>International Law and the Classification of Conflicts</w:t>
      </w:r>
      <w:r w:rsidR="00D74340" w:rsidRPr="009E6775">
        <w:rPr>
          <w:rFonts w:ascii="Times New Roman" w:hAnsi="Times New Roman"/>
          <w:sz w:val="20"/>
          <w:szCs w:val="20"/>
        </w:rPr>
        <w:t xml:space="preserve">, (Oxford: Oxford University Press, 2012), at 48; </w:t>
      </w:r>
      <w:r w:rsidR="00F27FD4" w:rsidRPr="009E6775">
        <w:rPr>
          <w:rFonts w:ascii="Times New Roman" w:hAnsi="Times New Roman"/>
          <w:sz w:val="20"/>
          <w:szCs w:val="20"/>
        </w:rPr>
        <w:t xml:space="preserve">Koutroulis, </w:t>
      </w:r>
      <w:r w:rsidR="00D74340" w:rsidRPr="009E6775">
        <w:rPr>
          <w:rFonts w:ascii="Times New Roman" w:hAnsi="Times New Roman"/>
          <w:sz w:val="20"/>
          <w:szCs w:val="20"/>
        </w:rPr>
        <w:t xml:space="preserve">supra note 71, </w:t>
      </w:r>
      <w:r w:rsidR="00F27FD4" w:rsidRPr="009E6775">
        <w:rPr>
          <w:rFonts w:ascii="Times New Roman" w:hAnsi="Times New Roman"/>
          <w:sz w:val="20"/>
          <w:szCs w:val="20"/>
        </w:rPr>
        <w:t xml:space="preserve">at 170; </w:t>
      </w:r>
      <w:r w:rsidRPr="009E6775">
        <w:rPr>
          <w:rFonts w:ascii="Times New Roman" w:hAnsi="Times New Roman"/>
          <w:sz w:val="20"/>
          <w:szCs w:val="20"/>
        </w:rPr>
        <w:t xml:space="preserve">S. Darcy and J. Reynolds, ‘An Enduring Occupation:  the Status of the Gaza Strip from the Perspective of International Humanitarian law’, (2010) 15 </w:t>
      </w:r>
      <w:r w:rsidRPr="009E6775">
        <w:rPr>
          <w:rFonts w:ascii="Times New Roman" w:hAnsi="Times New Roman"/>
          <w:i/>
          <w:iCs/>
          <w:sz w:val="20"/>
          <w:szCs w:val="20"/>
        </w:rPr>
        <w:t xml:space="preserve">Journal of Conflict and Security Law </w:t>
      </w:r>
      <w:r w:rsidRPr="009E6775">
        <w:rPr>
          <w:rFonts w:ascii="Times New Roman" w:hAnsi="Times New Roman"/>
          <w:sz w:val="20"/>
          <w:szCs w:val="20"/>
        </w:rPr>
        <w:t xml:space="preserve">211, at 235. </w:t>
      </w:r>
    </w:p>
  </w:footnote>
  <w:footnote w:id="166">
    <w:p w14:paraId="440F2D9B" w14:textId="4BEC8A1D" w:rsidR="00E72C1F" w:rsidRPr="009E6775" w:rsidRDefault="00E72C1F" w:rsidP="008918A0">
      <w:pPr>
        <w:pStyle w:val="a4"/>
        <w:ind w:left="100" w:hangingChars="50" w:hanging="100"/>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18333C" w:rsidRPr="009E6775">
        <w:rPr>
          <w:rFonts w:ascii="Times New Roman" w:hAnsi="Times New Roman"/>
          <w:sz w:val="20"/>
          <w:szCs w:val="20"/>
        </w:rPr>
        <w:t xml:space="preserve">V. Koutroulis, </w:t>
      </w:r>
      <w:r w:rsidR="0018333C" w:rsidRPr="009E6775">
        <w:rPr>
          <w:rFonts w:ascii="Times New Roman" w:hAnsi="Times New Roman"/>
          <w:i/>
          <w:iCs/>
          <w:sz w:val="20"/>
          <w:szCs w:val="20"/>
        </w:rPr>
        <w:t xml:space="preserve">Le début et la fin de l’application du droit de l’occupation, </w:t>
      </w:r>
      <w:r w:rsidR="0018333C" w:rsidRPr="009E6775">
        <w:rPr>
          <w:rFonts w:ascii="Times New Roman" w:hAnsi="Times New Roman"/>
          <w:sz w:val="20"/>
          <w:szCs w:val="20"/>
        </w:rPr>
        <w:t xml:space="preserve">(Paris: Pedone, 2010), </w:t>
      </w:r>
      <w:r w:rsidRPr="009E6775">
        <w:rPr>
          <w:rFonts w:ascii="Times New Roman" w:hAnsi="Times New Roman"/>
          <w:sz w:val="20"/>
          <w:szCs w:val="20"/>
        </w:rPr>
        <w:t>at 54.</w:t>
      </w:r>
    </w:p>
  </w:footnote>
  <w:footnote w:id="167">
    <w:p w14:paraId="56D7A242" w14:textId="77777777" w:rsidR="005D37FD" w:rsidRPr="009E6775" w:rsidRDefault="005D37FD"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Y. Shany, ‘The Law Applicable to Non-Occupied Gaza:  A Comment on </w:t>
      </w:r>
      <w:r w:rsidRPr="009E6775">
        <w:rPr>
          <w:rFonts w:ascii="Times New Roman" w:hAnsi="Times New Roman"/>
          <w:i/>
          <w:iCs/>
          <w:sz w:val="20"/>
          <w:szCs w:val="20"/>
        </w:rPr>
        <w:t>Bassiouni v. The Prime Minister of Israel</w:t>
      </w:r>
      <w:r w:rsidRPr="009E6775">
        <w:rPr>
          <w:rFonts w:ascii="Times New Roman" w:hAnsi="Times New Roman"/>
          <w:sz w:val="20"/>
          <w:szCs w:val="20"/>
        </w:rPr>
        <w:t xml:space="preserve">’, (2009) 42 </w:t>
      </w:r>
      <w:r w:rsidRPr="009E6775">
        <w:rPr>
          <w:rFonts w:ascii="Times New Roman" w:hAnsi="Times New Roman"/>
          <w:i/>
          <w:iCs/>
          <w:sz w:val="20"/>
          <w:szCs w:val="20"/>
        </w:rPr>
        <w:t xml:space="preserve">Israel Law Review </w:t>
      </w:r>
      <w:r w:rsidRPr="009E6775">
        <w:rPr>
          <w:rFonts w:ascii="Times New Roman" w:hAnsi="Times New Roman"/>
          <w:sz w:val="20"/>
          <w:szCs w:val="20"/>
        </w:rPr>
        <w:t>101.</w:t>
      </w:r>
    </w:p>
  </w:footnote>
  <w:footnote w:id="168">
    <w:p w14:paraId="039E68E3" w14:textId="61091934" w:rsidR="00A71E46" w:rsidRPr="009E6775" w:rsidRDefault="00A71E46"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The so-called ‘Pictet’s theory’ is credited with marking the genesis of the ‘functional approach’.</w:t>
      </w:r>
    </w:p>
  </w:footnote>
  <w:footnote w:id="169">
    <w:p w14:paraId="7BE179A0" w14:textId="5B040A96" w:rsidR="00A71E46" w:rsidRPr="009E6775" w:rsidRDefault="00A71E46" w:rsidP="008918A0">
      <w:pPr>
        <w:rPr>
          <w:rFonts w:ascii="Times New Roman" w:hAnsi="Times New Roman" w:cs="Times New Roman"/>
          <w:sz w:val="20"/>
          <w:szCs w:val="20"/>
        </w:rPr>
      </w:pPr>
      <w:r w:rsidRPr="009E6775">
        <w:rPr>
          <w:rStyle w:val="aa"/>
          <w:rFonts w:ascii="Times New Roman" w:hAnsi="Times New Roman" w:cs="Times New Roman"/>
          <w:sz w:val="20"/>
          <w:szCs w:val="20"/>
        </w:rPr>
        <w:footnoteRef/>
      </w:r>
      <w:r w:rsidRPr="009E6775">
        <w:rPr>
          <w:rFonts w:ascii="Times New Roman" w:hAnsi="Times New Roman" w:cs="Times New Roman"/>
          <w:sz w:val="20"/>
          <w:szCs w:val="20"/>
        </w:rPr>
        <w:t xml:space="preserve"> See Ferraro (ed), </w:t>
      </w:r>
      <w:r w:rsidR="00022D88" w:rsidRPr="009E6775">
        <w:rPr>
          <w:rFonts w:ascii="Times New Roman" w:hAnsi="Times New Roman" w:cs="Times New Roman"/>
          <w:i/>
          <w:iCs/>
          <w:sz w:val="20"/>
          <w:szCs w:val="20"/>
        </w:rPr>
        <w:t>ICRC’s Expert meeting, Occupation and Other Forms of Administration of Foreign Territory</w:t>
      </w:r>
      <w:r w:rsidR="00022D88" w:rsidRPr="009E6775">
        <w:rPr>
          <w:rFonts w:ascii="Times New Roman" w:hAnsi="Times New Roman" w:cs="Times New Roman"/>
          <w:sz w:val="20"/>
          <w:szCs w:val="20"/>
        </w:rPr>
        <w:t xml:space="preserve"> (ICRC, 2012) at 113</w:t>
      </w:r>
      <w:r w:rsidRPr="009E6775">
        <w:rPr>
          <w:rFonts w:ascii="Times New Roman" w:hAnsi="Times New Roman" w:cs="Times New Roman"/>
          <w:sz w:val="20"/>
          <w:szCs w:val="20"/>
        </w:rPr>
        <w:t>.</w:t>
      </w:r>
      <w:r w:rsidR="00207802" w:rsidRPr="009E6775">
        <w:rPr>
          <w:rFonts w:ascii="Times New Roman" w:hAnsi="Times New Roman" w:cs="Times New Roman"/>
          <w:sz w:val="20"/>
          <w:szCs w:val="20"/>
        </w:rPr>
        <w:t xml:space="preserve"> See also N. Kalandarishvili, </w:t>
      </w:r>
      <w:r w:rsidR="00E35C64" w:rsidRPr="009E6775">
        <w:rPr>
          <w:rFonts w:ascii="Times New Roman" w:hAnsi="Times New Roman" w:cs="Times New Roman"/>
          <w:i/>
          <w:iCs/>
          <w:sz w:val="20"/>
          <w:szCs w:val="20"/>
        </w:rPr>
        <w:t>Occupation and Control in International Humanitarian Law</w:t>
      </w:r>
      <w:r w:rsidR="00E35C64" w:rsidRPr="009E6775">
        <w:rPr>
          <w:rFonts w:ascii="Times New Roman" w:hAnsi="Times New Roman" w:cs="Times New Roman"/>
          <w:sz w:val="20"/>
          <w:szCs w:val="20"/>
        </w:rPr>
        <w:t xml:space="preserve"> (2021), at </w:t>
      </w:r>
      <w:r w:rsidR="00207802" w:rsidRPr="009E6775">
        <w:rPr>
          <w:rFonts w:ascii="Times New Roman" w:hAnsi="Times New Roman" w:cs="Times New Roman"/>
          <w:sz w:val="20"/>
          <w:szCs w:val="20"/>
        </w:rPr>
        <w:t>136-137, 140-142, 160-164</w:t>
      </w:r>
      <w:r w:rsidR="00E35C64" w:rsidRPr="009E6775">
        <w:rPr>
          <w:rFonts w:ascii="Times New Roman" w:hAnsi="Times New Roman" w:cs="Times New Roman"/>
          <w:sz w:val="20"/>
          <w:szCs w:val="20"/>
        </w:rPr>
        <w:t>.</w:t>
      </w:r>
    </w:p>
  </w:footnote>
  <w:footnote w:id="170">
    <w:p w14:paraId="1D714053" w14:textId="35EF0971" w:rsidR="00DB1FFD" w:rsidRPr="009E6775" w:rsidRDefault="00DB1FFD"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00E3202D" w:rsidRPr="009E6775">
        <w:rPr>
          <w:rFonts w:ascii="Times New Roman" w:hAnsi="Times New Roman"/>
          <w:sz w:val="20"/>
          <w:szCs w:val="20"/>
        </w:rPr>
        <w:t xml:space="preserve"> </w:t>
      </w:r>
      <w:r w:rsidRPr="009E6775">
        <w:rPr>
          <w:rFonts w:ascii="Times New Roman" w:hAnsi="Times New Roman"/>
          <w:sz w:val="20"/>
          <w:szCs w:val="20"/>
        </w:rPr>
        <w:t>HCJ 9132/07,</w:t>
      </w:r>
      <w:r w:rsidRPr="009E6775">
        <w:rPr>
          <w:rFonts w:ascii="Times New Roman" w:hAnsi="Times New Roman"/>
          <w:i/>
          <w:iCs/>
          <w:sz w:val="20"/>
          <w:szCs w:val="20"/>
        </w:rPr>
        <w:t xml:space="preserve"> Jaber Al-Bassiouni Ahmed and Others,</w:t>
      </w:r>
      <w:r w:rsidRPr="009E6775">
        <w:rPr>
          <w:rFonts w:ascii="Times New Roman" w:hAnsi="Times New Roman"/>
          <w:sz w:val="20"/>
          <w:szCs w:val="20"/>
        </w:rPr>
        <w:t xml:space="preserve"> 27 January 2008, para</w:t>
      </w:r>
      <w:r w:rsidR="00FB5E12" w:rsidRPr="009E6775">
        <w:rPr>
          <w:rFonts w:ascii="Times New Roman" w:hAnsi="Times New Roman"/>
          <w:sz w:val="20"/>
          <w:szCs w:val="20"/>
        </w:rPr>
        <w:t xml:space="preserve">s </w:t>
      </w:r>
      <w:r w:rsidRPr="009E6775">
        <w:rPr>
          <w:rFonts w:ascii="Times New Roman" w:hAnsi="Times New Roman"/>
          <w:sz w:val="20"/>
          <w:szCs w:val="20"/>
        </w:rPr>
        <w:t>12</w:t>
      </w:r>
      <w:r w:rsidR="00FB5E12" w:rsidRPr="009E6775">
        <w:rPr>
          <w:rFonts w:ascii="Times New Roman" w:hAnsi="Times New Roman"/>
          <w:sz w:val="20"/>
          <w:szCs w:val="20"/>
        </w:rPr>
        <w:t xml:space="preserve"> and 15.</w:t>
      </w:r>
    </w:p>
  </w:footnote>
  <w:footnote w:id="171">
    <w:p w14:paraId="52CAF650" w14:textId="0A27497D" w:rsidR="00F7745B" w:rsidRPr="009E6775" w:rsidRDefault="00F774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Ibid, para. 1</w:t>
      </w:r>
      <w:r w:rsidR="00FA5852" w:rsidRPr="009E6775">
        <w:rPr>
          <w:rFonts w:ascii="Times New Roman" w:hAnsi="Times New Roman"/>
          <w:sz w:val="20"/>
          <w:szCs w:val="20"/>
        </w:rPr>
        <w:t>4.</w:t>
      </w:r>
    </w:p>
  </w:footnote>
  <w:footnote w:id="172">
    <w:p w14:paraId="75B0B4A9" w14:textId="77777777" w:rsidR="00F556A0" w:rsidRPr="009E6775" w:rsidRDefault="00F556A0"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A. Gross, </w:t>
      </w:r>
      <w:r w:rsidRPr="009E6775">
        <w:rPr>
          <w:rFonts w:ascii="Times New Roman" w:hAnsi="Times New Roman"/>
          <w:i/>
          <w:iCs/>
          <w:sz w:val="20"/>
          <w:szCs w:val="20"/>
        </w:rPr>
        <w:t>The Writing on the Wall</w:t>
      </w:r>
      <w:r w:rsidRPr="009E6775">
        <w:rPr>
          <w:rFonts w:ascii="Times New Roman" w:hAnsi="Times New Roman"/>
          <w:sz w:val="20"/>
          <w:szCs w:val="20"/>
        </w:rPr>
        <w:t xml:space="preserve"> – </w:t>
      </w:r>
      <w:r w:rsidRPr="009E6775">
        <w:rPr>
          <w:rFonts w:ascii="Times New Roman" w:hAnsi="Times New Roman"/>
          <w:i/>
          <w:iCs/>
          <w:sz w:val="20"/>
          <w:szCs w:val="20"/>
        </w:rPr>
        <w:t>Rethinking the International Law of Occupation</w:t>
      </w:r>
      <w:r w:rsidRPr="009E6775">
        <w:rPr>
          <w:rFonts w:ascii="Times New Roman" w:hAnsi="Times New Roman"/>
          <w:sz w:val="20"/>
          <w:szCs w:val="20"/>
        </w:rPr>
        <w:t xml:space="preserve"> (Cambridge:  CUP, 2017), at 217-20. </w:t>
      </w:r>
    </w:p>
  </w:footnote>
  <w:footnote w:id="173">
    <w:p w14:paraId="0F73E844" w14:textId="75B21024"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w:t>
      </w:r>
      <w:r w:rsidR="00E3202D" w:rsidRPr="009E6775">
        <w:rPr>
          <w:rFonts w:ascii="Times New Roman" w:hAnsi="Times New Roman"/>
          <w:sz w:val="20"/>
          <w:szCs w:val="20"/>
        </w:rPr>
        <w:t xml:space="preserve"> supra note 3,</w:t>
      </w:r>
      <w:r w:rsidRPr="009E6775">
        <w:rPr>
          <w:rFonts w:ascii="Times New Roman" w:hAnsi="Times New Roman"/>
          <w:sz w:val="20"/>
          <w:szCs w:val="20"/>
        </w:rPr>
        <w:t xml:space="preserve"> at 460.</w:t>
      </w:r>
    </w:p>
  </w:footnote>
  <w:footnote w:id="174">
    <w:p w14:paraId="67345175" w14:textId="4A9784E7"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769/02, </w:t>
      </w:r>
      <w:r w:rsidRPr="009E6775">
        <w:rPr>
          <w:rFonts w:ascii="Times New Roman" w:hAnsi="Times New Roman"/>
          <w:i/>
          <w:iCs/>
          <w:sz w:val="20"/>
          <w:szCs w:val="20"/>
        </w:rPr>
        <w:t xml:space="preserve">The Public Committee against Torture in Israel v. The Government of Israel et al., </w:t>
      </w:r>
      <w:r w:rsidRPr="009E6775">
        <w:rPr>
          <w:rFonts w:ascii="Times New Roman" w:hAnsi="Times New Roman"/>
          <w:sz w:val="20"/>
          <w:szCs w:val="20"/>
        </w:rPr>
        <w:t>(14 Dec 2006) (</w:t>
      </w:r>
      <w:r w:rsidRPr="009E6775">
        <w:rPr>
          <w:rFonts w:ascii="Times New Roman" w:hAnsi="Times New Roman"/>
          <w:i/>
          <w:iCs/>
          <w:sz w:val="20"/>
          <w:szCs w:val="20"/>
        </w:rPr>
        <w:t>Targeted Killing</w:t>
      </w:r>
      <w:r w:rsidRPr="009E6775">
        <w:rPr>
          <w:rFonts w:ascii="Times New Roman" w:hAnsi="Times New Roman"/>
          <w:sz w:val="20"/>
          <w:szCs w:val="20"/>
        </w:rPr>
        <w:t>).</w:t>
      </w:r>
    </w:p>
  </w:footnote>
  <w:footnote w:id="175">
    <w:p w14:paraId="50598FA8" w14:textId="31D26158"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9594/03 </w:t>
      </w:r>
      <w:r w:rsidRPr="009E6775">
        <w:rPr>
          <w:rFonts w:ascii="Times New Roman" w:hAnsi="Times New Roman"/>
          <w:i/>
          <w:iCs/>
          <w:sz w:val="20"/>
          <w:szCs w:val="20"/>
        </w:rPr>
        <w:t xml:space="preserve">B’Tselem v. Military Advocate General </w:t>
      </w:r>
      <w:r w:rsidRPr="009E6775">
        <w:rPr>
          <w:rFonts w:ascii="Times New Roman" w:hAnsi="Times New Roman"/>
          <w:sz w:val="20"/>
          <w:szCs w:val="20"/>
        </w:rPr>
        <w:t>(21 August 2011).</w:t>
      </w:r>
    </w:p>
  </w:footnote>
  <w:footnote w:id="176">
    <w:p w14:paraId="16E90749" w14:textId="2F8E776D"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E3202D" w:rsidRPr="009E6775">
        <w:rPr>
          <w:rFonts w:ascii="Times New Roman" w:hAnsi="Times New Roman"/>
          <w:sz w:val="20"/>
          <w:szCs w:val="20"/>
        </w:rPr>
        <w:t xml:space="preserve">supra note 3, </w:t>
      </w:r>
      <w:r w:rsidRPr="009E6775">
        <w:rPr>
          <w:rFonts w:ascii="Times New Roman" w:hAnsi="Times New Roman"/>
          <w:sz w:val="20"/>
          <w:szCs w:val="20"/>
        </w:rPr>
        <w:t>at 482-3.</w:t>
      </w:r>
    </w:p>
  </w:footnote>
  <w:footnote w:id="177">
    <w:p w14:paraId="415FEEED" w14:textId="77777777" w:rsidR="007110E5" w:rsidRPr="009E6775" w:rsidRDefault="007110E5"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For this term, see M. Warren, ‘The “Fog of Law”: The Law of Armed Conflict in Operation Iraqi Freedom’, 86 </w:t>
      </w:r>
      <w:r w:rsidRPr="009E6775">
        <w:rPr>
          <w:rFonts w:ascii="Times New Roman" w:hAnsi="Times New Roman"/>
          <w:i/>
          <w:iCs/>
          <w:sz w:val="20"/>
          <w:szCs w:val="20"/>
        </w:rPr>
        <w:t xml:space="preserve">International Law Studies </w:t>
      </w:r>
      <w:r w:rsidRPr="009E6775">
        <w:rPr>
          <w:rFonts w:ascii="Times New Roman" w:hAnsi="Times New Roman"/>
          <w:sz w:val="20"/>
          <w:szCs w:val="20"/>
        </w:rPr>
        <w:t>167.</w:t>
      </w:r>
    </w:p>
  </w:footnote>
  <w:footnote w:id="178">
    <w:p w14:paraId="671B49AA" w14:textId="6D8AB0D3" w:rsidR="00A7078E" w:rsidRPr="009E6775" w:rsidRDefault="00A7078E"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E3202D" w:rsidRPr="009E6775">
        <w:rPr>
          <w:rFonts w:ascii="Times New Roman" w:hAnsi="Times New Roman"/>
          <w:sz w:val="20"/>
          <w:szCs w:val="20"/>
        </w:rPr>
        <w:t>Kretzmer and Ronen, supra note 3</w:t>
      </w:r>
      <w:r w:rsidRPr="009E6775">
        <w:rPr>
          <w:rFonts w:ascii="Times New Roman" w:hAnsi="Times New Roman"/>
          <w:sz w:val="20"/>
          <w:szCs w:val="20"/>
        </w:rPr>
        <w:t>, at 463.</w:t>
      </w:r>
    </w:p>
  </w:footnote>
  <w:footnote w:id="179">
    <w:p w14:paraId="37897FB9" w14:textId="3F8F5B64" w:rsidR="00D0725B" w:rsidRPr="009E6775" w:rsidRDefault="00D0725B" w:rsidP="008918A0">
      <w:pPr>
        <w:rPr>
          <w:rFonts w:ascii="Times New Roman" w:hAnsi="Times New Roman" w:cs="Times New Roman"/>
          <w:sz w:val="20"/>
          <w:szCs w:val="20"/>
        </w:rPr>
      </w:pPr>
      <w:r w:rsidRPr="009E6775">
        <w:rPr>
          <w:rStyle w:val="aa"/>
          <w:rFonts w:ascii="Times New Roman" w:hAnsi="Times New Roman" w:cs="Times New Roman"/>
          <w:sz w:val="20"/>
          <w:szCs w:val="20"/>
        </w:rPr>
        <w:footnoteRef/>
      </w:r>
      <w:r w:rsidRPr="009E6775">
        <w:rPr>
          <w:rFonts w:ascii="Times New Roman" w:hAnsi="Times New Roman" w:cs="Times New Roman"/>
          <w:sz w:val="20"/>
          <w:szCs w:val="20"/>
        </w:rPr>
        <w:t xml:space="preserve"> Ibid, at 464 and 467.</w:t>
      </w:r>
    </w:p>
  </w:footnote>
  <w:footnote w:id="180">
    <w:p w14:paraId="294DF2A5" w14:textId="386018E2" w:rsidR="00E75691" w:rsidRPr="009E6775" w:rsidRDefault="00E75691"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See A. Cohen and Y. Shany, ‘A Development of Modest Proportions:  </w:t>
      </w:r>
      <w:proofErr w:type="gramStart"/>
      <w:r w:rsidRPr="009E6775">
        <w:rPr>
          <w:rFonts w:ascii="Times New Roman" w:hAnsi="Times New Roman"/>
          <w:sz w:val="20"/>
          <w:szCs w:val="20"/>
        </w:rPr>
        <w:t>the</w:t>
      </w:r>
      <w:proofErr w:type="gramEnd"/>
      <w:r w:rsidRPr="009E6775">
        <w:rPr>
          <w:rFonts w:ascii="Times New Roman" w:hAnsi="Times New Roman"/>
          <w:sz w:val="20"/>
          <w:szCs w:val="20"/>
        </w:rPr>
        <w:t xml:space="preserve"> Application of the Principle of Proportionality in the Israeli Supreme Court Judgment on the Lawfulness of Targeted Killings’,</w:t>
      </w:r>
      <w:r w:rsidR="006F7182" w:rsidRPr="009E6775">
        <w:rPr>
          <w:rFonts w:ascii="Times New Roman" w:hAnsi="Times New Roman"/>
          <w:sz w:val="20"/>
          <w:szCs w:val="20"/>
        </w:rPr>
        <w:t xml:space="preserve"> The Hebrew University of Jerusalem, Faculty of Law, Research Paper No. 5-07 April 2007, at 11, 12, 13-14.</w:t>
      </w:r>
    </w:p>
  </w:footnote>
  <w:footnote w:id="181">
    <w:p w14:paraId="14836C23" w14:textId="77777777" w:rsidR="009F553C" w:rsidRPr="009E6775" w:rsidRDefault="009F553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Y. Shany, ‘Human Rights and Humanitarian Law as Competing Paradigms for Fighting Terror’, in O. Ben-Naftali (ed), </w:t>
      </w:r>
      <w:r w:rsidRPr="009E6775">
        <w:rPr>
          <w:rFonts w:ascii="Times New Roman" w:hAnsi="Times New Roman"/>
          <w:i/>
          <w:iCs/>
          <w:sz w:val="20"/>
          <w:szCs w:val="20"/>
        </w:rPr>
        <w:t xml:space="preserve">International Humanitarian Law and International Human Rights Law </w:t>
      </w:r>
      <w:r w:rsidRPr="009E6775">
        <w:rPr>
          <w:rFonts w:ascii="Times New Roman" w:hAnsi="Times New Roman"/>
          <w:sz w:val="20"/>
          <w:szCs w:val="20"/>
        </w:rPr>
        <w:t xml:space="preserve">(OUP, 2011), 13 at 29. See also D. Bethlehem, ‘The Relationship between International Humanitarian Law and International Human Rights Law and the Application of International Human Rights Law in Armed Conflict’, (2013) 2 </w:t>
      </w:r>
      <w:r w:rsidRPr="009E6775">
        <w:rPr>
          <w:rFonts w:ascii="Times New Roman" w:hAnsi="Times New Roman"/>
          <w:i/>
          <w:iCs/>
          <w:sz w:val="20"/>
          <w:szCs w:val="20"/>
        </w:rPr>
        <w:t xml:space="preserve">Cambridge Journal of International and Comparative Law </w:t>
      </w:r>
      <w:r w:rsidRPr="009E6775">
        <w:rPr>
          <w:rFonts w:ascii="Times New Roman" w:hAnsi="Times New Roman"/>
          <w:sz w:val="20"/>
          <w:szCs w:val="20"/>
        </w:rPr>
        <w:t>180, at 186-7, 195; M. Milanovic, ‘Norm Conflicts, International Humanitarian Law, and Human Rights’, in Ben-Naftali (ed), ibid., 95, at 97; and M. Sassòli</w:t>
      </w:r>
      <w:r w:rsidRPr="009E6775">
        <w:rPr>
          <w:rStyle w:val="enumerator"/>
          <w:rFonts w:ascii="Times New Roman" w:hAnsi="Times New Roman"/>
          <w:sz w:val="20"/>
          <w:szCs w:val="20"/>
        </w:rPr>
        <w:t>. </w:t>
      </w:r>
      <w:r w:rsidRPr="009E6775">
        <w:rPr>
          <w:rFonts w:ascii="Times New Roman" w:hAnsi="Times New Roman"/>
          <w:sz w:val="20"/>
          <w:szCs w:val="20"/>
        </w:rPr>
        <w:t> ‘</w:t>
      </w:r>
      <w:hyperlink r:id="rId2" w:history="1">
        <w:r w:rsidRPr="009E6775">
          <w:rPr>
            <w:rStyle w:val="ac"/>
            <w:rFonts w:ascii="Times New Roman" w:hAnsi="Times New Roman"/>
            <w:color w:val="auto"/>
            <w:sz w:val="20"/>
            <w:szCs w:val="20"/>
            <w:u w:val="none"/>
          </w:rPr>
          <w:t>International Humanitarian Law and International Human Rights Law</w:t>
        </w:r>
      </w:hyperlink>
      <w:r w:rsidRPr="009E6775">
        <w:rPr>
          <w:rFonts w:ascii="Times New Roman" w:hAnsi="Times New Roman"/>
          <w:sz w:val="20"/>
          <w:szCs w:val="20"/>
        </w:rPr>
        <w:t xml:space="preserve">’, in B. Saul and D. Akande (eds), </w:t>
      </w:r>
      <w:hyperlink r:id="rId3" w:history="1">
        <w:r w:rsidRPr="009E6775">
          <w:rPr>
            <w:rStyle w:val="ac"/>
            <w:rFonts w:ascii="Times New Roman" w:hAnsi="Times New Roman"/>
            <w:i/>
            <w:iCs/>
            <w:color w:val="auto"/>
            <w:sz w:val="20"/>
            <w:szCs w:val="20"/>
            <w:u w:val="none"/>
          </w:rPr>
          <w:t>The Oxford Guide to International Humanitarian Law</w:t>
        </w:r>
      </w:hyperlink>
      <w:r w:rsidRPr="009E6775">
        <w:rPr>
          <w:rFonts w:ascii="Times New Roman" w:hAnsi="Times New Roman"/>
          <w:sz w:val="20"/>
          <w:szCs w:val="20"/>
        </w:rPr>
        <w:t xml:space="preserve"> (OUP, 2020) 381, at 400-1.</w:t>
      </w:r>
    </w:p>
  </w:footnote>
  <w:footnote w:id="182">
    <w:p w14:paraId="153C493B" w14:textId="7753E3C8" w:rsidR="00385EDF" w:rsidRPr="009E6775" w:rsidRDefault="00385EDF"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D843B6" w:rsidRPr="009E6775">
        <w:rPr>
          <w:rFonts w:ascii="Times New Roman" w:hAnsi="Times New Roman"/>
          <w:sz w:val="20"/>
          <w:szCs w:val="20"/>
        </w:rPr>
        <w:t xml:space="preserve">ICRC, </w:t>
      </w:r>
      <w:r w:rsidR="00D843B6" w:rsidRPr="009E6775">
        <w:rPr>
          <w:rFonts w:ascii="Times New Roman" w:hAnsi="Times New Roman"/>
          <w:i/>
          <w:iCs/>
          <w:sz w:val="20"/>
          <w:szCs w:val="20"/>
        </w:rPr>
        <w:t xml:space="preserve">Interpretive Guidance on the Notion </w:t>
      </w:r>
      <w:r w:rsidR="0095290A" w:rsidRPr="009E6775">
        <w:rPr>
          <w:rFonts w:ascii="Times New Roman" w:hAnsi="Times New Roman"/>
          <w:i/>
          <w:iCs/>
          <w:sz w:val="20"/>
          <w:szCs w:val="20"/>
        </w:rPr>
        <w:t xml:space="preserve">of </w:t>
      </w:r>
      <w:r w:rsidR="00D843B6" w:rsidRPr="009E6775">
        <w:rPr>
          <w:rFonts w:ascii="Times New Roman" w:hAnsi="Times New Roman"/>
          <w:i/>
          <w:iCs/>
          <w:sz w:val="20"/>
          <w:szCs w:val="20"/>
        </w:rPr>
        <w:t>Direct Participation in Hostilities</w:t>
      </w:r>
      <w:r w:rsidR="0095290A" w:rsidRPr="009E6775">
        <w:rPr>
          <w:rFonts w:ascii="Times New Roman" w:hAnsi="Times New Roman"/>
          <w:i/>
          <w:iCs/>
          <w:sz w:val="20"/>
          <w:szCs w:val="20"/>
        </w:rPr>
        <w:t xml:space="preserve"> under International Humanitarian Law,</w:t>
      </w:r>
      <w:r w:rsidR="0095290A" w:rsidRPr="009E6775">
        <w:rPr>
          <w:rFonts w:ascii="Times New Roman" w:hAnsi="Times New Roman"/>
          <w:sz w:val="20"/>
          <w:szCs w:val="20"/>
        </w:rPr>
        <w:t xml:space="preserve"> (ICRC, 2009)</w:t>
      </w:r>
      <w:r w:rsidR="00D843B6" w:rsidRPr="009E6775">
        <w:rPr>
          <w:rFonts w:ascii="Times New Roman" w:hAnsi="Times New Roman"/>
          <w:i/>
          <w:iCs/>
          <w:sz w:val="20"/>
          <w:szCs w:val="20"/>
        </w:rPr>
        <w:t xml:space="preserve"> </w:t>
      </w:r>
      <w:r w:rsidR="00D843B6" w:rsidRPr="009E6775">
        <w:rPr>
          <w:rFonts w:ascii="Times New Roman" w:hAnsi="Times New Roman"/>
          <w:sz w:val="20"/>
          <w:szCs w:val="20"/>
        </w:rPr>
        <w:t>at 27, 33-36.</w:t>
      </w:r>
    </w:p>
  </w:footnote>
  <w:footnote w:id="183">
    <w:p w14:paraId="2E8F24B6" w14:textId="45B2ABD1" w:rsidR="009F553C" w:rsidRPr="009E6775" w:rsidRDefault="009F553C"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15732B" w:rsidRPr="009E6775">
        <w:rPr>
          <w:rFonts w:ascii="Times New Roman" w:hAnsi="Times New Roman"/>
          <w:sz w:val="20"/>
          <w:szCs w:val="20"/>
        </w:rPr>
        <w:t xml:space="preserve">R. Bartels, ‘When Do Terrorist Organisations Qualify as “Parties to an Armed Conflict” under International Humanitarian Law?’, (2017-18) 56 </w:t>
      </w:r>
      <w:r w:rsidR="0015732B" w:rsidRPr="009E6775">
        <w:rPr>
          <w:rFonts w:ascii="Times New Roman" w:hAnsi="Times New Roman"/>
          <w:i/>
          <w:iCs/>
          <w:sz w:val="20"/>
          <w:szCs w:val="20"/>
        </w:rPr>
        <w:t xml:space="preserve">Military Law and Law of War Review </w:t>
      </w:r>
      <w:r w:rsidR="0015732B" w:rsidRPr="009E6775">
        <w:rPr>
          <w:rFonts w:ascii="Times New Roman" w:hAnsi="Times New Roman"/>
          <w:sz w:val="20"/>
          <w:szCs w:val="20"/>
        </w:rPr>
        <w:t xml:space="preserve">451. </w:t>
      </w:r>
      <w:r w:rsidR="00E3202D" w:rsidRPr="009E6775">
        <w:rPr>
          <w:rFonts w:ascii="Times New Roman" w:hAnsi="Times New Roman"/>
          <w:sz w:val="20"/>
          <w:szCs w:val="20"/>
        </w:rPr>
        <w:t xml:space="preserve">With </w:t>
      </w:r>
      <w:r w:rsidR="0015732B" w:rsidRPr="009E6775">
        <w:rPr>
          <w:rFonts w:ascii="Times New Roman" w:hAnsi="Times New Roman"/>
          <w:sz w:val="20"/>
          <w:szCs w:val="20"/>
        </w:rPr>
        <w:t>specific regard</w:t>
      </w:r>
      <w:r w:rsidRPr="009E6775">
        <w:rPr>
          <w:rFonts w:ascii="Times New Roman" w:hAnsi="Times New Roman"/>
          <w:sz w:val="20"/>
          <w:szCs w:val="20"/>
        </w:rPr>
        <w:t xml:space="preserve"> to the ISIS</w:t>
      </w:r>
      <w:r w:rsidR="0015732B" w:rsidRPr="009E6775">
        <w:rPr>
          <w:rFonts w:ascii="Times New Roman" w:hAnsi="Times New Roman"/>
          <w:sz w:val="20"/>
          <w:szCs w:val="20"/>
        </w:rPr>
        <w:t xml:space="preserve">, see </w:t>
      </w:r>
      <w:r w:rsidRPr="009E6775">
        <w:rPr>
          <w:rFonts w:ascii="Times New Roman" w:hAnsi="Times New Roman"/>
          <w:sz w:val="20"/>
          <w:szCs w:val="20"/>
        </w:rPr>
        <w:t>V. Koutroulis, ‘The Fight Against the Islamic State and Jus in Bello’, (2016) 29 Leiden JIL 827</w:t>
      </w:r>
      <w:r w:rsidR="0015732B" w:rsidRPr="009E6775">
        <w:rPr>
          <w:rFonts w:ascii="Times New Roman" w:hAnsi="Times New Roman"/>
          <w:sz w:val="20"/>
          <w:szCs w:val="20"/>
        </w:rPr>
        <w:t>.</w:t>
      </w:r>
    </w:p>
  </w:footnote>
  <w:footnote w:id="184">
    <w:p w14:paraId="763FBF08" w14:textId="36E406AE"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3799/02, </w:t>
      </w:r>
      <w:r w:rsidRPr="009E6775">
        <w:rPr>
          <w:rFonts w:ascii="Times New Roman" w:hAnsi="Times New Roman"/>
          <w:i/>
          <w:iCs/>
          <w:sz w:val="20"/>
          <w:szCs w:val="20"/>
        </w:rPr>
        <w:t xml:space="preserve">Adalah v. Officer of Commanding Central Command </w:t>
      </w:r>
      <w:r w:rsidRPr="009E6775">
        <w:rPr>
          <w:rFonts w:ascii="Times New Roman" w:hAnsi="Times New Roman"/>
          <w:sz w:val="20"/>
          <w:szCs w:val="20"/>
        </w:rPr>
        <w:t>(6 Oct. 2005) (</w:t>
      </w:r>
      <w:r w:rsidRPr="009E6775">
        <w:rPr>
          <w:rFonts w:ascii="Times New Roman" w:hAnsi="Times New Roman"/>
          <w:i/>
          <w:iCs/>
          <w:sz w:val="20"/>
          <w:szCs w:val="20"/>
        </w:rPr>
        <w:t>Early Warning).</w:t>
      </w:r>
    </w:p>
  </w:footnote>
  <w:footnote w:id="185">
    <w:p w14:paraId="33D900D1" w14:textId="001128E3"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E3202D" w:rsidRPr="009E6775">
        <w:rPr>
          <w:rFonts w:ascii="Times New Roman" w:hAnsi="Times New Roman"/>
          <w:sz w:val="20"/>
          <w:szCs w:val="20"/>
        </w:rPr>
        <w:t xml:space="preserve">supra note 3, </w:t>
      </w:r>
      <w:r w:rsidRPr="009E6775">
        <w:rPr>
          <w:rFonts w:ascii="Times New Roman" w:hAnsi="Times New Roman"/>
          <w:sz w:val="20"/>
          <w:szCs w:val="20"/>
        </w:rPr>
        <w:t xml:space="preserve">at 462. </w:t>
      </w:r>
    </w:p>
  </w:footnote>
  <w:footnote w:id="186">
    <w:p w14:paraId="03C76D9B" w14:textId="64ACDE4F"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As disputed in HCJ</w:t>
      </w:r>
      <w:bookmarkStart w:id="2" w:name="_Hlk84624671"/>
      <w:r w:rsidRPr="009E6775">
        <w:rPr>
          <w:rFonts w:ascii="Times New Roman" w:hAnsi="Times New Roman"/>
          <w:sz w:val="20"/>
          <w:szCs w:val="20"/>
        </w:rPr>
        <w:t xml:space="preserve"> 8990/02, </w:t>
      </w:r>
      <w:r w:rsidRPr="009E6775">
        <w:rPr>
          <w:rFonts w:ascii="Times New Roman" w:hAnsi="Times New Roman"/>
          <w:i/>
          <w:iCs/>
          <w:sz w:val="20"/>
          <w:szCs w:val="20"/>
        </w:rPr>
        <w:t xml:space="preserve">Physicians for Human Rights v. Commander of Southern Command </w:t>
      </w:r>
      <w:bookmarkEnd w:id="2"/>
      <w:r w:rsidRPr="009E6775">
        <w:rPr>
          <w:rFonts w:ascii="Times New Roman" w:hAnsi="Times New Roman"/>
          <w:sz w:val="20"/>
          <w:szCs w:val="20"/>
        </w:rPr>
        <w:t>(27 April 2003) 57(4) PD 193, 195.</w:t>
      </w:r>
    </w:p>
  </w:footnote>
  <w:footnote w:id="187">
    <w:p w14:paraId="019B94D4" w14:textId="23035DB6"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3261/06, </w:t>
      </w:r>
      <w:r w:rsidRPr="009E6775">
        <w:rPr>
          <w:rFonts w:ascii="Times New Roman" w:hAnsi="Times New Roman"/>
          <w:i/>
          <w:iCs/>
          <w:sz w:val="20"/>
          <w:szCs w:val="20"/>
        </w:rPr>
        <w:t xml:space="preserve">Physicians for Human Rights, v. Minister of Defence </w:t>
      </w:r>
      <w:r w:rsidRPr="009E6775">
        <w:rPr>
          <w:rFonts w:ascii="Times New Roman" w:hAnsi="Times New Roman"/>
          <w:sz w:val="20"/>
          <w:szCs w:val="20"/>
        </w:rPr>
        <w:t>(31 Jan 2011) para. 10.</w:t>
      </w:r>
    </w:p>
  </w:footnote>
  <w:footnote w:id="188">
    <w:p w14:paraId="352EFFD8" w14:textId="0A980495"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E3202D" w:rsidRPr="009E6775">
        <w:rPr>
          <w:rFonts w:ascii="Times New Roman" w:hAnsi="Times New Roman"/>
          <w:sz w:val="20"/>
          <w:szCs w:val="20"/>
        </w:rPr>
        <w:t xml:space="preserve">supra note 3, </w:t>
      </w:r>
      <w:r w:rsidRPr="009E6775">
        <w:rPr>
          <w:rFonts w:ascii="Times New Roman" w:hAnsi="Times New Roman"/>
          <w:sz w:val="20"/>
          <w:szCs w:val="20"/>
        </w:rPr>
        <w:t>at 462.</w:t>
      </w:r>
    </w:p>
  </w:footnote>
  <w:footnote w:id="189">
    <w:p w14:paraId="6B83FA41" w14:textId="20B5C47E"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4764/04, </w:t>
      </w:r>
      <w:r w:rsidRPr="009E6775">
        <w:rPr>
          <w:rFonts w:ascii="Times New Roman" w:hAnsi="Times New Roman"/>
          <w:i/>
          <w:iCs/>
          <w:sz w:val="20"/>
          <w:szCs w:val="20"/>
        </w:rPr>
        <w:t xml:space="preserve">Physicians for Human Rights et al v. Commander of the IDF Forces in the Gaza Strip </w:t>
      </w:r>
      <w:r w:rsidRPr="009E6775">
        <w:rPr>
          <w:rFonts w:ascii="Times New Roman" w:hAnsi="Times New Roman"/>
          <w:sz w:val="20"/>
          <w:szCs w:val="20"/>
        </w:rPr>
        <w:t xml:space="preserve">(30 May 2004) (The </w:t>
      </w:r>
      <w:r w:rsidRPr="009E6775">
        <w:rPr>
          <w:rFonts w:ascii="Times New Roman" w:hAnsi="Times New Roman"/>
          <w:i/>
          <w:iCs/>
          <w:sz w:val="20"/>
          <w:szCs w:val="20"/>
        </w:rPr>
        <w:t>Rafah</w:t>
      </w:r>
      <w:r w:rsidRPr="009E6775">
        <w:rPr>
          <w:rFonts w:ascii="Times New Roman" w:hAnsi="Times New Roman"/>
          <w:sz w:val="20"/>
          <w:szCs w:val="20"/>
        </w:rPr>
        <w:t xml:space="preserve"> case), available at https://casebook.icrc.org/case-study/israel-rafah-case.</w:t>
      </w:r>
    </w:p>
  </w:footnote>
  <w:footnote w:id="190">
    <w:p w14:paraId="1DDF2EBD" w14:textId="77777777"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Ibid, paras. 30 and 34.</w:t>
      </w:r>
    </w:p>
  </w:footnote>
  <w:footnote w:id="191">
    <w:p w14:paraId="0169181F" w14:textId="36333E51" w:rsidR="00D0725B" w:rsidRPr="009E6775" w:rsidRDefault="00D0725B" w:rsidP="008918A0">
      <w:pPr>
        <w:pStyle w:val="a4"/>
        <w:jc w:val="both"/>
        <w:rPr>
          <w:rFonts w:ascii="Times New Roman" w:hAnsi="Times New Roman"/>
          <w:sz w:val="20"/>
          <w:szCs w:val="20"/>
          <w:shd w:val="clear" w:color="auto" w:fill="FFFFFF"/>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E3202D" w:rsidRPr="009E6775">
        <w:rPr>
          <w:rFonts w:ascii="Times New Roman" w:hAnsi="Times New Roman"/>
          <w:sz w:val="20"/>
          <w:szCs w:val="20"/>
        </w:rPr>
        <w:t xml:space="preserve">Ibid, </w:t>
      </w:r>
      <w:r w:rsidRPr="009E6775">
        <w:rPr>
          <w:rFonts w:ascii="Times New Roman" w:hAnsi="Times New Roman"/>
          <w:sz w:val="20"/>
          <w:szCs w:val="20"/>
        </w:rPr>
        <w:t>para. 18.</w:t>
      </w:r>
    </w:p>
  </w:footnote>
  <w:footnote w:id="192">
    <w:p w14:paraId="58F11992" w14:textId="49E94558" w:rsidR="00297398" w:rsidRPr="009E6775" w:rsidRDefault="00297398"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ECtHR, GC, </w:t>
      </w:r>
      <w:r w:rsidRPr="009E6775">
        <w:rPr>
          <w:rFonts w:ascii="Times New Roman" w:hAnsi="Times New Roman"/>
          <w:i/>
          <w:iCs/>
          <w:sz w:val="20"/>
          <w:szCs w:val="20"/>
        </w:rPr>
        <w:t xml:space="preserve">Georgia v. Russia (No. 2), </w:t>
      </w:r>
      <w:r w:rsidRPr="009E6775">
        <w:rPr>
          <w:rFonts w:ascii="Times New Roman" w:hAnsi="Times New Roman"/>
          <w:sz w:val="20"/>
          <w:szCs w:val="20"/>
        </w:rPr>
        <w:t>Judgment, 21 January 2021, paras. 138-144</w:t>
      </w:r>
      <w:r w:rsidRPr="009E6775">
        <w:rPr>
          <w:rFonts w:ascii="Times New Roman" w:hAnsi="Times New Roman"/>
          <w:sz w:val="20"/>
          <w:szCs w:val="20"/>
          <w:lang w:val="en-US"/>
        </w:rPr>
        <w:t>.</w:t>
      </w:r>
    </w:p>
  </w:footnote>
  <w:footnote w:id="193">
    <w:p w14:paraId="3EE1B378" w14:textId="63DB3CB3" w:rsidR="003E0F47" w:rsidRPr="009E6775" w:rsidRDefault="003E0F47"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8B3B73" w:rsidRPr="009E6775">
        <w:rPr>
          <w:rFonts w:ascii="Times New Roman" w:hAnsi="Times New Roman"/>
          <w:sz w:val="20"/>
          <w:szCs w:val="20"/>
        </w:rPr>
        <w:t>The test of proportionality consists of</w:t>
      </w:r>
      <w:proofErr w:type="gramStart"/>
      <w:r w:rsidR="008B3B73" w:rsidRPr="009E6775">
        <w:rPr>
          <w:rFonts w:ascii="Times New Roman" w:hAnsi="Times New Roman"/>
          <w:sz w:val="20"/>
          <w:szCs w:val="20"/>
        </w:rPr>
        <w:t>:  (</w:t>
      </w:r>
      <w:proofErr w:type="gramEnd"/>
      <w:r w:rsidR="008B3B73" w:rsidRPr="009E6775">
        <w:rPr>
          <w:rFonts w:ascii="Times New Roman" w:hAnsi="Times New Roman"/>
          <w:sz w:val="20"/>
          <w:szCs w:val="20"/>
        </w:rPr>
        <w:t xml:space="preserve">1) suitability/rational basis; (2) necessity or less restrictive alternative; and (3) proportionality in a narrow sense. </w:t>
      </w:r>
      <w:r w:rsidRPr="009E6775">
        <w:rPr>
          <w:rFonts w:ascii="Times New Roman" w:hAnsi="Times New Roman"/>
          <w:sz w:val="20"/>
          <w:szCs w:val="20"/>
        </w:rPr>
        <w:t xml:space="preserve">For the tripartite system of </w:t>
      </w:r>
      <w:r w:rsidR="008B3B73" w:rsidRPr="009E6775">
        <w:rPr>
          <w:rFonts w:ascii="Times New Roman" w:hAnsi="Times New Roman"/>
          <w:sz w:val="20"/>
          <w:szCs w:val="20"/>
        </w:rPr>
        <w:t>this test</w:t>
      </w:r>
      <w:r w:rsidRPr="009E6775">
        <w:rPr>
          <w:rFonts w:ascii="Times New Roman" w:hAnsi="Times New Roman"/>
          <w:sz w:val="20"/>
          <w:szCs w:val="20"/>
        </w:rPr>
        <w:t xml:space="preserve">, </w:t>
      </w:r>
      <w:r w:rsidR="008B3B73" w:rsidRPr="009E6775">
        <w:rPr>
          <w:rFonts w:ascii="Times New Roman" w:hAnsi="Times New Roman"/>
          <w:sz w:val="20"/>
          <w:szCs w:val="20"/>
        </w:rPr>
        <w:t xml:space="preserve">N. Emiliou, </w:t>
      </w:r>
      <w:r w:rsidR="008B3B73" w:rsidRPr="009E6775">
        <w:rPr>
          <w:rFonts w:ascii="Times New Roman" w:hAnsi="Times New Roman"/>
          <w:i/>
          <w:iCs/>
          <w:sz w:val="20"/>
          <w:szCs w:val="20"/>
        </w:rPr>
        <w:t>The Principle of Proportionality in European Law: A Comparative Study</w:t>
      </w:r>
      <w:r w:rsidR="008B3B73" w:rsidRPr="009E6775">
        <w:rPr>
          <w:rFonts w:ascii="Times New Roman" w:hAnsi="Times New Roman"/>
          <w:sz w:val="20"/>
          <w:szCs w:val="20"/>
        </w:rPr>
        <w:t xml:space="preserve"> (</w:t>
      </w:r>
      <w:r w:rsidR="00E3202D" w:rsidRPr="009E6775">
        <w:rPr>
          <w:rFonts w:ascii="Times New Roman" w:hAnsi="Times New Roman"/>
          <w:sz w:val="20"/>
          <w:szCs w:val="20"/>
        </w:rPr>
        <w:t xml:space="preserve">The Hague: </w:t>
      </w:r>
      <w:r w:rsidR="008B3B73" w:rsidRPr="009E6775">
        <w:rPr>
          <w:rFonts w:ascii="Times New Roman" w:hAnsi="Times New Roman"/>
          <w:sz w:val="20"/>
          <w:szCs w:val="20"/>
        </w:rPr>
        <w:t>Kluwer 1996)</w:t>
      </w:r>
      <w:r w:rsidR="00E3202D" w:rsidRPr="009E6775">
        <w:rPr>
          <w:rFonts w:ascii="Times New Roman" w:hAnsi="Times New Roman"/>
          <w:sz w:val="20"/>
          <w:szCs w:val="20"/>
        </w:rPr>
        <w:t>;</w:t>
      </w:r>
      <w:r w:rsidR="008B3B73" w:rsidRPr="009E6775">
        <w:rPr>
          <w:rFonts w:ascii="Times New Roman" w:hAnsi="Times New Roman"/>
          <w:sz w:val="20"/>
          <w:szCs w:val="20"/>
        </w:rPr>
        <w:t xml:space="preserve"> </w:t>
      </w:r>
      <w:r w:rsidR="00CC0ADD" w:rsidRPr="009E6775">
        <w:rPr>
          <w:rFonts w:ascii="Times New Roman" w:hAnsi="Times New Roman"/>
          <w:sz w:val="20"/>
          <w:szCs w:val="20"/>
        </w:rPr>
        <w:t>G.</w:t>
      </w:r>
      <w:r w:rsidR="008B3B73" w:rsidRPr="009E6775">
        <w:rPr>
          <w:rFonts w:ascii="Times New Roman" w:hAnsi="Times New Roman"/>
          <w:sz w:val="20"/>
          <w:szCs w:val="20"/>
        </w:rPr>
        <w:t xml:space="preserve"> </w:t>
      </w:r>
      <w:proofErr w:type="gramStart"/>
      <w:r w:rsidR="008B3B73" w:rsidRPr="009E6775">
        <w:rPr>
          <w:rFonts w:ascii="Times New Roman" w:hAnsi="Times New Roman"/>
          <w:sz w:val="20"/>
          <w:szCs w:val="20"/>
        </w:rPr>
        <w:t>Gerapetritis ,</w:t>
      </w:r>
      <w:proofErr w:type="gramEnd"/>
      <w:r w:rsidR="008B3B73" w:rsidRPr="009E6775">
        <w:rPr>
          <w:rFonts w:ascii="Times New Roman" w:hAnsi="Times New Roman"/>
          <w:sz w:val="20"/>
          <w:szCs w:val="20"/>
        </w:rPr>
        <w:t xml:space="preserve"> </w:t>
      </w:r>
      <w:r w:rsidR="008B3B73" w:rsidRPr="009E6775">
        <w:rPr>
          <w:rFonts w:ascii="Times New Roman" w:hAnsi="Times New Roman"/>
          <w:i/>
          <w:iCs/>
          <w:sz w:val="20"/>
          <w:szCs w:val="20"/>
        </w:rPr>
        <w:t xml:space="preserve">Proportionality in Administrative Law: Judicial Review in France, Greece, England and in the European Community </w:t>
      </w:r>
      <w:r w:rsidR="008B3B73" w:rsidRPr="009E6775">
        <w:rPr>
          <w:rFonts w:ascii="Times New Roman" w:hAnsi="Times New Roman"/>
          <w:sz w:val="20"/>
          <w:szCs w:val="20"/>
        </w:rPr>
        <w:t>(Sakkoulas</w:t>
      </w:r>
      <w:r w:rsidR="00E3202D" w:rsidRPr="009E6775">
        <w:rPr>
          <w:rFonts w:ascii="Times New Roman" w:hAnsi="Times New Roman"/>
          <w:sz w:val="20"/>
          <w:szCs w:val="20"/>
        </w:rPr>
        <w:t>,</w:t>
      </w:r>
      <w:r w:rsidR="008B3B73" w:rsidRPr="009E6775">
        <w:rPr>
          <w:rFonts w:ascii="Times New Roman" w:hAnsi="Times New Roman"/>
          <w:sz w:val="20"/>
          <w:szCs w:val="20"/>
        </w:rPr>
        <w:t xml:space="preserve"> 1997)</w:t>
      </w:r>
      <w:r w:rsidR="00CC0ADD" w:rsidRPr="009E6775">
        <w:rPr>
          <w:rFonts w:ascii="Times New Roman" w:hAnsi="Times New Roman"/>
          <w:sz w:val="20"/>
          <w:szCs w:val="20"/>
        </w:rPr>
        <w:t>.</w:t>
      </w:r>
    </w:p>
  </w:footnote>
  <w:footnote w:id="194">
    <w:p w14:paraId="3C445DA7" w14:textId="1535C559"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7957/04, </w:t>
      </w:r>
      <w:r w:rsidRPr="009E6775">
        <w:rPr>
          <w:rFonts w:ascii="Times New Roman" w:hAnsi="Times New Roman"/>
          <w:i/>
          <w:iCs/>
          <w:sz w:val="20"/>
          <w:szCs w:val="20"/>
        </w:rPr>
        <w:t xml:space="preserve">Mara’abe v. Prime Minister </w:t>
      </w:r>
      <w:r w:rsidRPr="009E6775">
        <w:rPr>
          <w:rFonts w:ascii="Times New Roman" w:hAnsi="Times New Roman"/>
          <w:sz w:val="20"/>
          <w:szCs w:val="20"/>
        </w:rPr>
        <w:t>(15 Sept 2005).</w:t>
      </w:r>
    </w:p>
  </w:footnote>
  <w:footnote w:id="195">
    <w:p w14:paraId="00A440BB" w14:textId="1CAB3EDB"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E3202D" w:rsidRPr="009E6775">
        <w:rPr>
          <w:rFonts w:ascii="Times New Roman" w:hAnsi="Times New Roman"/>
          <w:sz w:val="20"/>
          <w:szCs w:val="20"/>
        </w:rPr>
        <w:t xml:space="preserve">supra note 3, </w:t>
      </w:r>
      <w:r w:rsidRPr="009E6775">
        <w:rPr>
          <w:rFonts w:ascii="Times New Roman" w:hAnsi="Times New Roman"/>
          <w:sz w:val="20"/>
          <w:szCs w:val="20"/>
        </w:rPr>
        <w:t>at 256.</w:t>
      </w:r>
    </w:p>
  </w:footnote>
  <w:footnote w:id="196">
    <w:p w14:paraId="007BAE9B" w14:textId="40C58CCE" w:rsidR="00300C37" w:rsidRPr="009E6775" w:rsidRDefault="00300C37"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Weil, supra n</w:t>
      </w:r>
      <w:r w:rsidR="00E3202D" w:rsidRPr="009E6775">
        <w:rPr>
          <w:rFonts w:ascii="Times New Roman" w:hAnsi="Times New Roman"/>
          <w:sz w:val="20"/>
          <w:szCs w:val="20"/>
        </w:rPr>
        <w:t>ote</w:t>
      </w:r>
      <w:r w:rsidRPr="009E6775">
        <w:rPr>
          <w:rFonts w:ascii="Times New Roman" w:hAnsi="Times New Roman"/>
          <w:sz w:val="20"/>
          <w:szCs w:val="20"/>
        </w:rPr>
        <w:t xml:space="preserve"> 2, at 37-38.</w:t>
      </w:r>
    </w:p>
  </w:footnote>
  <w:footnote w:id="197">
    <w:p w14:paraId="0CBAE7CF" w14:textId="44A54029" w:rsidR="00C75DF9" w:rsidRPr="009E6775" w:rsidRDefault="00C75DF9" w:rsidP="008918A0">
      <w:pPr>
        <w:widowControl/>
        <w:rPr>
          <w:rFonts w:ascii="Times New Roman" w:eastAsia="ＭＳ Ｐゴシック" w:hAnsi="Times New Roman" w:cs="Times New Roman"/>
          <w:spacing w:val="-5"/>
          <w:kern w:val="0"/>
          <w:sz w:val="20"/>
          <w:szCs w:val="20"/>
          <w:lang w:val="en-US"/>
        </w:rPr>
      </w:pPr>
      <w:r w:rsidRPr="009E6775">
        <w:rPr>
          <w:rStyle w:val="aa"/>
          <w:rFonts w:ascii="Times New Roman" w:hAnsi="Times New Roman" w:cs="Times New Roman"/>
          <w:sz w:val="20"/>
          <w:szCs w:val="20"/>
        </w:rPr>
        <w:footnoteRef/>
      </w:r>
      <w:r w:rsidRPr="009E6775">
        <w:rPr>
          <w:rFonts w:ascii="Times New Roman" w:hAnsi="Times New Roman" w:cs="Times New Roman"/>
          <w:sz w:val="20"/>
          <w:szCs w:val="20"/>
        </w:rPr>
        <w:t xml:space="preserve"> See, for instance, K.E. Himma, ‘</w:t>
      </w:r>
      <w:r w:rsidRPr="009E6775">
        <w:rPr>
          <w:rFonts w:ascii="Times New Roman" w:hAnsi="Times New Roman" w:cs="Times New Roman"/>
          <w:spacing w:val="-4"/>
          <w:sz w:val="20"/>
          <w:szCs w:val="20"/>
        </w:rPr>
        <w:t xml:space="preserve">Judicial Discretion and the Concept of Law’, (1999) 19(1) </w:t>
      </w:r>
      <w:r w:rsidRPr="009E6775">
        <w:rPr>
          <w:rFonts w:ascii="Times New Roman" w:eastAsia="ＭＳ Ｐゴシック" w:hAnsi="Times New Roman" w:cs="Times New Roman"/>
          <w:i/>
          <w:iCs/>
          <w:spacing w:val="-5"/>
          <w:kern w:val="0"/>
          <w:sz w:val="20"/>
          <w:szCs w:val="20"/>
          <w:lang w:val="en-US"/>
        </w:rPr>
        <w:t>Oxford Journal of Legal Studies</w:t>
      </w:r>
      <w:r w:rsidRPr="009E6775">
        <w:rPr>
          <w:rFonts w:ascii="Times New Roman" w:eastAsia="ＭＳ Ｐゴシック" w:hAnsi="Times New Roman" w:cs="Times New Roman"/>
          <w:spacing w:val="-5"/>
          <w:kern w:val="0"/>
          <w:sz w:val="20"/>
          <w:szCs w:val="20"/>
          <w:lang w:val="en-US"/>
        </w:rPr>
        <w:t xml:space="preserve"> 71.</w:t>
      </w:r>
    </w:p>
  </w:footnote>
  <w:footnote w:id="198">
    <w:p w14:paraId="063E1DB9" w14:textId="736AB3E3"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9A3C36" w:rsidRPr="009E6775">
        <w:rPr>
          <w:rFonts w:ascii="Times New Roman" w:hAnsi="Times New Roman"/>
          <w:sz w:val="20"/>
          <w:szCs w:val="20"/>
        </w:rPr>
        <w:t>Weil, supra note 2</w:t>
      </w:r>
      <w:r w:rsidRPr="009E6775">
        <w:rPr>
          <w:rFonts w:ascii="Times New Roman" w:hAnsi="Times New Roman"/>
          <w:sz w:val="20"/>
          <w:szCs w:val="20"/>
        </w:rPr>
        <w:t>., at 36.</w:t>
      </w:r>
    </w:p>
  </w:footnote>
  <w:footnote w:id="199">
    <w:p w14:paraId="6EA0B443" w14:textId="76AECEB9"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HCJ 2056/04, </w:t>
      </w:r>
      <w:r w:rsidRPr="009E6775">
        <w:rPr>
          <w:rFonts w:ascii="Times New Roman" w:hAnsi="Times New Roman"/>
          <w:i/>
          <w:iCs/>
          <w:sz w:val="20"/>
          <w:szCs w:val="20"/>
        </w:rPr>
        <w:t>Beit Sourik Village Council v. Government of Israel</w:t>
      </w:r>
      <w:r w:rsidRPr="009E6775">
        <w:rPr>
          <w:rFonts w:ascii="Times New Roman" w:hAnsi="Times New Roman"/>
          <w:sz w:val="20"/>
          <w:szCs w:val="20"/>
        </w:rPr>
        <w:t xml:space="preserve"> (30 June</w:t>
      </w:r>
      <w:r w:rsidR="00C75DF9" w:rsidRPr="009E6775">
        <w:rPr>
          <w:rFonts w:ascii="Times New Roman" w:hAnsi="Times New Roman"/>
          <w:sz w:val="20"/>
          <w:szCs w:val="20"/>
        </w:rPr>
        <w:t>’</w:t>
      </w:r>
      <w:r w:rsidRPr="009E6775">
        <w:rPr>
          <w:rFonts w:ascii="Times New Roman" w:hAnsi="Times New Roman"/>
          <w:sz w:val="20"/>
          <w:szCs w:val="20"/>
        </w:rPr>
        <w:t xml:space="preserve"> 2004).</w:t>
      </w:r>
    </w:p>
  </w:footnote>
  <w:footnote w:id="200">
    <w:p w14:paraId="5E2A64D3" w14:textId="55C1541D" w:rsidR="00BE00B1" w:rsidRPr="009E6775" w:rsidRDefault="00BE00B1"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w:t>
      </w:r>
      <w:r w:rsidR="00FA5A35" w:rsidRPr="009E6775">
        <w:rPr>
          <w:rFonts w:ascii="Times New Roman" w:hAnsi="Times New Roman"/>
          <w:sz w:val="20"/>
          <w:szCs w:val="20"/>
        </w:rPr>
        <w:t xml:space="preserve"> supra note 3</w:t>
      </w:r>
      <w:r w:rsidRPr="009E6775">
        <w:rPr>
          <w:rFonts w:ascii="Times New Roman" w:hAnsi="Times New Roman"/>
          <w:sz w:val="20"/>
          <w:szCs w:val="20"/>
        </w:rPr>
        <w:t xml:space="preserve"> at 244.</w:t>
      </w:r>
    </w:p>
  </w:footnote>
  <w:footnote w:id="201">
    <w:p w14:paraId="254278F1" w14:textId="6C022095"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Ibid., at 244.</w:t>
      </w:r>
    </w:p>
  </w:footnote>
  <w:footnote w:id="202">
    <w:p w14:paraId="62612F1C" w14:textId="77777777" w:rsidR="00462F4B" w:rsidRPr="009E6775" w:rsidRDefault="00462F4B" w:rsidP="00462F4B">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G. De B</w:t>
      </w:r>
      <w:r w:rsidRPr="009E6775">
        <w:rPr>
          <w:rFonts w:ascii="Times New Roman" w:eastAsia="游明朝" w:hAnsi="Times New Roman"/>
          <w:sz w:val="20"/>
          <w:szCs w:val="20"/>
        </w:rPr>
        <w:t>ú</w:t>
      </w:r>
      <w:r w:rsidRPr="009E6775">
        <w:rPr>
          <w:rFonts w:ascii="Times New Roman" w:hAnsi="Times New Roman"/>
          <w:sz w:val="20"/>
          <w:szCs w:val="20"/>
        </w:rPr>
        <w:t xml:space="preserve">rca, ‘The Principle of Proportionality and its Application in EC Law’, (1993) 13(1) </w:t>
      </w:r>
      <w:r w:rsidRPr="009E6775">
        <w:rPr>
          <w:rStyle w:val="ab"/>
          <w:rFonts w:ascii="Times New Roman" w:hAnsi="Times New Roman"/>
          <w:sz w:val="20"/>
          <w:szCs w:val="20"/>
          <w:bdr w:val="none" w:sz="0" w:space="0" w:color="auto" w:frame="1"/>
          <w:shd w:val="clear" w:color="auto" w:fill="FFFFFF"/>
        </w:rPr>
        <w:t>Yearbook of European Law</w:t>
      </w:r>
      <w:r w:rsidRPr="009E6775">
        <w:rPr>
          <w:rFonts w:ascii="Times New Roman" w:hAnsi="Times New Roman"/>
          <w:sz w:val="20"/>
          <w:szCs w:val="20"/>
          <w:shd w:val="clear" w:color="auto" w:fill="FFFFFF"/>
        </w:rPr>
        <w:t xml:space="preserve"> 105</w:t>
      </w:r>
      <w:r w:rsidRPr="009E6775">
        <w:rPr>
          <w:rFonts w:ascii="Times New Roman" w:hAnsi="Times New Roman"/>
          <w:sz w:val="20"/>
          <w:szCs w:val="20"/>
        </w:rPr>
        <w:t xml:space="preserve">; Y. Arai-Takahashi, </w:t>
      </w:r>
      <w:r w:rsidRPr="009E6775">
        <w:rPr>
          <w:rFonts w:ascii="Times New Roman" w:hAnsi="Times New Roman"/>
          <w:i/>
          <w:iCs/>
          <w:sz w:val="20"/>
          <w:szCs w:val="20"/>
          <w:shd w:val="clear" w:color="auto" w:fill="FFFFFF"/>
        </w:rPr>
        <w:t>idem</w:t>
      </w:r>
      <w:r w:rsidRPr="009E6775">
        <w:rPr>
          <w:rFonts w:ascii="Times New Roman" w:hAnsi="Times New Roman"/>
          <w:sz w:val="20"/>
          <w:szCs w:val="20"/>
          <w:shd w:val="clear" w:color="auto" w:fill="FFFFFF"/>
        </w:rPr>
        <w:t xml:space="preserve">, </w:t>
      </w:r>
      <w:proofErr w:type="gramStart"/>
      <w:r w:rsidRPr="009E6775">
        <w:rPr>
          <w:rFonts w:ascii="Times New Roman" w:hAnsi="Times New Roman"/>
          <w:sz w:val="20"/>
          <w:szCs w:val="20"/>
          <w:shd w:val="clear" w:color="auto" w:fill="FFFFFF"/>
        </w:rPr>
        <w:t>‘”Scrupulous</w:t>
      </w:r>
      <w:proofErr w:type="gramEnd"/>
      <w:r w:rsidRPr="009E6775">
        <w:rPr>
          <w:rFonts w:ascii="Times New Roman" w:hAnsi="Times New Roman"/>
          <w:sz w:val="20"/>
          <w:szCs w:val="20"/>
          <w:shd w:val="clear" w:color="auto" w:fill="FFFFFF"/>
        </w:rPr>
        <w:t xml:space="preserve"> but Dynamic”—the Freedom of Expression and the Principle of Proportionality under European Community Law’, (2005) 24(1) </w:t>
      </w:r>
      <w:r w:rsidRPr="009E6775">
        <w:rPr>
          <w:rStyle w:val="ab"/>
          <w:rFonts w:ascii="Times New Roman" w:hAnsi="Times New Roman"/>
          <w:sz w:val="20"/>
          <w:szCs w:val="20"/>
          <w:bdr w:val="none" w:sz="0" w:space="0" w:color="auto" w:frame="1"/>
          <w:shd w:val="clear" w:color="auto" w:fill="FFFFFF"/>
        </w:rPr>
        <w:t>Yearbook of European Law</w:t>
      </w:r>
      <w:r w:rsidRPr="009E6775">
        <w:rPr>
          <w:rFonts w:ascii="Times New Roman" w:hAnsi="Times New Roman"/>
          <w:sz w:val="20"/>
          <w:szCs w:val="20"/>
          <w:shd w:val="clear" w:color="auto" w:fill="FFFFFF"/>
        </w:rPr>
        <w:t xml:space="preserve"> 27.</w:t>
      </w:r>
    </w:p>
  </w:footnote>
  <w:footnote w:id="203">
    <w:p w14:paraId="46047BA9" w14:textId="4D86C07C" w:rsidR="00822E41" w:rsidRPr="009E6775" w:rsidRDefault="00822E41"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This test and its three-tier evaluative process originate from German administrative law. See, for instance, Y. Arai-Takahashi, ‘</w:t>
      </w:r>
      <w:r w:rsidRPr="009E6775">
        <w:rPr>
          <w:rFonts w:ascii="Times New Roman" w:hAnsi="Times New Roman"/>
          <w:sz w:val="20"/>
          <w:szCs w:val="20"/>
          <w:shd w:val="clear" w:color="auto" w:fill="FFFFFF"/>
        </w:rPr>
        <w:t>Administrative Discretion in German Law: Doctrinal Discourse Revisited’, (2000) 6 </w:t>
      </w:r>
      <w:r w:rsidRPr="009E6775">
        <w:rPr>
          <w:rFonts w:ascii="Times New Roman" w:hAnsi="Times New Roman"/>
          <w:i/>
          <w:iCs/>
          <w:sz w:val="20"/>
          <w:szCs w:val="20"/>
          <w:shd w:val="clear" w:color="auto" w:fill="FFFFFF"/>
        </w:rPr>
        <w:t>European Public Law</w:t>
      </w:r>
      <w:r w:rsidRPr="009E6775">
        <w:rPr>
          <w:rFonts w:ascii="Times New Roman" w:hAnsi="Times New Roman"/>
          <w:sz w:val="20"/>
          <w:szCs w:val="20"/>
          <w:shd w:val="clear" w:color="auto" w:fill="FFFFFF"/>
        </w:rPr>
        <w:t xml:space="preserve"> 69-80.</w:t>
      </w:r>
    </w:p>
  </w:footnote>
  <w:footnote w:id="204">
    <w:p w14:paraId="5E461596" w14:textId="308ABCB0" w:rsidR="00D0725B" w:rsidRPr="009E6775" w:rsidRDefault="00D0725B" w:rsidP="008918A0">
      <w:pPr>
        <w:pStyle w:val="1"/>
        <w:shd w:val="clear" w:color="auto" w:fill="FFFFFF"/>
        <w:jc w:val="both"/>
        <w:textAlignment w:val="baseline"/>
        <w:rPr>
          <w:rFonts w:ascii="Times New Roman" w:hAnsi="Times New Roman" w:cs="Times New Roman"/>
          <w:b w:val="0"/>
          <w:bCs w:val="0"/>
          <w:sz w:val="20"/>
          <w:szCs w:val="20"/>
          <w:lang w:val="en-US"/>
        </w:rPr>
      </w:pPr>
      <w:r w:rsidRPr="009E6775">
        <w:rPr>
          <w:rStyle w:val="aa"/>
          <w:rFonts w:ascii="Times New Roman" w:hAnsi="Times New Roman" w:cs="Times New Roman"/>
          <w:b w:val="0"/>
          <w:bCs w:val="0"/>
          <w:sz w:val="20"/>
          <w:szCs w:val="20"/>
        </w:rPr>
        <w:footnoteRef/>
      </w:r>
      <w:r w:rsidRPr="009E6775">
        <w:rPr>
          <w:rFonts w:ascii="Times New Roman" w:hAnsi="Times New Roman" w:cs="Times New Roman"/>
          <w:b w:val="0"/>
          <w:bCs w:val="0"/>
          <w:sz w:val="20"/>
          <w:szCs w:val="20"/>
        </w:rPr>
        <w:t xml:space="preserve"> </w:t>
      </w:r>
      <w:r w:rsidR="00FA5A35" w:rsidRPr="009E6775">
        <w:rPr>
          <w:rFonts w:ascii="Times New Roman" w:hAnsi="Times New Roman" w:cs="Times New Roman"/>
          <w:b w:val="0"/>
          <w:bCs w:val="0"/>
          <w:sz w:val="20"/>
          <w:szCs w:val="20"/>
        </w:rPr>
        <w:t xml:space="preserve">De </w:t>
      </w:r>
      <w:r w:rsidR="009E6775" w:rsidRPr="009E6775">
        <w:rPr>
          <w:rFonts w:ascii="Times New Roman" w:hAnsi="Times New Roman" w:cs="Times New Roman"/>
          <w:b w:val="0"/>
          <w:bCs w:val="0"/>
          <w:sz w:val="20"/>
          <w:szCs w:val="20"/>
        </w:rPr>
        <w:t>B</w:t>
      </w:r>
      <w:r w:rsidR="009E6775" w:rsidRPr="009E6775">
        <w:rPr>
          <w:rFonts w:ascii="Times New Roman" w:eastAsia="游明朝" w:hAnsi="Times New Roman" w:cs="Times New Roman"/>
          <w:b w:val="0"/>
          <w:bCs w:val="0"/>
          <w:sz w:val="20"/>
          <w:szCs w:val="20"/>
        </w:rPr>
        <w:t>ú</w:t>
      </w:r>
      <w:r w:rsidR="009E6775" w:rsidRPr="009E6775">
        <w:rPr>
          <w:rFonts w:ascii="Times New Roman" w:hAnsi="Times New Roman" w:cs="Times New Roman"/>
          <w:b w:val="0"/>
          <w:bCs w:val="0"/>
          <w:sz w:val="20"/>
          <w:szCs w:val="20"/>
        </w:rPr>
        <w:t>rca</w:t>
      </w:r>
      <w:r w:rsidR="00FA5A35" w:rsidRPr="009E6775">
        <w:rPr>
          <w:rFonts w:ascii="Times New Roman" w:hAnsi="Times New Roman" w:cs="Times New Roman"/>
          <w:b w:val="0"/>
          <w:bCs w:val="0"/>
          <w:sz w:val="20"/>
          <w:szCs w:val="20"/>
        </w:rPr>
        <w:t>, ibid.</w:t>
      </w:r>
    </w:p>
  </w:footnote>
  <w:footnote w:id="205">
    <w:p w14:paraId="76B84019" w14:textId="69CB4F92"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As exemplified in </w:t>
      </w:r>
      <w:r w:rsidRPr="009E6775">
        <w:rPr>
          <w:rFonts w:ascii="Times New Roman" w:hAnsi="Times New Roman"/>
          <w:i/>
          <w:iCs/>
          <w:sz w:val="20"/>
          <w:szCs w:val="20"/>
        </w:rPr>
        <w:t>Yesh Din</w:t>
      </w:r>
      <w:r w:rsidR="00722890" w:rsidRPr="009E6775">
        <w:rPr>
          <w:rFonts w:ascii="Times New Roman" w:hAnsi="Times New Roman"/>
          <w:i/>
          <w:iCs/>
          <w:sz w:val="20"/>
          <w:szCs w:val="20"/>
        </w:rPr>
        <w:t xml:space="preserve">, supra </w:t>
      </w:r>
      <w:r w:rsidR="00722890" w:rsidRPr="009E6775">
        <w:rPr>
          <w:rFonts w:ascii="Times New Roman" w:hAnsi="Times New Roman"/>
          <w:sz w:val="20"/>
          <w:szCs w:val="20"/>
        </w:rPr>
        <w:t>note 49.</w:t>
      </w:r>
    </w:p>
  </w:footnote>
  <w:footnote w:id="206">
    <w:p w14:paraId="5BD8F4A3" w14:textId="786E6A4A"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As typified in </w:t>
      </w:r>
      <w:r w:rsidRPr="009E6775">
        <w:rPr>
          <w:rFonts w:ascii="Times New Roman" w:hAnsi="Times New Roman"/>
          <w:i/>
          <w:iCs/>
          <w:sz w:val="20"/>
          <w:szCs w:val="20"/>
        </w:rPr>
        <w:t>Electricity Co (No 1</w:t>
      </w:r>
      <w:r w:rsidRPr="009E6775">
        <w:rPr>
          <w:rFonts w:ascii="Times New Roman" w:hAnsi="Times New Roman"/>
          <w:sz w:val="20"/>
          <w:szCs w:val="20"/>
        </w:rPr>
        <w:t xml:space="preserve">), supra </w:t>
      </w:r>
      <w:r w:rsidR="00C15FDC" w:rsidRPr="009E6775">
        <w:rPr>
          <w:rFonts w:ascii="Times New Roman" w:hAnsi="Times New Roman"/>
          <w:sz w:val="20"/>
          <w:szCs w:val="20"/>
        </w:rPr>
        <w:t>note 112</w:t>
      </w:r>
      <w:r w:rsidRPr="009E6775">
        <w:rPr>
          <w:rFonts w:ascii="Times New Roman" w:hAnsi="Times New Roman"/>
          <w:sz w:val="20"/>
          <w:szCs w:val="20"/>
        </w:rPr>
        <w:t>.</w:t>
      </w:r>
    </w:p>
  </w:footnote>
  <w:footnote w:id="207">
    <w:p w14:paraId="355D4472" w14:textId="40B3763B" w:rsidR="00B84BA2" w:rsidRPr="009E6775" w:rsidRDefault="00B84BA2"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FA5A35" w:rsidRPr="009E6775">
        <w:rPr>
          <w:rFonts w:ascii="Times New Roman" w:hAnsi="Times New Roman"/>
          <w:sz w:val="20"/>
          <w:szCs w:val="20"/>
        </w:rPr>
        <w:t>supra note 3, at</w:t>
      </w:r>
      <w:r w:rsidRPr="009E6775">
        <w:rPr>
          <w:rFonts w:ascii="Times New Roman" w:hAnsi="Times New Roman"/>
          <w:sz w:val="20"/>
          <w:szCs w:val="20"/>
        </w:rPr>
        <w:t xml:space="preserve"> 36. See also Weil, </w:t>
      </w:r>
      <w:r w:rsidRPr="009E6775">
        <w:rPr>
          <w:rFonts w:ascii="Times New Roman" w:hAnsi="Times New Roman"/>
          <w:i/>
          <w:iCs/>
          <w:sz w:val="20"/>
          <w:szCs w:val="20"/>
        </w:rPr>
        <w:t>supra</w:t>
      </w:r>
      <w:r w:rsidRPr="009E6775">
        <w:rPr>
          <w:rFonts w:ascii="Times New Roman" w:hAnsi="Times New Roman"/>
          <w:sz w:val="20"/>
          <w:szCs w:val="20"/>
        </w:rPr>
        <w:t xml:space="preserve"> n</w:t>
      </w:r>
      <w:r w:rsidR="00FA5A35" w:rsidRPr="009E6775">
        <w:rPr>
          <w:rFonts w:ascii="Times New Roman" w:hAnsi="Times New Roman"/>
          <w:sz w:val="20"/>
          <w:szCs w:val="20"/>
        </w:rPr>
        <w:t>ote</w:t>
      </w:r>
      <w:r w:rsidRPr="009E6775">
        <w:rPr>
          <w:rFonts w:ascii="Times New Roman" w:hAnsi="Times New Roman"/>
          <w:sz w:val="20"/>
          <w:szCs w:val="20"/>
        </w:rPr>
        <w:t xml:space="preserve"> 2, at 46; HCJ 4481/91, </w:t>
      </w:r>
      <w:r w:rsidRPr="009E6775">
        <w:rPr>
          <w:rFonts w:ascii="Times New Roman" w:hAnsi="Times New Roman"/>
          <w:i/>
          <w:iCs/>
          <w:sz w:val="20"/>
          <w:szCs w:val="20"/>
        </w:rPr>
        <w:t xml:space="preserve">Bargil v. Government of Israel </w:t>
      </w:r>
      <w:r w:rsidRPr="009E6775">
        <w:rPr>
          <w:rFonts w:ascii="Times New Roman" w:hAnsi="Times New Roman"/>
          <w:sz w:val="20"/>
          <w:szCs w:val="20"/>
        </w:rPr>
        <w:t>(25 Aug 1993).</w:t>
      </w:r>
    </w:p>
  </w:footnote>
  <w:footnote w:id="208">
    <w:p w14:paraId="56178940" w14:textId="4B335151" w:rsidR="00B84BA2" w:rsidRPr="009E6775" w:rsidRDefault="00B84BA2"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Kretzmer and Ronen, </w:t>
      </w:r>
      <w:r w:rsidR="00FA5A35" w:rsidRPr="009E6775">
        <w:rPr>
          <w:rFonts w:ascii="Times New Roman" w:hAnsi="Times New Roman"/>
          <w:sz w:val="20"/>
          <w:szCs w:val="20"/>
        </w:rPr>
        <w:t>ibid, at</w:t>
      </w:r>
      <w:r w:rsidRPr="009E6775">
        <w:rPr>
          <w:rFonts w:ascii="Times New Roman" w:hAnsi="Times New Roman"/>
          <w:sz w:val="20"/>
          <w:szCs w:val="20"/>
        </w:rPr>
        <w:t xml:space="preserve"> 32-37.</w:t>
      </w:r>
    </w:p>
  </w:footnote>
  <w:footnote w:id="209">
    <w:p w14:paraId="63A76D54" w14:textId="055026C4" w:rsidR="00971E33" w:rsidRPr="009E6775" w:rsidRDefault="00971E33"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FA5A35" w:rsidRPr="009E6775">
        <w:rPr>
          <w:rFonts w:ascii="Times New Roman" w:hAnsi="Times New Roman"/>
          <w:sz w:val="20"/>
          <w:szCs w:val="20"/>
        </w:rPr>
        <w:t xml:space="preserve">Ibid, </w:t>
      </w:r>
      <w:r w:rsidRPr="009E6775">
        <w:rPr>
          <w:rFonts w:ascii="Times New Roman" w:hAnsi="Times New Roman"/>
          <w:sz w:val="20"/>
          <w:szCs w:val="20"/>
        </w:rPr>
        <w:t>at 509-10.</w:t>
      </w:r>
    </w:p>
  </w:footnote>
  <w:footnote w:id="210">
    <w:p w14:paraId="52E805F7" w14:textId="726277E2"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t>
      </w:r>
      <w:r w:rsidR="00FA5A35" w:rsidRPr="009E6775">
        <w:rPr>
          <w:rFonts w:ascii="Times New Roman" w:hAnsi="Times New Roman"/>
          <w:sz w:val="20"/>
          <w:szCs w:val="20"/>
        </w:rPr>
        <w:t xml:space="preserve">Ibid, </w:t>
      </w:r>
      <w:r w:rsidRPr="009E6775">
        <w:rPr>
          <w:rFonts w:ascii="Times New Roman" w:hAnsi="Times New Roman"/>
          <w:sz w:val="20"/>
          <w:szCs w:val="20"/>
        </w:rPr>
        <w:t>at 496 and 501.</w:t>
      </w:r>
    </w:p>
  </w:footnote>
  <w:footnote w:id="211">
    <w:p w14:paraId="1242C953" w14:textId="4DB1D530"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Weil, </w:t>
      </w:r>
      <w:r w:rsidRPr="009E6775">
        <w:rPr>
          <w:rFonts w:ascii="Times New Roman" w:hAnsi="Times New Roman"/>
          <w:i/>
          <w:iCs/>
          <w:sz w:val="20"/>
          <w:szCs w:val="20"/>
        </w:rPr>
        <w:t>supra</w:t>
      </w:r>
      <w:r w:rsidRPr="009E6775">
        <w:rPr>
          <w:rFonts w:ascii="Times New Roman" w:hAnsi="Times New Roman"/>
          <w:sz w:val="20"/>
          <w:szCs w:val="20"/>
        </w:rPr>
        <w:t xml:space="preserve"> n</w:t>
      </w:r>
      <w:r w:rsidR="00FA5A35" w:rsidRPr="009E6775">
        <w:rPr>
          <w:rFonts w:ascii="Times New Roman" w:hAnsi="Times New Roman"/>
          <w:sz w:val="20"/>
          <w:szCs w:val="20"/>
        </w:rPr>
        <w:t xml:space="preserve">ote </w:t>
      </w:r>
      <w:r w:rsidRPr="009E6775">
        <w:rPr>
          <w:rFonts w:ascii="Times New Roman" w:hAnsi="Times New Roman"/>
          <w:sz w:val="20"/>
          <w:szCs w:val="20"/>
        </w:rPr>
        <w:t>2, at 33. See also A. Gross,</w:t>
      </w:r>
      <w:r w:rsidRPr="009E6775">
        <w:rPr>
          <w:rFonts w:ascii="Times New Roman" w:hAnsi="Times New Roman"/>
          <w:b/>
          <w:bCs/>
          <w:sz w:val="20"/>
          <w:szCs w:val="20"/>
          <w:shd w:val="clear" w:color="auto" w:fill="FFFFFF"/>
        </w:rPr>
        <w:t xml:space="preserve"> ‘</w:t>
      </w:r>
      <w:r w:rsidRPr="009E6775">
        <w:rPr>
          <w:rFonts w:ascii="Times New Roman" w:hAnsi="Times New Roman"/>
          <w:sz w:val="20"/>
          <w:szCs w:val="20"/>
          <w:shd w:val="clear" w:color="auto" w:fill="FFFFFF"/>
        </w:rPr>
        <w:t>Human Proportions: Are Human Rights the Emperor's New Clothes of the International Law of Occupation?’, (2007) 18(1)</w:t>
      </w:r>
      <w:r w:rsidRPr="009E6775">
        <w:rPr>
          <w:rFonts w:ascii="Times New Roman" w:hAnsi="Times New Roman"/>
          <w:sz w:val="20"/>
          <w:szCs w:val="20"/>
        </w:rPr>
        <w:t xml:space="preserve"> EJIL 1.</w:t>
      </w:r>
    </w:p>
  </w:footnote>
  <w:footnote w:id="212">
    <w:p w14:paraId="22553A2D" w14:textId="25F24ABF" w:rsidR="00457848" w:rsidRPr="009E6775" w:rsidRDefault="006B1A11" w:rsidP="008918A0">
      <w:pPr>
        <w:pStyle w:val="1"/>
        <w:shd w:val="clear" w:color="auto" w:fill="FFFFFF"/>
        <w:jc w:val="both"/>
        <w:textAlignment w:val="baseline"/>
        <w:rPr>
          <w:rFonts w:ascii="Times New Roman" w:eastAsia="ＭＳ 明朝" w:hAnsi="Times New Roman" w:cs="Times New Roman"/>
          <w:b w:val="0"/>
          <w:bCs w:val="0"/>
          <w:sz w:val="20"/>
          <w:szCs w:val="20"/>
          <w:shd w:val="clear" w:color="auto" w:fill="FFFFFF"/>
        </w:rPr>
      </w:pPr>
      <w:r w:rsidRPr="009E6775">
        <w:rPr>
          <w:rStyle w:val="aa"/>
          <w:rFonts w:ascii="Times New Roman" w:hAnsi="Times New Roman" w:cs="Times New Roman"/>
          <w:b w:val="0"/>
          <w:bCs w:val="0"/>
          <w:sz w:val="20"/>
          <w:szCs w:val="20"/>
        </w:rPr>
        <w:footnoteRef/>
      </w:r>
      <w:r w:rsidRPr="009E6775">
        <w:rPr>
          <w:rFonts w:ascii="Times New Roman" w:hAnsi="Times New Roman" w:cs="Times New Roman"/>
          <w:b w:val="0"/>
          <w:bCs w:val="0"/>
          <w:sz w:val="20"/>
          <w:szCs w:val="20"/>
        </w:rPr>
        <w:t xml:space="preserve"> </w:t>
      </w:r>
      <w:r w:rsidR="0083592C" w:rsidRPr="009E6775">
        <w:rPr>
          <w:rFonts w:ascii="Times New Roman" w:eastAsia="ＭＳ 明朝" w:hAnsi="Times New Roman" w:cs="Times New Roman"/>
          <w:b w:val="0"/>
          <w:bCs w:val="0"/>
          <w:sz w:val="20"/>
          <w:szCs w:val="20"/>
          <w:shd w:val="clear" w:color="auto" w:fill="FFFFFF"/>
        </w:rPr>
        <w:t xml:space="preserve">Y. Hasebe, </w:t>
      </w:r>
      <w:r w:rsidR="0083592C" w:rsidRPr="009E6775">
        <w:rPr>
          <w:rFonts w:ascii="Times New Roman" w:eastAsia="ＭＳ 明朝" w:hAnsi="Times New Roman" w:cs="Times New Roman"/>
          <w:b w:val="0"/>
          <w:bCs w:val="0"/>
          <w:i/>
          <w:iCs/>
          <w:sz w:val="20"/>
          <w:szCs w:val="20"/>
          <w:shd w:val="clear" w:color="auto" w:fill="FFFFFF"/>
        </w:rPr>
        <w:t>Hikaku-funo-na Kachi-no Meiro -riberaru-demokurashi-no Kenpo-</w:t>
      </w:r>
      <w:proofErr w:type="gramStart"/>
      <w:r w:rsidR="0083592C" w:rsidRPr="009E6775">
        <w:rPr>
          <w:rFonts w:ascii="Times New Roman" w:eastAsia="ＭＳ 明朝" w:hAnsi="Times New Roman" w:cs="Times New Roman"/>
          <w:b w:val="0"/>
          <w:bCs w:val="0"/>
          <w:i/>
          <w:iCs/>
          <w:sz w:val="20"/>
          <w:szCs w:val="20"/>
          <w:shd w:val="clear" w:color="auto" w:fill="FFFFFF"/>
        </w:rPr>
        <w:t>Riron,(</w:t>
      </w:r>
      <w:proofErr w:type="gramEnd"/>
      <w:r w:rsidR="0083592C" w:rsidRPr="009E6775">
        <w:rPr>
          <w:rFonts w:ascii="Times New Roman" w:eastAsia="ＭＳ 明朝" w:hAnsi="Times New Roman" w:cs="Times New Roman"/>
          <w:b w:val="0"/>
          <w:bCs w:val="0"/>
          <w:i/>
          <w:iCs/>
          <w:sz w:val="20"/>
          <w:szCs w:val="20"/>
          <w:shd w:val="clear" w:color="auto" w:fill="FFFFFF"/>
        </w:rPr>
        <w:t>The Ma</w:t>
      </w:r>
      <w:r w:rsidR="00FA5A35" w:rsidRPr="009E6775">
        <w:rPr>
          <w:rFonts w:ascii="Times New Roman" w:eastAsia="ＭＳ 明朝" w:hAnsi="Times New Roman" w:cs="Times New Roman"/>
          <w:b w:val="0"/>
          <w:bCs w:val="0"/>
          <w:i/>
          <w:iCs/>
          <w:sz w:val="20"/>
          <w:szCs w:val="20"/>
          <w:shd w:val="clear" w:color="auto" w:fill="FFFFFF"/>
        </w:rPr>
        <w:t>z</w:t>
      </w:r>
      <w:r w:rsidR="0083592C" w:rsidRPr="009E6775">
        <w:rPr>
          <w:rFonts w:ascii="Times New Roman" w:eastAsia="ＭＳ 明朝" w:hAnsi="Times New Roman" w:cs="Times New Roman"/>
          <w:b w:val="0"/>
          <w:bCs w:val="0"/>
          <w:i/>
          <w:iCs/>
          <w:sz w:val="20"/>
          <w:szCs w:val="20"/>
          <w:shd w:val="clear" w:color="auto" w:fill="FFFFFF"/>
        </w:rPr>
        <w:t>e of Incommensurable Values – the Constitutional Doctrines of Liberal Democracy),</w:t>
      </w:r>
      <w:r w:rsidR="0083592C" w:rsidRPr="009E6775">
        <w:rPr>
          <w:rFonts w:ascii="Times New Roman" w:eastAsia="ＭＳ 明朝" w:hAnsi="Times New Roman" w:cs="Times New Roman"/>
          <w:b w:val="0"/>
          <w:bCs w:val="0"/>
          <w:sz w:val="20"/>
          <w:szCs w:val="20"/>
          <w:shd w:val="clear" w:color="auto" w:fill="FFFFFF"/>
        </w:rPr>
        <w:t xml:space="preserve"> (Tokyo, 2000, revised ed, 2018); </w:t>
      </w:r>
      <w:r w:rsidR="0083592C" w:rsidRPr="009E6775">
        <w:rPr>
          <w:rFonts w:ascii="Times New Roman" w:hAnsi="Times New Roman" w:cs="Times New Roman"/>
          <w:b w:val="0"/>
          <w:bCs w:val="0"/>
          <w:sz w:val="20"/>
          <w:szCs w:val="20"/>
        </w:rPr>
        <w:t xml:space="preserve">V.A. Da Silva, ‘Comparing the Incommensurable: Constitutional Principles, Balancing and Rational Decision’, (2011) 31(2) </w:t>
      </w:r>
      <w:r w:rsidR="0083592C" w:rsidRPr="009E6775">
        <w:rPr>
          <w:rFonts w:ascii="Times New Roman" w:hAnsi="Times New Roman" w:cs="Times New Roman"/>
          <w:b w:val="0"/>
          <w:bCs w:val="0"/>
          <w:i/>
          <w:iCs/>
          <w:sz w:val="20"/>
          <w:szCs w:val="20"/>
        </w:rPr>
        <w:t xml:space="preserve">Oxford Journal of Legal Studies </w:t>
      </w:r>
      <w:r w:rsidR="0083592C" w:rsidRPr="009E6775">
        <w:rPr>
          <w:rFonts w:ascii="Times New Roman" w:hAnsi="Times New Roman" w:cs="Times New Roman"/>
          <w:b w:val="0"/>
          <w:bCs w:val="0"/>
          <w:sz w:val="20"/>
          <w:szCs w:val="20"/>
        </w:rPr>
        <w:t>273 at 277</w:t>
      </w:r>
      <w:r w:rsidR="0083592C" w:rsidRPr="009E6775">
        <w:rPr>
          <w:rFonts w:ascii="Times New Roman" w:eastAsia="ＭＳ 明朝" w:hAnsi="Times New Roman" w:cs="Times New Roman"/>
          <w:b w:val="0"/>
          <w:bCs w:val="0"/>
          <w:sz w:val="20"/>
          <w:szCs w:val="20"/>
          <w:shd w:val="clear" w:color="auto" w:fill="FFFFFF"/>
        </w:rPr>
        <w:t>.</w:t>
      </w:r>
    </w:p>
  </w:footnote>
  <w:footnote w:id="213">
    <w:p w14:paraId="52E51D19" w14:textId="0D699041" w:rsidR="00D0725B" w:rsidRPr="009E6775" w:rsidRDefault="00D0725B" w:rsidP="008918A0">
      <w:pPr>
        <w:pStyle w:val="a4"/>
        <w:jc w:val="both"/>
        <w:rPr>
          <w:rFonts w:ascii="Times New Roman" w:hAnsi="Times New Roman"/>
          <w:sz w:val="20"/>
          <w:szCs w:val="20"/>
        </w:rPr>
      </w:pPr>
      <w:r w:rsidRPr="009E6775">
        <w:rPr>
          <w:rStyle w:val="aa"/>
          <w:rFonts w:ascii="Times New Roman" w:hAnsi="Times New Roman"/>
          <w:sz w:val="20"/>
          <w:szCs w:val="20"/>
        </w:rPr>
        <w:footnoteRef/>
      </w:r>
      <w:r w:rsidRPr="009E6775">
        <w:rPr>
          <w:rFonts w:ascii="Times New Roman" w:hAnsi="Times New Roman"/>
          <w:sz w:val="20"/>
          <w:szCs w:val="20"/>
        </w:rPr>
        <w:t xml:space="preserve"> Weil, </w:t>
      </w:r>
      <w:r w:rsidR="00FA5A35" w:rsidRPr="009E6775">
        <w:rPr>
          <w:rFonts w:ascii="Times New Roman" w:hAnsi="Times New Roman"/>
          <w:sz w:val="20"/>
          <w:szCs w:val="20"/>
        </w:rPr>
        <w:t>supra note 2</w:t>
      </w:r>
      <w:r w:rsidRPr="009E6775">
        <w:rPr>
          <w:rFonts w:ascii="Times New Roman" w:hAnsi="Times New Roman"/>
          <w:sz w:val="20"/>
          <w:szCs w:val="20"/>
        </w:rPr>
        <w:t>; and Gross supra n</w:t>
      </w:r>
      <w:r w:rsidR="00CE7B4E" w:rsidRPr="009E6775">
        <w:rPr>
          <w:rFonts w:ascii="Times New Roman" w:hAnsi="Times New Roman"/>
          <w:sz w:val="20"/>
          <w:szCs w:val="20"/>
        </w:rPr>
        <w:t>ote 171</w:t>
      </w:r>
      <w:r w:rsidRPr="009E6775">
        <w:rPr>
          <w:rFonts w:ascii="Times New Roman" w:hAnsi="Times New Roman"/>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DC1"/>
    <w:multiLevelType w:val="hybridMultilevel"/>
    <w:tmpl w:val="5F829A5E"/>
    <w:lvl w:ilvl="0" w:tplc="88CEC16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4D05DA"/>
    <w:multiLevelType w:val="hybridMultilevel"/>
    <w:tmpl w:val="2AB25ABC"/>
    <w:lvl w:ilvl="0" w:tplc="411AF0B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1D3BBB"/>
    <w:multiLevelType w:val="hybridMultilevel"/>
    <w:tmpl w:val="C018C8A4"/>
    <w:lvl w:ilvl="0" w:tplc="13D413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0A4129"/>
    <w:multiLevelType w:val="hybridMultilevel"/>
    <w:tmpl w:val="3D8A527A"/>
    <w:lvl w:ilvl="0" w:tplc="4FFAB286">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3F112A"/>
    <w:multiLevelType w:val="hybridMultilevel"/>
    <w:tmpl w:val="F0245216"/>
    <w:lvl w:ilvl="0" w:tplc="F768ED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997C02"/>
    <w:multiLevelType w:val="hybridMultilevel"/>
    <w:tmpl w:val="D9147D12"/>
    <w:lvl w:ilvl="0" w:tplc="B628B57E">
      <w:start w:val="1"/>
      <w:numFmt w:val="decimal"/>
      <w:lvlText w:val="%1."/>
      <w:lvlJc w:val="left"/>
      <w:pPr>
        <w:ind w:left="360" w:hanging="360"/>
      </w:pPr>
      <w:rPr>
        <w:rFonts w:hint="default"/>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E4587F"/>
    <w:multiLevelType w:val="multilevel"/>
    <w:tmpl w:val="B52CCD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3D732D"/>
    <w:multiLevelType w:val="hybridMultilevel"/>
    <w:tmpl w:val="5C26B182"/>
    <w:lvl w:ilvl="0" w:tplc="611CD482">
      <w:start w:val="1"/>
      <w:numFmt w:val="decimal"/>
      <w:lvlText w:val="%1."/>
      <w:lvlJc w:val="left"/>
      <w:pPr>
        <w:ind w:left="360" w:hanging="360"/>
      </w:pPr>
      <w:rPr>
        <w:rFonts w:ascii="Times New Roman" w:eastAsiaTheme="minorEastAsia"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BA5891"/>
    <w:multiLevelType w:val="hybridMultilevel"/>
    <w:tmpl w:val="830E0DE4"/>
    <w:lvl w:ilvl="0" w:tplc="568CCE28">
      <w:start w:val="1"/>
      <w:numFmt w:val="decimal"/>
      <w:lvlText w:val="%1."/>
      <w:lvlJc w:val="left"/>
      <w:pPr>
        <w:ind w:left="360" w:hanging="360"/>
      </w:pPr>
      <w:rPr>
        <w:rFonts w:ascii="Times New Roman" w:eastAsiaTheme="minorEastAsia"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EC775C"/>
    <w:multiLevelType w:val="hybridMultilevel"/>
    <w:tmpl w:val="7FEE4AAC"/>
    <w:lvl w:ilvl="0" w:tplc="E1F6413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A1B794D"/>
    <w:multiLevelType w:val="hybridMultilevel"/>
    <w:tmpl w:val="F93C29DA"/>
    <w:lvl w:ilvl="0" w:tplc="E1F88B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E97792"/>
    <w:multiLevelType w:val="hybridMultilevel"/>
    <w:tmpl w:val="06C657E0"/>
    <w:lvl w:ilvl="0" w:tplc="14B839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E135BEE"/>
    <w:multiLevelType w:val="hybridMultilevel"/>
    <w:tmpl w:val="B44C50CA"/>
    <w:lvl w:ilvl="0" w:tplc="FF5E8272">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E225EA"/>
    <w:multiLevelType w:val="hybridMultilevel"/>
    <w:tmpl w:val="0E701D1A"/>
    <w:lvl w:ilvl="0" w:tplc="2E4209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500360"/>
    <w:multiLevelType w:val="hybridMultilevel"/>
    <w:tmpl w:val="581E003E"/>
    <w:lvl w:ilvl="0" w:tplc="955A30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8735749"/>
    <w:multiLevelType w:val="hybridMultilevel"/>
    <w:tmpl w:val="2BACADFA"/>
    <w:lvl w:ilvl="0" w:tplc="B54E25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9756B63"/>
    <w:multiLevelType w:val="hybridMultilevel"/>
    <w:tmpl w:val="5D8AF374"/>
    <w:lvl w:ilvl="0" w:tplc="693C95A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5F2B0C"/>
    <w:multiLevelType w:val="hybridMultilevel"/>
    <w:tmpl w:val="4358EC56"/>
    <w:lvl w:ilvl="0" w:tplc="53DA529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B76694"/>
    <w:multiLevelType w:val="hybridMultilevel"/>
    <w:tmpl w:val="FFE8EE3C"/>
    <w:lvl w:ilvl="0" w:tplc="A63236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1122E8"/>
    <w:multiLevelType w:val="hybridMultilevel"/>
    <w:tmpl w:val="2926ED5C"/>
    <w:lvl w:ilvl="0" w:tplc="8F4E3B58">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217A14"/>
    <w:multiLevelType w:val="hybridMultilevel"/>
    <w:tmpl w:val="9CF29B88"/>
    <w:lvl w:ilvl="0" w:tplc="0BE23D56">
      <w:start w:val="1"/>
      <w:numFmt w:val="low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E655F6"/>
    <w:multiLevelType w:val="hybridMultilevel"/>
    <w:tmpl w:val="B1E2AE52"/>
    <w:lvl w:ilvl="0" w:tplc="90C42AC2">
      <w:start w:val="1"/>
      <w:numFmt w:val="upperRoman"/>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503378"/>
    <w:multiLevelType w:val="hybridMultilevel"/>
    <w:tmpl w:val="1D5835C4"/>
    <w:lvl w:ilvl="0" w:tplc="F594DEDC">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AA43EB1"/>
    <w:multiLevelType w:val="hybridMultilevel"/>
    <w:tmpl w:val="43B842DA"/>
    <w:lvl w:ilvl="0" w:tplc="BAC0F378">
      <w:start w:val="9"/>
      <w:numFmt w:val="lowerLetter"/>
      <w:lvlText w:val="(%1)"/>
      <w:lvlJc w:val="left"/>
      <w:pPr>
        <w:tabs>
          <w:tab w:val="num" w:pos="720"/>
        </w:tabs>
        <w:ind w:left="720" w:hanging="360"/>
      </w:pPr>
      <w:rPr>
        <w:rFonts w:hint="default"/>
      </w:rPr>
    </w:lvl>
    <w:lvl w:ilvl="1" w:tplc="344CA332">
      <w:start w:val="2"/>
      <w:numFmt w:val="lowerRoman"/>
      <w:lvlText w:val="(%2)"/>
      <w:lvlJc w:val="left"/>
      <w:pPr>
        <w:tabs>
          <w:tab w:val="num" w:pos="1500"/>
        </w:tabs>
        <w:ind w:left="1500" w:hanging="72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4" w15:restartNumberingAfterBreak="0">
    <w:nsid w:val="7FA8348F"/>
    <w:multiLevelType w:val="hybridMultilevel"/>
    <w:tmpl w:val="22AC9858"/>
    <w:lvl w:ilvl="0" w:tplc="ED44DA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9683903">
    <w:abstractNumId w:val="9"/>
  </w:num>
  <w:num w:numId="2" w16cid:durableId="1174103045">
    <w:abstractNumId w:val="13"/>
  </w:num>
  <w:num w:numId="3" w16cid:durableId="1989243158">
    <w:abstractNumId w:val="20"/>
  </w:num>
  <w:num w:numId="4" w16cid:durableId="1426269026">
    <w:abstractNumId w:val="23"/>
  </w:num>
  <w:num w:numId="5" w16cid:durableId="935400294">
    <w:abstractNumId w:val="24"/>
  </w:num>
  <w:num w:numId="6" w16cid:durableId="1374109523">
    <w:abstractNumId w:val="7"/>
  </w:num>
  <w:num w:numId="7" w16cid:durableId="1270354797">
    <w:abstractNumId w:val="8"/>
  </w:num>
  <w:num w:numId="8" w16cid:durableId="1075275027">
    <w:abstractNumId w:val="0"/>
  </w:num>
  <w:num w:numId="9" w16cid:durableId="1891916482">
    <w:abstractNumId w:val="2"/>
  </w:num>
  <w:num w:numId="10" w16cid:durableId="179783128">
    <w:abstractNumId w:val="1"/>
  </w:num>
  <w:num w:numId="11" w16cid:durableId="822547932">
    <w:abstractNumId w:val="19"/>
  </w:num>
  <w:num w:numId="12" w16cid:durableId="1508330637">
    <w:abstractNumId w:val="12"/>
  </w:num>
  <w:num w:numId="13" w16cid:durableId="1852527049">
    <w:abstractNumId w:val="21"/>
  </w:num>
  <w:num w:numId="14" w16cid:durableId="1263952976">
    <w:abstractNumId w:val="3"/>
  </w:num>
  <w:num w:numId="15" w16cid:durableId="764115197">
    <w:abstractNumId w:val="15"/>
  </w:num>
  <w:num w:numId="16" w16cid:durableId="2043162558">
    <w:abstractNumId w:val="6"/>
  </w:num>
  <w:num w:numId="17" w16cid:durableId="487944258">
    <w:abstractNumId w:val="18"/>
  </w:num>
  <w:num w:numId="18" w16cid:durableId="916094351">
    <w:abstractNumId w:val="16"/>
  </w:num>
  <w:num w:numId="19" w16cid:durableId="1575621898">
    <w:abstractNumId w:val="14"/>
  </w:num>
  <w:num w:numId="20" w16cid:durableId="1449079217">
    <w:abstractNumId w:val="11"/>
  </w:num>
  <w:num w:numId="21" w16cid:durableId="1786383486">
    <w:abstractNumId w:val="10"/>
  </w:num>
  <w:num w:numId="22" w16cid:durableId="151144642">
    <w:abstractNumId w:val="4"/>
  </w:num>
  <w:num w:numId="23" w16cid:durableId="2022078378">
    <w:abstractNumId w:val="5"/>
  </w:num>
  <w:num w:numId="24" w16cid:durableId="1576429966">
    <w:abstractNumId w:val="17"/>
  </w:num>
  <w:num w:numId="25" w16cid:durableId="1031152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51"/>
    <w:rsid w:val="00000D86"/>
    <w:rsid w:val="0000157B"/>
    <w:rsid w:val="000020A2"/>
    <w:rsid w:val="000028DB"/>
    <w:rsid w:val="00005F33"/>
    <w:rsid w:val="000067F8"/>
    <w:rsid w:val="00006BDB"/>
    <w:rsid w:val="00010F1F"/>
    <w:rsid w:val="00011FF3"/>
    <w:rsid w:val="00013B13"/>
    <w:rsid w:val="00013F22"/>
    <w:rsid w:val="00014006"/>
    <w:rsid w:val="00014820"/>
    <w:rsid w:val="00015B0E"/>
    <w:rsid w:val="00016BA5"/>
    <w:rsid w:val="00016CA3"/>
    <w:rsid w:val="00017CAC"/>
    <w:rsid w:val="000210CB"/>
    <w:rsid w:val="00022863"/>
    <w:rsid w:val="00022D88"/>
    <w:rsid w:val="000236D8"/>
    <w:rsid w:val="000246E8"/>
    <w:rsid w:val="000259AD"/>
    <w:rsid w:val="00027114"/>
    <w:rsid w:val="00030B23"/>
    <w:rsid w:val="00032DE8"/>
    <w:rsid w:val="000334F7"/>
    <w:rsid w:val="00033D10"/>
    <w:rsid w:val="00033D12"/>
    <w:rsid w:val="0003452C"/>
    <w:rsid w:val="00035EA6"/>
    <w:rsid w:val="000420B5"/>
    <w:rsid w:val="00042910"/>
    <w:rsid w:val="00042A45"/>
    <w:rsid w:val="000432E5"/>
    <w:rsid w:val="00045846"/>
    <w:rsid w:val="00047ACA"/>
    <w:rsid w:val="000506F2"/>
    <w:rsid w:val="00053105"/>
    <w:rsid w:val="00055891"/>
    <w:rsid w:val="0005720A"/>
    <w:rsid w:val="00057841"/>
    <w:rsid w:val="00060308"/>
    <w:rsid w:val="00061148"/>
    <w:rsid w:val="000623E0"/>
    <w:rsid w:val="00062AE8"/>
    <w:rsid w:val="00062FB3"/>
    <w:rsid w:val="00065CD3"/>
    <w:rsid w:val="00066101"/>
    <w:rsid w:val="000665B6"/>
    <w:rsid w:val="00066E9D"/>
    <w:rsid w:val="00067537"/>
    <w:rsid w:val="00070FF5"/>
    <w:rsid w:val="00071F59"/>
    <w:rsid w:val="00073596"/>
    <w:rsid w:val="000763DE"/>
    <w:rsid w:val="00076A26"/>
    <w:rsid w:val="00077794"/>
    <w:rsid w:val="00080147"/>
    <w:rsid w:val="00080A87"/>
    <w:rsid w:val="00080CDA"/>
    <w:rsid w:val="00081A63"/>
    <w:rsid w:val="00083AA4"/>
    <w:rsid w:val="0008629A"/>
    <w:rsid w:val="00090DB4"/>
    <w:rsid w:val="00090ED2"/>
    <w:rsid w:val="000976DD"/>
    <w:rsid w:val="000A007B"/>
    <w:rsid w:val="000A0C3A"/>
    <w:rsid w:val="000A26A0"/>
    <w:rsid w:val="000A3979"/>
    <w:rsid w:val="000A39CD"/>
    <w:rsid w:val="000A4F42"/>
    <w:rsid w:val="000A5BA8"/>
    <w:rsid w:val="000A5FB5"/>
    <w:rsid w:val="000A6C84"/>
    <w:rsid w:val="000A7080"/>
    <w:rsid w:val="000A71C1"/>
    <w:rsid w:val="000B0ECF"/>
    <w:rsid w:val="000B17AF"/>
    <w:rsid w:val="000B41EF"/>
    <w:rsid w:val="000B45DE"/>
    <w:rsid w:val="000B4C1A"/>
    <w:rsid w:val="000B6BC5"/>
    <w:rsid w:val="000C0D61"/>
    <w:rsid w:val="000C1B45"/>
    <w:rsid w:val="000C3777"/>
    <w:rsid w:val="000C7827"/>
    <w:rsid w:val="000D1721"/>
    <w:rsid w:val="000D5546"/>
    <w:rsid w:val="000D55AE"/>
    <w:rsid w:val="000D5D93"/>
    <w:rsid w:val="000D62D5"/>
    <w:rsid w:val="000E11B7"/>
    <w:rsid w:val="000E2606"/>
    <w:rsid w:val="000E3B23"/>
    <w:rsid w:val="000E4A70"/>
    <w:rsid w:val="000E59D4"/>
    <w:rsid w:val="000E5AF9"/>
    <w:rsid w:val="000E6009"/>
    <w:rsid w:val="000E6669"/>
    <w:rsid w:val="000E703B"/>
    <w:rsid w:val="000E73CA"/>
    <w:rsid w:val="000F0927"/>
    <w:rsid w:val="000F0C50"/>
    <w:rsid w:val="000F0FEE"/>
    <w:rsid w:val="000F2692"/>
    <w:rsid w:val="000F3F7A"/>
    <w:rsid w:val="000F52A6"/>
    <w:rsid w:val="000F5F43"/>
    <w:rsid w:val="000F5F81"/>
    <w:rsid w:val="000F682C"/>
    <w:rsid w:val="000F77CF"/>
    <w:rsid w:val="0010048C"/>
    <w:rsid w:val="00100635"/>
    <w:rsid w:val="001018DE"/>
    <w:rsid w:val="001031E1"/>
    <w:rsid w:val="00103699"/>
    <w:rsid w:val="00104204"/>
    <w:rsid w:val="0010615D"/>
    <w:rsid w:val="00111BEE"/>
    <w:rsid w:val="00112759"/>
    <w:rsid w:val="00112F10"/>
    <w:rsid w:val="001133EC"/>
    <w:rsid w:val="00114260"/>
    <w:rsid w:val="00115DC5"/>
    <w:rsid w:val="001173F9"/>
    <w:rsid w:val="00121819"/>
    <w:rsid w:val="001220A1"/>
    <w:rsid w:val="00123EC3"/>
    <w:rsid w:val="00123F84"/>
    <w:rsid w:val="00124558"/>
    <w:rsid w:val="00125460"/>
    <w:rsid w:val="001267FA"/>
    <w:rsid w:val="00126871"/>
    <w:rsid w:val="00127189"/>
    <w:rsid w:val="00127D93"/>
    <w:rsid w:val="0013168F"/>
    <w:rsid w:val="00134C80"/>
    <w:rsid w:val="00134F13"/>
    <w:rsid w:val="00135A1A"/>
    <w:rsid w:val="00136175"/>
    <w:rsid w:val="00137AA8"/>
    <w:rsid w:val="00141ECC"/>
    <w:rsid w:val="001422FC"/>
    <w:rsid w:val="00142AE5"/>
    <w:rsid w:val="00142B4D"/>
    <w:rsid w:val="00143E95"/>
    <w:rsid w:val="00145D81"/>
    <w:rsid w:val="001470C2"/>
    <w:rsid w:val="00150171"/>
    <w:rsid w:val="0015165C"/>
    <w:rsid w:val="00151A59"/>
    <w:rsid w:val="00152117"/>
    <w:rsid w:val="00152D3C"/>
    <w:rsid w:val="00153B55"/>
    <w:rsid w:val="00154A46"/>
    <w:rsid w:val="001559C6"/>
    <w:rsid w:val="001571DB"/>
    <w:rsid w:val="0015732B"/>
    <w:rsid w:val="001616BD"/>
    <w:rsid w:val="001645A7"/>
    <w:rsid w:val="00166284"/>
    <w:rsid w:val="00167831"/>
    <w:rsid w:val="00175083"/>
    <w:rsid w:val="00175377"/>
    <w:rsid w:val="0017554F"/>
    <w:rsid w:val="00175EAE"/>
    <w:rsid w:val="00176689"/>
    <w:rsid w:val="0017689B"/>
    <w:rsid w:val="0017695E"/>
    <w:rsid w:val="00180E78"/>
    <w:rsid w:val="00181111"/>
    <w:rsid w:val="00181D48"/>
    <w:rsid w:val="00182AFA"/>
    <w:rsid w:val="0018333C"/>
    <w:rsid w:val="001838D5"/>
    <w:rsid w:val="00186AFA"/>
    <w:rsid w:val="00191796"/>
    <w:rsid w:val="00191808"/>
    <w:rsid w:val="00192846"/>
    <w:rsid w:val="00193530"/>
    <w:rsid w:val="001936AC"/>
    <w:rsid w:val="00193812"/>
    <w:rsid w:val="00195DC0"/>
    <w:rsid w:val="00196529"/>
    <w:rsid w:val="00196742"/>
    <w:rsid w:val="001A0681"/>
    <w:rsid w:val="001A0E11"/>
    <w:rsid w:val="001A0F67"/>
    <w:rsid w:val="001A1039"/>
    <w:rsid w:val="001A1D6B"/>
    <w:rsid w:val="001A54FC"/>
    <w:rsid w:val="001A5703"/>
    <w:rsid w:val="001A5EBE"/>
    <w:rsid w:val="001A5F54"/>
    <w:rsid w:val="001A63D3"/>
    <w:rsid w:val="001B01A3"/>
    <w:rsid w:val="001B2C77"/>
    <w:rsid w:val="001B2EC9"/>
    <w:rsid w:val="001B326D"/>
    <w:rsid w:val="001B483B"/>
    <w:rsid w:val="001B4ECC"/>
    <w:rsid w:val="001B77B0"/>
    <w:rsid w:val="001C278D"/>
    <w:rsid w:val="001C3110"/>
    <w:rsid w:val="001C6302"/>
    <w:rsid w:val="001C662B"/>
    <w:rsid w:val="001C6E92"/>
    <w:rsid w:val="001D0B2A"/>
    <w:rsid w:val="001D0C5E"/>
    <w:rsid w:val="001D2752"/>
    <w:rsid w:val="001D4F35"/>
    <w:rsid w:val="001E0DC2"/>
    <w:rsid w:val="001E264A"/>
    <w:rsid w:val="001E50B9"/>
    <w:rsid w:val="001E51CE"/>
    <w:rsid w:val="001E54B4"/>
    <w:rsid w:val="001F02C9"/>
    <w:rsid w:val="001F1924"/>
    <w:rsid w:val="001F212F"/>
    <w:rsid w:val="001F2B9B"/>
    <w:rsid w:val="001F6CFA"/>
    <w:rsid w:val="001F7E15"/>
    <w:rsid w:val="00201367"/>
    <w:rsid w:val="002017B2"/>
    <w:rsid w:val="00203C54"/>
    <w:rsid w:val="0020470A"/>
    <w:rsid w:val="002054F5"/>
    <w:rsid w:val="00205DB6"/>
    <w:rsid w:val="00206345"/>
    <w:rsid w:val="002070E8"/>
    <w:rsid w:val="002071C1"/>
    <w:rsid w:val="00207802"/>
    <w:rsid w:val="002079BA"/>
    <w:rsid w:val="00207F06"/>
    <w:rsid w:val="0021179C"/>
    <w:rsid w:val="0021260E"/>
    <w:rsid w:val="0021526C"/>
    <w:rsid w:val="00216A80"/>
    <w:rsid w:val="00221892"/>
    <w:rsid w:val="00221B48"/>
    <w:rsid w:val="0022260C"/>
    <w:rsid w:val="00223C33"/>
    <w:rsid w:val="0022617E"/>
    <w:rsid w:val="00227B2B"/>
    <w:rsid w:val="00227C75"/>
    <w:rsid w:val="00227D6D"/>
    <w:rsid w:val="00233AFE"/>
    <w:rsid w:val="00234153"/>
    <w:rsid w:val="002404E1"/>
    <w:rsid w:val="00242230"/>
    <w:rsid w:val="00242D82"/>
    <w:rsid w:val="002463D7"/>
    <w:rsid w:val="002467FE"/>
    <w:rsid w:val="00251304"/>
    <w:rsid w:val="002521F0"/>
    <w:rsid w:val="002522F1"/>
    <w:rsid w:val="00252C07"/>
    <w:rsid w:val="002533AC"/>
    <w:rsid w:val="00256590"/>
    <w:rsid w:val="00256B61"/>
    <w:rsid w:val="002611EC"/>
    <w:rsid w:val="00261565"/>
    <w:rsid w:val="00261900"/>
    <w:rsid w:val="00261CCE"/>
    <w:rsid w:val="00262170"/>
    <w:rsid w:val="00263161"/>
    <w:rsid w:val="0026336C"/>
    <w:rsid w:val="00263382"/>
    <w:rsid w:val="00263959"/>
    <w:rsid w:val="00264064"/>
    <w:rsid w:val="00264429"/>
    <w:rsid w:val="00265920"/>
    <w:rsid w:val="0026636C"/>
    <w:rsid w:val="00267053"/>
    <w:rsid w:val="00267BBD"/>
    <w:rsid w:val="00270534"/>
    <w:rsid w:val="002723AD"/>
    <w:rsid w:val="00272D73"/>
    <w:rsid w:val="002734DB"/>
    <w:rsid w:val="00274BD6"/>
    <w:rsid w:val="00275465"/>
    <w:rsid w:val="00275E07"/>
    <w:rsid w:val="00275FE5"/>
    <w:rsid w:val="00276D6A"/>
    <w:rsid w:val="00277334"/>
    <w:rsid w:val="0027763C"/>
    <w:rsid w:val="0028090F"/>
    <w:rsid w:val="00280BC9"/>
    <w:rsid w:val="00282774"/>
    <w:rsid w:val="0028297F"/>
    <w:rsid w:val="00282D67"/>
    <w:rsid w:val="002831D7"/>
    <w:rsid w:val="00284BBA"/>
    <w:rsid w:val="00284C8D"/>
    <w:rsid w:val="00285D1F"/>
    <w:rsid w:val="0028620F"/>
    <w:rsid w:val="00286690"/>
    <w:rsid w:val="00286916"/>
    <w:rsid w:val="00287470"/>
    <w:rsid w:val="00292AED"/>
    <w:rsid w:val="00293B4A"/>
    <w:rsid w:val="00294C2A"/>
    <w:rsid w:val="00295903"/>
    <w:rsid w:val="0029625E"/>
    <w:rsid w:val="00296470"/>
    <w:rsid w:val="00296612"/>
    <w:rsid w:val="00296C9A"/>
    <w:rsid w:val="00297398"/>
    <w:rsid w:val="00297950"/>
    <w:rsid w:val="002979C7"/>
    <w:rsid w:val="00297FCB"/>
    <w:rsid w:val="002A271E"/>
    <w:rsid w:val="002A3D43"/>
    <w:rsid w:val="002A4BCA"/>
    <w:rsid w:val="002A4D4C"/>
    <w:rsid w:val="002A62DA"/>
    <w:rsid w:val="002B0226"/>
    <w:rsid w:val="002B0966"/>
    <w:rsid w:val="002B0B94"/>
    <w:rsid w:val="002B15AA"/>
    <w:rsid w:val="002B383D"/>
    <w:rsid w:val="002B3F4C"/>
    <w:rsid w:val="002B4E4C"/>
    <w:rsid w:val="002B5715"/>
    <w:rsid w:val="002B5BFD"/>
    <w:rsid w:val="002B6C75"/>
    <w:rsid w:val="002B7A07"/>
    <w:rsid w:val="002B7BF3"/>
    <w:rsid w:val="002C23DD"/>
    <w:rsid w:val="002C2574"/>
    <w:rsid w:val="002C4D0A"/>
    <w:rsid w:val="002C4F3F"/>
    <w:rsid w:val="002C5989"/>
    <w:rsid w:val="002C60D0"/>
    <w:rsid w:val="002C62BD"/>
    <w:rsid w:val="002C6FC4"/>
    <w:rsid w:val="002D0F64"/>
    <w:rsid w:val="002D1121"/>
    <w:rsid w:val="002D4801"/>
    <w:rsid w:val="002D5EC9"/>
    <w:rsid w:val="002E17CB"/>
    <w:rsid w:val="002E2301"/>
    <w:rsid w:val="002E36D2"/>
    <w:rsid w:val="002E3C10"/>
    <w:rsid w:val="002E69DD"/>
    <w:rsid w:val="002F122D"/>
    <w:rsid w:val="002F26AC"/>
    <w:rsid w:val="002F3639"/>
    <w:rsid w:val="002F380E"/>
    <w:rsid w:val="002F53EF"/>
    <w:rsid w:val="002F5A51"/>
    <w:rsid w:val="002F5C4C"/>
    <w:rsid w:val="002F6F7C"/>
    <w:rsid w:val="002F73B1"/>
    <w:rsid w:val="002F7F64"/>
    <w:rsid w:val="0030022D"/>
    <w:rsid w:val="00300C37"/>
    <w:rsid w:val="00301C67"/>
    <w:rsid w:val="003021C5"/>
    <w:rsid w:val="00302B0C"/>
    <w:rsid w:val="00302E21"/>
    <w:rsid w:val="0030461C"/>
    <w:rsid w:val="003062BC"/>
    <w:rsid w:val="003104C7"/>
    <w:rsid w:val="0031330E"/>
    <w:rsid w:val="00314813"/>
    <w:rsid w:val="0031541D"/>
    <w:rsid w:val="003178E4"/>
    <w:rsid w:val="00317B8C"/>
    <w:rsid w:val="003206D3"/>
    <w:rsid w:val="00321837"/>
    <w:rsid w:val="003218E9"/>
    <w:rsid w:val="00323626"/>
    <w:rsid w:val="00325892"/>
    <w:rsid w:val="00325D6C"/>
    <w:rsid w:val="00332A60"/>
    <w:rsid w:val="00332C50"/>
    <w:rsid w:val="00336C5C"/>
    <w:rsid w:val="00336FB7"/>
    <w:rsid w:val="00341416"/>
    <w:rsid w:val="00343387"/>
    <w:rsid w:val="00343C8A"/>
    <w:rsid w:val="00345162"/>
    <w:rsid w:val="00345E79"/>
    <w:rsid w:val="00350701"/>
    <w:rsid w:val="00351AA9"/>
    <w:rsid w:val="00353489"/>
    <w:rsid w:val="0035350B"/>
    <w:rsid w:val="00353D62"/>
    <w:rsid w:val="00356279"/>
    <w:rsid w:val="0035666B"/>
    <w:rsid w:val="003569D3"/>
    <w:rsid w:val="00356A77"/>
    <w:rsid w:val="00357D01"/>
    <w:rsid w:val="00360FCA"/>
    <w:rsid w:val="00361470"/>
    <w:rsid w:val="003633FF"/>
    <w:rsid w:val="00367F0E"/>
    <w:rsid w:val="00367F41"/>
    <w:rsid w:val="003700D6"/>
    <w:rsid w:val="00370178"/>
    <w:rsid w:val="003719E3"/>
    <w:rsid w:val="00371C0F"/>
    <w:rsid w:val="00372AE5"/>
    <w:rsid w:val="00372AFD"/>
    <w:rsid w:val="003749E0"/>
    <w:rsid w:val="003768C4"/>
    <w:rsid w:val="00376D7D"/>
    <w:rsid w:val="00381478"/>
    <w:rsid w:val="00381A80"/>
    <w:rsid w:val="00381B98"/>
    <w:rsid w:val="003822D8"/>
    <w:rsid w:val="00382532"/>
    <w:rsid w:val="00383E03"/>
    <w:rsid w:val="003849B3"/>
    <w:rsid w:val="00384DFD"/>
    <w:rsid w:val="003852D8"/>
    <w:rsid w:val="00385793"/>
    <w:rsid w:val="0038591F"/>
    <w:rsid w:val="00385EDF"/>
    <w:rsid w:val="003877AE"/>
    <w:rsid w:val="00387961"/>
    <w:rsid w:val="003905A0"/>
    <w:rsid w:val="00391769"/>
    <w:rsid w:val="00391BC4"/>
    <w:rsid w:val="00391CB5"/>
    <w:rsid w:val="00392817"/>
    <w:rsid w:val="00396142"/>
    <w:rsid w:val="0039617B"/>
    <w:rsid w:val="00396C96"/>
    <w:rsid w:val="00397B06"/>
    <w:rsid w:val="003A03CC"/>
    <w:rsid w:val="003A1F8B"/>
    <w:rsid w:val="003A2346"/>
    <w:rsid w:val="003A4383"/>
    <w:rsid w:val="003A4BF2"/>
    <w:rsid w:val="003A4EC4"/>
    <w:rsid w:val="003A56C7"/>
    <w:rsid w:val="003A578B"/>
    <w:rsid w:val="003A69EC"/>
    <w:rsid w:val="003B08BE"/>
    <w:rsid w:val="003B0E78"/>
    <w:rsid w:val="003B1404"/>
    <w:rsid w:val="003B15A8"/>
    <w:rsid w:val="003B22A6"/>
    <w:rsid w:val="003B2691"/>
    <w:rsid w:val="003B2ED5"/>
    <w:rsid w:val="003B3C1F"/>
    <w:rsid w:val="003B3CE6"/>
    <w:rsid w:val="003B4CC8"/>
    <w:rsid w:val="003C041F"/>
    <w:rsid w:val="003C0BE5"/>
    <w:rsid w:val="003C1230"/>
    <w:rsid w:val="003C1583"/>
    <w:rsid w:val="003C1F88"/>
    <w:rsid w:val="003C25ED"/>
    <w:rsid w:val="003C2B6B"/>
    <w:rsid w:val="003C3626"/>
    <w:rsid w:val="003C4AF8"/>
    <w:rsid w:val="003C606A"/>
    <w:rsid w:val="003C6F51"/>
    <w:rsid w:val="003D0765"/>
    <w:rsid w:val="003D0823"/>
    <w:rsid w:val="003D101C"/>
    <w:rsid w:val="003D1FC8"/>
    <w:rsid w:val="003D30F0"/>
    <w:rsid w:val="003D32C2"/>
    <w:rsid w:val="003D37BF"/>
    <w:rsid w:val="003D3951"/>
    <w:rsid w:val="003D5739"/>
    <w:rsid w:val="003D68C2"/>
    <w:rsid w:val="003E0F47"/>
    <w:rsid w:val="003E100A"/>
    <w:rsid w:val="003E3663"/>
    <w:rsid w:val="003E41B6"/>
    <w:rsid w:val="003E49AE"/>
    <w:rsid w:val="003E5800"/>
    <w:rsid w:val="003E5D30"/>
    <w:rsid w:val="003E6112"/>
    <w:rsid w:val="003E65DE"/>
    <w:rsid w:val="003E6C61"/>
    <w:rsid w:val="003E73FF"/>
    <w:rsid w:val="003E7EA2"/>
    <w:rsid w:val="003F06D6"/>
    <w:rsid w:val="003F0C6D"/>
    <w:rsid w:val="003F1FB1"/>
    <w:rsid w:val="003F223C"/>
    <w:rsid w:val="003F23C8"/>
    <w:rsid w:val="003F27B6"/>
    <w:rsid w:val="003F3485"/>
    <w:rsid w:val="003F7371"/>
    <w:rsid w:val="003F737C"/>
    <w:rsid w:val="00400FA6"/>
    <w:rsid w:val="0040145F"/>
    <w:rsid w:val="00401BCC"/>
    <w:rsid w:val="00401F6F"/>
    <w:rsid w:val="00402BCA"/>
    <w:rsid w:val="00404903"/>
    <w:rsid w:val="004101EC"/>
    <w:rsid w:val="004110EB"/>
    <w:rsid w:val="004114EF"/>
    <w:rsid w:val="00412D16"/>
    <w:rsid w:val="00413E00"/>
    <w:rsid w:val="00415058"/>
    <w:rsid w:val="00417F5E"/>
    <w:rsid w:val="00417F94"/>
    <w:rsid w:val="0042035F"/>
    <w:rsid w:val="00420D78"/>
    <w:rsid w:val="00422115"/>
    <w:rsid w:val="00422478"/>
    <w:rsid w:val="00424158"/>
    <w:rsid w:val="00424E73"/>
    <w:rsid w:val="004273F3"/>
    <w:rsid w:val="00427639"/>
    <w:rsid w:val="004326CC"/>
    <w:rsid w:val="00432BB6"/>
    <w:rsid w:val="00433940"/>
    <w:rsid w:val="004346EA"/>
    <w:rsid w:val="004360FA"/>
    <w:rsid w:val="004363D3"/>
    <w:rsid w:val="004401B9"/>
    <w:rsid w:val="004418EF"/>
    <w:rsid w:val="00442921"/>
    <w:rsid w:val="00442AB3"/>
    <w:rsid w:val="00446AB6"/>
    <w:rsid w:val="004472A3"/>
    <w:rsid w:val="00450965"/>
    <w:rsid w:val="00451325"/>
    <w:rsid w:val="00451A96"/>
    <w:rsid w:val="00451C10"/>
    <w:rsid w:val="00451CB2"/>
    <w:rsid w:val="004520B3"/>
    <w:rsid w:val="004523B7"/>
    <w:rsid w:val="00455B67"/>
    <w:rsid w:val="004563EB"/>
    <w:rsid w:val="004576CB"/>
    <w:rsid w:val="00457848"/>
    <w:rsid w:val="00460C17"/>
    <w:rsid w:val="0046229E"/>
    <w:rsid w:val="00462F4B"/>
    <w:rsid w:val="0046500F"/>
    <w:rsid w:val="0046518F"/>
    <w:rsid w:val="00465ACD"/>
    <w:rsid w:val="00471132"/>
    <w:rsid w:val="00473CCD"/>
    <w:rsid w:val="004746F0"/>
    <w:rsid w:val="00476DEC"/>
    <w:rsid w:val="00480CCF"/>
    <w:rsid w:val="00482CDD"/>
    <w:rsid w:val="00487346"/>
    <w:rsid w:val="0049012F"/>
    <w:rsid w:val="00490409"/>
    <w:rsid w:val="004907B2"/>
    <w:rsid w:val="004921D7"/>
    <w:rsid w:val="00492E0B"/>
    <w:rsid w:val="00493090"/>
    <w:rsid w:val="00493DDE"/>
    <w:rsid w:val="004942F0"/>
    <w:rsid w:val="0049690E"/>
    <w:rsid w:val="00497B13"/>
    <w:rsid w:val="00497F0A"/>
    <w:rsid w:val="004A142E"/>
    <w:rsid w:val="004A464F"/>
    <w:rsid w:val="004A492B"/>
    <w:rsid w:val="004A4F74"/>
    <w:rsid w:val="004A6E70"/>
    <w:rsid w:val="004B0179"/>
    <w:rsid w:val="004B02F6"/>
    <w:rsid w:val="004B1A4E"/>
    <w:rsid w:val="004B259D"/>
    <w:rsid w:val="004B5B56"/>
    <w:rsid w:val="004C0B93"/>
    <w:rsid w:val="004C2CC7"/>
    <w:rsid w:val="004C2DB0"/>
    <w:rsid w:val="004C548A"/>
    <w:rsid w:val="004C776E"/>
    <w:rsid w:val="004D1262"/>
    <w:rsid w:val="004D35A0"/>
    <w:rsid w:val="004D4B91"/>
    <w:rsid w:val="004D6485"/>
    <w:rsid w:val="004D6F12"/>
    <w:rsid w:val="004E0267"/>
    <w:rsid w:val="004E3FB9"/>
    <w:rsid w:val="004E454A"/>
    <w:rsid w:val="004E5F74"/>
    <w:rsid w:val="004F3408"/>
    <w:rsid w:val="004F4151"/>
    <w:rsid w:val="004F4DDC"/>
    <w:rsid w:val="004F6751"/>
    <w:rsid w:val="004F6C68"/>
    <w:rsid w:val="004F73F7"/>
    <w:rsid w:val="004F7416"/>
    <w:rsid w:val="0050045F"/>
    <w:rsid w:val="005005EC"/>
    <w:rsid w:val="00503916"/>
    <w:rsid w:val="00504424"/>
    <w:rsid w:val="00504EE7"/>
    <w:rsid w:val="0050596A"/>
    <w:rsid w:val="00505B6B"/>
    <w:rsid w:val="005073D3"/>
    <w:rsid w:val="005124D1"/>
    <w:rsid w:val="00512C25"/>
    <w:rsid w:val="00513196"/>
    <w:rsid w:val="00514216"/>
    <w:rsid w:val="00514C34"/>
    <w:rsid w:val="00516A7A"/>
    <w:rsid w:val="00516DC5"/>
    <w:rsid w:val="005172CE"/>
    <w:rsid w:val="005174A5"/>
    <w:rsid w:val="005218ED"/>
    <w:rsid w:val="00521C5A"/>
    <w:rsid w:val="00522996"/>
    <w:rsid w:val="005231D2"/>
    <w:rsid w:val="00524560"/>
    <w:rsid w:val="00530F90"/>
    <w:rsid w:val="00531BDE"/>
    <w:rsid w:val="00533D58"/>
    <w:rsid w:val="005358AD"/>
    <w:rsid w:val="00535A91"/>
    <w:rsid w:val="00535C17"/>
    <w:rsid w:val="00536996"/>
    <w:rsid w:val="00537017"/>
    <w:rsid w:val="00537967"/>
    <w:rsid w:val="005415F6"/>
    <w:rsid w:val="00541904"/>
    <w:rsid w:val="00541E5D"/>
    <w:rsid w:val="00543445"/>
    <w:rsid w:val="00543D32"/>
    <w:rsid w:val="00546178"/>
    <w:rsid w:val="00546EF1"/>
    <w:rsid w:val="005502F2"/>
    <w:rsid w:val="005540DD"/>
    <w:rsid w:val="0055484A"/>
    <w:rsid w:val="0055602C"/>
    <w:rsid w:val="005573C8"/>
    <w:rsid w:val="00557779"/>
    <w:rsid w:val="00557BFD"/>
    <w:rsid w:val="00560373"/>
    <w:rsid w:val="005611A5"/>
    <w:rsid w:val="005626D6"/>
    <w:rsid w:val="00563617"/>
    <w:rsid w:val="005643C4"/>
    <w:rsid w:val="0056470C"/>
    <w:rsid w:val="00564DCE"/>
    <w:rsid w:val="00564F19"/>
    <w:rsid w:val="00565C7A"/>
    <w:rsid w:val="00565F0F"/>
    <w:rsid w:val="00566254"/>
    <w:rsid w:val="00570DFF"/>
    <w:rsid w:val="0057127D"/>
    <w:rsid w:val="00571358"/>
    <w:rsid w:val="00571992"/>
    <w:rsid w:val="00573131"/>
    <w:rsid w:val="0057327C"/>
    <w:rsid w:val="00573D6F"/>
    <w:rsid w:val="0057520D"/>
    <w:rsid w:val="00576CF8"/>
    <w:rsid w:val="005772D5"/>
    <w:rsid w:val="00581084"/>
    <w:rsid w:val="00582E61"/>
    <w:rsid w:val="005849FF"/>
    <w:rsid w:val="00584CF9"/>
    <w:rsid w:val="005853AE"/>
    <w:rsid w:val="00585CCD"/>
    <w:rsid w:val="0058731F"/>
    <w:rsid w:val="005919B3"/>
    <w:rsid w:val="00592C00"/>
    <w:rsid w:val="00593AF1"/>
    <w:rsid w:val="00593CDA"/>
    <w:rsid w:val="005943DA"/>
    <w:rsid w:val="0059473F"/>
    <w:rsid w:val="00595CE5"/>
    <w:rsid w:val="00596367"/>
    <w:rsid w:val="00596D9F"/>
    <w:rsid w:val="00596F17"/>
    <w:rsid w:val="005A0157"/>
    <w:rsid w:val="005A375A"/>
    <w:rsid w:val="005A3A08"/>
    <w:rsid w:val="005A3A12"/>
    <w:rsid w:val="005A46A1"/>
    <w:rsid w:val="005A5959"/>
    <w:rsid w:val="005A5B78"/>
    <w:rsid w:val="005A638B"/>
    <w:rsid w:val="005A6CFF"/>
    <w:rsid w:val="005A7493"/>
    <w:rsid w:val="005B1913"/>
    <w:rsid w:val="005B4B40"/>
    <w:rsid w:val="005B4D4C"/>
    <w:rsid w:val="005C0EEE"/>
    <w:rsid w:val="005C16AB"/>
    <w:rsid w:val="005C329A"/>
    <w:rsid w:val="005C3317"/>
    <w:rsid w:val="005C4CDD"/>
    <w:rsid w:val="005C530C"/>
    <w:rsid w:val="005C5971"/>
    <w:rsid w:val="005C605E"/>
    <w:rsid w:val="005C6BAE"/>
    <w:rsid w:val="005D2A5E"/>
    <w:rsid w:val="005D2BA5"/>
    <w:rsid w:val="005D37FD"/>
    <w:rsid w:val="005D662C"/>
    <w:rsid w:val="005D7DEF"/>
    <w:rsid w:val="005E1FC4"/>
    <w:rsid w:val="005E229A"/>
    <w:rsid w:val="005E280B"/>
    <w:rsid w:val="005E550E"/>
    <w:rsid w:val="005E5669"/>
    <w:rsid w:val="005E5B4E"/>
    <w:rsid w:val="005E76B2"/>
    <w:rsid w:val="005F034C"/>
    <w:rsid w:val="005F24B4"/>
    <w:rsid w:val="005F2D94"/>
    <w:rsid w:val="005F3023"/>
    <w:rsid w:val="005F48E7"/>
    <w:rsid w:val="005F615D"/>
    <w:rsid w:val="005F638A"/>
    <w:rsid w:val="005F69B9"/>
    <w:rsid w:val="006001BC"/>
    <w:rsid w:val="00603715"/>
    <w:rsid w:val="00603C20"/>
    <w:rsid w:val="00603E64"/>
    <w:rsid w:val="00603E92"/>
    <w:rsid w:val="006040CC"/>
    <w:rsid w:val="006048D8"/>
    <w:rsid w:val="00604DA3"/>
    <w:rsid w:val="006072F2"/>
    <w:rsid w:val="00607A60"/>
    <w:rsid w:val="00607D23"/>
    <w:rsid w:val="0061071D"/>
    <w:rsid w:val="00613A14"/>
    <w:rsid w:val="00615D03"/>
    <w:rsid w:val="00617CC0"/>
    <w:rsid w:val="00617F32"/>
    <w:rsid w:val="006210FA"/>
    <w:rsid w:val="0062177E"/>
    <w:rsid w:val="00621E38"/>
    <w:rsid w:val="00622394"/>
    <w:rsid w:val="00626BD0"/>
    <w:rsid w:val="006317F6"/>
    <w:rsid w:val="00631BC6"/>
    <w:rsid w:val="00631CAB"/>
    <w:rsid w:val="00635A47"/>
    <w:rsid w:val="006362B7"/>
    <w:rsid w:val="0064003D"/>
    <w:rsid w:val="0064158D"/>
    <w:rsid w:val="00642C33"/>
    <w:rsid w:val="00642FA7"/>
    <w:rsid w:val="006430C2"/>
    <w:rsid w:val="006437D8"/>
    <w:rsid w:val="006449A5"/>
    <w:rsid w:val="00645240"/>
    <w:rsid w:val="006458A9"/>
    <w:rsid w:val="00645A5F"/>
    <w:rsid w:val="00646BFE"/>
    <w:rsid w:val="00652C44"/>
    <w:rsid w:val="00653160"/>
    <w:rsid w:val="00655D37"/>
    <w:rsid w:val="00656041"/>
    <w:rsid w:val="0065712A"/>
    <w:rsid w:val="00660400"/>
    <w:rsid w:val="00660707"/>
    <w:rsid w:val="00661B1A"/>
    <w:rsid w:val="00663D7D"/>
    <w:rsid w:val="00666EBA"/>
    <w:rsid w:val="0066747F"/>
    <w:rsid w:val="006702A3"/>
    <w:rsid w:val="0067044E"/>
    <w:rsid w:val="00677391"/>
    <w:rsid w:val="00677B71"/>
    <w:rsid w:val="006808BB"/>
    <w:rsid w:val="0068109C"/>
    <w:rsid w:val="006812A8"/>
    <w:rsid w:val="00681574"/>
    <w:rsid w:val="00681A01"/>
    <w:rsid w:val="00682250"/>
    <w:rsid w:val="0068226F"/>
    <w:rsid w:val="0068265F"/>
    <w:rsid w:val="00684927"/>
    <w:rsid w:val="006858E8"/>
    <w:rsid w:val="00685929"/>
    <w:rsid w:val="0068592C"/>
    <w:rsid w:val="00685AEE"/>
    <w:rsid w:val="00687156"/>
    <w:rsid w:val="00690014"/>
    <w:rsid w:val="006902EB"/>
    <w:rsid w:val="006905F6"/>
    <w:rsid w:val="006909FD"/>
    <w:rsid w:val="00692D49"/>
    <w:rsid w:val="00693002"/>
    <w:rsid w:val="00693257"/>
    <w:rsid w:val="00696564"/>
    <w:rsid w:val="006A2F6E"/>
    <w:rsid w:val="006A4C51"/>
    <w:rsid w:val="006A6453"/>
    <w:rsid w:val="006A6FA5"/>
    <w:rsid w:val="006A74FE"/>
    <w:rsid w:val="006A7844"/>
    <w:rsid w:val="006B00C8"/>
    <w:rsid w:val="006B0D5A"/>
    <w:rsid w:val="006B1A11"/>
    <w:rsid w:val="006B1BAB"/>
    <w:rsid w:val="006B46AD"/>
    <w:rsid w:val="006B5038"/>
    <w:rsid w:val="006B512A"/>
    <w:rsid w:val="006B6683"/>
    <w:rsid w:val="006B716B"/>
    <w:rsid w:val="006B7401"/>
    <w:rsid w:val="006B7684"/>
    <w:rsid w:val="006C1923"/>
    <w:rsid w:val="006C2051"/>
    <w:rsid w:val="006C23F3"/>
    <w:rsid w:val="006C3E51"/>
    <w:rsid w:val="006C54E5"/>
    <w:rsid w:val="006C5E48"/>
    <w:rsid w:val="006C6087"/>
    <w:rsid w:val="006C76E1"/>
    <w:rsid w:val="006D019A"/>
    <w:rsid w:val="006D115A"/>
    <w:rsid w:val="006D2197"/>
    <w:rsid w:val="006D3B17"/>
    <w:rsid w:val="006D4C9B"/>
    <w:rsid w:val="006D617C"/>
    <w:rsid w:val="006D6697"/>
    <w:rsid w:val="006E050B"/>
    <w:rsid w:val="006E0DA6"/>
    <w:rsid w:val="006E0E33"/>
    <w:rsid w:val="006E6F9F"/>
    <w:rsid w:val="006F2CE7"/>
    <w:rsid w:val="006F4525"/>
    <w:rsid w:val="006F47EC"/>
    <w:rsid w:val="006F7173"/>
    <w:rsid w:val="006F7182"/>
    <w:rsid w:val="006F77B0"/>
    <w:rsid w:val="006F784F"/>
    <w:rsid w:val="0070021A"/>
    <w:rsid w:val="00700F02"/>
    <w:rsid w:val="00701E2B"/>
    <w:rsid w:val="0070225B"/>
    <w:rsid w:val="00702656"/>
    <w:rsid w:val="00702FFA"/>
    <w:rsid w:val="0070373E"/>
    <w:rsid w:val="00703AE7"/>
    <w:rsid w:val="00705B7B"/>
    <w:rsid w:val="00706164"/>
    <w:rsid w:val="007062D2"/>
    <w:rsid w:val="0070683C"/>
    <w:rsid w:val="00710B09"/>
    <w:rsid w:val="00710CAE"/>
    <w:rsid w:val="007110E5"/>
    <w:rsid w:val="00711A71"/>
    <w:rsid w:val="00713702"/>
    <w:rsid w:val="00713B8A"/>
    <w:rsid w:val="00714408"/>
    <w:rsid w:val="007152C9"/>
    <w:rsid w:val="00716708"/>
    <w:rsid w:val="00720A22"/>
    <w:rsid w:val="00720DCC"/>
    <w:rsid w:val="00721E74"/>
    <w:rsid w:val="00722890"/>
    <w:rsid w:val="00722C51"/>
    <w:rsid w:val="00723401"/>
    <w:rsid w:val="00723404"/>
    <w:rsid w:val="007251DD"/>
    <w:rsid w:val="00725C04"/>
    <w:rsid w:val="00727A25"/>
    <w:rsid w:val="00727D30"/>
    <w:rsid w:val="00730305"/>
    <w:rsid w:val="00730C00"/>
    <w:rsid w:val="00734D74"/>
    <w:rsid w:val="0073726D"/>
    <w:rsid w:val="00737AF6"/>
    <w:rsid w:val="0074029C"/>
    <w:rsid w:val="00740EBD"/>
    <w:rsid w:val="007412A5"/>
    <w:rsid w:val="0074233E"/>
    <w:rsid w:val="0074471B"/>
    <w:rsid w:val="00744DFA"/>
    <w:rsid w:val="0075118C"/>
    <w:rsid w:val="00751422"/>
    <w:rsid w:val="00752125"/>
    <w:rsid w:val="00752150"/>
    <w:rsid w:val="007524A6"/>
    <w:rsid w:val="00753955"/>
    <w:rsid w:val="00754C81"/>
    <w:rsid w:val="00754D6F"/>
    <w:rsid w:val="00755462"/>
    <w:rsid w:val="007555E6"/>
    <w:rsid w:val="0075673F"/>
    <w:rsid w:val="00756808"/>
    <w:rsid w:val="00760CC6"/>
    <w:rsid w:val="007614E3"/>
    <w:rsid w:val="0076203F"/>
    <w:rsid w:val="007635C1"/>
    <w:rsid w:val="00763BA5"/>
    <w:rsid w:val="007718A0"/>
    <w:rsid w:val="00771F05"/>
    <w:rsid w:val="00771F68"/>
    <w:rsid w:val="00774257"/>
    <w:rsid w:val="007751E9"/>
    <w:rsid w:val="0077573C"/>
    <w:rsid w:val="00776235"/>
    <w:rsid w:val="007765F1"/>
    <w:rsid w:val="0077712C"/>
    <w:rsid w:val="00777696"/>
    <w:rsid w:val="007776E8"/>
    <w:rsid w:val="00781FAE"/>
    <w:rsid w:val="00782BCD"/>
    <w:rsid w:val="007840BF"/>
    <w:rsid w:val="007848B4"/>
    <w:rsid w:val="007855EC"/>
    <w:rsid w:val="00787A66"/>
    <w:rsid w:val="00790B69"/>
    <w:rsid w:val="00790FB0"/>
    <w:rsid w:val="00791DC9"/>
    <w:rsid w:val="007933F8"/>
    <w:rsid w:val="00795441"/>
    <w:rsid w:val="007977E6"/>
    <w:rsid w:val="007A092C"/>
    <w:rsid w:val="007A22E1"/>
    <w:rsid w:val="007A4C7B"/>
    <w:rsid w:val="007A629E"/>
    <w:rsid w:val="007A7021"/>
    <w:rsid w:val="007B0647"/>
    <w:rsid w:val="007B12CB"/>
    <w:rsid w:val="007B13F8"/>
    <w:rsid w:val="007B169E"/>
    <w:rsid w:val="007B5355"/>
    <w:rsid w:val="007B7555"/>
    <w:rsid w:val="007C50EB"/>
    <w:rsid w:val="007C77D3"/>
    <w:rsid w:val="007D0658"/>
    <w:rsid w:val="007D10C6"/>
    <w:rsid w:val="007D1549"/>
    <w:rsid w:val="007D1BCB"/>
    <w:rsid w:val="007D3C55"/>
    <w:rsid w:val="007D4840"/>
    <w:rsid w:val="007D4B17"/>
    <w:rsid w:val="007D5901"/>
    <w:rsid w:val="007D6C77"/>
    <w:rsid w:val="007D71E8"/>
    <w:rsid w:val="007D7704"/>
    <w:rsid w:val="007D7ADF"/>
    <w:rsid w:val="007D7E74"/>
    <w:rsid w:val="007E3159"/>
    <w:rsid w:val="007E36D7"/>
    <w:rsid w:val="007E4A87"/>
    <w:rsid w:val="007E56DE"/>
    <w:rsid w:val="007E6A0E"/>
    <w:rsid w:val="007E7734"/>
    <w:rsid w:val="007E7E36"/>
    <w:rsid w:val="007F0292"/>
    <w:rsid w:val="007F073B"/>
    <w:rsid w:val="007F19A6"/>
    <w:rsid w:val="007F2F98"/>
    <w:rsid w:val="007F355C"/>
    <w:rsid w:val="007F378B"/>
    <w:rsid w:val="007F4B7B"/>
    <w:rsid w:val="007F6227"/>
    <w:rsid w:val="007F6EF3"/>
    <w:rsid w:val="007F7038"/>
    <w:rsid w:val="008024BA"/>
    <w:rsid w:val="00802B0C"/>
    <w:rsid w:val="00802B0D"/>
    <w:rsid w:val="00803352"/>
    <w:rsid w:val="008049E7"/>
    <w:rsid w:val="00805426"/>
    <w:rsid w:val="008058EB"/>
    <w:rsid w:val="008065DF"/>
    <w:rsid w:val="00806AAB"/>
    <w:rsid w:val="00807118"/>
    <w:rsid w:val="008074CC"/>
    <w:rsid w:val="0081130C"/>
    <w:rsid w:val="0081435A"/>
    <w:rsid w:val="008143A3"/>
    <w:rsid w:val="00815106"/>
    <w:rsid w:val="0081540D"/>
    <w:rsid w:val="008156BB"/>
    <w:rsid w:val="00815986"/>
    <w:rsid w:val="00815D4E"/>
    <w:rsid w:val="00815D8F"/>
    <w:rsid w:val="008169F7"/>
    <w:rsid w:val="008172E6"/>
    <w:rsid w:val="008178C5"/>
    <w:rsid w:val="008200A3"/>
    <w:rsid w:val="0082085A"/>
    <w:rsid w:val="00821A7B"/>
    <w:rsid w:val="00822B41"/>
    <w:rsid w:val="00822E41"/>
    <w:rsid w:val="00823677"/>
    <w:rsid w:val="00823978"/>
    <w:rsid w:val="00826EEB"/>
    <w:rsid w:val="00827D2C"/>
    <w:rsid w:val="00830085"/>
    <w:rsid w:val="0083143B"/>
    <w:rsid w:val="00831C1F"/>
    <w:rsid w:val="008325F6"/>
    <w:rsid w:val="00832EA2"/>
    <w:rsid w:val="00833005"/>
    <w:rsid w:val="00833C08"/>
    <w:rsid w:val="00833E01"/>
    <w:rsid w:val="00835020"/>
    <w:rsid w:val="00835122"/>
    <w:rsid w:val="0083592C"/>
    <w:rsid w:val="00842044"/>
    <w:rsid w:val="0084240A"/>
    <w:rsid w:val="00842589"/>
    <w:rsid w:val="00843095"/>
    <w:rsid w:val="00844112"/>
    <w:rsid w:val="00846A72"/>
    <w:rsid w:val="00847258"/>
    <w:rsid w:val="00847470"/>
    <w:rsid w:val="00850117"/>
    <w:rsid w:val="00850D49"/>
    <w:rsid w:val="00851E98"/>
    <w:rsid w:val="00852D05"/>
    <w:rsid w:val="00853843"/>
    <w:rsid w:val="00854922"/>
    <w:rsid w:val="00854B91"/>
    <w:rsid w:val="00855ECE"/>
    <w:rsid w:val="0086067E"/>
    <w:rsid w:val="008607F5"/>
    <w:rsid w:val="00861CFD"/>
    <w:rsid w:val="00861D12"/>
    <w:rsid w:val="00862064"/>
    <w:rsid w:val="0086422D"/>
    <w:rsid w:val="00864409"/>
    <w:rsid w:val="00864C57"/>
    <w:rsid w:val="00865514"/>
    <w:rsid w:val="008655FD"/>
    <w:rsid w:val="00865A09"/>
    <w:rsid w:val="008660BF"/>
    <w:rsid w:val="00867944"/>
    <w:rsid w:val="0087117B"/>
    <w:rsid w:val="008716D2"/>
    <w:rsid w:val="00871A98"/>
    <w:rsid w:val="00871FDA"/>
    <w:rsid w:val="008722BC"/>
    <w:rsid w:val="008726A7"/>
    <w:rsid w:val="008728B6"/>
    <w:rsid w:val="00872C77"/>
    <w:rsid w:val="00872E8A"/>
    <w:rsid w:val="00873A63"/>
    <w:rsid w:val="0087569D"/>
    <w:rsid w:val="00876611"/>
    <w:rsid w:val="00877467"/>
    <w:rsid w:val="00877E0C"/>
    <w:rsid w:val="00880EA8"/>
    <w:rsid w:val="00881251"/>
    <w:rsid w:val="0088158C"/>
    <w:rsid w:val="008834F0"/>
    <w:rsid w:val="00884575"/>
    <w:rsid w:val="00885144"/>
    <w:rsid w:val="00885C84"/>
    <w:rsid w:val="0088670D"/>
    <w:rsid w:val="00887DD3"/>
    <w:rsid w:val="008900AC"/>
    <w:rsid w:val="00890FE1"/>
    <w:rsid w:val="008912BA"/>
    <w:rsid w:val="008918A0"/>
    <w:rsid w:val="008933D1"/>
    <w:rsid w:val="008934DC"/>
    <w:rsid w:val="00894B69"/>
    <w:rsid w:val="0089521D"/>
    <w:rsid w:val="00896B41"/>
    <w:rsid w:val="008A083B"/>
    <w:rsid w:val="008A1E97"/>
    <w:rsid w:val="008A4AC0"/>
    <w:rsid w:val="008A50B8"/>
    <w:rsid w:val="008A60C2"/>
    <w:rsid w:val="008A632A"/>
    <w:rsid w:val="008A66D3"/>
    <w:rsid w:val="008A686B"/>
    <w:rsid w:val="008A6E67"/>
    <w:rsid w:val="008B1ED4"/>
    <w:rsid w:val="008B30D2"/>
    <w:rsid w:val="008B3B73"/>
    <w:rsid w:val="008B4FD2"/>
    <w:rsid w:val="008B5954"/>
    <w:rsid w:val="008B629E"/>
    <w:rsid w:val="008B6B49"/>
    <w:rsid w:val="008B726F"/>
    <w:rsid w:val="008C06FB"/>
    <w:rsid w:val="008C0FEC"/>
    <w:rsid w:val="008C26B0"/>
    <w:rsid w:val="008C3095"/>
    <w:rsid w:val="008C5872"/>
    <w:rsid w:val="008C7E47"/>
    <w:rsid w:val="008D06FB"/>
    <w:rsid w:val="008D118F"/>
    <w:rsid w:val="008D2C70"/>
    <w:rsid w:val="008D2D26"/>
    <w:rsid w:val="008D3616"/>
    <w:rsid w:val="008D5A03"/>
    <w:rsid w:val="008D619A"/>
    <w:rsid w:val="008E0C3A"/>
    <w:rsid w:val="008E24C9"/>
    <w:rsid w:val="008E3FAF"/>
    <w:rsid w:val="008E4C69"/>
    <w:rsid w:val="008E4EBC"/>
    <w:rsid w:val="008E5EF8"/>
    <w:rsid w:val="008F0027"/>
    <w:rsid w:val="008F02B1"/>
    <w:rsid w:val="008F1A97"/>
    <w:rsid w:val="008F2723"/>
    <w:rsid w:val="008F3CB8"/>
    <w:rsid w:val="008F5DA5"/>
    <w:rsid w:val="008F6120"/>
    <w:rsid w:val="008F68BB"/>
    <w:rsid w:val="008F77A4"/>
    <w:rsid w:val="008F7FCA"/>
    <w:rsid w:val="00900A0D"/>
    <w:rsid w:val="00901946"/>
    <w:rsid w:val="00903902"/>
    <w:rsid w:val="009045F4"/>
    <w:rsid w:val="0090521B"/>
    <w:rsid w:val="00905F3F"/>
    <w:rsid w:val="00907873"/>
    <w:rsid w:val="009108A3"/>
    <w:rsid w:val="0091181B"/>
    <w:rsid w:val="0091533E"/>
    <w:rsid w:val="00915392"/>
    <w:rsid w:val="00915923"/>
    <w:rsid w:val="00915EAB"/>
    <w:rsid w:val="0092134A"/>
    <w:rsid w:val="009213D8"/>
    <w:rsid w:val="009216E3"/>
    <w:rsid w:val="00921D48"/>
    <w:rsid w:val="00922733"/>
    <w:rsid w:val="00922B7A"/>
    <w:rsid w:val="00923939"/>
    <w:rsid w:val="00924553"/>
    <w:rsid w:val="0092489A"/>
    <w:rsid w:val="00924D41"/>
    <w:rsid w:val="009252DF"/>
    <w:rsid w:val="0092532B"/>
    <w:rsid w:val="00925DC5"/>
    <w:rsid w:val="00930CB8"/>
    <w:rsid w:val="00930D15"/>
    <w:rsid w:val="00931484"/>
    <w:rsid w:val="009339D7"/>
    <w:rsid w:val="0093418B"/>
    <w:rsid w:val="00934D39"/>
    <w:rsid w:val="00935766"/>
    <w:rsid w:val="009361C1"/>
    <w:rsid w:val="00936BD5"/>
    <w:rsid w:val="00937CBC"/>
    <w:rsid w:val="00943090"/>
    <w:rsid w:val="00945BA8"/>
    <w:rsid w:val="00945E42"/>
    <w:rsid w:val="0094619C"/>
    <w:rsid w:val="00946886"/>
    <w:rsid w:val="009469C2"/>
    <w:rsid w:val="00946BD2"/>
    <w:rsid w:val="0094745F"/>
    <w:rsid w:val="00950852"/>
    <w:rsid w:val="00951213"/>
    <w:rsid w:val="0095290A"/>
    <w:rsid w:val="009533E2"/>
    <w:rsid w:val="00954C88"/>
    <w:rsid w:val="009551F7"/>
    <w:rsid w:val="0095566E"/>
    <w:rsid w:val="00960658"/>
    <w:rsid w:val="009616B2"/>
    <w:rsid w:val="00962AF7"/>
    <w:rsid w:val="00963894"/>
    <w:rsid w:val="009661B6"/>
    <w:rsid w:val="00966418"/>
    <w:rsid w:val="00966634"/>
    <w:rsid w:val="009669D8"/>
    <w:rsid w:val="00966C29"/>
    <w:rsid w:val="00966CAD"/>
    <w:rsid w:val="00967193"/>
    <w:rsid w:val="00967822"/>
    <w:rsid w:val="00967867"/>
    <w:rsid w:val="009712CE"/>
    <w:rsid w:val="00971E33"/>
    <w:rsid w:val="00975D5A"/>
    <w:rsid w:val="009774C9"/>
    <w:rsid w:val="00981CB7"/>
    <w:rsid w:val="00982158"/>
    <w:rsid w:val="009828D4"/>
    <w:rsid w:val="00982E60"/>
    <w:rsid w:val="00985C2D"/>
    <w:rsid w:val="009867FB"/>
    <w:rsid w:val="00990FB3"/>
    <w:rsid w:val="00991014"/>
    <w:rsid w:val="00991774"/>
    <w:rsid w:val="00991DC4"/>
    <w:rsid w:val="0099274B"/>
    <w:rsid w:val="0099295D"/>
    <w:rsid w:val="0099296A"/>
    <w:rsid w:val="009A0442"/>
    <w:rsid w:val="009A05EF"/>
    <w:rsid w:val="009A143B"/>
    <w:rsid w:val="009A15F6"/>
    <w:rsid w:val="009A180C"/>
    <w:rsid w:val="009A226C"/>
    <w:rsid w:val="009A24E6"/>
    <w:rsid w:val="009A3C36"/>
    <w:rsid w:val="009A3E8D"/>
    <w:rsid w:val="009A3FA9"/>
    <w:rsid w:val="009A43FA"/>
    <w:rsid w:val="009A4946"/>
    <w:rsid w:val="009A4957"/>
    <w:rsid w:val="009A755B"/>
    <w:rsid w:val="009A7EA4"/>
    <w:rsid w:val="009B00C8"/>
    <w:rsid w:val="009B021F"/>
    <w:rsid w:val="009B0B32"/>
    <w:rsid w:val="009B0E56"/>
    <w:rsid w:val="009B385F"/>
    <w:rsid w:val="009B476A"/>
    <w:rsid w:val="009B4C8D"/>
    <w:rsid w:val="009B625F"/>
    <w:rsid w:val="009B7CEC"/>
    <w:rsid w:val="009C1267"/>
    <w:rsid w:val="009C1450"/>
    <w:rsid w:val="009C169E"/>
    <w:rsid w:val="009C1991"/>
    <w:rsid w:val="009C40F9"/>
    <w:rsid w:val="009C5F29"/>
    <w:rsid w:val="009C7422"/>
    <w:rsid w:val="009D22AE"/>
    <w:rsid w:val="009D3294"/>
    <w:rsid w:val="009D3B48"/>
    <w:rsid w:val="009D58E7"/>
    <w:rsid w:val="009D65C2"/>
    <w:rsid w:val="009D6B54"/>
    <w:rsid w:val="009D7EC8"/>
    <w:rsid w:val="009E0848"/>
    <w:rsid w:val="009E0977"/>
    <w:rsid w:val="009E0A4C"/>
    <w:rsid w:val="009E32AB"/>
    <w:rsid w:val="009E48BC"/>
    <w:rsid w:val="009E4E2E"/>
    <w:rsid w:val="009E609E"/>
    <w:rsid w:val="009E6775"/>
    <w:rsid w:val="009E75F0"/>
    <w:rsid w:val="009E76A7"/>
    <w:rsid w:val="009F07B3"/>
    <w:rsid w:val="009F1FB5"/>
    <w:rsid w:val="009F24F6"/>
    <w:rsid w:val="009F2903"/>
    <w:rsid w:val="009F30D1"/>
    <w:rsid w:val="009F3E03"/>
    <w:rsid w:val="009F553C"/>
    <w:rsid w:val="009F69F4"/>
    <w:rsid w:val="00A00409"/>
    <w:rsid w:val="00A01D52"/>
    <w:rsid w:val="00A0284C"/>
    <w:rsid w:val="00A0288E"/>
    <w:rsid w:val="00A02D50"/>
    <w:rsid w:val="00A05818"/>
    <w:rsid w:val="00A06357"/>
    <w:rsid w:val="00A07EB5"/>
    <w:rsid w:val="00A10DF5"/>
    <w:rsid w:val="00A10EAF"/>
    <w:rsid w:val="00A11F00"/>
    <w:rsid w:val="00A127E9"/>
    <w:rsid w:val="00A12CA2"/>
    <w:rsid w:val="00A16188"/>
    <w:rsid w:val="00A1645C"/>
    <w:rsid w:val="00A1680F"/>
    <w:rsid w:val="00A200E5"/>
    <w:rsid w:val="00A209C7"/>
    <w:rsid w:val="00A21780"/>
    <w:rsid w:val="00A224BA"/>
    <w:rsid w:val="00A22ACE"/>
    <w:rsid w:val="00A2318F"/>
    <w:rsid w:val="00A2416F"/>
    <w:rsid w:val="00A24171"/>
    <w:rsid w:val="00A250CA"/>
    <w:rsid w:val="00A26CF6"/>
    <w:rsid w:val="00A27696"/>
    <w:rsid w:val="00A27C35"/>
    <w:rsid w:val="00A315BC"/>
    <w:rsid w:val="00A31BD4"/>
    <w:rsid w:val="00A3281E"/>
    <w:rsid w:val="00A3297B"/>
    <w:rsid w:val="00A32AFF"/>
    <w:rsid w:val="00A33CC7"/>
    <w:rsid w:val="00A33E80"/>
    <w:rsid w:val="00A3463E"/>
    <w:rsid w:val="00A3489E"/>
    <w:rsid w:val="00A35A8B"/>
    <w:rsid w:val="00A4058E"/>
    <w:rsid w:val="00A40AE9"/>
    <w:rsid w:val="00A40FB8"/>
    <w:rsid w:val="00A41232"/>
    <w:rsid w:val="00A438CA"/>
    <w:rsid w:val="00A45BF5"/>
    <w:rsid w:val="00A46167"/>
    <w:rsid w:val="00A47270"/>
    <w:rsid w:val="00A501E3"/>
    <w:rsid w:val="00A52576"/>
    <w:rsid w:val="00A5333F"/>
    <w:rsid w:val="00A53AB7"/>
    <w:rsid w:val="00A559A2"/>
    <w:rsid w:val="00A57596"/>
    <w:rsid w:val="00A611E2"/>
    <w:rsid w:val="00A61835"/>
    <w:rsid w:val="00A6257C"/>
    <w:rsid w:val="00A64599"/>
    <w:rsid w:val="00A660BC"/>
    <w:rsid w:val="00A66C60"/>
    <w:rsid w:val="00A66CD2"/>
    <w:rsid w:val="00A6780A"/>
    <w:rsid w:val="00A6795C"/>
    <w:rsid w:val="00A7078E"/>
    <w:rsid w:val="00A71E46"/>
    <w:rsid w:val="00A725A6"/>
    <w:rsid w:val="00A72F20"/>
    <w:rsid w:val="00A7353C"/>
    <w:rsid w:val="00A75525"/>
    <w:rsid w:val="00A756EA"/>
    <w:rsid w:val="00A76252"/>
    <w:rsid w:val="00A7688C"/>
    <w:rsid w:val="00A76B88"/>
    <w:rsid w:val="00A76F41"/>
    <w:rsid w:val="00A803BE"/>
    <w:rsid w:val="00A8198A"/>
    <w:rsid w:val="00A82BA7"/>
    <w:rsid w:val="00A836D2"/>
    <w:rsid w:val="00A839A7"/>
    <w:rsid w:val="00A8418F"/>
    <w:rsid w:val="00A84AE8"/>
    <w:rsid w:val="00A85375"/>
    <w:rsid w:val="00A85FDE"/>
    <w:rsid w:val="00A877DB"/>
    <w:rsid w:val="00A87B0B"/>
    <w:rsid w:val="00A90C8E"/>
    <w:rsid w:val="00A91691"/>
    <w:rsid w:val="00A924C4"/>
    <w:rsid w:val="00A92677"/>
    <w:rsid w:val="00A926C6"/>
    <w:rsid w:val="00A92BBB"/>
    <w:rsid w:val="00A93969"/>
    <w:rsid w:val="00A9438A"/>
    <w:rsid w:val="00A96052"/>
    <w:rsid w:val="00A96CDC"/>
    <w:rsid w:val="00AA1751"/>
    <w:rsid w:val="00AA2C98"/>
    <w:rsid w:val="00AA3686"/>
    <w:rsid w:val="00AA4415"/>
    <w:rsid w:val="00AA4F31"/>
    <w:rsid w:val="00AA58F3"/>
    <w:rsid w:val="00AA5D78"/>
    <w:rsid w:val="00AA603A"/>
    <w:rsid w:val="00AA7506"/>
    <w:rsid w:val="00AA7A40"/>
    <w:rsid w:val="00AA7CBD"/>
    <w:rsid w:val="00AB00B5"/>
    <w:rsid w:val="00AB0762"/>
    <w:rsid w:val="00AB1033"/>
    <w:rsid w:val="00AB10A3"/>
    <w:rsid w:val="00AB15F7"/>
    <w:rsid w:val="00AB1AFD"/>
    <w:rsid w:val="00AB1D7D"/>
    <w:rsid w:val="00AB277C"/>
    <w:rsid w:val="00AB6071"/>
    <w:rsid w:val="00AB673A"/>
    <w:rsid w:val="00AC06A2"/>
    <w:rsid w:val="00AC0BDB"/>
    <w:rsid w:val="00AC0CAA"/>
    <w:rsid w:val="00AC3ECE"/>
    <w:rsid w:val="00AC630C"/>
    <w:rsid w:val="00AC7529"/>
    <w:rsid w:val="00AC75C6"/>
    <w:rsid w:val="00AD2A61"/>
    <w:rsid w:val="00AD3016"/>
    <w:rsid w:val="00AD3877"/>
    <w:rsid w:val="00AD3D22"/>
    <w:rsid w:val="00AD4393"/>
    <w:rsid w:val="00AD48A9"/>
    <w:rsid w:val="00AE025B"/>
    <w:rsid w:val="00AE07E9"/>
    <w:rsid w:val="00AE0F99"/>
    <w:rsid w:val="00AE16E1"/>
    <w:rsid w:val="00AE36E2"/>
    <w:rsid w:val="00AE4633"/>
    <w:rsid w:val="00AE4C66"/>
    <w:rsid w:val="00AE538A"/>
    <w:rsid w:val="00AE582A"/>
    <w:rsid w:val="00AE6565"/>
    <w:rsid w:val="00AE724F"/>
    <w:rsid w:val="00AE7C99"/>
    <w:rsid w:val="00AF16BA"/>
    <w:rsid w:val="00AF2593"/>
    <w:rsid w:val="00AF29F8"/>
    <w:rsid w:val="00AF2F69"/>
    <w:rsid w:val="00AF327F"/>
    <w:rsid w:val="00AF331A"/>
    <w:rsid w:val="00AF36AA"/>
    <w:rsid w:val="00AF3CB3"/>
    <w:rsid w:val="00AF45A6"/>
    <w:rsid w:val="00AF4DE3"/>
    <w:rsid w:val="00AF60D7"/>
    <w:rsid w:val="00AF652E"/>
    <w:rsid w:val="00AF7990"/>
    <w:rsid w:val="00AF7B7B"/>
    <w:rsid w:val="00B00BDF"/>
    <w:rsid w:val="00B00E5C"/>
    <w:rsid w:val="00B0379E"/>
    <w:rsid w:val="00B055D5"/>
    <w:rsid w:val="00B06EE7"/>
    <w:rsid w:val="00B10F5A"/>
    <w:rsid w:val="00B1131D"/>
    <w:rsid w:val="00B12451"/>
    <w:rsid w:val="00B128C1"/>
    <w:rsid w:val="00B12B9E"/>
    <w:rsid w:val="00B12CB5"/>
    <w:rsid w:val="00B12E72"/>
    <w:rsid w:val="00B1418B"/>
    <w:rsid w:val="00B14979"/>
    <w:rsid w:val="00B15B07"/>
    <w:rsid w:val="00B16CBA"/>
    <w:rsid w:val="00B17945"/>
    <w:rsid w:val="00B22435"/>
    <w:rsid w:val="00B22665"/>
    <w:rsid w:val="00B226EA"/>
    <w:rsid w:val="00B22CC7"/>
    <w:rsid w:val="00B22FDB"/>
    <w:rsid w:val="00B2335D"/>
    <w:rsid w:val="00B23EAE"/>
    <w:rsid w:val="00B24444"/>
    <w:rsid w:val="00B2630E"/>
    <w:rsid w:val="00B26616"/>
    <w:rsid w:val="00B32A7D"/>
    <w:rsid w:val="00B33DAB"/>
    <w:rsid w:val="00B36A05"/>
    <w:rsid w:val="00B378CF"/>
    <w:rsid w:val="00B40F1D"/>
    <w:rsid w:val="00B41155"/>
    <w:rsid w:val="00B417EF"/>
    <w:rsid w:val="00B41EB9"/>
    <w:rsid w:val="00B42A64"/>
    <w:rsid w:val="00B43F81"/>
    <w:rsid w:val="00B45B9C"/>
    <w:rsid w:val="00B45D3A"/>
    <w:rsid w:val="00B50CBD"/>
    <w:rsid w:val="00B51309"/>
    <w:rsid w:val="00B51BB0"/>
    <w:rsid w:val="00B51C89"/>
    <w:rsid w:val="00B51FA0"/>
    <w:rsid w:val="00B5312D"/>
    <w:rsid w:val="00B53485"/>
    <w:rsid w:val="00B54B0B"/>
    <w:rsid w:val="00B54C94"/>
    <w:rsid w:val="00B55C90"/>
    <w:rsid w:val="00B57085"/>
    <w:rsid w:val="00B61745"/>
    <w:rsid w:val="00B622C5"/>
    <w:rsid w:val="00B631A4"/>
    <w:rsid w:val="00B63549"/>
    <w:rsid w:val="00B64358"/>
    <w:rsid w:val="00B66931"/>
    <w:rsid w:val="00B711BC"/>
    <w:rsid w:val="00B713BE"/>
    <w:rsid w:val="00B716EF"/>
    <w:rsid w:val="00B71714"/>
    <w:rsid w:val="00B71773"/>
    <w:rsid w:val="00B718C0"/>
    <w:rsid w:val="00B736F6"/>
    <w:rsid w:val="00B745D3"/>
    <w:rsid w:val="00B750ED"/>
    <w:rsid w:val="00B75DDE"/>
    <w:rsid w:val="00B76A71"/>
    <w:rsid w:val="00B80408"/>
    <w:rsid w:val="00B80E85"/>
    <w:rsid w:val="00B81237"/>
    <w:rsid w:val="00B8138F"/>
    <w:rsid w:val="00B83305"/>
    <w:rsid w:val="00B83623"/>
    <w:rsid w:val="00B8399A"/>
    <w:rsid w:val="00B839F3"/>
    <w:rsid w:val="00B845AA"/>
    <w:rsid w:val="00B84BA2"/>
    <w:rsid w:val="00B8539F"/>
    <w:rsid w:val="00B853B3"/>
    <w:rsid w:val="00B859B7"/>
    <w:rsid w:val="00B865E3"/>
    <w:rsid w:val="00B87F38"/>
    <w:rsid w:val="00B90315"/>
    <w:rsid w:val="00B90469"/>
    <w:rsid w:val="00B9119B"/>
    <w:rsid w:val="00B93909"/>
    <w:rsid w:val="00B947DB"/>
    <w:rsid w:val="00BA13A5"/>
    <w:rsid w:val="00BA19A7"/>
    <w:rsid w:val="00BA2F0B"/>
    <w:rsid w:val="00BA4132"/>
    <w:rsid w:val="00BA4B9B"/>
    <w:rsid w:val="00BA7A48"/>
    <w:rsid w:val="00BB0821"/>
    <w:rsid w:val="00BB11CE"/>
    <w:rsid w:val="00BB18C3"/>
    <w:rsid w:val="00BB3D0F"/>
    <w:rsid w:val="00BB5065"/>
    <w:rsid w:val="00BB57F2"/>
    <w:rsid w:val="00BB65E8"/>
    <w:rsid w:val="00BB698E"/>
    <w:rsid w:val="00BB6A42"/>
    <w:rsid w:val="00BB6E5A"/>
    <w:rsid w:val="00BC0293"/>
    <w:rsid w:val="00BC062E"/>
    <w:rsid w:val="00BC3EB2"/>
    <w:rsid w:val="00BC422D"/>
    <w:rsid w:val="00BC424A"/>
    <w:rsid w:val="00BC60D1"/>
    <w:rsid w:val="00BC616B"/>
    <w:rsid w:val="00BC7D59"/>
    <w:rsid w:val="00BC7F1D"/>
    <w:rsid w:val="00BD21EB"/>
    <w:rsid w:val="00BD3D1E"/>
    <w:rsid w:val="00BD5617"/>
    <w:rsid w:val="00BD6AF0"/>
    <w:rsid w:val="00BD7964"/>
    <w:rsid w:val="00BE00B1"/>
    <w:rsid w:val="00BE17F3"/>
    <w:rsid w:val="00BE1EB1"/>
    <w:rsid w:val="00BE3F81"/>
    <w:rsid w:val="00BF074D"/>
    <w:rsid w:val="00BF2675"/>
    <w:rsid w:val="00BF5A9E"/>
    <w:rsid w:val="00BF763B"/>
    <w:rsid w:val="00C001AB"/>
    <w:rsid w:val="00C02590"/>
    <w:rsid w:val="00C03962"/>
    <w:rsid w:val="00C03D47"/>
    <w:rsid w:val="00C052B6"/>
    <w:rsid w:val="00C066F0"/>
    <w:rsid w:val="00C07732"/>
    <w:rsid w:val="00C1017D"/>
    <w:rsid w:val="00C109F7"/>
    <w:rsid w:val="00C1289B"/>
    <w:rsid w:val="00C12AB3"/>
    <w:rsid w:val="00C146DD"/>
    <w:rsid w:val="00C1476D"/>
    <w:rsid w:val="00C14A36"/>
    <w:rsid w:val="00C14BA0"/>
    <w:rsid w:val="00C15C72"/>
    <w:rsid w:val="00C15FDC"/>
    <w:rsid w:val="00C1773D"/>
    <w:rsid w:val="00C17D5A"/>
    <w:rsid w:val="00C20CBE"/>
    <w:rsid w:val="00C212A5"/>
    <w:rsid w:val="00C230B3"/>
    <w:rsid w:val="00C2464F"/>
    <w:rsid w:val="00C25092"/>
    <w:rsid w:val="00C2573B"/>
    <w:rsid w:val="00C26D78"/>
    <w:rsid w:val="00C2799C"/>
    <w:rsid w:val="00C27E9B"/>
    <w:rsid w:val="00C30C7D"/>
    <w:rsid w:val="00C30F78"/>
    <w:rsid w:val="00C31E27"/>
    <w:rsid w:val="00C32184"/>
    <w:rsid w:val="00C33A0F"/>
    <w:rsid w:val="00C34FC3"/>
    <w:rsid w:val="00C35419"/>
    <w:rsid w:val="00C35D5B"/>
    <w:rsid w:val="00C35E07"/>
    <w:rsid w:val="00C4069B"/>
    <w:rsid w:val="00C44928"/>
    <w:rsid w:val="00C44B1D"/>
    <w:rsid w:val="00C44BF8"/>
    <w:rsid w:val="00C4580B"/>
    <w:rsid w:val="00C45EFB"/>
    <w:rsid w:val="00C46A75"/>
    <w:rsid w:val="00C521CF"/>
    <w:rsid w:val="00C529A6"/>
    <w:rsid w:val="00C53E30"/>
    <w:rsid w:val="00C53EBE"/>
    <w:rsid w:val="00C57557"/>
    <w:rsid w:val="00C61249"/>
    <w:rsid w:val="00C6140C"/>
    <w:rsid w:val="00C61677"/>
    <w:rsid w:val="00C62A23"/>
    <w:rsid w:val="00C63F35"/>
    <w:rsid w:val="00C641EB"/>
    <w:rsid w:val="00C64BA5"/>
    <w:rsid w:val="00C664BD"/>
    <w:rsid w:val="00C66BC9"/>
    <w:rsid w:val="00C70641"/>
    <w:rsid w:val="00C72ECD"/>
    <w:rsid w:val="00C7379C"/>
    <w:rsid w:val="00C74BA5"/>
    <w:rsid w:val="00C7541E"/>
    <w:rsid w:val="00C75584"/>
    <w:rsid w:val="00C75DF9"/>
    <w:rsid w:val="00C768EF"/>
    <w:rsid w:val="00C76929"/>
    <w:rsid w:val="00C76E61"/>
    <w:rsid w:val="00C76F62"/>
    <w:rsid w:val="00C77B36"/>
    <w:rsid w:val="00C81770"/>
    <w:rsid w:val="00C81FD9"/>
    <w:rsid w:val="00C820E1"/>
    <w:rsid w:val="00C82251"/>
    <w:rsid w:val="00C82C65"/>
    <w:rsid w:val="00C83637"/>
    <w:rsid w:val="00C841B5"/>
    <w:rsid w:val="00C84D9D"/>
    <w:rsid w:val="00C855F3"/>
    <w:rsid w:val="00C870D3"/>
    <w:rsid w:val="00C90344"/>
    <w:rsid w:val="00C90EBD"/>
    <w:rsid w:val="00C91569"/>
    <w:rsid w:val="00C93AF9"/>
    <w:rsid w:val="00C93CFA"/>
    <w:rsid w:val="00C949BF"/>
    <w:rsid w:val="00C95468"/>
    <w:rsid w:val="00C95520"/>
    <w:rsid w:val="00C963FD"/>
    <w:rsid w:val="00C97740"/>
    <w:rsid w:val="00CA0B7C"/>
    <w:rsid w:val="00CA1D09"/>
    <w:rsid w:val="00CA212F"/>
    <w:rsid w:val="00CA509D"/>
    <w:rsid w:val="00CA524E"/>
    <w:rsid w:val="00CA5351"/>
    <w:rsid w:val="00CA5E81"/>
    <w:rsid w:val="00CA6096"/>
    <w:rsid w:val="00CA60C7"/>
    <w:rsid w:val="00CA76ED"/>
    <w:rsid w:val="00CA77DE"/>
    <w:rsid w:val="00CB3865"/>
    <w:rsid w:val="00CB4D12"/>
    <w:rsid w:val="00CB55E7"/>
    <w:rsid w:val="00CB6449"/>
    <w:rsid w:val="00CB6EF8"/>
    <w:rsid w:val="00CB7AF7"/>
    <w:rsid w:val="00CB7BDF"/>
    <w:rsid w:val="00CC0198"/>
    <w:rsid w:val="00CC0ADD"/>
    <w:rsid w:val="00CC258C"/>
    <w:rsid w:val="00CC2804"/>
    <w:rsid w:val="00CC37ED"/>
    <w:rsid w:val="00CC3822"/>
    <w:rsid w:val="00CC551C"/>
    <w:rsid w:val="00CC5742"/>
    <w:rsid w:val="00CC6E18"/>
    <w:rsid w:val="00CC7167"/>
    <w:rsid w:val="00CC7F29"/>
    <w:rsid w:val="00CD1305"/>
    <w:rsid w:val="00CD1765"/>
    <w:rsid w:val="00CD2A45"/>
    <w:rsid w:val="00CD3900"/>
    <w:rsid w:val="00CD49E6"/>
    <w:rsid w:val="00CD63A2"/>
    <w:rsid w:val="00CE0248"/>
    <w:rsid w:val="00CE0C91"/>
    <w:rsid w:val="00CE1027"/>
    <w:rsid w:val="00CE3805"/>
    <w:rsid w:val="00CE4DA4"/>
    <w:rsid w:val="00CE5119"/>
    <w:rsid w:val="00CE5578"/>
    <w:rsid w:val="00CE620F"/>
    <w:rsid w:val="00CE6CB5"/>
    <w:rsid w:val="00CE708C"/>
    <w:rsid w:val="00CE7B4E"/>
    <w:rsid w:val="00CF0978"/>
    <w:rsid w:val="00CF13EF"/>
    <w:rsid w:val="00CF2CCD"/>
    <w:rsid w:val="00CF38DD"/>
    <w:rsid w:val="00CF664A"/>
    <w:rsid w:val="00CF7BE9"/>
    <w:rsid w:val="00D006C0"/>
    <w:rsid w:val="00D00F52"/>
    <w:rsid w:val="00D01762"/>
    <w:rsid w:val="00D033C3"/>
    <w:rsid w:val="00D034FB"/>
    <w:rsid w:val="00D03845"/>
    <w:rsid w:val="00D051AA"/>
    <w:rsid w:val="00D05C7A"/>
    <w:rsid w:val="00D0624B"/>
    <w:rsid w:val="00D065B3"/>
    <w:rsid w:val="00D0725B"/>
    <w:rsid w:val="00D0751C"/>
    <w:rsid w:val="00D10094"/>
    <w:rsid w:val="00D11242"/>
    <w:rsid w:val="00D11590"/>
    <w:rsid w:val="00D1198D"/>
    <w:rsid w:val="00D11D28"/>
    <w:rsid w:val="00D1227A"/>
    <w:rsid w:val="00D1299F"/>
    <w:rsid w:val="00D12B49"/>
    <w:rsid w:val="00D137E6"/>
    <w:rsid w:val="00D15340"/>
    <w:rsid w:val="00D15346"/>
    <w:rsid w:val="00D1556A"/>
    <w:rsid w:val="00D170B7"/>
    <w:rsid w:val="00D1721E"/>
    <w:rsid w:val="00D17600"/>
    <w:rsid w:val="00D21B6D"/>
    <w:rsid w:val="00D21F4D"/>
    <w:rsid w:val="00D22AFB"/>
    <w:rsid w:val="00D24B31"/>
    <w:rsid w:val="00D26768"/>
    <w:rsid w:val="00D26CD4"/>
    <w:rsid w:val="00D270C8"/>
    <w:rsid w:val="00D27E08"/>
    <w:rsid w:val="00D303CE"/>
    <w:rsid w:val="00D318AE"/>
    <w:rsid w:val="00D31D64"/>
    <w:rsid w:val="00D334C0"/>
    <w:rsid w:val="00D341B0"/>
    <w:rsid w:val="00D342DE"/>
    <w:rsid w:val="00D3554D"/>
    <w:rsid w:val="00D36726"/>
    <w:rsid w:val="00D37223"/>
    <w:rsid w:val="00D3773D"/>
    <w:rsid w:val="00D40039"/>
    <w:rsid w:val="00D40B14"/>
    <w:rsid w:val="00D40E14"/>
    <w:rsid w:val="00D42CFF"/>
    <w:rsid w:val="00D44A46"/>
    <w:rsid w:val="00D465CE"/>
    <w:rsid w:val="00D4740A"/>
    <w:rsid w:val="00D47C92"/>
    <w:rsid w:val="00D51740"/>
    <w:rsid w:val="00D52162"/>
    <w:rsid w:val="00D5270E"/>
    <w:rsid w:val="00D53AB2"/>
    <w:rsid w:val="00D54184"/>
    <w:rsid w:val="00D54ACB"/>
    <w:rsid w:val="00D553E9"/>
    <w:rsid w:val="00D555AB"/>
    <w:rsid w:val="00D56746"/>
    <w:rsid w:val="00D56CC0"/>
    <w:rsid w:val="00D56D54"/>
    <w:rsid w:val="00D60617"/>
    <w:rsid w:val="00D61B9C"/>
    <w:rsid w:val="00D62D36"/>
    <w:rsid w:val="00D630A9"/>
    <w:rsid w:val="00D63B65"/>
    <w:rsid w:val="00D66F9E"/>
    <w:rsid w:val="00D67333"/>
    <w:rsid w:val="00D674BE"/>
    <w:rsid w:val="00D720C3"/>
    <w:rsid w:val="00D72A82"/>
    <w:rsid w:val="00D72B85"/>
    <w:rsid w:val="00D73F45"/>
    <w:rsid w:val="00D74153"/>
    <w:rsid w:val="00D74340"/>
    <w:rsid w:val="00D7537E"/>
    <w:rsid w:val="00D77667"/>
    <w:rsid w:val="00D81EBD"/>
    <w:rsid w:val="00D83C09"/>
    <w:rsid w:val="00D83C8B"/>
    <w:rsid w:val="00D843B6"/>
    <w:rsid w:val="00D845FB"/>
    <w:rsid w:val="00D84CFF"/>
    <w:rsid w:val="00D854A0"/>
    <w:rsid w:val="00D85DF1"/>
    <w:rsid w:val="00D863CC"/>
    <w:rsid w:val="00D91157"/>
    <w:rsid w:val="00D912EF"/>
    <w:rsid w:val="00D924CA"/>
    <w:rsid w:val="00D958CE"/>
    <w:rsid w:val="00D95D40"/>
    <w:rsid w:val="00D9644D"/>
    <w:rsid w:val="00D9658F"/>
    <w:rsid w:val="00D976B4"/>
    <w:rsid w:val="00DA001D"/>
    <w:rsid w:val="00DA1454"/>
    <w:rsid w:val="00DA1BEF"/>
    <w:rsid w:val="00DA21A5"/>
    <w:rsid w:val="00DA2D22"/>
    <w:rsid w:val="00DA3131"/>
    <w:rsid w:val="00DA4963"/>
    <w:rsid w:val="00DA4B26"/>
    <w:rsid w:val="00DA54F3"/>
    <w:rsid w:val="00DA641D"/>
    <w:rsid w:val="00DA6A6C"/>
    <w:rsid w:val="00DB0992"/>
    <w:rsid w:val="00DB1FFD"/>
    <w:rsid w:val="00DB2357"/>
    <w:rsid w:val="00DB2A9E"/>
    <w:rsid w:val="00DB3A65"/>
    <w:rsid w:val="00DB3EA4"/>
    <w:rsid w:val="00DB5546"/>
    <w:rsid w:val="00DB73C2"/>
    <w:rsid w:val="00DC10BC"/>
    <w:rsid w:val="00DC2D09"/>
    <w:rsid w:val="00DC48F3"/>
    <w:rsid w:val="00DC5301"/>
    <w:rsid w:val="00DC5D26"/>
    <w:rsid w:val="00DC7A4A"/>
    <w:rsid w:val="00DD30B6"/>
    <w:rsid w:val="00DD375F"/>
    <w:rsid w:val="00DD480F"/>
    <w:rsid w:val="00DD4B8A"/>
    <w:rsid w:val="00DD4EBD"/>
    <w:rsid w:val="00DD51AF"/>
    <w:rsid w:val="00DD6FAB"/>
    <w:rsid w:val="00DD72F2"/>
    <w:rsid w:val="00DE1302"/>
    <w:rsid w:val="00DE1AFF"/>
    <w:rsid w:val="00DE1C08"/>
    <w:rsid w:val="00DE2FCD"/>
    <w:rsid w:val="00DE5E57"/>
    <w:rsid w:val="00DE7236"/>
    <w:rsid w:val="00DF24AA"/>
    <w:rsid w:val="00DF2B8C"/>
    <w:rsid w:val="00DF5D4A"/>
    <w:rsid w:val="00DF7E49"/>
    <w:rsid w:val="00E001F9"/>
    <w:rsid w:val="00E006A0"/>
    <w:rsid w:val="00E00D26"/>
    <w:rsid w:val="00E032D1"/>
    <w:rsid w:val="00E040DF"/>
    <w:rsid w:val="00E0467B"/>
    <w:rsid w:val="00E064F8"/>
    <w:rsid w:val="00E07543"/>
    <w:rsid w:val="00E1028E"/>
    <w:rsid w:val="00E111EA"/>
    <w:rsid w:val="00E118A8"/>
    <w:rsid w:val="00E11AC6"/>
    <w:rsid w:val="00E11AE8"/>
    <w:rsid w:val="00E1211C"/>
    <w:rsid w:val="00E127F2"/>
    <w:rsid w:val="00E12A6D"/>
    <w:rsid w:val="00E130DF"/>
    <w:rsid w:val="00E13689"/>
    <w:rsid w:val="00E14AA9"/>
    <w:rsid w:val="00E154B0"/>
    <w:rsid w:val="00E1742E"/>
    <w:rsid w:val="00E204A2"/>
    <w:rsid w:val="00E2179C"/>
    <w:rsid w:val="00E2249E"/>
    <w:rsid w:val="00E240A1"/>
    <w:rsid w:val="00E254E8"/>
    <w:rsid w:val="00E258EE"/>
    <w:rsid w:val="00E2693D"/>
    <w:rsid w:val="00E27F3B"/>
    <w:rsid w:val="00E3068A"/>
    <w:rsid w:val="00E30B03"/>
    <w:rsid w:val="00E31CD6"/>
    <w:rsid w:val="00E3202D"/>
    <w:rsid w:val="00E32786"/>
    <w:rsid w:val="00E35C64"/>
    <w:rsid w:val="00E36014"/>
    <w:rsid w:val="00E3608E"/>
    <w:rsid w:val="00E4278C"/>
    <w:rsid w:val="00E42BD5"/>
    <w:rsid w:val="00E43780"/>
    <w:rsid w:val="00E442E9"/>
    <w:rsid w:val="00E44DB0"/>
    <w:rsid w:val="00E45D8D"/>
    <w:rsid w:val="00E463DE"/>
    <w:rsid w:val="00E475B3"/>
    <w:rsid w:val="00E47674"/>
    <w:rsid w:val="00E50265"/>
    <w:rsid w:val="00E51922"/>
    <w:rsid w:val="00E522E6"/>
    <w:rsid w:val="00E52A24"/>
    <w:rsid w:val="00E52C11"/>
    <w:rsid w:val="00E5333C"/>
    <w:rsid w:val="00E535B0"/>
    <w:rsid w:val="00E539A5"/>
    <w:rsid w:val="00E5436B"/>
    <w:rsid w:val="00E5485D"/>
    <w:rsid w:val="00E54F15"/>
    <w:rsid w:val="00E5773E"/>
    <w:rsid w:val="00E60041"/>
    <w:rsid w:val="00E6263C"/>
    <w:rsid w:val="00E65970"/>
    <w:rsid w:val="00E65C85"/>
    <w:rsid w:val="00E65E57"/>
    <w:rsid w:val="00E65F87"/>
    <w:rsid w:val="00E66CDC"/>
    <w:rsid w:val="00E71856"/>
    <w:rsid w:val="00E726E2"/>
    <w:rsid w:val="00E72C1F"/>
    <w:rsid w:val="00E73D37"/>
    <w:rsid w:val="00E75523"/>
    <w:rsid w:val="00E75691"/>
    <w:rsid w:val="00E76F5A"/>
    <w:rsid w:val="00E7734C"/>
    <w:rsid w:val="00E77A8A"/>
    <w:rsid w:val="00E801AE"/>
    <w:rsid w:val="00E801F2"/>
    <w:rsid w:val="00E80DBF"/>
    <w:rsid w:val="00E8185D"/>
    <w:rsid w:val="00E81C2E"/>
    <w:rsid w:val="00E82F29"/>
    <w:rsid w:val="00E832C0"/>
    <w:rsid w:val="00E84958"/>
    <w:rsid w:val="00E862B6"/>
    <w:rsid w:val="00E86E83"/>
    <w:rsid w:val="00E87CA9"/>
    <w:rsid w:val="00E90CA9"/>
    <w:rsid w:val="00E93883"/>
    <w:rsid w:val="00E941BD"/>
    <w:rsid w:val="00E94E87"/>
    <w:rsid w:val="00E9690E"/>
    <w:rsid w:val="00EA1889"/>
    <w:rsid w:val="00EA3F89"/>
    <w:rsid w:val="00EA4A10"/>
    <w:rsid w:val="00EA4B55"/>
    <w:rsid w:val="00EA714C"/>
    <w:rsid w:val="00EA7578"/>
    <w:rsid w:val="00EA7B0F"/>
    <w:rsid w:val="00EA7C27"/>
    <w:rsid w:val="00EA7F04"/>
    <w:rsid w:val="00EA7F43"/>
    <w:rsid w:val="00EB2C36"/>
    <w:rsid w:val="00EB3E6F"/>
    <w:rsid w:val="00EB40DC"/>
    <w:rsid w:val="00EB461D"/>
    <w:rsid w:val="00EB4E47"/>
    <w:rsid w:val="00EB6984"/>
    <w:rsid w:val="00EB7257"/>
    <w:rsid w:val="00EB7310"/>
    <w:rsid w:val="00EB7689"/>
    <w:rsid w:val="00EB7691"/>
    <w:rsid w:val="00EC00DC"/>
    <w:rsid w:val="00EC1564"/>
    <w:rsid w:val="00EC1567"/>
    <w:rsid w:val="00EC16F0"/>
    <w:rsid w:val="00EC45FC"/>
    <w:rsid w:val="00EC4EE8"/>
    <w:rsid w:val="00EC5F9C"/>
    <w:rsid w:val="00ED0EE9"/>
    <w:rsid w:val="00ED1CD1"/>
    <w:rsid w:val="00ED478C"/>
    <w:rsid w:val="00ED6CA6"/>
    <w:rsid w:val="00ED7A55"/>
    <w:rsid w:val="00EE1483"/>
    <w:rsid w:val="00EE14B7"/>
    <w:rsid w:val="00EE4D13"/>
    <w:rsid w:val="00EE7216"/>
    <w:rsid w:val="00EE7A4C"/>
    <w:rsid w:val="00EF0556"/>
    <w:rsid w:val="00EF0693"/>
    <w:rsid w:val="00EF3BE3"/>
    <w:rsid w:val="00EF3CE6"/>
    <w:rsid w:val="00EF6EAE"/>
    <w:rsid w:val="00EF79A3"/>
    <w:rsid w:val="00EF7BC6"/>
    <w:rsid w:val="00F0303D"/>
    <w:rsid w:val="00F03F5E"/>
    <w:rsid w:val="00F05D81"/>
    <w:rsid w:val="00F06541"/>
    <w:rsid w:val="00F0665D"/>
    <w:rsid w:val="00F06BD6"/>
    <w:rsid w:val="00F06C6D"/>
    <w:rsid w:val="00F07BF3"/>
    <w:rsid w:val="00F110EC"/>
    <w:rsid w:val="00F11BFC"/>
    <w:rsid w:val="00F1296D"/>
    <w:rsid w:val="00F13921"/>
    <w:rsid w:val="00F14525"/>
    <w:rsid w:val="00F146CE"/>
    <w:rsid w:val="00F157E0"/>
    <w:rsid w:val="00F15B05"/>
    <w:rsid w:val="00F176F6"/>
    <w:rsid w:val="00F20072"/>
    <w:rsid w:val="00F213FA"/>
    <w:rsid w:val="00F21BFC"/>
    <w:rsid w:val="00F2302B"/>
    <w:rsid w:val="00F240FD"/>
    <w:rsid w:val="00F269C2"/>
    <w:rsid w:val="00F279A7"/>
    <w:rsid w:val="00F27FD4"/>
    <w:rsid w:val="00F30635"/>
    <w:rsid w:val="00F306B9"/>
    <w:rsid w:val="00F30A2A"/>
    <w:rsid w:val="00F30D66"/>
    <w:rsid w:val="00F3249B"/>
    <w:rsid w:val="00F32C66"/>
    <w:rsid w:val="00F34FA0"/>
    <w:rsid w:val="00F350C4"/>
    <w:rsid w:val="00F35906"/>
    <w:rsid w:val="00F363DF"/>
    <w:rsid w:val="00F36418"/>
    <w:rsid w:val="00F37600"/>
    <w:rsid w:val="00F37CCA"/>
    <w:rsid w:val="00F41282"/>
    <w:rsid w:val="00F43345"/>
    <w:rsid w:val="00F43594"/>
    <w:rsid w:val="00F43713"/>
    <w:rsid w:val="00F440FE"/>
    <w:rsid w:val="00F45563"/>
    <w:rsid w:val="00F519F5"/>
    <w:rsid w:val="00F51F32"/>
    <w:rsid w:val="00F5548A"/>
    <w:rsid w:val="00F556A0"/>
    <w:rsid w:val="00F55A4C"/>
    <w:rsid w:val="00F55C8E"/>
    <w:rsid w:val="00F57692"/>
    <w:rsid w:val="00F57772"/>
    <w:rsid w:val="00F6190A"/>
    <w:rsid w:val="00F6389A"/>
    <w:rsid w:val="00F6442D"/>
    <w:rsid w:val="00F65ACF"/>
    <w:rsid w:val="00F66192"/>
    <w:rsid w:val="00F66261"/>
    <w:rsid w:val="00F70D7D"/>
    <w:rsid w:val="00F71B89"/>
    <w:rsid w:val="00F72427"/>
    <w:rsid w:val="00F72E52"/>
    <w:rsid w:val="00F73144"/>
    <w:rsid w:val="00F734E7"/>
    <w:rsid w:val="00F751EA"/>
    <w:rsid w:val="00F75372"/>
    <w:rsid w:val="00F75639"/>
    <w:rsid w:val="00F771DC"/>
    <w:rsid w:val="00F7745B"/>
    <w:rsid w:val="00F82C23"/>
    <w:rsid w:val="00F83581"/>
    <w:rsid w:val="00F83CE2"/>
    <w:rsid w:val="00F83EF3"/>
    <w:rsid w:val="00F840F5"/>
    <w:rsid w:val="00F84A57"/>
    <w:rsid w:val="00F851AC"/>
    <w:rsid w:val="00F862E5"/>
    <w:rsid w:val="00F874EC"/>
    <w:rsid w:val="00F8750B"/>
    <w:rsid w:val="00F878ED"/>
    <w:rsid w:val="00F909F2"/>
    <w:rsid w:val="00F90DB5"/>
    <w:rsid w:val="00F9174B"/>
    <w:rsid w:val="00F938EC"/>
    <w:rsid w:val="00F944DD"/>
    <w:rsid w:val="00F946D0"/>
    <w:rsid w:val="00F9579B"/>
    <w:rsid w:val="00F95804"/>
    <w:rsid w:val="00F96BCB"/>
    <w:rsid w:val="00F9710F"/>
    <w:rsid w:val="00F9743D"/>
    <w:rsid w:val="00F9744B"/>
    <w:rsid w:val="00F9790F"/>
    <w:rsid w:val="00FA162C"/>
    <w:rsid w:val="00FA236E"/>
    <w:rsid w:val="00FA2DD5"/>
    <w:rsid w:val="00FA3995"/>
    <w:rsid w:val="00FA3FA8"/>
    <w:rsid w:val="00FA5852"/>
    <w:rsid w:val="00FA5A35"/>
    <w:rsid w:val="00FA5CE9"/>
    <w:rsid w:val="00FA6170"/>
    <w:rsid w:val="00FB1AF2"/>
    <w:rsid w:val="00FB1FE5"/>
    <w:rsid w:val="00FB24E9"/>
    <w:rsid w:val="00FB2FE8"/>
    <w:rsid w:val="00FB4A19"/>
    <w:rsid w:val="00FB54E5"/>
    <w:rsid w:val="00FB5E12"/>
    <w:rsid w:val="00FC0DB3"/>
    <w:rsid w:val="00FC458D"/>
    <w:rsid w:val="00FC6409"/>
    <w:rsid w:val="00FC6FC4"/>
    <w:rsid w:val="00FC7541"/>
    <w:rsid w:val="00FD1764"/>
    <w:rsid w:val="00FD260D"/>
    <w:rsid w:val="00FD2D31"/>
    <w:rsid w:val="00FD3573"/>
    <w:rsid w:val="00FD3B55"/>
    <w:rsid w:val="00FD4678"/>
    <w:rsid w:val="00FD525A"/>
    <w:rsid w:val="00FD6485"/>
    <w:rsid w:val="00FD70AA"/>
    <w:rsid w:val="00FD7329"/>
    <w:rsid w:val="00FD7D31"/>
    <w:rsid w:val="00FE1EDA"/>
    <w:rsid w:val="00FE243A"/>
    <w:rsid w:val="00FE3B96"/>
    <w:rsid w:val="00FE3EE0"/>
    <w:rsid w:val="00FE4A9A"/>
    <w:rsid w:val="00FE4F72"/>
    <w:rsid w:val="00FE64B7"/>
    <w:rsid w:val="00FE714E"/>
    <w:rsid w:val="00FF012D"/>
    <w:rsid w:val="00FF2849"/>
    <w:rsid w:val="00FF2DCA"/>
    <w:rsid w:val="00FF51B8"/>
    <w:rsid w:val="00FF5309"/>
    <w:rsid w:val="00FF5C44"/>
    <w:rsid w:val="00FF61B7"/>
    <w:rsid w:val="00FF7424"/>
    <w:rsid w:val="00FF74AE"/>
    <w:rsid w:val="00FF77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6EE20"/>
  <w15:chartTrackingRefBased/>
  <w15:docId w15:val="{E66ECE23-889D-4781-80A8-FC0624D3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9B3"/>
    <w:pPr>
      <w:widowControl w:val="0"/>
      <w:jc w:val="both"/>
    </w:pPr>
    <w:rPr>
      <w:lang w:val="en-GB"/>
    </w:rPr>
  </w:style>
  <w:style w:type="paragraph" w:styleId="1">
    <w:name w:val="heading 1"/>
    <w:basedOn w:val="a"/>
    <w:link w:val="10"/>
    <w:uiPriority w:val="9"/>
    <w:qFormat/>
    <w:rsid w:val="002521F0"/>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unhideWhenUsed/>
    <w:qFormat/>
    <w:rsid w:val="002C4F3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1819"/>
    <w:pPr>
      <w:ind w:leftChars="400" w:left="840"/>
    </w:pPr>
  </w:style>
  <w:style w:type="paragraph" w:styleId="a4">
    <w:name w:val="footnote text"/>
    <w:basedOn w:val="a"/>
    <w:link w:val="a5"/>
    <w:semiHidden/>
    <w:rsid w:val="002D1121"/>
    <w:pPr>
      <w:snapToGrid w:val="0"/>
      <w:jc w:val="left"/>
    </w:pPr>
    <w:rPr>
      <w:rFonts w:ascii="Century" w:eastAsia="ＭＳ 明朝" w:hAnsi="Century" w:cs="Times New Roman"/>
      <w:szCs w:val="24"/>
    </w:rPr>
  </w:style>
  <w:style w:type="character" w:customStyle="1" w:styleId="a5">
    <w:name w:val="脚注文字列 (文字)"/>
    <w:basedOn w:val="a0"/>
    <w:link w:val="a4"/>
    <w:semiHidden/>
    <w:rsid w:val="002D1121"/>
    <w:rPr>
      <w:rFonts w:ascii="Century" w:eastAsia="ＭＳ 明朝" w:hAnsi="Century" w:cs="Times New Roman"/>
      <w:szCs w:val="24"/>
      <w:lang w:val="en-GB"/>
    </w:rPr>
  </w:style>
  <w:style w:type="paragraph" w:styleId="a6">
    <w:name w:val="header"/>
    <w:basedOn w:val="a"/>
    <w:link w:val="a7"/>
    <w:uiPriority w:val="99"/>
    <w:unhideWhenUsed/>
    <w:rsid w:val="00756808"/>
    <w:pPr>
      <w:tabs>
        <w:tab w:val="center" w:pos="4252"/>
        <w:tab w:val="right" w:pos="8504"/>
      </w:tabs>
      <w:snapToGrid w:val="0"/>
    </w:pPr>
  </w:style>
  <w:style w:type="character" w:customStyle="1" w:styleId="a7">
    <w:name w:val="ヘッダー (文字)"/>
    <w:basedOn w:val="a0"/>
    <w:link w:val="a6"/>
    <w:uiPriority w:val="99"/>
    <w:rsid w:val="00756808"/>
  </w:style>
  <w:style w:type="paragraph" w:styleId="a8">
    <w:name w:val="footer"/>
    <w:basedOn w:val="a"/>
    <w:link w:val="a9"/>
    <w:uiPriority w:val="99"/>
    <w:unhideWhenUsed/>
    <w:rsid w:val="00756808"/>
    <w:pPr>
      <w:tabs>
        <w:tab w:val="center" w:pos="4252"/>
        <w:tab w:val="right" w:pos="8504"/>
      </w:tabs>
      <w:snapToGrid w:val="0"/>
    </w:pPr>
  </w:style>
  <w:style w:type="character" w:customStyle="1" w:styleId="a9">
    <w:name w:val="フッター (文字)"/>
    <w:basedOn w:val="a0"/>
    <w:link w:val="a8"/>
    <w:uiPriority w:val="99"/>
    <w:rsid w:val="00756808"/>
  </w:style>
  <w:style w:type="character" w:styleId="aa">
    <w:name w:val="footnote reference"/>
    <w:basedOn w:val="a0"/>
    <w:semiHidden/>
    <w:unhideWhenUsed/>
    <w:rsid w:val="00E4278C"/>
    <w:rPr>
      <w:vertAlign w:val="superscript"/>
    </w:rPr>
  </w:style>
  <w:style w:type="character" w:customStyle="1" w:styleId="10">
    <w:name w:val="見出し 1 (文字)"/>
    <w:basedOn w:val="a0"/>
    <w:link w:val="1"/>
    <w:uiPriority w:val="9"/>
    <w:rsid w:val="002521F0"/>
    <w:rPr>
      <w:rFonts w:ascii="ＭＳ Ｐゴシック" w:eastAsia="ＭＳ Ｐゴシック" w:hAnsi="ＭＳ Ｐゴシック" w:cs="ＭＳ Ｐゴシック"/>
      <w:b/>
      <w:bCs/>
      <w:kern w:val="36"/>
      <w:sz w:val="48"/>
      <w:szCs w:val="48"/>
    </w:rPr>
  </w:style>
  <w:style w:type="character" w:customStyle="1" w:styleId="text">
    <w:name w:val="text"/>
    <w:basedOn w:val="a0"/>
    <w:rsid w:val="002521F0"/>
  </w:style>
  <w:style w:type="character" w:styleId="ab">
    <w:name w:val="Emphasis"/>
    <w:basedOn w:val="a0"/>
    <w:uiPriority w:val="20"/>
    <w:qFormat/>
    <w:rsid w:val="001B326D"/>
    <w:rPr>
      <w:i/>
      <w:iCs/>
    </w:rPr>
  </w:style>
  <w:style w:type="character" w:styleId="ac">
    <w:name w:val="Hyperlink"/>
    <w:basedOn w:val="a0"/>
    <w:uiPriority w:val="99"/>
    <w:unhideWhenUsed/>
    <w:rsid w:val="00A06357"/>
    <w:rPr>
      <w:color w:val="0000FF"/>
      <w:u w:val="single"/>
    </w:rPr>
  </w:style>
  <w:style w:type="character" w:customStyle="1" w:styleId="gscah">
    <w:name w:val="gsc_a_h"/>
    <w:basedOn w:val="a0"/>
    <w:rsid w:val="00A06357"/>
  </w:style>
  <w:style w:type="paragraph" w:styleId="Web">
    <w:name w:val="Normal (Web)"/>
    <w:basedOn w:val="a"/>
    <w:uiPriority w:val="99"/>
    <w:semiHidden/>
    <w:unhideWhenUsed/>
    <w:rsid w:val="00F771DC"/>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rPr>
  </w:style>
  <w:style w:type="character" w:styleId="ad">
    <w:name w:val="Unresolved Mention"/>
    <w:basedOn w:val="a0"/>
    <w:uiPriority w:val="99"/>
    <w:semiHidden/>
    <w:unhideWhenUsed/>
    <w:rsid w:val="001A0E11"/>
    <w:rPr>
      <w:color w:val="605E5C"/>
      <w:shd w:val="clear" w:color="auto" w:fill="E1DFDD"/>
    </w:rPr>
  </w:style>
  <w:style w:type="character" w:customStyle="1" w:styleId="muxgbd">
    <w:name w:val="muxgbd"/>
    <w:basedOn w:val="a0"/>
    <w:rsid w:val="00B76A71"/>
  </w:style>
  <w:style w:type="character" w:customStyle="1" w:styleId="italic">
    <w:name w:val="italic"/>
    <w:basedOn w:val="a0"/>
    <w:rsid w:val="00660400"/>
  </w:style>
  <w:style w:type="paragraph" w:styleId="ae">
    <w:name w:val="Body Text"/>
    <w:basedOn w:val="a"/>
    <w:link w:val="af"/>
    <w:rsid w:val="008B726F"/>
    <w:pPr>
      <w:widowControl/>
      <w:jc w:val="left"/>
    </w:pPr>
    <w:rPr>
      <w:rFonts w:ascii="Times New Roman" w:eastAsia="游明朝" w:hAnsi="Times New Roman" w:cs="Times New Roman"/>
      <w:i/>
      <w:iCs/>
      <w:kern w:val="0"/>
      <w:sz w:val="28"/>
      <w:szCs w:val="28"/>
      <w:lang w:val="en-US" w:eastAsia="he-IL" w:bidi="he-IL"/>
    </w:rPr>
  </w:style>
  <w:style w:type="character" w:customStyle="1" w:styleId="af">
    <w:name w:val="本文 (文字)"/>
    <w:basedOn w:val="a0"/>
    <w:link w:val="ae"/>
    <w:rsid w:val="008B726F"/>
    <w:rPr>
      <w:rFonts w:ascii="Times New Roman" w:eastAsia="游明朝" w:hAnsi="Times New Roman" w:cs="Times New Roman"/>
      <w:i/>
      <w:iCs/>
      <w:kern w:val="0"/>
      <w:sz w:val="28"/>
      <w:szCs w:val="28"/>
      <w:lang w:eastAsia="he-IL" w:bidi="he-IL"/>
    </w:rPr>
  </w:style>
  <w:style w:type="character" w:styleId="af0">
    <w:name w:val="Strong"/>
    <w:basedOn w:val="a0"/>
    <w:uiPriority w:val="22"/>
    <w:qFormat/>
    <w:rsid w:val="005005EC"/>
    <w:rPr>
      <w:b/>
      <w:bCs/>
    </w:rPr>
  </w:style>
  <w:style w:type="character" w:styleId="af1">
    <w:name w:val="annotation reference"/>
    <w:basedOn w:val="a0"/>
    <w:uiPriority w:val="99"/>
    <w:semiHidden/>
    <w:unhideWhenUsed/>
    <w:rsid w:val="00D0725B"/>
    <w:rPr>
      <w:sz w:val="16"/>
      <w:szCs w:val="16"/>
    </w:rPr>
  </w:style>
  <w:style w:type="paragraph" w:styleId="af2">
    <w:name w:val="annotation text"/>
    <w:basedOn w:val="a"/>
    <w:link w:val="af3"/>
    <w:uiPriority w:val="99"/>
    <w:semiHidden/>
    <w:unhideWhenUsed/>
    <w:rsid w:val="00D0725B"/>
    <w:rPr>
      <w:sz w:val="20"/>
      <w:szCs w:val="20"/>
    </w:rPr>
  </w:style>
  <w:style w:type="character" w:customStyle="1" w:styleId="af3">
    <w:name w:val="コメント文字列 (文字)"/>
    <w:basedOn w:val="a0"/>
    <w:link w:val="af2"/>
    <w:uiPriority w:val="99"/>
    <w:semiHidden/>
    <w:rsid w:val="00D0725B"/>
    <w:rPr>
      <w:sz w:val="20"/>
      <w:szCs w:val="20"/>
      <w:lang w:val="en-GB"/>
    </w:rPr>
  </w:style>
  <w:style w:type="paragraph" w:styleId="af4">
    <w:name w:val="annotation subject"/>
    <w:basedOn w:val="af2"/>
    <w:next w:val="af2"/>
    <w:link w:val="af5"/>
    <w:uiPriority w:val="99"/>
    <w:semiHidden/>
    <w:unhideWhenUsed/>
    <w:rsid w:val="00D0725B"/>
    <w:rPr>
      <w:b/>
      <w:bCs/>
    </w:rPr>
  </w:style>
  <w:style w:type="character" w:customStyle="1" w:styleId="af5">
    <w:name w:val="コメント内容 (文字)"/>
    <w:basedOn w:val="af3"/>
    <w:link w:val="af4"/>
    <w:uiPriority w:val="99"/>
    <w:semiHidden/>
    <w:rsid w:val="00D0725B"/>
    <w:rPr>
      <w:b/>
      <w:bCs/>
      <w:sz w:val="20"/>
      <w:szCs w:val="20"/>
      <w:lang w:val="en-GB"/>
    </w:rPr>
  </w:style>
  <w:style w:type="paragraph" w:styleId="af6">
    <w:name w:val="Balloon Text"/>
    <w:basedOn w:val="a"/>
    <w:link w:val="af7"/>
    <w:uiPriority w:val="99"/>
    <w:semiHidden/>
    <w:unhideWhenUsed/>
    <w:rsid w:val="00D0725B"/>
    <w:rPr>
      <w:rFonts w:ascii="Times New Roman" w:hAnsi="Times New Roman" w:cs="Times New Roman"/>
      <w:sz w:val="18"/>
      <w:szCs w:val="18"/>
    </w:rPr>
  </w:style>
  <w:style w:type="character" w:customStyle="1" w:styleId="af7">
    <w:name w:val="吹き出し (文字)"/>
    <w:basedOn w:val="a0"/>
    <w:link w:val="af6"/>
    <w:uiPriority w:val="99"/>
    <w:semiHidden/>
    <w:rsid w:val="00D0725B"/>
    <w:rPr>
      <w:rFonts w:ascii="Times New Roman" w:hAnsi="Times New Roman" w:cs="Times New Roman"/>
      <w:sz w:val="18"/>
      <w:szCs w:val="18"/>
      <w:lang w:val="en-GB"/>
    </w:rPr>
  </w:style>
  <w:style w:type="paragraph" w:styleId="af8">
    <w:name w:val="Revision"/>
    <w:hidden/>
    <w:uiPriority w:val="99"/>
    <w:semiHidden/>
    <w:rsid w:val="00E76F5A"/>
    <w:rPr>
      <w:lang w:val="en-GB"/>
    </w:rPr>
  </w:style>
  <w:style w:type="paragraph" w:customStyle="1" w:styleId="s899b3e47">
    <w:name w:val="s899b3e47"/>
    <w:basedOn w:val="a"/>
    <w:rsid w:val="000A26A0"/>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rPr>
  </w:style>
  <w:style w:type="character" w:customStyle="1" w:styleId="s68f5eaef">
    <w:name w:val="s68f5eaef"/>
    <w:basedOn w:val="a0"/>
    <w:rsid w:val="000A26A0"/>
  </w:style>
  <w:style w:type="character" w:styleId="HTML">
    <w:name w:val="HTML Cite"/>
    <w:basedOn w:val="a0"/>
    <w:uiPriority w:val="99"/>
    <w:semiHidden/>
    <w:unhideWhenUsed/>
    <w:rsid w:val="00C75DF9"/>
    <w:rPr>
      <w:i/>
      <w:iCs/>
    </w:rPr>
  </w:style>
  <w:style w:type="paragraph" w:customStyle="1" w:styleId="pf0">
    <w:name w:val="pf0"/>
    <w:basedOn w:val="a"/>
    <w:rsid w:val="00885C84"/>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rPr>
  </w:style>
  <w:style w:type="character" w:customStyle="1" w:styleId="cf01">
    <w:name w:val="cf01"/>
    <w:basedOn w:val="a0"/>
    <w:rsid w:val="00885C84"/>
    <w:rPr>
      <w:rFonts w:ascii="Meiryo UI" w:eastAsia="Meiryo UI" w:hAnsi="Meiryo UI" w:hint="eastAsia"/>
      <w:sz w:val="18"/>
      <w:szCs w:val="18"/>
    </w:rPr>
  </w:style>
  <w:style w:type="character" w:customStyle="1" w:styleId="enumerator">
    <w:name w:val="enumerator"/>
    <w:basedOn w:val="a0"/>
    <w:rsid w:val="004A492B"/>
  </w:style>
  <w:style w:type="paragraph" w:customStyle="1" w:styleId="nova-legacy-e-listitem">
    <w:name w:val="nova-legacy-e-list__item"/>
    <w:basedOn w:val="a"/>
    <w:rsid w:val="00D674BE"/>
    <w:pPr>
      <w:widowControl/>
      <w:spacing w:before="100" w:beforeAutospacing="1" w:after="100" w:afterAutospacing="1"/>
      <w:jc w:val="left"/>
    </w:pPr>
    <w:rPr>
      <w:rFonts w:ascii="ＭＳ Ｐゴシック" w:eastAsia="ＭＳ Ｐゴシック" w:hAnsi="ＭＳ Ｐゴシック" w:cs="ＭＳ Ｐゴシック"/>
      <w:kern w:val="0"/>
      <w:sz w:val="24"/>
      <w:szCs w:val="24"/>
      <w:lang w:val="en-US"/>
    </w:rPr>
  </w:style>
  <w:style w:type="character" w:customStyle="1" w:styleId="a-size-extra-large">
    <w:name w:val="a-size-extra-large"/>
    <w:basedOn w:val="a0"/>
    <w:rsid w:val="00457848"/>
  </w:style>
  <w:style w:type="character" w:customStyle="1" w:styleId="20">
    <w:name w:val="見出し 2 (文字)"/>
    <w:basedOn w:val="a0"/>
    <w:link w:val="2"/>
    <w:uiPriority w:val="9"/>
    <w:rsid w:val="002C4F3F"/>
    <w:rPr>
      <w:rFonts w:asciiTheme="majorHAnsi" w:eastAsiaTheme="majorEastAsia" w:hAnsiTheme="majorHAnsi" w:cstheme="maj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85827">
      <w:bodyDiv w:val="1"/>
      <w:marLeft w:val="0"/>
      <w:marRight w:val="0"/>
      <w:marTop w:val="0"/>
      <w:marBottom w:val="0"/>
      <w:divBdr>
        <w:top w:val="none" w:sz="0" w:space="0" w:color="auto"/>
        <w:left w:val="none" w:sz="0" w:space="0" w:color="auto"/>
        <w:bottom w:val="none" w:sz="0" w:space="0" w:color="auto"/>
        <w:right w:val="none" w:sz="0" w:space="0" w:color="auto"/>
      </w:divBdr>
    </w:div>
    <w:div w:id="152453346">
      <w:bodyDiv w:val="1"/>
      <w:marLeft w:val="0"/>
      <w:marRight w:val="0"/>
      <w:marTop w:val="0"/>
      <w:marBottom w:val="0"/>
      <w:divBdr>
        <w:top w:val="none" w:sz="0" w:space="0" w:color="auto"/>
        <w:left w:val="none" w:sz="0" w:space="0" w:color="auto"/>
        <w:bottom w:val="none" w:sz="0" w:space="0" w:color="auto"/>
        <w:right w:val="none" w:sz="0" w:space="0" w:color="auto"/>
      </w:divBdr>
    </w:div>
    <w:div w:id="216820912">
      <w:bodyDiv w:val="1"/>
      <w:marLeft w:val="0"/>
      <w:marRight w:val="0"/>
      <w:marTop w:val="0"/>
      <w:marBottom w:val="0"/>
      <w:divBdr>
        <w:top w:val="none" w:sz="0" w:space="0" w:color="auto"/>
        <w:left w:val="none" w:sz="0" w:space="0" w:color="auto"/>
        <w:bottom w:val="none" w:sz="0" w:space="0" w:color="auto"/>
        <w:right w:val="none" w:sz="0" w:space="0" w:color="auto"/>
      </w:divBdr>
    </w:div>
    <w:div w:id="391077827">
      <w:bodyDiv w:val="1"/>
      <w:marLeft w:val="0"/>
      <w:marRight w:val="0"/>
      <w:marTop w:val="0"/>
      <w:marBottom w:val="0"/>
      <w:divBdr>
        <w:top w:val="none" w:sz="0" w:space="0" w:color="auto"/>
        <w:left w:val="none" w:sz="0" w:space="0" w:color="auto"/>
        <w:bottom w:val="none" w:sz="0" w:space="0" w:color="auto"/>
        <w:right w:val="none" w:sz="0" w:space="0" w:color="auto"/>
      </w:divBdr>
      <w:divsChild>
        <w:div w:id="860513145">
          <w:marLeft w:val="0"/>
          <w:marRight w:val="0"/>
          <w:marTop w:val="0"/>
          <w:marBottom w:val="0"/>
          <w:divBdr>
            <w:top w:val="none" w:sz="0" w:space="0" w:color="auto"/>
            <w:left w:val="none" w:sz="0" w:space="0" w:color="auto"/>
            <w:bottom w:val="none" w:sz="0" w:space="0" w:color="auto"/>
            <w:right w:val="none" w:sz="0" w:space="0" w:color="auto"/>
          </w:divBdr>
        </w:div>
        <w:div w:id="1412892723">
          <w:marLeft w:val="0"/>
          <w:marRight w:val="0"/>
          <w:marTop w:val="0"/>
          <w:marBottom w:val="0"/>
          <w:divBdr>
            <w:top w:val="none" w:sz="0" w:space="0" w:color="auto"/>
            <w:left w:val="none" w:sz="0" w:space="0" w:color="auto"/>
            <w:bottom w:val="none" w:sz="0" w:space="0" w:color="auto"/>
            <w:right w:val="none" w:sz="0" w:space="0" w:color="auto"/>
          </w:divBdr>
          <w:divsChild>
            <w:div w:id="74514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9245">
      <w:bodyDiv w:val="1"/>
      <w:marLeft w:val="0"/>
      <w:marRight w:val="0"/>
      <w:marTop w:val="0"/>
      <w:marBottom w:val="0"/>
      <w:divBdr>
        <w:top w:val="none" w:sz="0" w:space="0" w:color="auto"/>
        <w:left w:val="none" w:sz="0" w:space="0" w:color="auto"/>
        <w:bottom w:val="none" w:sz="0" w:space="0" w:color="auto"/>
        <w:right w:val="none" w:sz="0" w:space="0" w:color="auto"/>
      </w:divBdr>
    </w:div>
    <w:div w:id="665281200">
      <w:bodyDiv w:val="1"/>
      <w:marLeft w:val="0"/>
      <w:marRight w:val="0"/>
      <w:marTop w:val="0"/>
      <w:marBottom w:val="0"/>
      <w:divBdr>
        <w:top w:val="none" w:sz="0" w:space="0" w:color="auto"/>
        <w:left w:val="none" w:sz="0" w:space="0" w:color="auto"/>
        <w:bottom w:val="none" w:sz="0" w:space="0" w:color="auto"/>
        <w:right w:val="none" w:sz="0" w:space="0" w:color="auto"/>
      </w:divBdr>
    </w:div>
    <w:div w:id="815145122">
      <w:bodyDiv w:val="1"/>
      <w:marLeft w:val="0"/>
      <w:marRight w:val="0"/>
      <w:marTop w:val="0"/>
      <w:marBottom w:val="0"/>
      <w:divBdr>
        <w:top w:val="none" w:sz="0" w:space="0" w:color="auto"/>
        <w:left w:val="none" w:sz="0" w:space="0" w:color="auto"/>
        <w:bottom w:val="none" w:sz="0" w:space="0" w:color="auto"/>
        <w:right w:val="none" w:sz="0" w:space="0" w:color="auto"/>
      </w:divBdr>
    </w:div>
    <w:div w:id="858279320">
      <w:bodyDiv w:val="1"/>
      <w:marLeft w:val="0"/>
      <w:marRight w:val="0"/>
      <w:marTop w:val="0"/>
      <w:marBottom w:val="0"/>
      <w:divBdr>
        <w:top w:val="none" w:sz="0" w:space="0" w:color="auto"/>
        <w:left w:val="none" w:sz="0" w:space="0" w:color="auto"/>
        <w:bottom w:val="none" w:sz="0" w:space="0" w:color="auto"/>
        <w:right w:val="none" w:sz="0" w:space="0" w:color="auto"/>
      </w:divBdr>
    </w:div>
    <w:div w:id="1206210782">
      <w:bodyDiv w:val="1"/>
      <w:marLeft w:val="0"/>
      <w:marRight w:val="0"/>
      <w:marTop w:val="0"/>
      <w:marBottom w:val="0"/>
      <w:divBdr>
        <w:top w:val="none" w:sz="0" w:space="0" w:color="auto"/>
        <w:left w:val="none" w:sz="0" w:space="0" w:color="auto"/>
        <w:bottom w:val="none" w:sz="0" w:space="0" w:color="auto"/>
        <w:right w:val="none" w:sz="0" w:space="0" w:color="auto"/>
      </w:divBdr>
    </w:div>
    <w:div w:id="1209761365">
      <w:bodyDiv w:val="1"/>
      <w:marLeft w:val="0"/>
      <w:marRight w:val="0"/>
      <w:marTop w:val="0"/>
      <w:marBottom w:val="0"/>
      <w:divBdr>
        <w:top w:val="none" w:sz="0" w:space="0" w:color="auto"/>
        <w:left w:val="none" w:sz="0" w:space="0" w:color="auto"/>
        <w:bottom w:val="none" w:sz="0" w:space="0" w:color="auto"/>
        <w:right w:val="none" w:sz="0" w:space="0" w:color="auto"/>
      </w:divBdr>
    </w:div>
    <w:div w:id="1214853020">
      <w:bodyDiv w:val="1"/>
      <w:marLeft w:val="0"/>
      <w:marRight w:val="0"/>
      <w:marTop w:val="0"/>
      <w:marBottom w:val="0"/>
      <w:divBdr>
        <w:top w:val="none" w:sz="0" w:space="0" w:color="auto"/>
        <w:left w:val="none" w:sz="0" w:space="0" w:color="auto"/>
        <w:bottom w:val="none" w:sz="0" w:space="0" w:color="auto"/>
        <w:right w:val="none" w:sz="0" w:space="0" w:color="auto"/>
      </w:divBdr>
    </w:div>
    <w:div w:id="1230463304">
      <w:bodyDiv w:val="1"/>
      <w:marLeft w:val="0"/>
      <w:marRight w:val="0"/>
      <w:marTop w:val="0"/>
      <w:marBottom w:val="0"/>
      <w:divBdr>
        <w:top w:val="none" w:sz="0" w:space="0" w:color="auto"/>
        <w:left w:val="none" w:sz="0" w:space="0" w:color="auto"/>
        <w:bottom w:val="none" w:sz="0" w:space="0" w:color="auto"/>
        <w:right w:val="none" w:sz="0" w:space="0" w:color="auto"/>
      </w:divBdr>
    </w:div>
    <w:div w:id="1273704993">
      <w:bodyDiv w:val="1"/>
      <w:marLeft w:val="0"/>
      <w:marRight w:val="0"/>
      <w:marTop w:val="0"/>
      <w:marBottom w:val="0"/>
      <w:divBdr>
        <w:top w:val="none" w:sz="0" w:space="0" w:color="auto"/>
        <w:left w:val="none" w:sz="0" w:space="0" w:color="auto"/>
        <w:bottom w:val="none" w:sz="0" w:space="0" w:color="auto"/>
        <w:right w:val="none" w:sz="0" w:space="0" w:color="auto"/>
      </w:divBdr>
    </w:div>
    <w:div w:id="1282036123">
      <w:bodyDiv w:val="1"/>
      <w:marLeft w:val="0"/>
      <w:marRight w:val="0"/>
      <w:marTop w:val="0"/>
      <w:marBottom w:val="0"/>
      <w:divBdr>
        <w:top w:val="none" w:sz="0" w:space="0" w:color="auto"/>
        <w:left w:val="none" w:sz="0" w:space="0" w:color="auto"/>
        <w:bottom w:val="none" w:sz="0" w:space="0" w:color="auto"/>
        <w:right w:val="none" w:sz="0" w:space="0" w:color="auto"/>
      </w:divBdr>
    </w:div>
    <w:div w:id="1402293740">
      <w:bodyDiv w:val="1"/>
      <w:marLeft w:val="0"/>
      <w:marRight w:val="0"/>
      <w:marTop w:val="0"/>
      <w:marBottom w:val="0"/>
      <w:divBdr>
        <w:top w:val="none" w:sz="0" w:space="0" w:color="auto"/>
        <w:left w:val="none" w:sz="0" w:space="0" w:color="auto"/>
        <w:bottom w:val="none" w:sz="0" w:space="0" w:color="auto"/>
        <w:right w:val="none" w:sz="0" w:space="0" w:color="auto"/>
      </w:divBdr>
    </w:div>
    <w:div w:id="1461610621">
      <w:bodyDiv w:val="1"/>
      <w:marLeft w:val="0"/>
      <w:marRight w:val="0"/>
      <w:marTop w:val="0"/>
      <w:marBottom w:val="0"/>
      <w:divBdr>
        <w:top w:val="none" w:sz="0" w:space="0" w:color="auto"/>
        <w:left w:val="none" w:sz="0" w:space="0" w:color="auto"/>
        <w:bottom w:val="none" w:sz="0" w:space="0" w:color="auto"/>
        <w:right w:val="none" w:sz="0" w:space="0" w:color="auto"/>
      </w:divBdr>
    </w:div>
    <w:div w:id="1528636343">
      <w:bodyDiv w:val="1"/>
      <w:marLeft w:val="0"/>
      <w:marRight w:val="0"/>
      <w:marTop w:val="0"/>
      <w:marBottom w:val="0"/>
      <w:divBdr>
        <w:top w:val="none" w:sz="0" w:space="0" w:color="auto"/>
        <w:left w:val="none" w:sz="0" w:space="0" w:color="auto"/>
        <w:bottom w:val="none" w:sz="0" w:space="0" w:color="auto"/>
        <w:right w:val="none" w:sz="0" w:space="0" w:color="auto"/>
      </w:divBdr>
    </w:div>
    <w:div w:id="1746413150">
      <w:bodyDiv w:val="1"/>
      <w:marLeft w:val="0"/>
      <w:marRight w:val="0"/>
      <w:marTop w:val="0"/>
      <w:marBottom w:val="0"/>
      <w:divBdr>
        <w:top w:val="none" w:sz="0" w:space="0" w:color="auto"/>
        <w:left w:val="none" w:sz="0" w:space="0" w:color="auto"/>
        <w:bottom w:val="none" w:sz="0" w:space="0" w:color="auto"/>
        <w:right w:val="none" w:sz="0" w:space="0" w:color="auto"/>
      </w:divBdr>
    </w:div>
    <w:div w:id="1780442251">
      <w:bodyDiv w:val="1"/>
      <w:marLeft w:val="0"/>
      <w:marRight w:val="0"/>
      <w:marTop w:val="0"/>
      <w:marBottom w:val="0"/>
      <w:divBdr>
        <w:top w:val="none" w:sz="0" w:space="0" w:color="auto"/>
        <w:left w:val="none" w:sz="0" w:space="0" w:color="auto"/>
        <w:bottom w:val="none" w:sz="0" w:space="0" w:color="auto"/>
        <w:right w:val="none" w:sz="0" w:space="0" w:color="auto"/>
      </w:divBdr>
    </w:div>
    <w:div w:id="1811943150">
      <w:bodyDiv w:val="1"/>
      <w:marLeft w:val="0"/>
      <w:marRight w:val="0"/>
      <w:marTop w:val="0"/>
      <w:marBottom w:val="0"/>
      <w:divBdr>
        <w:top w:val="none" w:sz="0" w:space="0" w:color="auto"/>
        <w:left w:val="none" w:sz="0" w:space="0" w:color="auto"/>
        <w:bottom w:val="none" w:sz="0" w:space="0" w:color="auto"/>
        <w:right w:val="none" w:sz="0" w:space="0" w:color="auto"/>
      </w:divBdr>
    </w:div>
    <w:div w:id="1856727255">
      <w:bodyDiv w:val="1"/>
      <w:marLeft w:val="0"/>
      <w:marRight w:val="0"/>
      <w:marTop w:val="0"/>
      <w:marBottom w:val="0"/>
      <w:divBdr>
        <w:top w:val="none" w:sz="0" w:space="0" w:color="auto"/>
        <w:left w:val="none" w:sz="0" w:space="0" w:color="auto"/>
        <w:bottom w:val="none" w:sz="0" w:space="0" w:color="auto"/>
        <w:right w:val="none" w:sz="0" w:space="0" w:color="auto"/>
      </w:divBdr>
    </w:div>
    <w:div w:id="1867449824">
      <w:bodyDiv w:val="1"/>
      <w:marLeft w:val="0"/>
      <w:marRight w:val="0"/>
      <w:marTop w:val="0"/>
      <w:marBottom w:val="0"/>
      <w:divBdr>
        <w:top w:val="none" w:sz="0" w:space="0" w:color="auto"/>
        <w:left w:val="none" w:sz="0" w:space="0" w:color="auto"/>
        <w:bottom w:val="none" w:sz="0" w:space="0" w:color="auto"/>
        <w:right w:val="none" w:sz="0" w:space="0" w:color="auto"/>
      </w:divBdr>
      <w:divsChild>
        <w:div w:id="1011105954">
          <w:marLeft w:val="0"/>
          <w:marRight w:val="0"/>
          <w:marTop w:val="0"/>
          <w:marBottom w:val="0"/>
          <w:divBdr>
            <w:top w:val="none" w:sz="0" w:space="0" w:color="auto"/>
            <w:left w:val="none" w:sz="0" w:space="0" w:color="auto"/>
            <w:bottom w:val="none" w:sz="0" w:space="0" w:color="auto"/>
            <w:right w:val="none" w:sz="0" w:space="0" w:color="auto"/>
          </w:divBdr>
        </w:div>
        <w:div w:id="450442238">
          <w:marLeft w:val="0"/>
          <w:marRight w:val="0"/>
          <w:marTop w:val="0"/>
          <w:marBottom w:val="0"/>
          <w:divBdr>
            <w:top w:val="none" w:sz="0" w:space="0" w:color="auto"/>
            <w:left w:val="none" w:sz="0" w:space="0" w:color="auto"/>
            <w:bottom w:val="none" w:sz="0" w:space="0" w:color="auto"/>
            <w:right w:val="none" w:sz="0" w:space="0" w:color="auto"/>
          </w:divBdr>
        </w:div>
      </w:divsChild>
    </w:div>
    <w:div w:id="1888760798">
      <w:bodyDiv w:val="1"/>
      <w:marLeft w:val="0"/>
      <w:marRight w:val="0"/>
      <w:marTop w:val="0"/>
      <w:marBottom w:val="0"/>
      <w:divBdr>
        <w:top w:val="none" w:sz="0" w:space="0" w:color="auto"/>
        <w:left w:val="none" w:sz="0" w:space="0" w:color="auto"/>
        <w:bottom w:val="none" w:sz="0" w:space="0" w:color="auto"/>
        <w:right w:val="none" w:sz="0" w:space="0" w:color="auto"/>
      </w:divBdr>
    </w:div>
    <w:div w:id="19888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pil.ouplaw.com/view/10.1093/law/9780198855309.001.0001/law-9780198855309" TargetMode="External"/><Relationship Id="rId2" Type="http://schemas.openxmlformats.org/officeDocument/2006/relationships/hyperlink" Target="https://opil.ouplaw.com/view/10.1093/law/9780198855309.001.0001/law-9780198855309-chapter-17" TargetMode="External"/><Relationship Id="rId1" Type="http://schemas.openxmlformats.org/officeDocument/2006/relationships/hyperlink" Target="https://www.cambridge.org/core/journals/international-legal-material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F69D7-8F14-4FE6-9BD4-E42B70CAC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35</Pages>
  <Words>10164</Words>
  <Characters>57936</Characters>
  <Application>Microsoft Office Word</Application>
  <DocSecurity>0</DocSecurity>
  <Lines>482</Lines>
  <Paragraphs>135</Paragraphs>
  <ScaleCrop>false</ScaleCrop>
  <HeadingPairs>
    <vt:vector size="4" baseType="variant">
      <vt:variant>
        <vt:lpstr>タイトル</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Yutaka Arai</dc:creator>
  <cp:keywords/>
  <dc:description/>
  <cp:lastModifiedBy>Yutaka Arai</cp:lastModifiedBy>
  <cp:revision>5</cp:revision>
  <cp:lastPrinted>2022-06-20T08:39:00Z</cp:lastPrinted>
  <dcterms:created xsi:type="dcterms:W3CDTF">2022-07-15T09:31:00Z</dcterms:created>
  <dcterms:modified xsi:type="dcterms:W3CDTF">2022-07-15T20:45:00Z</dcterms:modified>
</cp:coreProperties>
</file>