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0FE4" w14:textId="77777777" w:rsidR="00F91F8D" w:rsidRDefault="00C904D0">
      <w:pPr>
        <w:rPr>
          <w:i/>
        </w:rPr>
      </w:pPr>
      <w:r w:rsidRPr="00C904D0">
        <w:rPr>
          <w:i/>
        </w:rPr>
        <w:t>Journal of Interprofessional Care</w:t>
      </w:r>
      <w:r w:rsidR="009C15FA">
        <w:rPr>
          <w:i/>
        </w:rPr>
        <w:t xml:space="preserve"> – Issue 5</w:t>
      </w:r>
      <w:r w:rsidRPr="00C904D0">
        <w:rPr>
          <w:i/>
        </w:rPr>
        <w:t xml:space="preserve"> </w:t>
      </w:r>
    </w:p>
    <w:p w14:paraId="735C38D9" w14:textId="1A1B2408" w:rsidR="00C45593" w:rsidRDefault="00C45593">
      <w:pPr>
        <w:rPr>
          <w:i/>
        </w:rPr>
      </w:pPr>
      <w:r>
        <w:rPr>
          <w:i/>
        </w:rPr>
        <w:t xml:space="preserve"> Instrument Development and Furthering Interprofessional Research Globally</w:t>
      </w:r>
    </w:p>
    <w:p w14:paraId="39FB8A9C" w14:textId="18D33241" w:rsidR="007F2B9A" w:rsidRDefault="000D515A">
      <w:pPr>
        <w:rPr>
          <w:i/>
        </w:rPr>
      </w:pPr>
      <w:r>
        <w:rPr>
          <w:i/>
        </w:rPr>
        <w:t xml:space="preserve">Simon </w:t>
      </w:r>
      <w:proofErr w:type="spellStart"/>
      <w:r>
        <w:rPr>
          <w:i/>
        </w:rPr>
        <w:t>Fletcher</w:t>
      </w:r>
      <w:r w:rsidR="00C45593" w:rsidRPr="00922DFD">
        <w:rPr>
          <w:i/>
          <w:vertAlign w:val="superscript"/>
        </w:rPr>
        <w:t>a</w:t>
      </w:r>
      <w:proofErr w:type="spellEnd"/>
      <w:r w:rsidR="00922DFD">
        <w:rPr>
          <w:i/>
          <w:vertAlign w:val="superscript"/>
        </w:rPr>
        <w:t xml:space="preserve"> </w:t>
      </w:r>
      <w:r w:rsidR="00DB2CDA">
        <w:rPr>
          <w:i/>
        </w:rPr>
        <w:t>Faculty of Health, Social Care and Education, Kingston and St Georges University London, London, United Kingdom</w:t>
      </w:r>
    </w:p>
    <w:p w14:paraId="245F471D" w14:textId="3B5F46D3" w:rsidR="00C45593" w:rsidRDefault="000D515A">
      <w:pPr>
        <w:rPr>
          <w:i/>
        </w:rPr>
      </w:pPr>
      <w:r>
        <w:rPr>
          <w:i/>
        </w:rPr>
        <w:t xml:space="preserve">Kunal D </w:t>
      </w:r>
      <w:proofErr w:type="gramStart"/>
      <w:r>
        <w:rPr>
          <w:i/>
        </w:rPr>
        <w:t>Patel</w:t>
      </w:r>
      <w:r w:rsidR="00C45593" w:rsidRPr="00922DFD">
        <w:rPr>
          <w:i/>
          <w:vertAlign w:val="superscript"/>
        </w:rPr>
        <w:t>a,b</w:t>
      </w:r>
      <w:proofErr w:type="gramEnd"/>
    </w:p>
    <w:p w14:paraId="1758E958" w14:textId="77777777" w:rsidR="00C45593" w:rsidRDefault="00C45593">
      <w:pPr>
        <w:rPr>
          <w:i/>
        </w:rPr>
      </w:pPr>
      <w:r w:rsidRPr="00922DFD">
        <w:rPr>
          <w:i/>
          <w:vertAlign w:val="superscript"/>
        </w:rPr>
        <w:t>a</w:t>
      </w:r>
      <w:r w:rsidR="00DB2CDA">
        <w:rPr>
          <w:i/>
        </w:rPr>
        <w:t>Faculty of Health, Social Care and Education, Kingston and St Georges University London, London, United Kingdom</w:t>
      </w:r>
    </w:p>
    <w:p w14:paraId="2C8F5E1B" w14:textId="4079B9A1" w:rsidR="000D515A" w:rsidRDefault="00C45593">
      <w:pPr>
        <w:rPr>
          <w:i/>
        </w:rPr>
      </w:pPr>
      <w:proofErr w:type="spellStart"/>
      <w:r w:rsidRPr="00922DFD">
        <w:rPr>
          <w:i/>
          <w:vertAlign w:val="superscript"/>
        </w:rPr>
        <w:t>b</w:t>
      </w:r>
      <w:r w:rsidR="00DB2CDA">
        <w:rPr>
          <w:i/>
        </w:rPr>
        <w:t>Research</w:t>
      </w:r>
      <w:proofErr w:type="spellEnd"/>
      <w:r w:rsidR="00DB2CDA">
        <w:rPr>
          <w:i/>
        </w:rPr>
        <w:t xml:space="preserve"> and Advocacy, </w:t>
      </w:r>
      <w:proofErr w:type="spellStart"/>
      <w:r w:rsidR="00DB2CDA">
        <w:rPr>
          <w:i/>
        </w:rPr>
        <w:t>Iheed</w:t>
      </w:r>
      <w:proofErr w:type="spellEnd"/>
      <w:r w:rsidR="00DB2CDA">
        <w:rPr>
          <w:i/>
        </w:rPr>
        <w:t>, Dublin, Ireland</w:t>
      </w:r>
    </w:p>
    <w:p w14:paraId="1319F8EB" w14:textId="77777777" w:rsidR="000D515A" w:rsidRPr="00C904D0" w:rsidRDefault="000D515A">
      <w:pPr>
        <w:rPr>
          <w:i/>
        </w:rPr>
      </w:pPr>
    </w:p>
    <w:p w14:paraId="666F114E" w14:textId="77777777" w:rsidR="00C904D0" w:rsidRDefault="00C904D0">
      <w:r>
        <w:t>EDITORIAL</w:t>
      </w:r>
    </w:p>
    <w:p w14:paraId="4DF7D78B" w14:textId="65165D22" w:rsidR="00B17E38" w:rsidRPr="009C15FA" w:rsidRDefault="001110EF">
      <w:r>
        <w:t>Contributions to</w:t>
      </w:r>
      <w:r w:rsidR="00A50F17">
        <w:t xml:space="preserve"> this issue respond directly to the </w:t>
      </w:r>
      <w:r w:rsidR="00BA00F4">
        <w:t>continuing</w:t>
      </w:r>
      <w:r w:rsidR="0083371D">
        <w:t xml:space="preserve"> and widely identified (Brandt et al, </w:t>
      </w:r>
      <w:r w:rsidR="0083371D" w:rsidRPr="009C15FA">
        <w:t>2014, IOM, 2015, Parker et al, 2011</w:t>
      </w:r>
      <w:r w:rsidR="00B17E38" w:rsidRPr="009C15FA">
        <w:t>)</w:t>
      </w:r>
      <w:r w:rsidR="00A50F17" w:rsidRPr="009C15FA">
        <w:t xml:space="preserve"> n</w:t>
      </w:r>
      <w:r w:rsidR="00BA00F4" w:rsidRPr="009C15FA">
        <w:t xml:space="preserve">eed </w:t>
      </w:r>
      <w:r w:rsidR="008C7124" w:rsidRPr="009C15FA">
        <w:t>to mea</w:t>
      </w:r>
      <w:r w:rsidR="003C195B" w:rsidRPr="009C15FA">
        <w:t>sure,</w:t>
      </w:r>
      <w:r w:rsidR="00963C5F" w:rsidRPr="009C15FA">
        <w:t xml:space="preserve"> evaluate</w:t>
      </w:r>
      <w:r w:rsidR="003C195B" w:rsidRPr="009C15FA">
        <w:t xml:space="preserve"> and validate</w:t>
      </w:r>
      <w:r w:rsidR="00963C5F" w:rsidRPr="009C15FA">
        <w:t xml:space="preserve"> </w:t>
      </w:r>
      <w:r w:rsidR="00C574D9" w:rsidRPr="009C15FA">
        <w:t>interprofessional appr</w:t>
      </w:r>
      <w:r w:rsidR="00DC6B42" w:rsidRPr="009C15FA">
        <w:t>oaches</w:t>
      </w:r>
      <w:r w:rsidR="001448EE" w:rsidRPr="009C15FA">
        <w:t>, educational material and social context</w:t>
      </w:r>
      <w:r w:rsidR="003C210E" w:rsidRPr="009C15FA">
        <w:t xml:space="preserve"> in both concert and isolation</w:t>
      </w:r>
      <w:r w:rsidR="00DC6B42" w:rsidRPr="009C15FA">
        <w:t>. Instrument development is a key means of achieving thi</w:t>
      </w:r>
      <w:r w:rsidR="007677E1" w:rsidRPr="009C15FA">
        <w:t xml:space="preserve">s and </w:t>
      </w:r>
      <w:r w:rsidR="000D515A">
        <w:t>featured</w:t>
      </w:r>
      <w:r w:rsidRPr="009C15FA">
        <w:t xml:space="preserve"> </w:t>
      </w:r>
      <w:r w:rsidR="00A5431D" w:rsidRPr="009C15FA">
        <w:t>articles report</w:t>
      </w:r>
      <w:r w:rsidR="008C7124" w:rsidRPr="009C15FA">
        <w:t xml:space="preserve"> </w:t>
      </w:r>
      <w:r w:rsidR="006E4858" w:rsidRPr="009C15FA">
        <w:t xml:space="preserve">on and evaluate </w:t>
      </w:r>
      <w:r w:rsidR="008C7124" w:rsidRPr="009C15FA">
        <w:t>a diverse range of</w:t>
      </w:r>
      <w:r w:rsidR="00963C5F" w:rsidRPr="009C15FA">
        <w:t xml:space="preserve"> </w:t>
      </w:r>
      <w:r w:rsidR="007677E1" w:rsidRPr="009C15FA">
        <w:t xml:space="preserve">interventions. </w:t>
      </w:r>
      <w:r w:rsidR="000D515A">
        <w:t>Alongside this, t</w:t>
      </w:r>
      <w:r w:rsidR="00A74B28" w:rsidRPr="009C15FA">
        <w:t>he fundamenta</w:t>
      </w:r>
      <w:r w:rsidR="000D515A">
        <w:t>l and encouraging</w:t>
      </w:r>
      <w:r w:rsidR="00A74B28" w:rsidRPr="009C15FA">
        <w:t xml:space="preserve"> international focus of interprofessional resear</w:t>
      </w:r>
      <w:r w:rsidR="008C7124" w:rsidRPr="009C15FA">
        <w:t>ch is</w:t>
      </w:r>
      <w:r w:rsidR="00963C5F" w:rsidRPr="009C15FA">
        <w:t xml:space="preserve"> </w:t>
      </w:r>
      <w:r w:rsidR="008C7124" w:rsidRPr="009C15FA">
        <w:t>reflected here</w:t>
      </w:r>
      <w:r w:rsidR="00F41078" w:rsidRPr="009C15FA">
        <w:t xml:space="preserve"> </w:t>
      </w:r>
      <w:r w:rsidR="00963C5F" w:rsidRPr="009C15FA">
        <w:t>as studies</w:t>
      </w:r>
      <w:r w:rsidR="0083371D" w:rsidRPr="009C15FA">
        <w:t xml:space="preserve"> from eleven different countries throughout Europe, North America, Sub-Saharan Africa, the Middle East and Australasia are included. </w:t>
      </w:r>
    </w:p>
    <w:p w14:paraId="3814D327" w14:textId="32FBB1AD" w:rsidR="00E6224E" w:rsidRPr="009C15FA" w:rsidRDefault="00B17E38">
      <w:pPr>
        <w:rPr>
          <w:rFonts w:cstheme="minorHAnsi"/>
          <w:lang w:val="en"/>
        </w:rPr>
      </w:pPr>
      <w:r w:rsidRPr="009C15FA">
        <w:t xml:space="preserve">Whilst there have been empirical weaknesses identified in previous IPE evaluation work (Reeves et al, 2014) the depth, diversity and reach of the studies in this issue </w:t>
      </w:r>
      <w:r w:rsidR="002B4B7D" w:rsidRPr="009C15FA">
        <w:t>provide important</w:t>
      </w:r>
      <w:r w:rsidR="003D2D4A" w:rsidRPr="009C15FA">
        <w:t xml:space="preserve"> insight across method and context.</w:t>
      </w:r>
      <w:r w:rsidR="003C195B" w:rsidRPr="009C15FA">
        <w:t xml:space="preserve"> Iverson and colleagues explore interprofessional student team competence and address the</w:t>
      </w:r>
      <w:r w:rsidR="009C19F4" w:rsidRPr="009C15FA">
        <w:t xml:space="preserve"> reported</w:t>
      </w:r>
      <w:r w:rsidR="003C195B" w:rsidRPr="009C15FA">
        <w:t xml:space="preserve"> difficulty in incorporating IPE oppor</w:t>
      </w:r>
      <w:r w:rsidR="009C19F4" w:rsidRPr="009C15FA">
        <w:t>tunities into academic settings through the use of The</w:t>
      </w:r>
      <w:r w:rsidR="009C19F4" w:rsidRPr="009C15FA">
        <w:rPr>
          <w:rFonts w:cstheme="minorHAnsi"/>
        </w:rPr>
        <w:t xml:space="preserve"> </w:t>
      </w:r>
      <w:r w:rsidR="009C19F4" w:rsidRPr="009C15FA">
        <w:rPr>
          <w:rFonts w:cstheme="minorHAnsi"/>
          <w:lang w:val="en"/>
        </w:rPr>
        <w:t>Creighton-Interprofessional Collaborative Evaluation (C-ICE) instrument.</w:t>
      </w:r>
      <w:r w:rsidR="00BB0651" w:rsidRPr="009C15FA">
        <w:rPr>
          <w:rFonts w:cstheme="minorHAnsi"/>
          <w:lang w:val="en"/>
        </w:rPr>
        <w:t xml:space="preserve"> Hendricks et al have responded to this with their study of an academic-practice partnership. Using action research methods, they have suggested that the structured implementation of interprofessional collaborative practice environments (IPCPs) effectively bridges the previously identified gap between academic and practice contexts. </w:t>
      </w:r>
      <w:r w:rsidR="00EE4B05" w:rsidRPr="009C15FA">
        <w:rPr>
          <w:rFonts w:cstheme="minorHAnsi"/>
          <w:lang w:val="en"/>
        </w:rPr>
        <w:t>This is then complimented by work from</w:t>
      </w:r>
      <w:r w:rsidR="009C19F4" w:rsidRPr="009C15FA">
        <w:rPr>
          <w:rFonts w:cstheme="minorHAnsi"/>
          <w:lang w:val="en"/>
        </w:rPr>
        <w:t xml:space="preserve"> Shirazi </w:t>
      </w:r>
      <w:r w:rsidR="00EE4B05" w:rsidRPr="009C15FA">
        <w:rPr>
          <w:rFonts w:cstheme="minorHAnsi"/>
          <w:lang w:val="en"/>
        </w:rPr>
        <w:t>et al who have also covered the development of a theory based assessment instrument.</w:t>
      </w:r>
      <w:r w:rsidR="002D0D9C" w:rsidRPr="009C15FA">
        <w:rPr>
          <w:rFonts w:cstheme="minorHAnsi"/>
          <w:lang w:val="en"/>
        </w:rPr>
        <w:t xml:space="preserve"> Measuring readiness to change for interprofessional collaboration in an Iranian context</w:t>
      </w:r>
      <w:r w:rsidR="000D515A">
        <w:rPr>
          <w:rFonts w:cstheme="minorHAnsi"/>
          <w:lang w:val="en"/>
        </w:rPr>
        <w:t>,</w:t>
      </w:r>
      <w:r w:rsidR="002D0D9C" w:rsidRPr="009C15FA">
        <w:rPr>
          <w:rFonts w:cstheme="minorHAnsi"/>
          <w:lang w:val="en"/>
        </w:rPr>
        <w:t xml:space="preserve"> </w:t>
      </w:r>
      <w:r w:rsidR="00E6224E" w:rsidRPr="009C15FA">
        <w:rPr>
          <w:rFonts w:cstheme="minorHAnsi"/>
          <w:lang w:val="en"/>
        </w:rPr>
        <w:t xml:space="preserve">this study </w:t>
      </w:r>
      <w:r w:rsidR="001110EF" w:rsidRPr="009C15FA">
        <w:rPr>
          <w:rFonts w:cstheme="minorHAnsi"/>
          <w:lang w:val="en"/>
        </w:rPr>
        <w:t>evaluates a widely used</w:t>
      </w:r>
      <w:r w:rsidR="00E6224E" w:rsidRPr="009C15FA">
        <w:rPr>
          <w:rFonts w:cstheme="minorHAnsi"/>
          <w:lang w:val="en"/>
        </w:rPr>
        <w:t xml:space="preserve"> technique in a </w:t>
      </w:r>
      <w:r w:rsidR="00843424">
        <w:rPr>
          <w:rFonts w:cstheme="minorHAnsi"/>
          <w:lang w:val="en"/>
        </w:rPr>
        <w:t xml:space="preserve">setting in which interprofessional collaboration, and aspects of teamwork more broadly have not been practically integrated. This sees potential benefits for both Iranian healthcare research and the interprofessional discipline as a whole, as exploration in a novel context such as this provides key transferable insight. </w:t>
      </w:r>
    </w:p>
    <w:p w14:paraId="11F548FA" w14:textId="05796302" w:rsidR="00506F4C" w:rsidRPr="009C15FA" w:rsidRDefault="00E6224E">
      <w:pPr>
        <w:rPr>
          <w:rFonts w:cstheme="minorHAnsi"/>
          <w:lang w:val="en"/>
        </w:rPr>
      </w:pPr>
      <w:r w:rsidRPr="009C15FA">
        <w:rPr>
          <w:rFonts w:cstheme="minorHAnsi"/>
          <w:lang w:val="en"/>
        </w:rPr>
        <w:t xml:space="preserve">Evaluations of the Readiness for Interprofessional Learning Scale (RIPLS) </w:t>
      </w:r>
      <w:r w:rsidR="00C450F8" w:rsidRPr="009C15FA">
        <w:rPr>
          <w:rFonts w:cstheme="minorHAnsi"/>
          <w:lang w:val="en"/>
        </w:rPr>
        <w:t>have</w:t>
      </w:r>
      <w:r w:rsidR="004C51B8" w:rsidRPr="009C15FA">
        <w:rPr>
          <w:rFonts w:cstheme="minorHAnsi"/>
          <w:lang w:val="en"/>
        </w:rPr>
        <w:t xml:space="preserve"> also been covered </w:t>
      </w:r>
      <w:r w:rsidR="00560EC6">
        <w:rPr>
          <w:rFonts w:cstheme="minorHAnsi"/>
          <w:lang w:val="en"/>
        </w:rPr>
        <w:t>via</w:t>
      </w:r>
      <w:r w:rsidR="00B1364C" w:rsidRPr="009C15FA">
        <w:rPr>
          <w:rFonts w:cstheme="minorHAnsi"/>
          <w:lang w:val="en"/>
        </w:rPr>
        <w:t xml:space="preserve"> a short report from Kerry et al, and an exploratory</w:t>
      </w:r>
      <w:r w:rsidR="005924DE" w:rsidRPr="009C15FA">
        <w:rPr>
          <w:rFonts w:cstheme="minorHAnsi"/>
          <w:lang w:val="en"/>
        </w:rPr>
        <w:t xml:space="preserve"> and confirmatory</w:t>
      </w:r>
      <w:r w:rsidR="00B1364C" w:rsidRPr="009C15FA">
        <w:rPr>
          <w:rFonts w:cstheme="minorHAnsi"/>
          <w:lang w:val="en"/>
        </w:rPr>
        <w:t xml:space="preserve"> factor analyses from Yu and colleagues.</w:t>
      </w:r>
      <w:r w:rsidR="005924DE" w:rsidRPr="009C15FA">
        <w:rPr>
          <w:rFonts w:cstheme="minorHAnsi"/>
          <w:lang w:val="en"/>
        </w:rPr>
        <w:t xml:space="preserve"> The latter called for further and more robust psychometric testing of the RIPLS, offering an important critique of the tool. In addition to these studies, this issue also features a timely systematic review</w:t>
      </w:r>
      <w:r w:rsidR="00FB3ACB" w:rsidRPr="009C15FA">
        <w:rPr>
          <w:rFonts w:cstheme="minorHAnsi"/>
          <w:lang w:val="en"/>
        </w:rPr>
        <w:t xml:space="preserve"> from Welsch et al</w:t>
      </w:r>
      <w:r w:rsidR="005924DE" w:rsidRPr="009C15FA">
        <w:rPr>
          <w:rFonts w:cstheme="minorHAnsi"/>
          <w:lang w:val="en"/>
        </w:rPr>
        <w:t xml:space="preserve"> which explores the</w:t>
      </w:r>
      <w:r w:rsidR="00FB3ACB" w:rsidRPr="009C15FA">
        <w:rPr>
          <w:rFonts w:cstheme="minorHAnsi"/>
          <w:lang w:val="en"/>
        </w:rPr>
        <w:t xml:space="preserve"> literature on the</w:t>
      </w:r>
      <w:r w:rsidR="005924DE" w:rsidRPr="009C15FA">
        <w:rPr>
          <w:rFonts w:cstheme="minorHAnsi"/>
          <w:lang w:val="en"/>
        </w:rPr>
        <w:t xml:space="preserve"> didactic portion of </w:t>
      </w:r>
      <w:proofErr w:type="spellStart"/>
      <w:r w:rsidR="005924DE" w:rsidRPr="009C15FA">
        <w:rPr>
          <w:rFonts w:cstheme="minorHAnsi"/>
          <w:lang w:val="en"/>
        </w:rPr>
        <w:t>TeamSTEPPS</w:t>
      </w:r>
      <w:proofErr w:type="spellEnd"/>
      <w:r w:rsidR="005924DE" w:rsidRPr="009C15FA">
        <w:rPr>
          <w:rFonts w:cstheme="minorHAnsi"/>
          <w:lang w:val="en"/>
        </w:rPr>
        <w:t>®, an educational tool designed to improve teamwork and communication in healthcare settings.</w:t>
      </w:r>
      <w:r w:rsidR="00FB3ACB" w:rsidRPr="009C15FA">
        <w:rPr>
          <w:rFonts w:cstheme="minorHAnsi"/>
          <w:lang w:val="en"/>
        </w:rPr>
        <w:t xml:space="preserve"> The literature reveals the positive influence of the </w:t>
      </w:r>
      <w:proofErr w:type="spellStart"/>
      <w:r w:rsidR="00FB3ACB" w:rsidRPr="009C15FA">
        <w:rPr>
          <w:rFonts w:cstheme="minorHAnsi"/>
          <w:lang w:val="en"/>
        </w:rPr>
        <w:t>utilisation</w:t>
      </w:r>
      <w:proofErr w:type="spellEnd"/>
      <w:r w:rsidR="00FB3ACB" w:rsidRPr="009C15FA">
        <w:rPr>
          <w:rFonts w:cstheme="minorHAnsi"/>
          <w:lang w:val="en"/>
        </w:rPr>
        <w:t xml:space="preserve"> of </w:t>
      </w:r>
      <w:proofErr w:type="spellStart"/>
      <w:r w:rsidR="00FB3ACB" w:rsidRPr="009C15FA">
        <w:rPr>
          <w:rFonts w:cstheme="minorHAnsi"/>
          <w:lang w:val="en"/>
        </w:rPr>
        <w:t>TeamSTEPPS</w:t>
      </w:r>
      <w:proofErr w:type="spellEnd"/>
      <w:r w:rsidR="00FB3ACB" w:rsidRPr="009C15FA">
        <w:rPr>
          <w:rFonts w:cstheme="minorHAnsi"/>
          <w:lang w:val="en"/>
        </w:rPr>
        <w:t>®, but also described considerable variation in the associated program designs, making general conclusion</w:t>
      </w:r>
      <w:r w:rsidR="00C450F8" w:rsidRPr="009C15FA">
        <w:rPr>
          <w:rFonts w:cstheme="minorHAnsi"/>
          <w:lang w:val="en"/>
        </w:rPr>
        <w:t>s</w:t>
      </w:r>
      <w:r w:rsidR="00FB3ACB" w:rsidRPr="009C15FA">
        <w:rPr>
          <w:rFonts w:cstheme="minorHAnsi"/>
          <w:lang w:val="en"/>
        </w:rPr>
        <w:t xml:space="preserve"> and more in depth evaluation</w:t>
      </w:r>
      <w:r w:rsidR="00C450F8" w:rsidRPr="009C15FA">
        <w:rPr>
          <w:rFonts w:cstheme="minorHAnsi"/>
          <w:lang w:val="en"/>
        </w:rPr>
        <w:t>s</w:t>
      </w:r>
      <w:r w:rsidR="00FB3ACB" w:rsidRPr="009C15FA">
        <w:rPr>
          <w:rFonts w:cstheme="minorHAnsi"/>
          <w:lang w:val="en"/>
        </w:rPr>
        <w:t xml:space="preserve"> difficult.</w:t>
      </w:r>
      <w:r w:rsidR="00C450F8" w:rsidRPr="009C15FA">
        <w:rPr>
          <w:rFonts w:cstheme="minorHAnsi"/>
          <w:lang w:val="en"/>
        </w:rPr>
        <w:t xml:space="preserve"> </w:t>
      </w:r>
    </w:p>
    <w:p w14:paraId="0EEAE5B6" w14:textId="447E1324" w:rsidR="00560EC6" w:rsidRDefault="00506F4C">
      <w:pPr>
        <w:rPr>
          <w:rFonts w:cstheme="minorHAnsi"/>
          <w:lang w:val="en"/>
        </w:rPr>
      </w:pPr>
      <w:r w:rsidRPr="009C15FA">
        <w:rPr>
          <w:rFonts w:cstheme="minorHAnsi"/>
          <w:lang w:val="en"/>
        </w:rPr>
        <w:lastRenderedPageBreak/>
        <w:t>Educational intervention for enhanced interprofessional collaboration comprises an area of research which has and continues to evolve</w:t>
      </w:r>
      <w:r w:rsidR="005779C9" w:rsidRPr="009C15FA">
        <w:rPr>
          <w:rFonts w:cstheme="minorHAnsi"/>
          <w:lang w:val="en"/>
        </w:rPr>
        <w:t xml:space="preserve"> throughout, local, national and international settings</w:t>
      </w:r>
      <w:r w:rsidRPr="009C15FA">
        <w:rPr>
          <w:rFonts w:cstheme="minorHAnsi"/>
          <w:lang w:val="en"/>
        </w:rPr>
        <w:t xml:space="preserve">. This issue reflects this and </w:t>
      </w:r>
      <w:r w:rsidR="00560EC6">
        <w:rPr>
          <w:rFonts w:cstheme="minorHAnsi"/>
          <w:lang w:val="en"/>
        </w:rPr>
        <w:t>includes</w:t>
      </w:r>
      <w:r w:rsidRPr="009C15FA">
        <w:rPr>
          <w:rFonts w:cstheme="minorHAnsi"/>
          <w:lang w:val="en"/>
        </w:rPr>
        <w:t xml:space="preserve"> a range of studies which progress educational knowledge and provide key pedagogical analysis.</w:t>
      </w:r>
      <w:r w:rsidR="00AA22A4" w:rsidRPr="009C15FA">
        <w:rPr>
          <w:rFonts w:cstheme="minorHAnsi"/>
          <w:lang w:val="en"/>
        </w:rPr>
        <w:t xml:space="preserve"> </w:t>
      </w:r>
      <w:proofErr w:type="spellStart"/>
      <w:r w:rsidR="00AA22A4" w:rsidRPr="009C15FA">
        <w:rPr>
          <w:rFonts w:cstheme="minorHAnsi"/>
          <w:lang w:val="en"/>
        </w:rPr>
        <w:t>Carderelli</w:t>
      </w:r>
      <w:proofErr w:type="spellEnd"/>
      <w:r w:rsidR="00AA22A4" w:rsidRPr="009C15FA">
        <w:rPr>
          <w:rFonts w:cstheme="minorHAnsi"/>
          <w:lang w:val="en"/>
        </w:rPr>
        <w:t xml:space="preserve"> et al offer valuable implications for chronic care practitioners as they assess perceptions before and after </w:t>
      </w:r>
      <w:r w:rsidR="0028220E" w:rsidRPr="009C15FA">
        <w:rPr>
          <w:rFonts w:cstheme="minorHAnsi"/>
          <w:lang w:val="en"/>
        </w:rPr>
        <w:t>participation in continuing IPE</w:t>
      </w:r>
      <w:r w:rsidR="00062A27">
        <w:rPr>
          <w:rFonts w:cstheme="minorHAnsi"/>
          <w:lang w:val="en"/>
        </w:rPr>
        <w:t>.</w:t>
      </w:r>
      <w:r w:rsidR="0028220E" w:rsidRPr="009C15FA">
        <w:rPr>
          <w:rFonts w:cstheme="minorHAnsi"/>
          <w:lang w:val="en"/>
        </w:rPr>
        <w:t xml:space="preserve"> Interdisciplinary team training was also explored, as </w:t>
      </w:r>
      <w:proofErr w:type="spellStart"/>
      <w:r w:rsidR="0028220E" w:rsidRPr="009C15FA">
        <w:rPr>
          <w:rFonts w:cstheme="minorHAnsi"/>
          <w:lang w:val="en"/>
        </w:rPr>
        <w:t>Giuliante</w:t>
      </w:r>
      <w:proofErr w:type="spellEnd"/>
      <w:r w:rsidR="0028220E" w:rsidRPr="009C15FA">
        <w:rPr>
          <w:rFonts w:cstheme="minorHAnsi"/>
          <w:lang w:val="en"/>
        </w:rPr>
        <w:t xml:space="preserve"> and colleagues undertook a feasibility study of a geriatric team training initiative.</w:t>
      </w:r>
      <w:r w:rsidR="00411DAB" w:rsidRPr="009C15FA">
        <w:rPr>
          <w:rFonts w:cstheme="minorHAnsi"/>
          <w:lang w:val="en"/>
        </w:rPr>
        <w:t xml:space="preserve"> Whilst there were no reported quantitative changes in attitude,</w:t>
      </w:r>
      <w:r w:rsidR="0028220E" w:rsidRPr="009C15FA">
        <w:rPr>
          <w:rFonts w:cstheme="minorHAnsi"/>
          <w:lang w:val="en"/>
        </w:rPr>
        <w:t xml:space="preserve"> </w:t>
      </w:r>
      <w:r w:rsidR="00411DAB" w:rsidRPr="009C15FA">
        <w:rPr>
          <w:rFonts w:cstheme="minorHAnsi"/>
          <w:lang w:val="en"/>
        </w:rPr>
        <w:t xml:space="preserve">participants’ perspectives were again said to have improved after the intervention, not only suggesting that the </w:t>
      </w:r>
      <w:proofErr w:type="spellStart"/>
      <w:r w:rsidR="00411DAB" w:rsidRPr="009C15FA">
        <w:rPr>
          <w:rFonts w:cstheme="minorHAnsi"/>
          <w:lang w:val="en"/>
        </w:rPr>
        <w:t>TeamSTEPPS</w:t>
      </w:r>
      <w:proofErr w:type="spellEnd"/>
      <w:r w:rsidR="00411DAB" w:rsidRPr="009C15FA">
        <w:rPr>
          <w:rFonts w:cstheme="minorHAnsi"/>
          <w:lang w:val="en"/>
        </w:rPr>
        <w:t>® approach is an effective one, but also reinforcing the value of qualitative inquiry.</w:t>
      </w:r>
    </w:p>
    <w:p w14:paraId="09FD4F14" w14:textId="7277542F" w:rsidR="00B46451" w:rsidRPr="009C15FA" w:rsidRDefault="00411DAB">
      <w:pPr>
        <w:rPr>
          <w:rFonts w:cstheme="minorHAnsi"/>
          <w:lang w:val="en"/>
        </w:rPr>
      </w:pPr>
      <w:r w:rsidRPr="009C15FA">
        <w:rPr>
          <w:rFonts w:cstheme="minorHAnsi"/>
          <w:lang w:val="en"/>
        </w:rPr>
        <w:t xml:space="preserve">The need for successful and effective interprofessional education, and appropriate evaluation of such is further reinforced by the range of clinical contexts and </w:t>
      </w:r>
      <w:r w:rsidR="009427FC" w:rsidRPr="009C15FA">
        <w:rPr>
          <w:rFonts w:cstheme="minorHAnsi"/>
          <w:lang w:val="en"/>
        </w:rPr>
        <w:t>areas of investigation. IPE in rural practice has been explored by Osborne et al</w:t>
      </w:r>
      <w:r w:rsidR="00FC0502" w:rsidRPr="009C15FA">
        <w:rPr>
          <w:rFonts w:cstheme="minorHAnsi"/>
          <w:lang w:val="en"/>
        </w:rPr>
        <w:t>, an interesting insight into</w:t>
      </w:r>
      <w:r w:rsidR="009427FC" w:rsidRPr="009C15FA">
        <w:rPr>
          <w:rFonts w:cstheme="minorHAnsi"/>
          <w:lang w:val="en"/>
        </w:rPr>
        <w:t xml:space="preserve"> the learning experiences of </w:t>
      </w:r>
      <w:r w:rsidR="00FC0502" w:rsidRPr="009C15FA">
        <w:rPr>
          <w:rFonts w:cstheme="minorHAnsi"/>
          <w:lang w:val="en"/>
        </w:rPr>
        <w:t xml:space="preserve">course facilitators in Early Childhood Education came from Attrill et al and an </w:t>
      </w:r>
      <w:r w:rsidR="00BA67DB">
        <w:rPr>
          <w:rFonts w:cstheme="minorHAnsi"/>
          <w:lang w:val="en"/>
        </w:rPr>
        <w:t>I</w:t>
      </w:r>
      <w:r w:rsidR="00FC0502" w:rsidRPr="009C15FA">
        <w:rPr>
          <w:rFonts w:cstheme="minorHAnsi"/>
          <w:lang w:val="en"/>
        </w:rPr>
        <w:t>nterprofessional international service learning experience was qualitatively assessed by Noonan and colleagues.</w:t>
      </w:r>
      <w:r w:rsidR="005779C9" w:rsidRPr="009C15FA">
        <w:rPr>
          <w:rFonts w:cstheme="minorHAnsi"/>
          <w:lang w:val="en"/>
        </w:rPr>
        <w:t xml:space="preserve"> Work such as this, which</w:t>
      </w:r>
      <w:r w:rsidR="00C43B28" w:rsidRPr="009C15FA">
        <w:rPr>
          <w:rFonts w:cstheme="minorHAnsi"/>
          <w:lang w:val="en"/>
        </w:rPr>
        <w:t xml:space="preserve"> not only </w:t>
      </w:r>
      <w:r w:rsidR="00A5431D">
        <w:rPr>
          <w:rFonts w:cstheme="minorHAnsi"/>
          <w:lang w:val="en"/>
        </w:rPr>
        <w:t xml:space="preserve">evaluates </w:t>
      </w:r>
      <w:r w:rsidR="005779C9" w:rsidRPr="009C15FA">
        <w:rPr>
          <w:rFonts w:cstheme="minorHAnsi"/>
          <w:lang w:val="en"/>
        </w:rPr>
        <w:t>the educational approach, but also the clinical environment, national context and conditions for collaboration will be central to the continuity of interprofessio</w:t>
      </w:r>
      <w:r w:rsidR="000512CF" w:rsidRPr="009C15FA">
        <w:rPr>
          <w:rFonts w:cstheme="minorHAnsi"/>
          <w:lang w:val="en"/>
        </w:rPr>
        <w:t>nal research which combines practice and theory in a way wh</w:t>
      </w:r>
      <w:r w:rsidR="00C43B28" w:rsidRPr="009C15FA">
        <w:rPr>
          <w:rFonts w:cstheme="minorHAnsi"/>
          <w:lang w:val="en"/>
        </w:rPr>
        <w:t>ich utilizes an</w:t>
      </w:r>
      <w:r w:rsidR="00ED4592" w:rsidRPr="009C15FA">
        <w:rPr>
          <w:rFonts w:cstheme="minorHAnsi"/>
          <w:lang w:val="en"/>
        </w:rPr>
        <w:t xml:space="preserve"> increasing</w:t>
      </w:r>
      <w:r w:rsidR="00C43B28" w:rsidRPr="009C15FA">
        <w:rPr>
          <w:rFonts w:cstheme="minorHAnsi"/>
          <w:lang w:val="en"/>
        </w:rPr>
        <w:t xml:space="preserve"> empirical archive</w:t>
      </w:r>
      <w:r w:rsidR="000512CF" w:rsidRPr="009C15FA">
        <w:rPr>
          <w:rFonts w:cstheme="minorHAnsi"/>
          <w:lang w:val="en"/>
        </w:rPr>
        <w:t xml:space="preserve">. </w:t>
      </w:r>
      <w:r w:rsidR="00FC0502" w:rsidRPr="009C15FA">
        <w:rPr>
          <w:rFonts w:cstheme="minorHAnsi"/>
          <w:lang w:val="en"/>
        </w:rPr>
        <w:t xml:space="preserve">  </w:t>
      </w:r>
    </w:p>
    <w:p w14:paraId="55CF64D7" w14:textId="4A166377" w:rsidR="003846A1" w:rsidRPr="009C15FA" w:rsidRDefault="00B46451">
      <w:pPr>
        <w:rPr>
          <w:rFonts w:cstheme="minorHAnsi"/>
          <w:lang w:val="en"/>
        </w:rPr>
      </w:pPr>
      <w:r w:rsidRPr="009C15FA">
        <w:rPr>
          <w:rFonts w:cstheme="minorHAnsi"/>
          <w:lang w:val="en"/>
        </w:rPr>
        <w:t>The value of engaging with</w:t>
      </w:r>
      <w:r w:rsidR="00D364C1" w:rsidRPr="009C15FA">
        <w:rPr>
          <w:rFonts w:cstheme="minorHAnsi"/>
          <w:lang w:val="en"/>
        </w:rPr>
        <w:t xml:space="preserve"> in depth</w:t>
      </w:r>
      <w:r w:rsidRPr="009C15FA">
        <w:rPr>
          <w:rFonts w:cstheme="minorHAnsi"/>
          <w:lang w:val="en"/>
        </w:rPr>
        <w:t xml:space="preserve"> qualitative</w:t>
      </w:r>
      <w:r w:rsidR="00147B47" w:rsidRPr="009C15FA">
        <w:rPr>
          <w:rFonts w:cstheme="minorHAnsi"/>
          <w:lang w:val="en"/>
        </w:rPr>
        <w:t xml:space="preserve"> data has been evidenced by </w:t>
      </w:r>
      <w:proofErr w:type="spellStart"/>
      <w:r w:rsidR="00147B47" w:rsidRPr="009C15FA">
        <w:rPr>
          <w:rFonts w:cstheme="minorHAnsi"/>
          <w:lang w:val="en"/>
        </w:rPr>
        <w:t>Ziman</w:t>
      </w:r>
      <w:proofErr w:type="spellEnd"/>
      <w:r w:rsidR="00147B47" w:rsidRPr="009C15FA">
        <w:rPr>
          <w:rFonts w:cstheme="minorHAnsi"/>
          <w:lang w:val="en"/>
        </w:rPr>
        <w:t xml:space="preserve"> et al who question the use of Surgical Safety Checklists in operating rooms. </w:t>
      </w:r>
      <w:r w:rsidR="00D364C1" w:rsidRPr="009C15FA">
        <w:rPr>
          <w:rFonts w:cstheme="minorHAnsi"/>
          <w:lang w:val="en"/>
        </w:rPr>
        <w:t>By undertaking an ethnography of safety cultures in a Canadian operating room it has become clear</w:t>
      </w:r>
      <w:r w:rsidR="00BA67DB">
        <w:rPr>
          <w:rFonts w:cstheme="minorHAnsi"/>
          <w:lang w:val="en"/>
        </w:rPr>
        <w:t xml:space="preserve"> that</w:t>
      </w:r>
      <w:r w:rsidR="00D364C1" w:rsidRPr="009C15FA">
        <w:rPr>
          <w:rFonts w:cstheme="minorHAnsi"/>
          <w:lang w:val="en"/>
        </w:rPr>
        <w:t xml:space="preserve"> the complexity of professional cultures is unlike</w:t>
      </w:r>
      <w:r w:rsidR="00A65801" w:rsidRPr="009C15FA">
        <w:rPr>
          <w:rFonts w:cstheme="minorHAnsi"/>
          <w:lang w:val="en"/>
        </w:rPr>
        <w:t xml:space="preserve">ly to </w:t>
      </w:r>
      <w:r w:rsidR="007D74ED" w:rsidRPr="009C15FA">
        <w:rPr>
          <w:rFonts w:cstheme="minorHAnsi"/>
          <w:lang w:val="en"/>
        </w:rPr>
        <w:t>be fully accounted for by adopting approac</w:t>
      </w:r>
      <w:r w:rsidR="00ED4592" w:rsidRPr="009C15FA">
        <w:rPr>
          <w:rFonts w:cstheme="minorHAnsi"/>
          <w:lang w:val="en"/>
        </w:rPr>
        <w:t>hes which simply fulfil predetermined criteria</w:t>
      </w:r>
      <w:r w:rsidR="00C43B28" w:rsidRPr="009C15FA">
        <w:rPr>
          <w:rFonts w:cstheme="minorHAnsi"/>
          <w:lang w:val="en"/>
        </w:rPr>
        <w:t>. Ethnographic</w:t>
      </w:r>
      <w:r w:rsidR="007D74ED" w:rsidRPr="009C15FA">
        <w:rPr>
          <w:rFonts w:cstheme="minorHAnsi"/>
          <w:lang w:val="en"/>
        </w:rPr>
        <w:t xml:space="preserve"> investigation was also adopted by Caronia and </w:t>
      </w:r>
      <w:proofErr w:type="spellStart"/>
      <w:r w:rsidR="007D74ED" w:rsidRPr="009C15FA">
        <w:rPr>
          <w:rFonts w:cstheme="minorHAnsi"/>
          <w:lang w:val="en"/>
        </w:rPr>
        <w:t>Saglietti</w:t>
      </w:r>
      <w:proofErr w:type="spellEnd"/>
      <w:r w:rsidR="006D39BA" w:rsidRPr="009C15FA">
        <w:rPr>
          <w:rFonts w:cstheme="minorHAnsi"/>
          <w:lang w:val="en"/>
        </w:rPr>
        <w:t xml:space="preserve">, who </w:t>
      </w:r>
      <w:r w:rsidR="00E31415" w:rsidRPr="009C15FA">
        <w:rPr>
          <w:rFonts w:cstheme="minorHAnsi"/>
          <w:lang w:val="en"/>
        </w:rPr>
        <w:t>explored knowledge and agency amongst nurses in an Italian</w:t>
      </w:r>
      <w:r w:rsidR="006D39BA" w:rsidRPr="009C15FA">
        <w:rPr>
          <w:rFonts w:cstheme="minorHAnsi"/>
          <w:lang w:val="en"/>
        </w:rPr>
        <w:t xml:space="preserve"> intensive care context</w:t>
      </w:r>
      <w:r w:rsidR="00AC65B5" w:rsidRPr="009C15FA">
        <w:rPr>
          <w:rFonts w:cstheme="minorHAnsi"/>
          <w:lang w:val="en"/>
        </w:rPr>
        <w:t xml:space="preserve">. The paper reports some fascinating findings relating to the distinct forms of knowledge which nurses hold, and the subsequent implications for </w:t>
      </w:r>
      <w:r w:rsidR="001E021C" w:rsidRPr="009C15FA">
        <w:rPr>
          <w:rFonts w:cstheme="minorHAnsi"/>
          <w:lang w:val="en"/>
        </w:rPr>
        <w:t>the interprofessional con</w:t>
      </w:r>
      <w:r w:rsidR="00B125FF" w:rsidRPr="009C15FA">
        <w:rPr>
          <w:rFonts w:cstheme="minorHAnsi"/>
          <w:lang w:val="en"/>
        </w:rPr>
        <w:t xml:space="preserve">stitution of case construction. This novel </w:t>
      </w:r>
      <w:r w:rsidR="00A5431D">
        <w:rPr>
          <w:rFonts w:cstheme="minorHAnsi"/>
          <w:lang w:val="en"/>
        </w:rPr>
        <w:t xml:space="preserve">study </w:t>
      </w:r>
      <w:r w:rsidR="00B125FF" w:rsidRPr="009C15FA">
        <w:rPr>
          <w:rFonts w:cstheme="minorHAnsi"/>
          <w:lang w:val="en"/>
        </w:rPr>
        <w:t xml:space="preserve">sheds new light on nurse/physician interaction </w:t>
      </w:r>
      <w:r w:rsidR="00DD7689" w:rsidRPr="009C15FA">
        <w:rPr>
          <w:rFonts w:cstheme="minorHAnsi"/>
          <w:lang w:val="en"/>
        </w:rPr>
        <w:t>and again provides an elegant</w:t>
      </w:r>
      <w:r w:rsidR="00B125FF" w:rsidRPr="009C15FA">
        <w:rPr>
          <w:rFonts w:cstheme="minorHAnsi"/>
          <w:lang w:val="en"/>
        </w:rPr>
        <w:t xml:space="preserve"> synthesis between an empirical healthcare setting and the complex nuan</w:t>
      </w:r>
      <w:r w:rsidR="00981F43" w:rsidRPr="009C15FA">
        <w:rPr>
          <w:rFonts w:cstheme="minorHAnsi"/>
          <w:lang w:val="en"/>
        </w:rPr>
        <w:t xml:space="preserve">ces of jurisdictional dynamics. </w:t>
      </w:r>
      <w:r w:rsidR="00185ACA">
        <w:rPr>
          <w:rFonts w:cstheme="minorHAnsi"/>
          <w:lang w:val="en"/>
        </w:rPr>
        <w:t xml:space="preserve">High </w:t>
      </w:r>
      <w:r w:rsidR="00843424">
        <w:rPr>
          <w:rFonts w:cstheme="minorHAnsi"/>
          <w:lang w:val="en"/>
        </w:rPr>
        <w:t>quality</w:t>
      </w:r>
      <w:r w:rsidR="00185ACA">
        <w:rPr>
          <w:rFonts w:cstheme="minorHAnsi"/>
          <w:lang w:val="en"/>
        </w:rPr>
        <w:t xml:space="preserve"> research from the </w:t>
      </w:r>
      <w:r w:rsidR="00A5431D">
        <w:rPr>
          <w:rFonts w:cstheme="minorHAnsi"/>
          <w:lang w:val="en"/>
        </w:rPr>
        <w:t>Middle East</w:t>
      </w:r>
      <w:r w:rsidR="00185ACA">
        <w:rPr>
          <w:rFonts w:cstheme="minorHAnsi"/>
          <w:lang w:val="en"/>
        </w:rPr>
        <w:t xml:space="preserve">, like other highlighted regions, is emerging with the example of </w:t>
      </w:r>
      <w:r w:rsidR="00981F43" w:rsidRPr="009C15FA">
        <w:rPr>
          <w:rFonts w:cstheme="minorHAnsi"/>
          <w:lang w:val="en"/>
        </w:rPr>
        <w:t>Hasan</w:t>
      </w:r>
      <w:r w:rsidR="00C43B28" w:rsidRPr="009C15FA">
        <w:rPr>
          <w:rFonts w:cstheme="minorHAnsi"/>
          <w:lang w:val="en"/>
        </w:rPr>
        <w:t xml:space="preserve"> et al offer</w:t>
      </w:r>
      <w:r w:rsidR="00185ACA">
        <w:rPr>
          <w:rFonts w:cstheme="minorHAnsi"/>
          <w:lang w:val="en"/>
        </w:rPr>
        <w:t>ing</w:t>
      </w:r>
      <w:r w:rsidR="00C43B28" w:rsidRPr="009C15FA">
        <w:rPr>
          <w:rFonts w:cstheme="minorHAnsi"/>
          <w:lang w:val="en"/>
        </w:rPr>
        <w:t xml:space="preserve"> additional</w:t>
      </w:r>
      <w:r w:rsidR="00981F43" w:rsidRPr="009C15FA">
        <w:rPr>
          <w:rFonts w:cstheme="minorHAnsi"/>
          <w:lang w:val="en"/>
        </w:rPr>
        <w:t xml:space="preserve"> </w:t>
      </w:r>
      <w:r w:rsidR="00C43B28" w:rsidRPr="009C15FA">
        <w:rPr>
          <w:rFonts w:cstheme="minorHAnsi"/>
          <w:lang w:val="en"/>
        </w:rPr>
        <w:t>qualitative findings, as they approach</w:t>
      </w:r>
      <w:r w:rsidR="00981F43" w:rsidRPr="009C15FA">
        <w:rPr>
          <w:rFonts w:cstheme="minorHAnsi"/>
          <w:lang w:val="en"/>
        </w:rPr>
        <w:t xml:space="preserve"> the previously unexplored nature of physicians’ perspectives on their collaboration with pharmacy colleagues</w:t>
      </w:r>
      <w:r w:rsidR="00DD7689" w:rsidRPr="009C15FA">
        <w:rPr>
          <w:rFonts w:cstheme="minorHAnsi"/>
          <w:lang w:val="en"/>
        </w:rPr>
        <w:t xml:space="preserve"> in the United Arab Emirates. This relationship is one which has received increasing</w:t>
      </w:r>
      <w:r w:rsidR="00667E30" w:rsidRPr="009C15FA">
        <w:rPr>
          <w:rFonts w:cstheme="minorHAnsi"/>
          <w:lang w:val="en"/>
        </w:rPr>
        <w:t xml:space="preserve"> attention in North American,</w:t>
      </w:r>
      <w:r w:rsidR="00DD7689" w:rsidRPr="009C15FA">
        <w:rPr>
          <w:rFonts w:cstheme="minorHAnsi"/>
          <w:lang w:val="en"/>
        </w:rPr>
        <w:t xml:space="preserve"> European</w:t>
      </w:r>
      <w:r w:rsidR="00667E30" w:rsidRPr="009C15FA">
        <w:rPr>
          <w:rFonts w:cstheme="minorHAnsi"/>
          <w:lang w:val="en"/>
        </w:rPr>
        <w:t xml:space="preserve"> and Australasian</w:t>
      </w:r>
      <w:r w:rsidR="00DD7689" w:rsidRPr="009C15FA">
        <w:rPr>
          <w:rFonts w:cstheme="minorHAnsi"/>
          <w:lang w:val="en"/>
        </w:rPr>
        <w:t xml:space="preserve"> contexts </w:t>
      </w:r>
      <w:r w:rsidR="00667E30" w:rsidRPr="009C15FA">
        <w:rPr>
          <w:rFonts w:cstheme="minorHAnsi"/>
          <w:lang w:val="en"/>
        </w:rPr>
        <w:t xml:space="preserve">(Bergman et al, 2016, </w:t>
      </w:r>
      <w:proofErr w:type="spellStart"/>
      <w:r w:rsidR="00667E30" w:rsidRPr="009C15FA">
        <w:t>Alkhateeb</w:t>
      </w:r>
      <w:proofErr w:type="spellEnd"/>
      <w:r w:rsidR="00667E30" w:rsidRPr="009C15FA">
        <w:rPr>
          <w:rFonts w:cstheme="minorHAnsi"/>
          <w:lang w:val="en"/>
        </w:rPr>
        <w:t xml:space="preserve"> et al, 2009, Ryan et al, 2018), although this study provides much needed insight </w:t>
      </w:r>
      <w:r w:rsidR="00C43B28" w:rsidRPr="009C15FA">
        <w:rPr>
          <w:rFonts w:cstheme="minorHAnsi"/>
          <w:lang w:val="en"/>
        </w:rPr>
        <w:t>from</w:t>
      </w:r>
      <w:r w:rsidR="00667E30" w:rsidRPr="009C15FA">
        <w:rPr>
          <w:rFonts w:cstheme="minorHAnsi"/>
          <w:lang w:val="en"/>
        </w:rPr>
        <w:t xml:space="preserve"> the UAE and other countries with similar or equivalent healthcare systems. </w:t>
      </w:r>
    </w:p>
    <w:p w14:paraId="105C7D40" w14:textId="77777777" w:rsidR="00DA35E6" w:rsidRPr="009C15FA" w:rsidRDefault="003846A1">
      <w:pPr>
        <w:rPr>
          <w:rFonts w:cstheme="minorHAnsi"/>
          <w:lang w:val="en"/>
        </w:rPr>
      </w:pPr>
      <w:r w:rsidRPr="009C15FA">
        <w:rPr>
          <w:rFonts w:cstheme="minorHAnsi"/>
          <w:lang w:val="en"/>
        </w:rPr>
        <w:t>The geographical disparities which this study referred to have also been further addressed. Johnson and Carragher’s systematic review which mapped the literature on IPC in type 2 d</w:t>
      </w:r>
      <w:r w:rsidR="00DA35E6" w:rsidRPr="009C15FA">
        <w:rPr>
          <w:rFonts w:cstheme="minorHAnsi"/>
          <w:lang w:val="en"/>
        </w:rPr>
        <w:t xml:space="preserve">iabetes care in the Middle East is of particular importance to a region in which the disease is of critical prevalence. Whilst collaboration in this context and area is in evidence, the need for a more structured, standardized approach </w:t>
      </w:r>
      <w:r w:rsidR="00C43B28" w:rsidRPr="009C15FA">
        <w:rPr>
          <w:rFonts w:cstheme="minorHAnsi"/>
          <w:lang w:val="en"/>
        </w:rPr>
        <w:t xml:space="preserve">is likely to </w:t>
      </w:r>
      <w:r w:rsidR="00DA35E6" w:rsidRPr="009C15FA">
        <w:rPr>
          <w:rFonts w:cstheme="minorHAnsi"/>
          <w:lang w:val="en"/>
        </w:rPr>
        <w:t xml:space="preserve">improve outcomes. </w:t>
      </w:r>
    </w:p>
    <w:p w14:paraId="473DBE5E" w14:textId="77777777" w:rsidR="00244787" w:rsidRPr="009C15FA" w:rsidRDefault="00DA35E6">
      <w:pPr>
        <w:rPr>
          <w:rFonts w:cstheme="minorHAnsi"/>
          <w:lang w:val="en"/>
        </w:rPr>
      </w:pPr>
      <w:r w:rsidRPr="009C15FA">
        <w:rPr>
          <w:rFonts w:cstheme="minorHAnsi"/>
          <w:lang w:val="en"/>
        </w:rPr>
        <w:t xml:space="preserve">Healthcare challenges in Kenya and other Sub-Saharan African countries often require complex, context specific intervention. However, the universal impact of effective interprofessional collaboration provides a genuine practical response to many of the difficulties faced. </w:t>
      </w:r>
      <w:r w:rsidR="000C696C" w:rsidRPr="009C15FA">
        <w:rPr>
          <w:rFonts w:cstheme="minorHAnsi"/>
          <w:lang w:val="en"/>
        </w:rPr>
        <w:t>Vinayak and Brownie explore collaborative task sharing on behalf of midwives to enhance Point-Of-Care Ultrasound</w:t>
      </w:r>
      <w:r w:rsidR="00881395" w:rsidRPr="009C15FA">
        <w:rPr>
          <w:rFonts w:cstheme="minorHAnsi"/>
          <w:lang w:val="en"/>
        </w:rPr>
        <w:t xml:space="preserve"> (POCUS)</w:t>
      </w:r>
      <w:r w:rsidR="000C696C" w:rsidRPr="009C15FA">
        <w:rPr>
          <w:rFonts w:cstheme="minorHAnsi"/>
          <w:lang w:val="en"/>
        </w:rPr>
        <w:t xml:space="preserve"> access among pregnant women in Keny</w:t>
      </w:r>
      <w:r w:rsidR="005114BC" w:rsidRPr="009C15FA">
        <w:rPr>
          <w:rFonts w:cstheme="minorHAnsi"/>
          <w:lang w:val="en"/>
        </w:rPr>
        <w:t>a. Where the need for interprofessional collaboration is perhaps most acute, the study mapped and evaluated the educational and practical implications of the introduction of an invalua</w:t>
      </w:r>
      <w:r w:rsidR="009D722B" w:rsidRPr="009C15FA">
        <w:rPr>
          <w:rFonts w:cstheme="minorHAnsi"/>
          <w:lang w:val="en"/>
        </w:rPr>
        <w:t xml:space="preserve">ble collaborative intervention. This study provides a </w:t>
      </w:r>
      <w:r w:rsidR="009D722B" w:rsidRPr="009C15FA">
        <w:rPr>
          <w:rFonts w:cstheme="minorHAnsi"/>
          <w:lang w:val="en"/>
        </w:rPr>
        <w:lastRenderedPageBreak/>
        <w:t>useful representation of this issue as a whole</w:t>
      </w:r>
      <w:r w:rsidR="00EA4FD2" w:rsidRPr="009C15FA">
        <w:rPr>
          <w:rFonts w:cstheme="minorHAnsi"/>
          <w:lang w:val="en"/>
        </w:rPr>
        <w:t>. Identifying an area of concern, applying methods of staff education, tool validation and nuanced interprofessional critique has taken place</w:t>
      </w:r>
      <w:r w:rsidR="00157AE9" w:rsidRPr="009C15FA">
        <w:rPr>
          <w:rFonts w:cstheme="minorHAnsi"/>
          <w:lang w:val="en"/>
        </w:rPr>
        <w:t xml:space="preserve"> not just</w:t>
      </w:r>
      <w:r w:rsidR="00EA4FD2" w:rsidRPr="009C15FA">
        <w:rPr>
          <w:rFonts w:cstheme="minorHAnsi"/>
          <w:lang w:val="en"/>
        </w:rPr>
        <w:t xml:space="preserve"> in this instance</w:t>
      </w:r>
      <w:r w:rsidR="00157AE9" w:rsidRPr="009C15FA">
        <w:rPr>
          <w:rFonts w:cstheme="minorHAnsi"/>
          <w:lang w:val="en"/>
        </w:rPr>
        <w:t>, but</w:t>
      </w:r>
      <w:r w:rsidR="00EA4FD2" w:rsidRPr="009C15FA">
        <w:rPr>
          <w:rFonts w:cstheme="minorHAnsi"/>
          <w:lang w:val="en"/>
        </w:rPr>
        <w:t xml:space="preserve"> throughout the issue with</w:t>
      </w:r>
      <w:r w:rsidR="00244787" w:rsidRPr="009C15FA">
        <w:rPr>
          <w:rFonts w:cstheme="minorHAnsi"/>
          <w:lang w:val="en"/>
        </w:rPr>
        <w:t xml:space="preserve"> considerable success. </w:t>
      </w:r>
    </w:p>
    <w:p w14:paraId="26BCE5E1" w14:textId="4990E2BA" w:rsidR="00C904D0" w:rsidRPr="009C15FA" w:rsidRDefault="00244787">
      <w:pPr>
        <w:rPr>
          <w:rFonts w:cstheme="minorHAnsi"/>
        </w:rPr>
      </w:pPr>
      <w:r w:rsidRPr="009C15FA">
        <w:rPr>
          <w:rFonts w:cstheme="minorHAnsi"/>
          <w:lang w:val="en"/>
        </w:rPr>
        <w:t>This issue consolidates validity in a number of senses.</w:t>
      </w:r>
      <w:r w:rsidR="00634699" w:rsidRPr="009C15FA">
        <w:rPr>
          <w:rFonts w:cstheme="minorHAnsi"/>
          <w:lang w:val="en"/>
        </w:rPr>
        <w:t xml:space="preserve"> Whilst t</w:t>
      </w:r>
      <w:r w:rsidRPr="009C15FA">
        <w:rPr>
          <w:rFonts w:cstheme="minorHAnsi"/>
          <w:lang w:val="en"/>
        </w:rPr>
        <w:t>he validity of</w:t>
      </w:r>
      <w:r w:rsidR="00EC27BC" w:rsidRPr="009C15FA">
        <w:rPr>
          <w:rFonts w:cstheme="minorHAnsi"/>
          <w:lang w:val="en"/>
        </w:rPr>
        <w:t xml:space="preserve"> specific interprofessional education measures</w:t>
      </w:r>
      <w:r w:rsidR="00634699" w:rsidRPr="009C15FA">
        <w:rPr>
          <w:rFonts w:cstheme="minorHAnsi"/>
          <w:lang w:val="en"/>
        </w:rPr>
        <w:t xml:space="preserve"> and instruments which support interprofessional collaboration</w:t>
      </w:r>
      <w:r w:rsidR="00EC27BC" w:rsidRPr="009C15FA">
        <w:rPr>
          <w:rFonts w:cstheme="minorHAnsi"/>
          <w:lang w:val="en"/>
        </w:rPr>
        <w:t xml:space="preserve"> </w:t>
      </w:r>
      <w:r w:rsidR="0029510C" w:rsidRPr="009C15FA">
        <w:rPr>
          <w:rFonts w:cstheme="minorHAnsi"/>
          <w:lang w:val="en"/>
        </w:rPr>
        <w:t>are</w:t>
      </w:r>
      <w:r w:rsidR="00EC27BC" w:rsidRPr="009C15FA">
        <w:rPr>
          <w:rFonts w:cstheme="minorHAnsi"/>
          <w:lang w:val="en"/>
        </w:rPr>
        <w:t xml:space="preserve"> cons</w:t>
      </w:r>
      <w:r w:rsidR="00634699" w:rsidRPr="009C15FA">
        <w:rPr>
          <w:rFonts w:cstheme="minorHAnsi"/>
          <w:lang w:val="en"/>
        </w:rPr>
        <w:t>istently evidenced and</w:t>
      </w:r>
      <w:r w:rsidR="00EC27BC" w:rsidRPr="009C15FA">
        <w:rPr>
          <w:rFonts w:cstheme="minorHAnsi"/>
          <w:lang w:val="en"/>
        </w:rPr>
        <w:t xml:space="preserve"> critically explored</w:t>
      </w:r>
      <w:r w:rsidR="0029510C" w:rsidRPr="009C15FA">
        <w:rPr>
          <w:rFonts w:cstheme="minorHAnsi"/>
          <w:lang w:val="en"/>
        </w:rPr>
        <w:t>, t</w:t>
      </w:r>
      <w:r w:rsidR="00EC27BC" w:rsidRPr="009C15FA">
        <w:rPr>
          <w:rFonts w:cstheme="minorHAnsi"/>
          <w:lang w:val="en"/>
        </w:rPr>
        <w:t>he validity of interprofessional collaboration itself is productively reinforced through an internationally and methodological</w:t>
      </w:r>
      <w:r w:rsidR="0029510C" w:rsidRPr="009C15FA">
        <w:rPr>
          <w:rFonts w:cstheme="minorHAnsi"/>
          <w:lang w:val="en"/>
        </w:rPr>
        <w:t>ly</w:t>
      </w:r>
      <w:r w:rsidR="00EC27BC" w:rsidRPr="009C15FA">
        <w:rPr>
          <w:rFonts w:cstheme="minorHAnsi"/>
          <w:lang w:val="en"/>
        </w:rPr>
        <w:t xml:space="preserve"> </w:t>
      </w:r>
      <w:r w:rsidR="00ED4592" w:rsidRPr="009C15FA">
        <w:rPr>
          <w:rFonts w:cstheme="minorHAnsi"/>
          <w:lang w:val="en"/>
        </w:rPr>
        <w:t xml:space="preserve">diverse selection of studies. </w:t>
      </w:r>
      <w:r w:rsidR="00185ACA">
        <w:rPr>
          <w:rFonts w:cstheme="minorHAnsi"/>
          <w:lang w:val="en"/>
        </w:rPr>
        <w:t xml:space="preserve">This has been further </w:t>
      </w:r>
      <w:proofErr w:type="spellStart"/>
      <w:r w:rsidR="00185ACA">
        <w:rPr>
          <w:rFonts w:cstheme="minorHAnsi"/>
          <w:lang w:val="en"/>
        </w:rPr>
        <w:t>emphasised</w:t>
      </w:r>
      <w:proofErr w:type="spellEnd"/>
      <w:r w:rsidR="00185ACA">
        <w:rPr>
          <w:rFonts w:cstheme="minorHAnsi"/>
          <w:lang w:val="en"/>
        </w:rPr>
        <w:t xml:space="preserve"> by the spread of global research this issue has brought together and provides a foundation for further research that encompasses regions that</w:t>
      </w:r>
      <w:r w:rsidR="00A5431D">
        <w:rPr>
          <w:rFonts w:cstheme="minorHAnsi"/>
          <w:lang w:val="en"/>
        </w:rPr>
        <w:t xml:space="preserve"> are</w:t>
      </w:r>
      <w:r w:rsidR="00185ACA">
        <w:rPr>
          <w:rFonts w:cstheme="minorHAnsi"/>
          <w:lang w:val="en"/>
        </w:rPr>
        <w:t xml:space="preserve"> often neglected by the literature.</w:t>
      </w:r>
      <w:r w:rsidR="0029510C" w:rsidRPr="009C15FA">
        <w:rPr>
          <w:rFonts w:cstheme="minorHAnsi"/>
          <w:lang w:val="en"/>
        </w:rPr>
        <w:t xml:space="preserve"> </w:t>
      </w:r>
      <w:r w:rsidR="00EC27BC" w:rsidRPr="009C15FA">
        <w:rPr>
          <w:rFonts w:cstheme="minorHAnsi"/>
          <w:lang w:val="en"/>
        </w:rPr>
        <w:t xml:space="preserve"> </w:t>
      </w:r>
    </w:p>
    <w:p w14:paraId="37CBB863" w14:textId="77777777" w:rsidR="00667E30" w:rsidRPr="00667E30" w:rsidRDefault="00667E30">
      <w:pPr>
        <w:rPr>
          <w:rFonts w:cstheme="minorHAnsi"/>
        </w:rPr>
      </w:pPr>
    </w:p>
    <w:p w14:paraId="1D6D8B07" w14:textId="77777777" w:rsidR="003235D8" w:rsidRDefault="003235D8" w:rsidP="00667E30">
      <w:pPr>
        <w:shd w:val="clear" w:color="auto" w:fill="FFFFFF"/>
        <w:spacing w:after="0" w:line="240" w:lineRule="auto"/>
        <w:textAlignment w:val="top"/>
        <w:rPr>
          <w:rFonts w:cstheme="minorHAnsi"/>
        </w:rPr>
      </w:pPr>
    </w:p>
    <w:p w14:paraId="0E7B55F3" w14:textId="77777777" w:rsidR="00ED4592" w:rsidRDefault="00ED4592" w:rsidP="00667E30">
      <w:pPr>
        <w:shd w:val="clear" w:color="auto" w:fill="FFFFFF"/>
        <w:spacing w:after="0" w:line="240" w:lineRule="auto"/>
        <w:textAlignment w:val="top"/>
        <w:rPr>
          <w:rFonts w:cstheme="minorHAnsi"/>
        </w:rPr>
      </w:pPr>
    </w:p>
    <w:p w14:paraId="2C9D0CEB" w14:textId="57F2B98D" w:rsidR="00667E30" w:rsidRDefault="00667E30" w:rsidP="00667E30">
      <w:pPr>
        <w:shd w:val="clear" w:color="auto" w:fill="FFFFFF"/>
        <w:spacing w:after="0" w:line="240" w:lineRule="auto"/>
        <w:textAlignment w:val="top"/>
        <w:rPr>
          <w:rFonts w:cstheme="minorHAnsi"/>
        </w:rPr>
      </w:pPr>
      <w:proofErr w:type="spellStart"/>
      <w:r w:rsidRPr="00A1493A">
        <w:rPr>
          <w:rFonts w:cstheme="minorHAnsi"/>
        </w:rPr>
        <w:t>Alkhateeb</w:t>
      </w:r>
      <w:proofErr w:type="spellEnd"/>
      <w:r w:rsidRPr="00A1493A">
        <w:rPr>
          <w:rFonts w:cstheme="minorHAnsi"/>
        </w:rPr>
        <w:t>, F, Clauson, K, McCafferty, R, Latif, D.</w:t>
      </w:r>
      <w:r w:rsidR="00A5431D">
        <w:rPr>
          <w:rFonts w:cstheme="minorHAnsi"/>
        </w:rPr>
        <w:t xml:space="preserve"> (2009)</w:t>
      </w:r>
      <w:r w:rsidRPr="00A1493A">
        <w:rPr>
          <w:rFonts w:cstheme="minorHAnsi"/>
        </w:rPr>
        <w:t xml:space="preserve"> Physician attitudes toward pharmacist provision of medication therapy management services, </w:t>
      </w:r>
      <w:r w:rsidRPr="00A1493A">
        <w:rPr>
          <w:rFonts w:cstheme="minorHAnsi"/>
          <w:i/>
        </w:rPr>
        <w:t>Pharmacy World Science</w:t>
      </w:r>
      <w:r w:rsidRPr="00A1493A">
        <w:rPr>
          <w:rFonts w:cstheme="minorHAnsi"/>
        </w:rPr>
        <w:t>, 31, 487-493</w:t>
      </w:r>
    </w:p>
    <w:p w14:paraId="20054B58" w14:textId="77777777" w:rsidR="00A1493A" w:rsidRDefault="00A1493A" w:rsidP="00667E30">
      <w:pPr>
        <w:shd w:val="clear" w:color="auto" w:fill="FFFFFF"/>
        <w:spacing w:after="0" w:line="240" w:lineRule="auto"/>
        <w:textAlignment w:val="top"/>
        <w:rPr>
          <w:rFonts w:cstheme="minorHAnsi"/>
        </w:rPr>
      </w:pPr>
    </w:p>
    <w:p w14:paraId="06283CC0" w14:textId="15C53097" w:rsidR="00A1493A" w:rsidRPr="00A1493A" w:rsidRDefault="00A1493A" w:rsidP="00A1493A">
      <w:pPr>
        <w:autoSpaceDE w:val="0"/>
        <w:autoSpaceDN w:val="0"/>
        <w:adjustRightInd w:val="0"/>
        <w:spacing w:after="0" w:line="240" w:lineRule="auto"/>
        <w:rPr>
          <w:rStyle w:val="pagerange"/>
          <w:rFonts w:cstheme="minorHAnsi"/>
          <w:shd w:val="clear" w:color="auto" w:fill="FFFFFF"/>
        </w:rPr>
      </w:pPr>
      <w:r w:rsidRPr="00A1493A">
        <w:rPr>
          <w:rStyle w:val="authors"/>
          <w:rFonts w:cstheme="minorHAnsi"/>
          <w:shd w:val="clear" w:color="auto" w:fill="FFFFFF"/>
        </w:rPr>
        <w:t xml:space="preserve">Bergman, A, Jaynes, H, </w:t>
      </w:r>
      <w:proofErr w:type="spellStart"/>
      <w:r w:rsidRPr="00A1493A">
        <w:rPr>
          <w:rStyle w:val="authors"/>
          <w:rFonts w:cstheme="minorHAnsi"/>
          <w:shd w:val="clear" w:color="auto" w:fill="FFFFFF"/>
        </w:rPr>
        <w:t>Gonzalvo</w:t>
      </w:r>
      <w:proofErr w:type="spellEnd"/>
      <w:r w:rsidRPr="00A1493A">
        <w:rPr>
          <w:rStyle w:val="authors"/>
          <w:rFonts w:cstheme="minorHAnsi"/>
          <w:shd w:val="clear" w:color="auto" w:fill="FFFFFF"/>
        </w:rPr>
        <w:t xml:space="preserve">, J, </w:t>
      </w:r>
      <w:proofErr w:type="spellStart"/>
      <w:r w:rsidRPr="00A1493A">
        <w:rPr>
          <w:rStyle w:val="authors"/>
          <w:rFonts w:cstheme="minorHAnsi"/>
          <w:shd w:val="clear" w:color="auto" w:fill="FFFFFF"/>
        </w:rPr>
        <w:t>Suchanek</w:t>
      </w:r>
      <w:proofErr w:type="spellEnd"/>
      <w:r w:rsidRPr="00A1493A">
        <w:rPr>
          <w:rStyle w:val="authors"/>
          <w:rFonts w:cstheme="minorHAnsi"/>
          <w:shd w:val="clear" w:color="auto" w:fill="FFFFFF"/>
        </w:rPr>
        <w:t xml:space="preserve"> </w:t>
      </w:r>
      <w:proofErr w:type="spellStart"/>
      <w:r w:rsidRPr="00A1493A">
        <w:rPr>
          <w:rStyle w:val="authors"/>
          <w:rFonts w:cstheme="minorHAnsi"/>
          <w:shd w:val="clear" w:color="auto" w:fill="FFFFFF"/>
        </w:rPr>
        <w:t>Hudmon</w:t>
      </w:r>
      <w:proofErr w:type="spellEnd"/>
      <w:r w:rsidRPr="00A1493A">
        <w:rPr>
          <w:rStyle w:val="authors"/>
          <w:rFonts w:cstheme="minorHAnsi"/>
          <w:shd w:val="clear" w:color="auto" w:fill="FFFFFF"/>
        </w:rPr>
        <w:t xml:space="preserve">, K, Frankel, R, </w:t>
      </w:r>
      <w:proofErr w:type="spellStart"/>
      <w:r w:rsidRPr="00A1493A">
        <w:rPr>
          <w:rStyle w:val="authors"/>
          <w:rFonts w:cstheme="minorHAnsi"/>
          <w:shd w:val="clear" w:color="auto" w:fill="FFFFFF"/>
        </w:rPr>
        <w:t>Kobylinski</w:t>
      </w:r>
      <w:proofErr w:type="spellEnd"/>
      <w:r w:rsidRPr="00A1493A">
        <w:rPr>
          <w:rStyle w:val="authors"/>
          <w:rFonts w:cstheme="minorHAnsi"/>
          <w:shd w:val="clear" w:color="auto" w:fill="FFFFFF"/>
        </w:rPr>
        <w:t xml:space="preserve">, A, </w:t>
      </w:r>
      <w:proofErr w:type="spellStart"/>
      <w:r w:rsidRPr="00A1493A">
        <w:rPr>
          <w:rStyle w:val="authors"/>
          <w:rFonts w:cstheme="minorHAnsi"/>
          <w:shd w:val="clear" w:color="auto" w:fill="FFFFFF"/>
        </w:rPr>
        <w:t>Zillich</w:t>
      </w:r>
      <w:proofErr w:type="spellEnd"/>
      <w:r w:rsidRPr="00A1493A">
        <w:rPr>
          <w:rStyle w:val="authors"/>
          <w:rFonts w:cstheme="minorHAnsi"/>
          <w:shd w:val="clear" w:color="auto" w:fill="FFFFFF"/>
        </w:rPr>
        <w:t>, A.</w:t>
      </w:r>
      <w:r w:rsidR="00A5431D">
        <w:rPr>
          <w:rStyle w:val="authors"/>
          <w:rFonts w:cstheme="minorHAnsi"/>
          <w:shd w:val="clear" w:color="auto" w:fill="FFFFFF"/>
        </w:rPr>
        <w:t xml:space="preserve"> (2016)</w:t>
      </w:r>
      <w:r w:rsidRPr="00A1493A">
        <w:rPr>
          <w:rFonts w:cstheme="minorHAnsi"/>
          <w:shd w:val="clear" w:color="auto" w:fill="FFFFFF"/>
        </w:rPr>
        <w:t> </w:t>
      </w:r>
      <w:r w:rsidRPr="00A1493A">
        <w:rPr>
          <w:rStyle w:val="arttitle"/>
          <w:rFonts w:cstheme="minorHAnsi"/>
          <w:shd w:val="clear" w:color="auto" w:fill="FFFFFF"/>
        </w:rPr>
        <w:t>Pharmaceutical Role Expansion and Developments in Pharmacist-Physician Communication,</w:t>
      </w:r>
      <w:r w:rsidRPr="00A1493A">
        <w:rPr>
          <w:rFonts w:cstheme="minorHAnsi"/>
          <w:shd w:val="clear" w:color="auto" w:fill="FFFFFF"/>
        </w:rPr>
        <w:t> </w:t>
      </w:r>
      <w:r w:rsidRPr="00A1493A">
        <w:rPr>
          <w:rStyle w:val="serialtitle"/>
          <w:rFonts w:cstheme="minorHAnsi"/>
          <w:i/>
          <w:shd w:val="clear" w:color="auto" w:fill="FFFFFF"/>
        </w:rPr>
        <w:t xml:space="preserve">Health </w:t>
      </w:r>
      <w:proofErr w:type="gramStart"/>
      <w:r w:rsidRPr="00A1493A">
        <w:rPr>
          <w:rStyle w:val="serialtitle"/>
          <w:rFonts w:cstheme="minorHAnsi"/>
          <w:i/>
          <w:shd w:val="clear" w:color="auto" w:fill="FFFFFF"/>
        </w:rPr>
        <w:t>Communication</w:t>
      </w:r>
      <w:r w:rsidRPr="00A1493A">
        <w:rPr>
          <w:rStyle w:val="serialtitle"/>
          <w:rFonts w:cstheme="minorHAnsi"/>
          <w:shd w:val="clear" w:color="auto" w:fill="FFFFFF"/>
        </w:rPr>
        <w:t>,</w:t>
      </w:r>
      <w:r w:rsidRPr="00A1493A">
        <w:rPr>
          <w:rFonts w:cstheme="minorHAnsi"/>
          <w:shd w:val="clear" w:color="auto" w:fill="FFFFFF"/>
        </w:rPr>
        <w:t xml:space="preserve">  </w:t>
      </w:r>
      <w:r w:rsidRPr="00A1493A">
        <w:rPr>
          <w:rStyle w:val="volumeissue"/>
          <w:rFonts w:cstheme="minorHAnsi"/>
          <w:shd w:val="clear" w:color="auto" w:fill="FFFFFF"/>
        </w:rPr>
        <w:t>31</w:t>
      </w:r>
      <w:proofErr w:type="gramEnd"/>
      <w:r w:rsidRPr="00A1493A">
        <w:rPr>
          <w:rStyle w:val="volumeissue"/>
          <w:rFonts w:cstheme="minorHAnsi"/>
          <w:shd w:val="clear" w:color="auto" w:fill="FFFFFF"/>
        </w:rPr>
        <w:t>,</w:t>
      </w:r>
      <w:r w:rsidRPr="00A1493A">
        <w:rPr>
          <w:rFonts w:cstheme="minorHAnsi"/>
          <w:shd w:val="clear" w:color="auto" w:fill="FFFFFF"/>
        </w:rPr>
        <w:t> </w:t>
      </w:r>
      <w:r w:rsidRPr="00A1493A">
        <w:rPr>
          <w:rStyle w:val="pagerange"/>
          <w:rFonts w:cstheme="minorHAnsi"/>
          <w:shd w:val="clear" w:color="auto" w:fill="FFFFFF"/>
        </w:rPr>
        <w:t>161-170</w:t>
      </w:r>
    </w:p>
    <w:p w14:paraId="50AF33B1" w14:textId="77777777" w:rsidR="00A1493A" w:rsidRPr="00A1493A" w:rsidRDefault="00A1493A" w:rsidP="00667E30">
      <w:pPr>
        <w:shd w:val="clear" w:color="auto" w:fill="FFFFFF"/>
        <w:spacing w:after="0" w:line="240" w:lineRule="auto"/>
        <w:textAlignment w:val="top"/>
        <w:rPr>
          <w:rFonts w:cstheme="minorHAnsi"/>
        </w:rPr>
      </w:pPr>
    </w:p>
    <w:p w14:paraId="6C5EF201" w14:textId="77777777" w:rsidR="0083371D" w:rsidRPr="00A1493A" w:rsidRDefault="0083371D">
      <w:pPr>
        <w:rPr>
          <w:rStyle w:val="nlmlpage"/>
          <w:rFonts w:cstheme="minorHAnsi"/>
          <w:lang w:val="en"/>
        </w:rPr>
      </w:pPr>
      <w:r w:rsidRPr="00A1493A">
        <w:rPr>
          <w:rStyle w:val="hlfld-contribauthor"/>
          <w:rFonts w:cstheme="minorHAnsi"/>
          <w:lang w:val="en"/>
        </w:rPr>
        <w:t xml:space="preserve">Brandt, </w:t>
      </w:r>
      <w:r w:rsidRPr="00A1493A">
        <w:rPr>
          <w:rStyle w:val="nlmgiven-names"/>
          <w:rFonts w:cstheme="minorHAnsi"/>
          <w:lang w:val="en"/>
        </w:rPr>
        <w:t>B.</w:t>
      </w:r>
      <w:r w:rsidRPr="00A1493A">
        <w:rPr>
          <w:rFonts w:cstheme="minorHAnsi"/>
          <w:lang w:val="en"/>
        </w:rPr>
        <w:t xml:space="preserve">, </w:t>
      </w:r>
      <w:proofErr w:type="spellStart"/>
      <w:r w:rsidRPr="00A1493A">
        <w:rPr>
          <w:rStyle w:val="hlfld-contribauthor"/>
          <w:rFonts w:cstheme="minorHAnsi"/>
          <w:lang w:val="en"/>
        </w:rPr>
        <w:t>Lutfiyya</w:t>
      </w:r>
      <w:proofErr w:type="spellEnd"/>
      <w:r w:rsidRPr="00A1493A">
        <w:rPr>
          <w:rStyle w:val="hlfld-contribauthor"/>
          <w:rFonts w:cstheme="minorHAnsi"/>
          <w:lang w:val="en"/>
        </w:rPr>
        <w:t xml:space="preserve">, </w:t>
      </w:r>
      <w:r w:rsidRPr="00A1493A">
        <w:rPr>
          <w:rStyle w:val="nlmgiven-names"/>
          <w:rFonts w:cstheme="minorHAnsi"/>
          <w:lang w:val="en"/>
        </w:rPr>
        <w:t>M. N.</w:t>
      </w:r>
      <w:r w:rsidRPr="00A1493A">
        <w:rPr>
          <w:rFonts w:cstheme="minorHAnsi"/>
          <w:lang w:val="en"/>
        </w:rPr>
        <w:t xml:space="preserve">, </w:t>
      </w:r>
      <w:r w:rsidRPr="00A1493A">
        <w:rPr>
          <w:rStyle w:val="hlfld-contribauthor"/>
          <w:rFonts w:cstheme="minorHAnsi"/>
          <w:lang w:val="en"/>
        </w:rPr>
        <w:t xml:space="preserve">King, </w:t>
      </w:r>
      <w:r w:rsidRPr="00A1493A">
        <w:rPr>
          <w:rStyle w:val="nlmgiven-names"/>
          <w:rFonts w:cstheme="minorHAnsi"/>
          <w:lang w:val="en"/>
        </w:rPr>
        <w:t>J. A.</w:t>
      </w:r>
      <w:r w:rsidRPr="00A1493A">
        <w:rPr>
          <w:rFonts w:cstheme="minorHAnsi"/>
          <w:lang w:val="en"/>
        </w:rPr>
        <w:t xml:space="preserve">, &amp; </w:t>
      </w:r>
      <w:proofErr w:type="spellStart"/>
      <w:r w:rsidRPr="00A1493A">
        <w:rPr>
          <w:rStyle w:val="hlfld-contribauthor"/>
          <w:rFonts w:cstheme="minorHAnsi"/>
          <w:lang w:val="en"/>
        </w:rPr>
        <w:t>Chioreso</w:t>
      </w:r>
      <w:proofErr w:type="spellEnd"/>
      <w:r w:rsidRPr="00A1493A">
        <w:rPr>
          <w:rStyle w:val="hlfld-contribauthor"/>
          <w:rFonts w:cstheme="minorHAnsi"/>
          <w:lang w:val="en"/>
        </w:rPr>
        <w:t xml:space="preserve">, </w:t>
      </w:r>
      <w:r w:rsidRPr="00A1493A">
        <w:rPr>
          <w:rStyle w:val="nlmgiven-names"/>
          <w:rFonts w:cstheme="minorHAnsi"/>
          <w:lang w:val="en"/>
        </w:rPr>
        <w:t>C.</w:t>
      </w:r>
      <w:r w:rsidRPr="00A1493A">
        <w:rPr>
          <w:rFonts w:cstheme="minorHAnsi"/>
          <w:lang w:val="en"/>
        </w:rPr>
        <w:t xml:space="preserve"> (</w:t>
      </w:r>
      <w:r w:rsidRPr="00A1493A">
        <w:rPr>
          <w:rStyle w:val="nlmyear"/>
          <w:rFonts w:cstheme="minorHAnsi"/>
          <w:lang w:val="en"/>
        </w:rPr>
        <w:t>2014</w:t>
      </w:r>
      <w:r w:rsidRPr="00A1493A">
        <w:rPr>
          <w:rFonts w:cstheme="minorHAnsi"/>
          <w:lang w:val="en"/>
        </w:rPr>
        <w:t xml:space="preserve">). </w:t>
      </w:r>
      <w:r w:rsidRPr="00A1493A">
        <w:rPr>
          <w:rStyle w:val="nlmarticle-title"/>
          <w:rFonts w:cstheme="minorHAnsi"/>
          <w:lang w:val="en"/>
        </w:rPr>
        <w:t>A scoping review of interprofessional collaborative practice and education using the lens of the Triple Aim</w:t>
      </w:r>
      <w:r w:rsidRPr="00A1493A">
        <w:rPr>
          <w:rFonts w:cstheme="minorHAnsi"/>
          <w:lang w:val="en"/>
        </w:rPr>
        <w:t xml:space="preserve">. </w:t>
      </w:r>
      <w:r w:rsidRPr="00A1493A">
        <w:rPr>
          <w:rFonts w:cstheme="minorHAnsi"/>
          <w:i/>
          <w:iCs/>
          <w:lang w:val="en"/>
        </w:rPr>
        <w:t>Journal of Interprofessional Care</w:t>
      </w:r>
      <w:r w:rsidRPr="00A1493A">
        <w:rPr>
          <w:rFonts w:cstheme="minorHAnsi"/>
          <w:lang w:val="en"/>
        </w:rPr>
        <w:t xml:space="preserve">, 28, </w:t>
      </w:r>
      <w:r w:rsidRPr="00A1493A">
        <w:rPr>
          <w:rStyle w:val="nlmfpage"/>
          <w:rFonts w:cstheme="minorHAnsi"/>
          <w:lang w:val="en"/>
        </w:rPr>
        <w:t>393</w:t>
      </w:r>
      <w:r w:rsidRPr="00A1493A">
        <w:rPr>
          <w:rFonts w:cstheme="minorHAnsi"/>
          <w:lang w:val="en"/>
        </w:rPr>
        <w:t>–</w:t>
      </w:r>
      <w:r w:rsidRPr="00A1493A">
        <w:rPr>
          <w:rStyle w:val="nlmlpage"/>
          <w:rFonts w:cstheme="minorHAnsi"/>
          <w:lang w:val="en"/>
        </w:rPr>
        <w:t>399</w:t>
      </w:r>
    </w:p>
    <w:p w14:paraId="1176EF00" w14:textId="77777777" w:rsidR="0083371D" w:rsidRPr="00A1493A" w:rsidRDefault="0083371D">
      <w:pPr>
        <w:rPr>
          <w:rStyle w:val="nlmpublisher-name"/>
          <w:rFonts w:cstheme="minorHAnsi"/>
          <w:lang w:val="en"/>
        </w:rPr>
      </w:pPr>
      <w:r w:rsidRPr="00A1493A">
        <w:rPr>
          <w:rFonts w:cstheme="minorHAnsi"/>
          <w:lang w:val="en"/>
        </w:rPr>
        <w:t>Institute of Medicine. (</w:t>
      </w:r>
      <w:r w:rsidRPr="00A1493A">
        <w:rPr>
          <w:rStyle w:val="nlmyear"/>
          <w:rFonts w:cstheme="minorHAnsi"/>
          <w:lang w:val="en"/>
        </w:rPr>
        <w:t>2015</w:t>
      </w:r>
      <w:r w:rsidRPr="00A1493A">
        <w:rPr>
          <w:rFonts w:cstheme="minorHAnsi"/>
          <w:lang w:val="en"/>
        </w:rPr>
        <w:t xml:space="preserve">). </w:t>
      </w:r>
      <w:r w:rsidRPr="00A1493A">
        <w:rPr>
          <w:rFonts w:cstheme="minorHAnsi"/>
          <w:i/>
          <w:iCs/>
          <w:lang w:val="en"/>
        </w:rPr>
        <w:t>Measuring the impact of interprofessional education on collaborative practice and patient outcomes</w:t>
      </w:r>
      <w:r w:rsidRPr="00A1493A">
        <w:rPr>
          <w:rFonts w:cstheme="minorHAnsi"/>
          <w:lang w:val="en"/>
        </w:rPr>
        <w:t xml:space="preserve">. </w:t>
      </w:r>
      <w:r w:rsidRPr="00A1493A">
        <w:rPr>
          <w:rStyle w:val="nlmpublisher-loc"/>
          <w:rFonts w:cstheme="minorHAnsi"/>
          <w:lang w:val="en"/>
        </w:rPr>
        <w:t>Washington, DC</w:t>
      </w:r>
      <w:r w:rsidRPr="00A1493A">
        <w:rPr>
          <w:rFonts w:cstheme="minorHAnsi"/>
          <w:lang w:val="en"/>
        </w:rPr>
        <w:t xml:space="preserve">: </w:t>
      </w:r>
      <w:r w:rsidRPr="00A1493A">
        <w:rPr>
          <w:rStyle w:val="nlmpublisher-name"/>
          <w:rFonts w:cstheme="minorHAnsi"/>
          <w:lang w:val="en"/>
        </w:rPr>
        <w:t>The National Academies Press</w:t>
      </w:r>
    </w:p>
    <w:p w14:paraId="1ABB965D" w14:textId="77777777" w:rsidR="0083371D" w:rsidRPr="00A1493A" w:rsidRDefault="0083371D">
      <w:pPr>
        <w:rPr>
          <w:rStyle w:val="nlmlpage"/>
          <w:rFonts w:cstheme="minorHAnsi"/>
          <w:lang w:val="en"/>
        </w:rPr>
      </w:pPr>
      <w:r w:rsidRPr="00A1493A">
        <w:rPr>
          <w:rStyle w:val="hlfld-contribauthor"/>
          <w:rFonts w:cstheme="minorHAnsi"/>
          <w:lang w:val="en"/>
        </w:rPr>
        <w:t xml:space="preserve">Parker, </w:t>
      </w:r>
      <w:r w:rsidRPr="00A1493A">
        <w:rPr>
          <w:rStyle w:val="nlmgiven-names"/>
          <w:rFonts w:cstheme="minorHAnsi"/>
          <w:lang w:val="en"/>
        </w:rPr>
        <w:t>K.</w:t>
      </w:r>
      <w:r w:rsidRPr="00A1493A">
        <w:rPr>
          <w:rFonts w:cstheme="minorHAnsi"/>
          <w:lang w:val="en"/>
        </w:rPr>
        <w:t xml:space="preserve">, </w:t>
      </w:r>
      <w:r w:rsidRPr="00A1493A">
        <w:rPr>
          <w:rStyle w:val="hlfld-contribauthor"/>
          <w:rFonts w:cstheme="minorHAnsi"/>
          <w:lang w:val="en"/>
        </w:rPr>
        <w:t xml:space="preserve">Burrows, </w:t>
      </w:r>
      <w:r w:rsidRPr="00A1493A">
        <w:rPr>
          <w:rStyle w:val="nlmgiven-names"/>
          <w:rFonts w:cstheme="minorHAnsi"/>
          <w:lang w:val="en"/>
        </w:rPr>
        <w:t>G.</w:t>
      </w:r>
      <w:r w:rsidRPr="00A1493A">
        <w:rPr>
          <w:rFonts w:cstheme="minorHAnsi"/>
          <w:lang w:val="en"/>
        </w:rPr>
        <w:t xml:space="preserve">, </w:t>
      </w:r>
      <w:r w:rsidRPr="00A1493A">
        <w:rPr>
          <w:rStyle w:val="hlfld-contribauthor"/>
          <w:rFonts w:cstheme="minorHAnsi"/>
          <w:lang w:val="en"/>
        </w:rPr>
        <w:t xml:space="preserve">Nash, </w:t>
      </w:r>
      <w:r w:rsidRPr="00A1493A">
        <w:rPr>
          <w:rStyle w:val="nlmgiven-names"/>
          <w:rFonts w:cstheme="minorHAnsi"/>
          <w:lang w:val="en"/>
        </w:rPr>
        <w:t>H.</w:t>
      </w:r>
      <w:r w:rsidRPr="00A1493A">
        <w:rPr>
          <w:rFonts w:cstheme="minorHAnsi"/>
          <w:lang w:val="en"/>
        </w:rPr>
        <w:t xml:space="preserve">, &amp; </w:t>
      </w:r>
      <w:r w:rsidRPr="00A1493A">
        <w:rPr>
          <w:rStyle w:val="hlfld-contribauthor"/>
          <w:rFonts w:cstheme="minorHAnsi"/>
          <w:lang w:val="en"/>
        </w:rPr>
        <w:t xml:space="preserve">Rosenblum, </w:t>
      </w:r>
      <w:r w:rsidRPr="00A1493A">
        <w:rPr>
          <w:rStyle w:val="nlmgiven-names"/>
          <w:rFonts w:cstheme="minorHAnsi"/>
          <w:lang w:val="en"/>
        </w:rPr>
        <w:t>N. D.</w:t>
      </w:r>
      <w:r w:rsidRPr="00A1493A">
        <w:rPr>
          <w:rFonts w:cstheme="minorHAnsi"/>
          <w:lang w:val="en"/>
        </w:rPr>
        <w:t xml:space="preserve"> (</w:t>
      </w:r>
      <w:r w:rsidRPr="00A1493A">
        <w:rPr>
          <w:rStyle w:val="nlmyear"/>
          <w:rFonts w:cstheme="minorHAnsi"/>
          <w:lang w:val="en"/>
        </w:rPr>
        <w:t>2011</w:t>
      </w:r>
      <w:r w:rsidRPr="00A1493A">
        <w:rPr>
          <w:rFonts w:cstheme="minorHAnsi"/>
          <w:lang w:val="en"/>
        </w:rPr>
        <w:t xml:space="preserve">). </w:t>
      </w:r>
      <w:r w:rsidRPr="00A1493A">
        <w:rPr>
          <w:rStyle w:val="nlmarticle-title"/>
          <w:rFonts w:cstheme="minorHAnsi"/>
          <w:lang w:val="en"/>
        </w:rPr>
        <w:t>Going beyond Kirkpatrick in evaluating a clinician scientist program: It’s not “if it works” but “how it works”</w:t>
      </w:r>
      <w:r w:rsidRPr="00A1493A">
        <w:rPr>
          <w:rFonts w:cstheme="minorHAnsi"/>
          <w:lang w:val="en"/>
        </w:rPr>
        <w:t xml:space="preserve">. </w:t>
      </w:r>
      <w:r w:rsidRPr="00A1493A">
        <w:rPr>
          <w:rFonts w:cstheme="minorHAnsi"/>
          <w:i/>
          <w:iCs/>
          <w:lang w:val="en"/>
        </w:rPr>
        <w:t>Academic Medicine</w:t>
      </w:r>
      <w:r w:rsidRPr="00A1493A">
        <w:rPr>
          <w:rFonts w:cstheme="minorHAnsi"/>
          <w:lang w:val="en"/>
        </w:rPr>
        <w:t xml:space="preserve">, 86(11), </w:t>
      </w:r>
      <w:r w:rsidRPr="00A1493A">
        <w:rPr>
          <w:rStyle w:val="nlmfpage"/>
          <w:rFonts w:cstheme="minorHAnsi"/>
          <w:lang w:val="en"/>
        </w:rPr>
        <w:t>1389</w:t>
      </w:r>
      <w:r w:rsidRPr="00A1493A">
        <w:rPr>
          <w:rFonts w:cstheme="minorHAnsi"/>
          <w:lang w:val="en"/>
        </w:rPr>
        <w:t>–</w:t>
      </w:r>
      <w:r w:rsidRPr="00A1493A">
        <w:rPr>
          <w:rStyle w:val="nlmlpage"/>
          <w:rFonts w:cstheme="minorHAnsi"/>
          <w:lang w:val="en"/>
        </w:rPr>
        <w:t>1396</w:t>
      </w:r>
    </w:p>
    <w:p w14:paraId="29842C94" w14:textId="77777777" w:rsidR="00B17E38" w:rsidRPr="00A1493A" w:rsidRDefault="00B17E38">
      <w:pPr>
        <w:rPr>
          <w:rStyle w:val="pagerange"/>
          <w:rFonts w:cstheme="minorHAnsi"/>
          <w:lang w:val="en"/>
        </w:rPr>
      </w:pPr>
      <w:r w:rsidRPr="00A1493A">
        <w:rPr>
          <w:rStyle w:val="authors5"/>
          <w:rFonts w:cstheme="minorHAnsi"/>
          <w:lang w:val="en"/>
        </w:rPr>
        <w:t>Reeves,</w:t>
      </w:r>
      <w:r w:rsidR="00A1493A" w:rsidRPr="00A1493A">
        <w:rPr>
          <w:rStyle w:val="authors5"/>
          <w:rFonts w:cstheme="minorHAnsi"/>
          <w:lang w:val="en"/>
        </w:rPr>
        <w:t xml:space="preserve"> S, </w:t>
      </w:r>
      <w:proofErr w:type="spellStart"/>
      <w:r w:rsidRPr="00A1493A">
        <w:rPr>
          <w:rStyle w:val="authors5"/>
          <w:rFonts w:cstheme="minorHAnsi"/>
          <w:lang w:val="en"/>
        </w:rPr>
        <w:t>Boet</w:t>
      </w:r>
      <w:proofErr w:type="spellEnd"/>
      <w:r w:rsidRPr="00A1493A">
        <w:rPr>
          <w:rStyle w:val="authors5"/>
          <w:rFonts w:cstheme="minorHAnsi"/>
          <w:lang w:val="en"/>
        </w:rPr>
        <w:t>,</w:t>
      </w:r>
      <w:r w:rsidR="00A1493A" w:rsidRPr="00A1493A">
        <w:rPr>
          <w:rStyle w:val="authors5"/>
          <w:rFonts w:cstheme="minorHAnsi"/>
          <w:lang w:val="en"/>
        </w:rPr>
        <w:t xml:space="preserve"> S,</w:t>
      </w:r>
      <w:r w:rsidRPr="00A1493A">
        <w:rPr>
          <w:rStyle w:val="authors5"/>
          <w:rFonts w:cstheme="minorHAnsi"/>
          <w:lang w:val="en"/>
        </w:rPr>
        <w:t xml:space="preserve"> </w:t>
      </w:r>
      <w:proofErr w:type="spellStart"/>
      <w:r w:rsidRPr="00A1493A">
        <w:rPr>
          <w:rStyle w:val="authors5"/>
          <w:rFonts w:cstheme="minorHAnsi"/>
          <w:lang w:val="en"/>
        </w:rPr>
        <w:t>Zierler</w:t>
      </w:r>
      <w:proofErr w:type="spellEnd"/>
      <w:r w:rsidR="00A1493A" w:rsidRPr="00A1493A">
        <w:rPr>
          <w:rStyle w:val="authors5"/>
          <w:rFonts w:cstheme="minorHAnsi"/>
          <w:lang w:val="en"/>
        </w:rPr>
        <w:t xml:space="preserve">, B, </w:t>
      </w:r>
      <w:proofErr w:type="spellStart"/>
      <w:r w:rsidRPr="00A1493A">
        <w:rPr>
          <w:rStyle w:val="authors5"/>
          <w:rFonts w:cstheme="minorHAnsi"/>
          <w:lang w:val="en"/>
        </w:rPr>
        <w:t>Kitto</w:t>
      </w:r>
      <w:proofErr w:type="spellEnd"/>
      <w:r w:rsidR="00A1493A" w:rsidRPr="00A1493A">
        <w:rPr>
          <w:rStyle w:val="authors5"/>
          <w:rFonts w:cstheme="minorHAnsi"/>
          <w:lang w:val="en"/>
        </w:rPr>
        <w:t>, S</w:t>
      </w:r>
      <w:r w:rsidRPr="00A1493A">
        <w:rPr>
          <w:rFonts w:cstheme="minorHAnsi"/>
          <w:lang w:val="en"/>
        </w:rPr>
        <w:t xml:space="preserve"> </w:t>
      </w:r>
      <w:r w:rsidRPr="00A1493A">
        <w:rPr>
          <w:rStyle w:val="Date1"/>
          <w:rFonts w:cstheme="minorHAnsi"/>
          <w:lang w:val="en"/>
        </w:rPr>
        <w:t>(2015)</w:t>
      </w:r>
      <w:r w:rsidRPr="00A1493A">
        <w:rPr>
          <w:rFonts w:cstheme="minorHAnsi"/>
          <w:lang w:val="en"/>
        </w:rPr>
        <w:t xml:space="preserve"> </w:t>
      </w:r>
      <w:r w:rsidRPr="00A1493A">
        <w:rPr>
          <w:rStyle w:val="arttitle4"/>
          <w:rFonts w:cstheme="minorHAnsi"/>
          <w:lang w:val="en"/>
        </w:rPr>
        <w:t>Interprofessional Education and Practice Guide No. 3: Evaluating interprofessional education,</w:t>
      </w:r>
      <w:r w:rsidRPr="00A1493A">
        <w:rPr>
          <w:rFonts w:cstheme="minorHAnsi"/>
          <w:lang w:val="en"/>
        </w:rPr>
        <w:t xml:space="preserve"> </w:t>
      </w:r>
      <w:r w:rsidRPr="003235D8">
        <w:rPr>
          <w:rStyle w:val="serialtitle"/>
          <w:rFonts w:cstheme="minorHAnsi"/>
          <w:i/>
          <w:lang w:val="en"/>
        </w:rPr>
        <w:t>Journal of Interprofessional Care</w:t>
      </w:r>
      <w:r w:rsidRPr="00A1493A">
        <w:rPr>
          <w:rStyle w:val="serialtitle"/>
          <w:rFonts w:cstheme="minorHAnsi"/>
          <w:lang w:val="en"/>
        </w:rPr>
        <w:t>,</w:t>
      </w:r>
      <w:r w:rsidRPr="00A1493A">
        <w:rPr>
          <w:rFonts w:cstheme="minorHAnsi"/>
          <w:lang w:val="en"/>
        </w:rPr>
        <w:t xml:space="preserve"> </w:t>
      </w:r>
      <w:r w:rsidRPr="00A1493A">
        <w:rPr>
          <w:rStyle w:val="volumeissue"/>
          <w:rFonts w:cstheme="minorHAnsi"/>
          <w:lang w:val="en"/>
        </w:rPr>
        <w:t>29:4,</w:t>
      </w:r>
      <w:r w:rsidRPr="00A1493A">
        <w:rPr>
          <w:rFonts w:cstheme="minorHAnsi"/>
          <w:lang w:val="en"/>
        </w:rPr>
        <w:t xml:space="preserve"> </w:t>
      </w:r>
      <w:r w:rsidRPr="00A1493A">
        <w:rPr>
          <w:rStyle w:val="pagerange"/>
          <w:rFonts w:cstheme="minorHAnsi"/>
          <w:lang w:val="en"/>
        </w:rPr>
        <w:t>305-312</w:t>
      </w:r>
    </w:p>
    <w:p w14:paraId="4EAEE57C" w14:textId="48E5C694" w:rsidR="00667E30" w:rsidRPr="00A1493A" w:rsidRDefault="00000000" w:rsidP="00667E30">
      <w:pPr>
        <w:pStyle w:val="Heading1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hyperlink r:id="rId6" w:history="1">
        <w:r w:rsidR="00667E30" w:rsidRPr="00A1493A">
          <w:rPr>
            <w:rStyle w:val="Hyperlink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Ryan K</w:t>
        </w:r>
      </w:hyperlink>
      <w:r w:rsidR="00667E30" w:rsidRPr="00A1493A">
        <w:rPr>
          <w:rFonts w:asciiTheme="minorHAnsi" w:hAnsiTheme="minorHAnsi" w:cstheme="minorHAnsi"/>
          <w:b w:val="0"/>
          <w:color w:val="auto"/>
          <w:sz w:val="22"/>
          <w:szCs w:val="22"/>
        </w:rPr>
        <w:t>, </w:t>
      </w:r>
      <w:hyperlink r:id="rId7" w:history="1">
        <w:r w:rsidR="00667E30" w:rsidRPr="00A1493A">
          <w:rPr>
            <w:rStyle w:val="Hyperlink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Patel, N</w:t>
        </w:r>
      </w:hyperlink>
      <w:r w:rsidR="00667E30" w:rsidRPr="00A1493A">
        <w:rPr>
          <w:rFonts w:asciiTheme="minorHAnsi" w:hAnsiTheme="minorHAnsi" w:cstheme="minorHAnsi"/>
          <w:b w:val="0"/>
          <w:color w:val="auto"/>
          <w:sz w:val="22"/>
          <w:szCs w:val="22"/>
        </w:rPr>
        <w:t>, Lau, W, </w:t>
      </w:r>
      <w:hyperlink r:id="rId8" w:history="1">
        <w:r w:rsidR="00667E30" w:rsidRPr="00A1493A">
          <w:rPr>
            <w:rStyle w:val="Hyperlink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Abu-</w:t>
        </w:r>
        <w:proofErr w:type="spellStart"/>
        <w:r w:rsidR="00667E30" w:rsidRPr="00A1493A">
          <w:rPr>
            <w:rStyle w:val="Hyperlink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Elmagd</w:t>
        </w:r>
        <w:proofErr w:type="spellEnd"/>
        <w:r w:rsidR="00667E30" w:rsidRPr="00A1493A">
          <w:rPr>
            <w:rStyle w:val="Hyperlink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, H</w:t>
        </w:r>
      </w:hyperlink>
      <w:r w:rsidR="00667E30" w:rsidRPr="00A1493A">
        <w:rPr>
          <w:rFonts w:asciiTheme="minorHAnsi" w:hAnsiTheme="minorHAnsi" w:cstheme="minorHAnsi"/>
          <w:b w:val="0"/>
          <w:color w:val="auto"/>
          <w:sz w:val="22"/>
          <w:szCs w:val="22"/>
        </w:rPr>
        <w:t>, </w:t>
      </w:r>
      <w:hyperlink r:id="rId9" w:history="1">
        <w:r w:rsidR="00667E30" w:rsidRPr="00A1493A">
          <w:rPr>
            <w:rStyle w:val="Hyperlink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Stretch, G</w:t>
        </w:r>
      </w:hyperlink>
      <w:r w:rsidR="00667E30" w:rsidRPr="00A1493A">
        <w:rPr>
          <w:rFonts w:asciiTheme="minorHAnsi" w:hAnsiTheme="minorHAnsi" w:cstheme="minorHAnsi"/>
          <w:b w:val="0"/>
          <w:color w:val="auto"/>
          <w:sz w:val="22"/>
          <w:szCs w:val="22"/>
        </w:rPr>
        <w:t>, </w:t>
      </w:r>
      <w:proofErr w:type="spellStart"/>
      <w:r w:rsidR="00DB2CDA">
        <w:fldChar w:fldCharType="begin"/>
      </w:r>
      <w:r w:rsidR="00DB2CDA">
        <w:instrText xml:space="preserve"> HYPERLINK "https://www.ncbi.nlm.nih.gov/pubmed/?term=Pinney%20H%5BAuthor%5D&amp;cauthor=true&amp;cauthor_uid=29609603" </w:instrText>
      </w:r>
      <w:r w:rsidR="00DB2CDA">
        <w:fldChar w:fldCharType="separate"/>
      </w:r>
      <w:r w:rsidR="00667E30" w:rsidRPr="00A1493A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Pinney</w:t>
      </w:r>
      <w:proofErr w:type="spellEnd"/>
      <w:r w:rsidR="00667E30" w:rsidRPr="00A1493A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, H</w:t>
      </w:r>
      <w:r w:rsidR="00DB2CDA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fldChar w:fldCharType="end"/>
      </w:r>
      <w:r w:rsidR="00667E30" w:rsidRPr="00A1493A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.</w:t>
      </w:r>
      <w:r w:rsidR="00A5431D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 (2018)</w:t>
      </w:r>
      <w:r w:rsidR="00667E30" w:rsidRPr="00A1493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Pharmacists in general practice: a qualitative interview case study of stakeholders' experiences in a West London GP federation, </w:t>
      </w:r>
      <w:r w:rsidR="00667E30" w:rsidRPr="00A1493A">
        <w:rPr>
          <w:rFonts w:asciiTheme="minorHAnsi" w:hAnsiTheme="minorHAnsi" w:cstheme="minorHAnsi"/>
          <w:b w:val="0"/>
          <w:i/>
          <w:color w:val="auto"/>
          <w:sz w:val="22"/>
          <w:szCs w:val="22"/>
        </w:rPr>
        <w:t>BMC Health Services Research</w:t>
      </w:r>
      <w:r w:rsidR="00667E30" w:rsidRPr="00A1493A">
        <w:rPr>
          <w:rFonts w:asciiTheme="minorHAnsi" w:hAnsiTheme="minorHAnsi" w:cstheme="minorHAnsi"/>
          <w:b w:val="0"/>
          <w:color w:val="auto"/>
          <w:sz w:val="22"/>
          <w:szCs w:val="22"/>
        </w:rPr>
        <w:t>, 18, 234</w:t>
      </w:r>
    </w:p>
    <w:p w14:paraId="26A696F9" w14:textId="77777777" w:rsidR="00667E30" w:rsidRPr="0083371D" w:rsidRDefault="00667E30">
      <w:pPr>
        <w:rPr>
          <w:rFonts w:cstheme="minorHAnsi"/>
        </w:rPr>
      </w:pPr>
    </w:p>
    <w:sectPr w:rsidR="00667E30" w:rsidRPr="00833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379FA"/>
    <w:multiLevelType w:val="hybridMultilevel"/>
    <w:tmpl w:val="6D00F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90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D0"/>
    <w:rsid w:val="000512CF"/>
    <w:rsid w:val="00062A27"/>
    <w:rsid w:val="000C696C"/>
    <w:rsid w:val="000D515A"/>
    <w:rsid w:val="001110EF"/>
    <w:rsid w:val="001448EE"/>
    <w:rsid w:val="00147B47"/>
    <w:rsid w:val="00157AE9"/>
    <w:rsid w:val="00185ACA"/>
    <w:rsid w:val="001E021C"/>
    <w:rsid w:val="00244787"/>
    <w:rsid w:val="0028220E"/>
    <w:rsid w:val="0029510C"/>
    <w:rsid w:val="002B4B7D"/>
    <w:rsid w:val="002D0D9C"/>
    <w:rsid w:val="002D75CA"/>
    <w:rsid w:val="002F3446"/>
    <w:rsid w:val="003235D8"/>
    <w:rsid w:val="003846A1"/>
    <w:rsid w:val="003C195B"/>
    <w:rsid w:val="003C210E"/>
    <w:rsid w:val="003D2D4A"/>
    <w:rsid w:val="00411DAB"/>
    <w:rsid w:val="004C51B8"/>
    <w:rsid w:val="00506F4C"/>
    <w:rsid w:val="005114BC"/>
    <w:rsid w:val="00560EC6"/>
    <w:rsid w:val="005779C9"/>
    <w:rsid w:val="005924DE"/>
    <w:rsid w:val="00634699"/>
    <w:rsid w:val="00667E30"/>
    <w:rsid w:val="006D39BA"/>
    <w:rsid w:val="006E4858"/>
    <w:rsid w:val="00731C8E"/>
    <w:rsid w:val="007677E1"/>
    <w:rsid w:val="007D74ED"/>
    <w:rsid w:val="007F2B9A"/>
    <w:rsid w:val="0083371D"/>
    <w:rsid w:val="00843424"/>
    <w:rsid w:val="00881395"/>
    <w:rsid w:val="008C7124"/>
    <w:rsid w:val="00903E8D"/>
    <w:rsid w:val="00922DFD"/>
    <w:rsid w:val="009427FC"/>
    <w:rsid w:val="00963C5F"/>
    <w:rsid w:val="00981F43"/>
    <w:rsid w:val="009A4627"/>
    <w:rsid w:val="009B2969"/>
    <w:rsid w:val="009C15FA"/>
    <w:rsid w:val="009C19F4"/>
    <w:rsid w:val="009D722B"/>
    <w:rsid w:val="00A1493A"/>
    <w:rsid w:val="00A47711"/>
    <w:rsid w:val="00A50F17"/>
    <w:rsid w:val="00A5431D"/>
    <w:rsid w:val="00A65801"/>
    <w:rsid w:val="00A74B28"/>
    <w:rsid w:val="00AA22A4"/>
    <w:rsid w:val="00AC65B5"/>
    <w:rsid w:val="00B125FF"/>
    <w:rsid w:val="00B1364C"/>
    <w:rsid w:val="00B17E38"/>
    <w:rsid w:val="00B46451"/>
    <w:rsid w:val="00BA00F4"/>
    <w:rsid w:val="00BA67DB"/>
    <w:rsid w:val="00BB0651"/>
    <w:rsid w:val="00BF621C"/>
    <w:rsid w:val="00C43B28"/>
    <w:rsid w:val="00C450F8"/>
    <w:rsid w:val="00C45593"/>
    <w:rsid w:val="00C574D9"/>
    <w:rsid w:val="00C904D0"/>
    <w:rsid w:val="00CB6CDD"/>
    <w:rsid w:val="00CC53DD"/>
    <w:rsid w:val="00D364C1"/>
    <w:rsid w:val="00DA35E6"/>
    <w:rsid w:val="00DB2CDA"/>
    <w:rsid w:val="00DC6B42"/>
    <w:rsid w:val="00DD7689"/>
    <w:rsid w:val="00E31415"/>
    <w:rsid w:val="00E6224E"/>
    <w:rsid w:val="00EA4FD2"/>
    <w:rsid w:val="00EC27BC"/>
    <w:rsid w:val="00ED4592"/>
    <w:rsid w:val="00EE4B05"/>
    <w:rsid w:val="00F41078"/>
    <w:rsid w:val="00F91F8D"/>
    <w:rsid w:val="00FB3ACB"/>
    <w:rsid w:val="00F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1BE4"/>
  <w15:chartTrackingRefBased/>
  <w15:docId w15:val="{F1E32891-EF11-4230-A56C-2C5F4FAC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E3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5CA"/>
    <w:rPr>
      <w:color w:val="0563C1" w:themeColor="hyperlink"/>
      <w:u w:val="single"/>
    </w:rPr>
  </w:style>
  <w:style w:type="character" w:customStyle="1" w:styleId="hlfld-contribauthor">
    <w:name w:val="hlfld-contribauthor"/>
    <w:basedOn w:val="DefaultParagraphFont"/>
    <w:rsid w:val="0083371D"/>
  </w:style>
  <w:style w:type="character" w:customStyle="1" w:styleId="nlmgiven-names">
    <w:name w:val="nlm_given-names"/>
    <w:basedOn w:val="DefaultParagraphFont"/>
    <w:rsid w:val="0083371D"/>
  </w:style>
  <w:style w:type="character" w:customStyle="1" w:styleId="nlmyear">
    <w:name w:val="nlm_year"/>
    <w:basedOn w:val="DefaultParagraphFont"/>
    <w:rsid w:val="0083371D"/>
  </w:style>
  <w:style w:type="character" w:customStyle="1" w:styleId="nlmarticle-title">
    <w:name w:val="nlm_article-title"/>
    <w:basedOn w:val="DefaultParagraphFont"/>
    <w:rsid w:val="0083371D"/>
  </w:style>
  <w:style w:type="character" w:customStyle="1" w:styleId="nlmfpage">
    <w:name w:val="nlm_fpage"/>
    <w:basedOn w:val="DefaultParagraphFont"/>
    <w:rsid w:val="0083371D"/>
  </w:style>
  <w:style w:type="character" w:customStyle="1" w:styleId="nlmlpage">
    <w:name w:val="nlm_lpage"/>
    <w:basedOn w:val="DefaultParagraphFont"/>
    <w:rsid w:val="0083371D"/>
  </w:style>
  <w:style w:type="character" w:customStyle="1" w:styleId="nlmpublisher-loc">
    <w:name w:val="nlm_publisher-loc"/>
    <w:basedOn w:val="DefaultParagraphFont"/>
    <w:rsid w:val="0083371D"/>
  </w:style>
  <w:style w:type="character" w:customStyle="1" w:styleId="nlmpublisher-name">
    <w:name w:val="nlm_publisher-name"/>
    <w:basedOn w:val="DefaultParagraphFont"/>
    <w:rsid w:val="0083371D"/>
  </w:style>
  <w:style w:type="character" w:customStyle="1" w:styleId="authors5">
    <w:name w:val="authors5"/>
    <w:basedOn w:val="DefaultParagraphFont"/>
    <w:rsid w:val="00B17E38"/>
  </w:style>
  <w:style w:type="character" w:customStyle="1" w:styleId="Date1">
    <w:name w:val="Date1"/>
    <w:basedOn w:val="DefaultParagraphFont"/>
    <w:rsid w:val="00B17E38"/>
  </w:style>
  <w:style w:type="character" w:customStyle="1" w:styleId="arttitle4">
    <w:name w:val="art_title4"/>
    <w:basedOn w:val="DefaultParagraphFont"/>
    <w:rsid w:val="00B17E38"/>
  </w:style>
  <w:style w:type="character" w:customStyle="1" w:styleId="serialtitle">
    <w:name w:val="serial_title"/>
    <w:basedOn w:val="DefaultParagraphFont"/>
    <w:rsid w:val="00B17E38"/>
  </w:style>
  <w:style w:type="character" w:customStyle="1" w:styleId="volumeissue">
    <w:name w:val="volume_issue"/>
    <w:basedOn w:val="DefaultParagraphFont"/>
    <w:rsid w:val="00B17E38"/>
  </w:style>
  <w:style w:type="character" w:customStyle="1" w:styleId="pagerange">
    <w:name w:val="page_range"/>
    <w:basedOn w:val="DefaultParagraphFont"/>
    <w:rsid w:val="00B17E38"/>
  </w:style>
  <w:style w:type="character" w:customStyle="1" w:styleId="Heading1Char">
    <w:name w:val="Heading 1 Char"/>
    <w:basedOn w:val="DefaultParagraphFont"/>
    <w:link w:val="Heading1"/>
    <w:uiPriority w:val="9"/>
    <w:rsid w:val="00667E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67E30"/>
    <w:pPr>
      <w:spacing w:after="200" w:line="276" w:lineRule="auto"/>
      <w:ind w:left="720"/>
      <w:contextualSpacing/>
    </w:pPr>
  </w:style>
  <w:style w:type="character" w:customStyle="1" w:styleId="authors">
    <w:name w:val="authors"/>
    <w:basedOn w:val="DefaultParagraphFont"/>
    <w:rsid w:val="00667E30"/>
  </w:style>
  <w:style w:type="character" w:customStyle="1" w:styleId="arttitle">
    <w:name w:val="art_title"/>
    <w:basedOn w:val="DefaultParagraphFont"/>
    <w:rsid w:val="00667E30"/>
  </w:style>
  <w:style w:type="character" w:styleId="CommentReference">
    <w:name w:val="annotation reference"/>
    <w:basedOn w:val="DefaultParagraphFont"/>
    <w:uiPriority w:val="99"/>
    <w:semiHidden/>
    <w:unhideWhenUsed/>
    <w:rsid w:val="000D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1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1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2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Abu-Elmagd%20H%5BAuthor%5D&amp;cauthor=true&amp;cauthor_uid=2960960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?term=Patel%20N%5BAuthor%5D&amp;cauthor=true&amp;cauthor_uid=296096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?term=Ryan%20K%5BAuthor%5D&amp;cauthor=true&amp;cauthor_uid=296096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Stretch%20G%5BAuthor%5D&amp;cauthor=true&amp;cauthor_uid=2960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0B4ED-AD31-480F-8C67-8D5B9FB6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Simon N</dc:creator>
  <cp:keywords/>
  <dc:description/>
  <cp:lastModifiedBy>Simon Fletcher</cp:lastModifiedBy>
  <cp:revision>2</cp:revision>
  <dcterms:created xsi:type="dcterms:W3CDTF">2022-09-23T08:32:00Z</dcterms:created>
  <dcterms:modified xsi:type="dcterms:W3CDTF">2022-09-23T08:32:00Z</dcterms:modified>
</cp:coreProperties>
</file>