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1488" w14:textId="670F0192" w:rsidR="00AF2DD0" w:rsidRPr="00212985" w:rsidRDefault="0033028D" w:rsidP="005D0197">
      <w:pPr>
        <w:autoSpaceDE w:val="0"/>
        <w:autoSpaceDN w:val="0"/>
        <w:adjustRightInd w:val="0"/>
        <w:spacing w:line="360" w:lineRule="auto"/>
        <w:jc w:val="both"/>
        <w:rPr>
          <w:b/>
          <w:bCs/>
          <w:color w:val="000000" w:themeColor="text1"/>
          <w:sz w:val="32"/>
          <w:szCs w:val="32"/>
        </w:rPr>
      </w:pPr>
      <w:r>
        <w:rPr>
          <w:b/>
          <w:bCs/>
          <w:color w:val="000000" w:themeColor="text1"/>
          <w:sz w:val="32"/>
          <w:szCs w:val="32"/>
        </w:rPr>
        <w:softHyphen/>
      </w:r>
      <w:r>
        <w:rPr>
          <w:b/>
          <w:bCs/>
          <w:color w:val="000000" w:themeColor="text1"/>
          <w:sz w:val="32"/>
          <w:szCs w:val="32"/>
        </w:rPr>
        <w:softHyphen/>
      </w:r>
      <w:r>
        <w:rPr>
          <w:b/>
          <w:bCs/>
          <w:color w:val="000000" w:themeColor="text1"/>
          <w:sz w:val="32"/>
          <w:szCs w:val="32"/>
        </w:rPr>
        <w:softHyphen/>
      </w:r>
      <w:r w:rsidR="00AF2DD0" w:rsidRPr="00212985">
        <w:rPr>
          <w:b/>
          <w:bCs/>
          <w:color w:val="000000" w:themeColor="text1"/>
          <w:sz w:val="32"/>
          <w:szCs w:val="32"/>
        </w:rPr>
        <w:t xml:space="preserve">Dental biorhythm </w:t>
      </w:r>
      <w:r w:rsidR="0036213F">
        <w:rPr>
          <w:b/>
          <w:bCs/>
          <w:color w:val="000000" w:themeColor="text1"/>
          <w:sz w:val="32"/>
          <w:szCs w:val="32"/>
        </w:rPr>
        <w:t xml:space="preserve">is </w:t>
      </w:r>
      <w:r w:rsidR="00282E0C" w:rsidRPr="00212985">
        <w:rPr>
          <w:b/>
          <w:bCs/>
          <w:color w:val="000000" w:themeColor="text1"/>
          <w:sz w:val="32"/>
          <w:szCs w:val="32"/>
        </w:rPr>
        <w:t>associate</w:t>
      </w:r>
      <w:r w:rsidR="0036213F">
        <w:rPr>
          <w:b/>
          <w:bCs/>
          <w:color w:val="000000" w:themeColor="text1"/>
          <w:sz w:val="32"/>
          <w:szCs w:val="32"/>
        </w:rPr>
        <w:t>d</w:t>
      </w:r>
      <w:r w:rsidR="00282E0C" w:rsidRPr="00212985">
        <w:rPr>
          <w:b/>
          <w:bCs/>
          <w:color w:val="000000" w:themeColor="text1"/>
          <w:sz w:val="32"/>
          <w:szCs w:val="32"/>
        </w:rPr>
        <w:t xml:space="preserve"> with </w:t>
      </w:r>
      <w:r w:rsidR="00AF2DD0" w:rsidRPr="00212985">
        <w:rPr>
          <w:b/>
          <w:bCs/>
          <w:color w:val="000000" w:themeColor="text1"/>
          <w:sz w:val="32"/>
          <w:szCs w:val="32"/>
        </w:rPr>
        <w:t>adolescent weight gain</w:t>
      </w:r>
    </w:p>
    <w:p w14:paraId="51DF9437" w14:textId="7F26255B" w:rsidR="00540715" w:rsidRDefault="00540715" w:rsidP="005D0197">
      <w:pPr>
        <w:autoSpaceDE w:val="0"/>
        <w:autoSpaceDN w:val="0"/>
        <w:adjustRightInd w:val="0"/>
        <w:spacing w:line="360" w:lineRule="auto"/>
        <w:jc w:val="both"/>
        <w:rPr>
          <w:rFonts w:cstheme="minorHAnsi"/>
          <w:color w:val="000000" w:themeColor="text1"/>
          <w:sz w:val="28"/>
          <w:szCs w:val="28"/>
        </w:rPr>
      </w:pPr>
    </w:p>
    <w:p w14:paraId="5F5755BA" w14:textId="13788E8C" w:rsidR="00A46417" w:rsidRPr="003611AB" w:rsidRDefault="00A46417" w:rsidP="005D0197">
      <w:pPr>
        <w:spacing w:line="360" w:lineRule="auto"/>
      </w:pPr>
      <w:bookmarkStart w:id="0" w:name="_Hlk78788921"/>
      <w:r w:rsidRPr="003611AB">
        <w:t>Patrick Mahoney</w:t>
      </w:r>
      <w:r w:rsidRPr="003611AB">
        <w:rPr>
          <w:vertAlign w:val="superscript"/>
        </w:rPr>
        <w:t>1</w:t>
      </w:r>
      <w:r w:rsidR="00066DE0">
        <w:rPr>
          <w:vertAlign w:val="superscript"/>
        </w:rPr>
        <w:t>*</w:t>
      </w:r>
      <w:r>
        <w:t xml:space="preserve">, </w:t>
      </w:r>
      <w:r w:rsidRPr="003611AB">
        <w:t>Gina McFarlane</w:t>
      </w:r>
      <w:r w:rsidRPr="003611AB">
        <w:rPr>
          <w:vertAlign w:val="superscript"/>
        </w:rPr>
        <w:t>1</w:t>
      </w:r>
      <w:r w:rsidRPr="003611AB">
        <w:t xml:space="preserve">, </w:t>
      </w:r>
      <w:r w:rsidRPr="00134E22">
        <w:rPr>
          <w:color w:val="000000" w:themeColor="text1"/>
        </w:rPr>
        <w:t>Carolina Loch</w:t>
      </w:r>
      <w:r>
        <w:rPr>
          <w:vertAlign w:val="superscript"/>
        </w:rPr>
        <w:t>2</w:t>
      </w:r>
      <w:r w:rsidRPr="004B2D6E">
        <w:t>,</w:t>
      </w:r>
      <w:r>
        <w:rPr>
          <w:vertAlign w:val="superscript"/>
        </w:rPr>
        <w:t xml:space="preserve"> </w:t>
      </w:r>
      <w:r w:rsidRPr="003D1CE4">
        <w:t>Sophie</w:t>
      </w:r>
      <w:r w:rsidRPr="003611AB">
        <w:t xml:space="preserve"> White</w:t>
      </w:r>
      <w:r>
        <w:rPr>
          <w:vertAlign w:val="superscript"/>
        </w:rPr>
        <w:t>2</w:t>
      </w:r>
      <w:r w:rsidRPr="003611AB">
        <w:t xml:space="preserve">, </w:t>
      </w:r>
      <w:r w:rsidRPr="003D1CE4">
        <w:t>Bruce Floyd</w:t>
      </w:r>
      <w:r>
        <w:rPr>
          <w:vertAlign w:val="superscript"/>
        </w:rPr>
        <w:t>3</w:t>
      </w:r>
      <w:r w:rsidRPr="003D1CE4">
        <w:t>,</w:t>
      </w:r>
      <w:r w:rsidR="00BE39D8">
        <w:t xml:space="preserve"> </w:t>
      </w:r>
      <w:r w:rsidR="00541EBB">
        <w:t xml:space="preserve">Erin </w:t>
      </w:r>
      <w:r w:rsidR="000A31F8">
        <w:t xml:space="preserve">C. </w:t>
      </w:r>
      <w:r w:rsidR="00541EBB">
        <w:t>Dunn</w:t>
      </w:r>
      <w:r w:rsidR="00541EBB" w:rsidRPr="00541EBB">
        <w:rPr>
          <w:vertAlign w:val="superscript"/>
        </w:rPr>
        <w:t>4</w:t>
      </w:r>
      <w:r w:rsidR="00541EBB">
        <w:t xml:space="preserve">, </w:t>
      </w:r>
      <w:r w:rsidR="00F07DD3" w:rsidRPr="003611AB">
        <w:t>Rosie Pitfield</w:t>
      </w:r>
      <w:r w:rsidR="00F07DD3" w:rsidRPr="003611AB">
        <w:rPr>
          <w:vertAlign w:val="superscript"/>
        </w:rPr>
        <w:t>1</w:t>
      </w:r>
      <w:r w:rsidR="00F07DD3" w:rsidRPr="003611AB">
        <w:t>,</w:t>
      </w:r>
      <w:r w:rsidR="00F07DD3" w:rsidRPr="00A46417">
        <w:t xml:space="preserve"> </w:t>
      </w:r>
      <w:r w:rsidR="00834B60" w:rsidRPr="003D1CE4">
        <w:t>Alessia Nava</w:t>
      </w:r>
      <w:r w:rsidR="00834B60" w:rsidRPr="003D1CE4">
        <w:rPr>
          <w:vertAlign w:val="superscript"/>
        </w:rPr>
        <w:t>1</w:t>
      </w:r>
      <w:r w:rsidR="00834B60" w:rsidRPr="003D1CE4">
        <w:t xml:space="preserve">, </w:t>
      </w:r>
      <w:r w:rsidRPr="003611AB">
        <w:t>Debbie Guatelli-Steinberg</w:t>
      </w:r>
      <w:r w:rsidR="00541EBB">
        <w:rPr>
          <w:vertAlign w:val="superscript"/>
        </w:rPr>
        <w:t>5</w:t>
      </w:r>
    </w:p>
    <w:bookmarkEnd w:id="0"/>
    <w:p w14:paraId="348096E4" w14:textId="77777777" w:rsidR="00A46417" w:rsidRPr="003611AB" w:rsidRDefault="00A46417" w:rsidP="005D0197">
      <w:pPr>
        <w:spacing w:line="360" w:lineRule="auto"/>
      </w:pPr>
    </w:p>
    <w:p w14:paraId="442965E5" w14:textId="329F2DCA" w:rsidR="00A46417" w:rsidRPr="006E0E10" w:rsidRDefault="00A46417" w:rsidP="005D0197">
      <w:pPr>
        <w:spacing w:line="360" w:lineRule="auto"/>
      </w:pPr>
      <w:r w:rsidRPr="006E0E10">
        <w:rPr>
          <w:vertAlign w:val="superscript"/>
        </w:rPr>
        <w:t>1</w:t>
      </w:r>
      <w:r w:rsidRPr="006E0E10">
        <w:t xml:space="preserve">School of Anthropology and Conservation, University of Kent, Canterbury, UK.  </w:t>
      </w:r>
    </w:p>
    <w:p w14:paraId="0336DD75" w14:textId="7096540D" w:rsidR="00A46417" w:rsidRPr="00B52F99" w:rsidRDefault="00A46417" w:rsidP="005D0197">
      <w:pPr>
        <w:spacing w:line="360" w:lineRule="auto"/>
        <w:rPr>
          <w:color w:val="000000" w:themeColor="text1"/>
        </w:rPr>
      </w:pPr>
      <w:r w:rsidRPr="00B52F99">
        <w:rPr>
          <w:color w:val="000000" w:themeColor="text1"/>
          <w:vertAlign w:val="superscript"/>
        </w:rPr>
        <w:t>2</w:t>
      </w:r>
      <w:r w:rsidRPr="00B52F99">
        <w:rPr>
          <w:color w:val="000000" w:themeColor="text1"/>
        </w:rPr>
        <w:t>Sir John Walsh Research Institute, Faculty of Dentistry, University of Otago, Dunedin, New Zealand</w:t>
      </w:r>
      <w:r w:rsidR="009D6CD7" w:rsidRPr="00B52F99">
        <w:rPr>
          <w:color w:val="000000" w:themeColor="text1"/>
        </w:rPr>
        <w:t>.</w:t>
      </w:r>
    </w:p>
    <w:p w14:paraId="5570DE87" w14:textId="5921E194" w:rsidR="00A46417" w:rsidRPr="00B52F99" w:rsidRDefault="00A46417" w:rsidP="005D0197">
      <w:pPr>
        <w:spacing w:line="360" w:lineRule="auto"/>
        <w:rPr>
          <w:color w:val="000000" w:themeColor="text1"/>
        </w:rPr>
      </w:pPr>
      <w:r w:rsidRPr="00B52F99">
        <w:rPr>
          <w:color w:val="000000" w:themeColor="text1"/>
          <w:vertAlign w:val="superscript"/>
        </w:rPr>
        <w:t>3</w:t>
      </w:r>
      <w:r w:rsidRPr="00B52F99">
        <w:rPr>
          <w:color w:val="000000" w:themeColor="text1"/>
        </w:rPr>
        <w:t xml:space="preserve">School of Social Sciences, University of Auckland, </w:t>
      </w:r>
      <w:r w:rsidR="00F5671D" w:rsidRPr="00B52F99">
        <w:rPr>
          <w:color w:val="000000" w:themeColor="text1"/>
        </w:rPr>
        <w:t xml:space="preserve">Auckland, </w:t>
      </w:r>
      <w:r w:rsidRPr="00B52F99">
        <w:rPr>
          <w:color w:val="000000" w:themeColor="text1"/>
        </w:rPr>
        <w:t xml:space="preserve">New Zealand. </w:t>
      </w:r>
    </w:p>
    <w:p w14:paraId="5A4CB147" w14:textId="06EAFDD0" w:rsidR="00541EBB" w:rsidRPr="00B52F99" w:rsidRDefault="00541EBB" w:rsidP="005D0197">
      <w:pPr>
        <w:autoSpaceDE w:val="0"/>
        <w:autoSpaceDN w:val="0"/>
        <w:adjustRightInd w:val="0"/>
        <w:spacing w:line="360" w:lineRule="auto"/>
        <w:jc w:val="both"/>
        <w:rPr>
          <w:rFonts w:cstheme="minorHAnsi"/>
          <w:color w:val="000000" w:themeColor="text1"/>
        </w:rPr>
      </w:pPr>
      <w:r w:rsidRPr="00B52F99">
        <w:rPr>
          <w:color w:val="000000" w:themeColor="text1"/>
          <w:vertAlign w:val="superscript"/>
        </w:rPr>
        <w:t>4</w:t>
      </w:r>
      <w:r w:rsidRPr="00B52F99">
        <w:rPr>
          <w:rFonts w:cstheme="minorHAnsi"/>
          <w:color w:val="000000" w:themeColor="text1"/>
        </w:rPr>
        <w:t>Department of Psychiatry, Harvard Medical School</w:t>
      </w:r>
      <w:r w:rsidR="00C00C00" w:rsidRPr="00B52F99">
        <w:rPr>
          <w:rFonts w:cstheme="minorHAnsi"/>
          <w:color w:val="000000" w:themeColor="text1"/>
        </w:rPr>
        <w:t xml:space="preserve"> and the Massachusetts General Hospital,</w:t>
      </w:r>
      <w:r w:rsidRPr="00B52F99">
        <w:rPr>
          <w:rFonts w:cstheme="minorHAnsi"/>
          <w:color w:val="000000" w:themeColor="text1"/>
        </w:rPr>
        <w:t xml:space="preserve"> Boston, MA</w:t>
      </w:r>
      <w:r w:rsidR="00887990" w:rsidRPr="00B52F99">
        <w:rPr>
          <w:rFonts w:cstheme="minorHAnsi"/>
          <w:color w:val="000000" w:themeColor="text1"/>
        </w:rPr>
        <w:t>, USA.</w:t>
      </w:r>
    </w:p>
    <w:p w14:paraId="6ADA8E1E" w14:textId="2D021B6B" w:rsidR="00A46417" w:rsidRPr="00B52F99" w:rsidRDefault="00541EBB" w:rsidP="005D0197">
      <w:pPr>
        <w:autoSpaceDE w:val="0"/>
        <w:autoSpaceDN w:val="0"/>
        <w:adjustRightInd w:val="0"/>
        <w:spacing w:line="360" w:lineRule="auto"/>
        <w:jc w:val="both"/>
        <w:rPr>
          <w:rFonts w:cstheme="minorHAnsi"/>
          <w:color w:val="000000" w:themeColor="text1"/>
        </w:rPr>
      </w:pPr>
      <w:r w:rsidRPr="00B52F99">
        <w:rPr>
          <w:color w:val="000000" w:themeColor="text1"/>
          <w:vertAlign w:val="superscript"/>
        </w:rPr>
        <w:t>5</w:t>
      </w:r>
      <w:r w:rsidR="00A46417" w:rsidRPr="00B52F99">
        <w:rPr>
          <w:color w:val="000000" w:themeColor="text1"/>
        </w:rPr>
        <w:t xml:space="preserve">Department of Anthropology, The Ohio State University, Columbus, Ohio, USA. </w:t>
      </w:r>
    </w:p>
    <w:p w14:paraId="27E6E120" w14:textId="0A085664" w:rsidR="00A46417" w:rsidRPr="00B52F99" w:rsidRDefault="00A46417" w:rsidP="005D0197">
      <w:pPr>
        <w:autoSpaceDE w:val="0"/>
        <w:autoSpaceDN w:val="0"/>
        <w:adjustRightInd w:val="0"/>
        <w:spacing w:line="360" w:lineRule="auto"/>
        <w:jc w:val="both"/>
        <w:rPr>
          <w:rFonts w:cstheme="minorHAnsi"/>
          <w:color w:val="000000" w:themeColor="text1"/>
          <w:sz w:val="20"/>
          <w:szCs w:val="20"/>
        </w:rPr>
      </w:pPr>
    </w:p>
    <w:p w14:paraId="7CE6F9A4" w14:textId="258BAC49" w:rsidR="00F5671D" w:rsidRPr="00B52F99" w:rsidRDefault="00F5671D" w:rsidP="005D0197">
      <w:pPr>
        <w:autoSpaceDE w:val="0"/>
        <w:autoSpaceDN w:val="0"/>
        <w:adjustRightInd w:val="0"/>
        <w:spacing w:line="360" w:lineRule="auto"/>
        <w:jc w:val="both"/>
        <w:rPr>
          <w:rFonts w:cstheme="minorHAnsi"/>
          <w:color w:val="000000" w:themeColor="text1"/>
          <w:sz w:val="20"/>
          <w:szCs w:val="20"/>
        </w:rPr>
      </w:pPr>
    </w:p>
    <w:p w14:paraId="7A5D2D2E" w14:textId="1B8BE3EA" w:rsidR="00F5671D" w:rsidRPr="00B52F99" w:rsidRDefault="00F5671D" w:rsidP="005D0197">
      <w:pPr>
        <w:autoSpaceDE w:val="0"/>
        <w:autoSpaceDN w:val="0"/>
        <w:adjustRightInd w:val="0"/>
        <w:spacing w:line="360" w:lineRule="auto"/>
        <w:jc w:val="both"/>
        <w:rPr>
          <w:rFonts w:cstheme="minorHAnsi"/>
          <w:color w:val="000000" w:themeColor="text1"/>
        </w:rPr>
      </w:pPr>
      <w:r w:rsidRPr="00B52F99">
        <w:rPr>
          <w:rFonts w:cstheme="minorHAnsi"/>
          <w:color w:val="000000" w:themeColor="text1"/>
        </w:rPr>
        <w:t>*Corresponding author</w:t>
      </w:r>
    </w:p>
    <w:p w14:paraId="3E0D546B" w14:textId="2DA3D6EA" w:rsidR="00F5671D" w:rsidRPr="00B52F99" w:rsidRDefault="00F5671D" w:rsidP="005D0197">
      <w:pPr>
        <w:autoSpaceDE w:val="0"/>
        <w:autoSpaceDN w:val="0"/>
        <w:adjustRightInd w:val="0"/>
        <w:spacing w:line="360" w:lineRule="auto"/>
        <w:jc w:val="both"/>
        <w:rPr>
          <w:rFonts w:cstheme="minorHAnsi"/>
          <w:color w:val="000000" w:themeColor="text1"/>
        </w:rPr>
      </w:pPr>
      <w:r w:rsidRPr="00B52F99">
        <w:rPr>
          <w:rFonts w:cstheme="minorHAnsi"/>
          <w:color w:val="000000" w:themeColor="text1"/>
        </w:rPr>
        <w:t>p.mahoney@kent.ac.uk</w:t>
      </w:r>
    </w:p>
    <w:p w14:paraId="1747334E" w14:textId="1F335F24" w:rsidR="00496D0C" w:rsidRPr="00B52F99" w:rsidRDefault="00496D0C" w:rsidP="005D0197">
      <w:pPr>
        <w:autoSpaceDE w:val="0"/>
        <w:autoSpaceDN w:val="0"/>
        <w:adjustRightInd w:val="0"/>
        <w:spacing w:line="360" w:lineRule="auto"/>
        <w:jc w:val="both"/>
        <w:rPr>
          <w:rFonts w:cstheme="minorHAnsi"/>
          <w:color w:val="000000" w:themeColor="text1"/>
          <w:sz w:val="28"/>
          <w:szCs w:val="28"/>
        </w:rPr>
      </w:pPr>
    </w:p>
    <w:p w14:paraId="20E9291B" w14:textId="11E258C1" w:rsidR="009717E5" w:rsidRPr="00B52F99" w:rsidRDefault="009717E5" w:rsidP="005D0197">
      <w:pPr>
        <w:autoSpaceDE w:val="0"/>
        <w:autoSpaceDN w:val="0"/>
        <w:adjustRightInd w:val="0"/>
        <w:spacing w:line="360" w:lineRule="auto"/>
        <w:jc w:val="both"/>
        <w:rPr>
          <w:rFonts w:cstheme="minorHAnsi"/>
          <w:color w:val="000000" w:themeColor="text1"/>
          <w:sz w:val="28"/>
          <w:szCs w:val="28"/>
        </w:rPr>
      </w:pPr>
    </w:p>
    <w:p w14:paraId="3373AB4C" w14:textId="7160D687" w:rsidR="009717E5" w:rsidRPr="00B52F99" w:rsidRDefault="009717E5" w:rsidP="005D0197">
      <w:pPr>
        <w:autoSpaceDE w:val="0"/>
        <w:autoSpaceDN w:val="0"/>
        <w:adjustRightInd w:val="0"/>
        <w:spacing w:line="360" w:lineRule="auto"/>
        <w:jc w:val="both"/>
        <w:rPr>
          <w:rFonts w:cstheme="minorHAnsi"/>
          <w:color w:val="000000" w:themeColor="text1"/>
          <w:sz w:val="28"/>
          <w:szCs w:val="28"/>
        </w:rPr>
      </w:pPr>
    </w:p>
    <w:p w14:paraId="2B12E790" w14:textId="48116AE2" w:rsidR="009717E5" w:rsidRPr="00B52F99" w:rsidRDefault="009717E5" w:rsidP="005D0197">
      <w:pPr>
        <w:autoSpaceDE w:val="0"/>
        <w:autoSpaceDN w:val="0"/>
        <w:adjustRightInd w:val="0"/>
        <w:spacing w:line="360" w:lineRule="auto"/>
        <w:jc w:val="both"/>
        <w:rPr>
          <w:rFonts w:cstheme="minorHAnsi"/>
          <w:color w:val="000000" w:themeColor="text1"/>
          <w:sz w:val="28"/>
          <w:szCs w:val="28"/>
        </w:rPr>
      </w:pPr>
    </w:p>
    <w:p w14:paraId="2F841692" w14:textId="59119B67" w:rsidR="009717E5" w:rsidRPr="00B52F99" w:rsidRDefault="009717E5" w:rsidP="005D0197">
      <w:pPr>
        <w:autoSpaceDE w:val="0"/>
        <w:autoSpaceDN w:val="0"/>
        <w:adjustRightInd w:val="0"/>
        <w:spacing w:line="360" w:lineRule="auto"/>
        <w:jc w:val="both"/>
        <w:rPr>
          <w:rFonts w:eastAsiaTheme="minorHAnsi"/>
          <w:b/>
          <w:bCs/>
          <w:color w:val="000000" w:themeColor="text1"/>
          <w:lang w:eastAsia="en-US"/>
        </w:rPr>
      </w:pPr>
    </w:p>
    <w:p w14:paraId="1383A872" w14:textId="3F6BC7C9" w:rsidR="00D907CD" w:rsidRPr="00B52F99" w:rsidRDefault="00D907CD" w:rsidP="005D0197">
      <w:pPr>
        <w:autoSpaceDE w:val="0"/>
        <w:autoSpaceDN w:val="0"/>
        <w:adjustRightInd w:val="0"/>
        <w:spacing w:line="360" w:lineRule="auto"/>
        <w:jc w:val="both"/>
        <w:rPr>
          <w:rFonts w:eastAsiaTheme="minorHAnsi"/>
          <w:b/>
          <w:bCs/>
          <w:color w:val="000000" w:themeColor="text1"/>
          <w:lang w:eastAsia="en-US"/>
        </w:rPr>
      </w:pPr>
    </w:p>
    <w:p w14:paraId="24DC3E04" w14:textId="4192BE32" w:rsidR="00D907CD" w:rsidRPr="00B52F99" w:rsidRDefault="00D907CD" w:rsidP="005D0197">
      <w:pPr>
        <w:autoSpaceDE w:val="0"/>
        <w:autoSpaceDN w:val="0"/>
        <w:adjustRightInd w:val="0"/>
        <w:spacing w:line="360" w:lineRule="auto"/>
        <w:jc w:val="both"/>
        <w:rPr>
          <w:rFonts w:eastAsiaTheme="minorHAnsi"/>
          <w:b/>
          <w:bCs/>
          <w:color w:val="000000" w:themeColor="text1"/>
          <w:lang w:eastAsia="en-US"/>
        </w:rPr>
      </w:pPr>
    </w:p>
    <w:p w14:paraId="3597498C" w14:textId="78A7042F" w:rsidR="00D907CD" w:rsidRPr="00B52F99" w:rsidRDefault="00D907CD" w:rsidP="005D0197">
      <w:pPr>
        <w:autoSpaceDE w:val="0"/>
        <w:autoSpaceDN w:val="0"/>
        <w:adjustRightInd w:val="0"/>
        <w:spacing w:line="360" w:lineRule="auto"/>
        <w:jc w:val="both"/>
        <w:rPr>
          <w:rFonts w:eastAsiaTheme="minorHAnsi"/>
          <w:b/>
          <w:bCs/>
          <w:color w:val="000000" w:themeColor="text1"/>
          <w:lang w:eastAsia="en-US"/>
        </w:rPr>
      </w:pPr>
    </w:p>
    <w:p w14:paraId="3A588413" w14:textId="4A73A9A9" w:rsidR="00D907CD" w:rsidRPr="00B52F99" w:rsidRDefault="00D907CD" w:rsidP="005D0197">
      <w:pPr>
        <w:autoSpaceDE w:val="0"/>
        <w:autoSpaceDN w:val="0"/>
        <w:adjustRightInd w:val="0"/>
        <w:spacing w:line="360" w:lineRule="auto"/>
        <w:jc w:val="both"/>
        <w:rPr>
          <w:rFonts w:eastAsiaTheme="minorHAnsi"/>
          <w:b/>
          <w:bCs/>
          <w:color w:val="000000" w:themeColor="text1"/>
          <w:lang w:eastAsia="en-US"/>
        </w:rPr>
      </w:pPr>
    </w:p>
    <w:p w14:paraId="5240948E" w14:textId="2DCC63AF" w:rsidR="00D907CD" w:rsidRPr="00B52F99" w:rsidRDefault="00D907CD" w:rsidP="005D0197">
      <w:pPr>
        <w:autoSpaceDE w:val="0"/>
        <w:autoSpaceDN w:val="0"/>
        <w:adjustRightInd w:val="0"/>
        <w:spacing w:line="360" w:lineRule="auto"/>
        <w:jc w:val="both"/>
        <w:rPr>
          <w:rFonts w:eastAsiaTheme="minorHAnsi"/>
          <w:b/>
          <w:bCs/>
          <w:color w:val="000000" w:themeColor="text1"/>
          <w:lang w:eastAsia="en-US"/>
        </w:rPr>
      </w:pPr>
    </w:p>
    <w:p w14:paraId="151908D8" w14:textId="410F0620" w:rsidR="00D907CD" w:rsidRPr="00B52F99" w:rsidRDefault="00D907CD" w:rsidP="005D0197">
      <w:pPr>
        <w:autoSpaceDE w:val="0"/>
        <w:autoSpaceDN w:val="0"/>
        <w:adjustRightInd w:val="0"/>
        <w:spacing w:line="360" w:lineRule="auto"/>
        <w:jc w:val="both"/>
        <w:rPr>
          <w:rFonts w:eastAsiaTheme="minorHAnsi"/>
          <w:b/>
          <w:bCs/>
          <w:color w:val="000000" w:themeColor="text1"/>
          <w:lang w:eastAsia="en-US"/>
        </w:rPr>
      </w:pPr>
    </w:p>
    <w:p w14:paraId="786ADD6D" w14:textId="5D5726A8" w:rsidR="00D907CD" w:rsidRPr="00B52F99" w:rsidRDefault="00D907CD" w:rsidP="005D0197">
      <w:pPr>
        <w:autoSpaceDE w:val="0"/>
        <w:autoSpaceDN w:val="0"/>
        <w:adjustRightInd w:val="0"/>
        <w:spacing w:line="360" w:lineRule="auto"/>
        <w:jc w:val="both"/>
        <w:rPr>
          <w:rFonts w:eastAsiaTheme="minorHAnsi"/>
          <w:b/>
          <w:bCs/>
          <w:color w:val="000000" w:themeColor="text1"/>
          <w:lang w:eastAsia="en-US"/>
        </w:rPr>
      </w:pPr>
    </w:p>
    <w:p w14:paraId="7372D385" w14:textId="13EEA863" w:rsidR="00D907CD" w:rsidRPr="00B52F99" w:rsidRDefault="00D907CD" w:rsidP="005D0197">
      <w:pPr>
        <w:autoSpaceDE w:val="0"/>
        <w:autoSpaceDN w:val="0"/>
        <w:adjustRightInd w:val="0"/>
        <w:spacing w:line="360" w:lineRule="auto"/>
        <w:jc w:val="both"/>
        <w:rPr>
          <w:rFonts w:eastAsiaTheme="minorHAnsi"/>
          <w:b/>
          <w:bCs/>
          <w:color w:val="000000" w:themeColor="text1"/>
          <w:lang w:eastAsia="en-US"/>
        </w:rPr>
      </w:pPr>
    </w:p>
    <w:p w14:paraId="45BEAD04" w14:textId="77777777" w:rsidR="00D907CD" w:rsidRPr="00B52F99" w:rsidRDefault="00D907CD" w:rsidP="005D0197">
      <w:pPr>
        <w:autoSpaceDE w:val="0"/>
        <w:autoSpaceDN w:val="0"/>
        <w:adjustRightInd w:val="0"/>
        <w:spacing w:line="360" w:lineRule="auto"/>
        <w:jc w:val="both"/>
        <w:rPr>
          <w:rFonts w:cstheme="minorHAnsi"/>
          <w:color w:val="000000" w:themeColor="text1"/>
          <w:sz w:val="28"/>
          <w:szCs w:val="28"/>
        </w:rPr>
      </w:pPr>
    </w:p>
    <w:p w14:paraId="18DE29CD" w14:textId="1FF8CACA" w:rsidR="009717E5" w:rsidRPr="00B52F99" w:rsidRDefault="009717E5" w:rsidP="005D0197">
      <w:pPr>
        <w:autoSpaceDE w:val="0"/>
        <w:autoSpaceDN w:val="0"/>
        <w:adjustRightInd w:val="0"/>
        <w:spacing w:line="360" w:lineRule="auto"/>
        <w:jc w:val="both"/>
        <w:rPr>
          <w:rFonts w:cstheme="minorHAnsi"/>
          <w:color w:val="000000" w:themeColor="text1"/>
          <w:sz w:val="28"/>
          <w:szCs w:val="28"/>
        </w:rPr>
      </w:pPr>
    </w:p>
    <w:p w14:paraId="26886BB9" w14:textId="0B0CE5B9" w:rsidR="009717E5" w:rsidRPr="00B52F99" w:rsidRDefault="009717E5" w:rsidP="005D0197">
      <w:pPr>
        <w:autoSpaceDE w:val="0"/>
        <w:autoSpaceDN w:val="0"/>
        <w:adjustRightInd w:val="0"/>
        <w:spacing w:line="360" w:lineRule="auto"/>
        <w:jc w:val="both"/>
        <w:rPr>
          <w:rFonts w:cstheme="minorHAnsi"/>
          <w:color w:val="000000" w:themeColor="text1"/>
          <w:sz w:val="28"/>
          <w:szCs w:val="28"/>
        </w:rPr>
      </w:pPr>
    </w:p>
    <w:p w14:paraId="08D5A960" w14:textId="3BE63823" w:rsidR="009717E5" w:rsidRPr="00B52F99" w:rsidRDefault="009717E5" w:rsidP="005D0197">
      <w:pPr>
        <w:autoSpaceDE w:val="0"/>
        <w:autoSpaceDN w:val="0"/>
        <w:adjustRightInd w:val="0"/>
        <w:spacing w:line="360" w:lineRule="auto"/>
        <w:jc w:val="both"/>
        <w:rPr>
          <w:rFonts w:cstheme="minorHAnsi"/>
          <w:color w:val="000000" w:themeColor="text1"/>
          <w:sz w:val="28"/>
          <w:szCs w:val="28"/>
        </w:rPr>
      </w:pPr>
    </w:p>
    <w:p w14:paraId="0A04785A" w14:textId="2B9B4BDD" w:rsidR="009717E5" w:rsidRPr="00B52F99" w:rsidRDefault="009717E5" w:rsidP="005D0197">
      <w:pPr>
        <w:autoSpaceDE w:val="0"/>
        <w:autoSpaceDN w:val="0"/>
        <w:adjustRightInd w:val="0"/>
        <w:spacing w:line="360" w:lineRule="auto"/>
        <w:jc w:val="both"/>
        <w:rPr>
          <w:rFonts w:cstheme="minorHAnsi"/>
          <w:color w:val="000000" w:themeColor="text1"/>
          <w:sz w:val="28"/>
          <w:szCs w:val="28"/>
        </w:rPr>
      </w:pPr>
    </w:p>
    <w:p w14:paraId="7FBA1674" w14:textId="42370FEB" w:rsidR="009717E5" w:rsidRPr="00B52F99" w:rsidRDefault="009717E5" w:rsidP="005D0197">
      <w:pPr>
        <w:autoSpaceDE w:val="0"/>
        <w:autoSpaceDN w:val="0"/>
        <w:adjustRightInd w:val="0"/>
        <w:spacing w:line="360" w:lineRule="auto"/>
        <w:jc w:val="both"/>
        <w:rPr>
          <w:rFonts w:cstheme="minorHAnsi"/>
          <w:color w:val="000000" w:themeColor="text1"/>
          <w:sz w:val="28"/>
          <w:szCs w:val="28"/>
        </w:rPr>
      </w:pPr>
    </w:p>
    <w:p w14:paraId="556A954B" w14:textId="40482F9B" w:rsidR="009717E5" w:rsidRPr="00B52F99" w:rsidRDefault="009717E5" w:rsidP="005D0197">
      <w:pPr>
        <w:autoSpaceDE w:val="0"/>
        <w:autoSpaceDN w:val="0"/>
        <w:adjustRightInd w:val="0"/>
        <w:spacing w:line="360" w:lineRule="auto"/>
        <w:jc w:val="both"/>
        <w:rPr>
          <w:rFonts w:cstheme="minorHAnsi"/>
          <w:color w:val="000000" w:themeColor="text1"/>
          <w:sz w:val="28"/>
          <w:szCs w:val="28"/>
        </w:rPr>
      </w:pPr>
    </w:p>
    <w:p w14:paraId="2C57323D" w14:textId="2B9D3AAA" w:rsidR="009717E5" w:rsidRPr="00B52F99" w:rsidRDefault="009717E5" w:rsidP="005D0197">
      <w:pPr>
        <w:autoSpaceDE w:val="0"/>
        <w:autoSpaceDN w:val="0"/>
        <w:adjustRightInd w:val="0"/>
        <w:spacing w:line="360" w:lineRule="auto"/>
        <w:jc w:val="both"/>
        <w:rPr>
          <w:rFonts w:cstheme="minorHAnsi"/>
          <w:color w:val="000000" w:themeColor="text1"/>
          <w:sz w:val="28"/>
          <w:szCs w:val="28"/>
        </w:rPr>
      </w:pPr>
    </w:p>
    <w:p w14:paraId="5761BEB8" w14:textId="6E63D623" w:rsidR="009F2EBB" w:rsidRPr="00B52F99" w:rsidRDefault="00F1296B" w:rsidP="005D0197">
      <w:pPr>
        <w:autoSpaceDE w:val="0"/>
        <w:autoSpaceDN w:val="0"/>
        <w:adjustRightInd w:val="0"/>
        <w:spacing w:line="360" w:lineRule="auto"/>
        <w:jc w:val="both"/>
        <w:rPr>
          <w:rFonts w:cstheme="minorHAnsi"/>
          <w:b/>
          <w:bCs/>
          <w:color w:val="000000" w:themeColor="text1"/>
          <w:sz w:val="28"/>
          <w:szCs w:val="28"/>
        </w:rPr>
      </w:pPr>
      <w:r w:rsidRPr="00B52F99">
        <w:rPr>
          <w:rFonts w:cstheme="minorHAnsi"/>
          <w:b/>
          <w:bCs/>
          <w:color w:val="000000" w:themeColor="text1"/>
          <w:sz w:val="28"/>
          <w:szCs w:val="28"/>
        </w:rPr>
        <w:lastRenderedPageBreak/>
        <w:t>A</w:t>
      </w:r>
      <w:r w:rsidR="00F20775" w:rsidRPr="00B52F99">
        <w:rPr>
          <w:rFonts w:cstheme="minorHAnsi"/>
          <w:b/>
          <w:bCs/>
          <w:color w:val="000000" w:themeColor="text1"/>
          <w:sz w:val="28"/>
          <w:szCs w:val="28"/>
        </w:rPr>
        <w:t>bstract</w:t>
      </w:r>
    </w:p>
    <w:p w14:paraId="1F6047C4" w14:textId="77777777" w:rsidR="009717E5" w:rsidRPr="00B52F99" w:rsidRDefault="009717E5" w:rsidP="005D0197">
      <w:pPr>
        <w:autoSpaceDE w:val="0"/>
        <w:autoSpaceDN w:val="0"/>
        <w:adjustRightInd w:val="0"/>
        <w:spacing w:line="360" w:lineRule="auto"/>
        <w:jc w:val="both"/>
        <w:rPr>
          <w:rFonts w:cstheme="minorHAnsi"/>
          <w:b/>
          <w:bCs/>
          <w:color w:val="000000" w:themeColor="text1"/>
          <w:sz w:val="28"/>
          <w:szCs w:val="28"/>
        </w:rPr>
      </w:pPr>
    </w:p>
    <w:p w14:paraId="0F6879EB" w14:textId="77777777" w:rsidR="00180DA4" w:rsidRPr="00B52F99" w:rsidRDefault="00180DA4" w:rsidP="00180DA4">
      <w:pPr>
        <w:pStyle w:val="Heading3"/>
        <w:shd w:val="clear" w:color="auto" w:fill="FFFFFF"/>
        <w:spacing w:before="0" w:line="360" w:lineRule="auto"/>
        <w:jc w:val="both"/>
        <w:rPr>
          <w:rFonts w:ascii="Times New Roman" w:hAnsi="Times New Roman" w:cs="Times New Roman"/>
          <w:color w:val="000000" w:themeColor="text1"/>
          <w:sz w:val="28"/>
          <w:szCs w:val="28"/>
        </w:rPr>
      </w:pPr>
      <w:r w:rsidRPr="00B52F99">
        <w:rPr>
          <w:rFonts w:ascii="Times New Roman" w:hAnsi="Times New Roman" w:cs="Times New Roman"/>
          <w:color w:val="000000" w:themeColor="text1"/>
          <w:sz w:val="28"/>
          <w:szCs w:val="28"/>
        </w:rPr>
        <w:t>Background</w:t>
      </w:r>
    </w:p>
    <w:p w14:paraId="3619E0BF" w14:textId="050B0379" w:rsidR="00180DA4" w:rsidRPr="00B52F99" w:rsidRDefault="00180DA4" w:rsidP="00180DA4">
      <w:pPr>
        <w:spacing w:after="60" w:line="360" w:lineRule="auto"/>
        <w:jc w:val="both"/>
        <w:rPr>
          <w:color w:val="000000" w:themeColor="text1"/>
        </w:rPr>
      </w:pPr>
      <w:r w:rsidRPr="00B52F99">
        <w:rPr>
          <w:color w:val="000000" w:themeColor="text1"/>
        </w:rPr>
        <w:t>Evidence of a long-period biological rhythm present in mammalian hard tissue relate</w:t>
      </w:r>
      <w:r w:rsidR="00DC258B" w:rsidRPr="00B52F99">
        <w:rPr>
          <w:color w:val="000000" w:themeColor="text1"/>
        </w:rPr>
        <w:t>s</w:t>
      </w:r>
      <w:r w:rsidRPr="00B52F99">
        <w:rPr>
          <w:color w:val="000000" w:themeColor="text1"/>
        </w:rPr>
        <w:t xml:space="preserve"> to species average body mass. Studies have just begun to investigate the role of this biorhythm in human physiology. </w:t>
      </w:r>
    </w:p>
    <w:p w14:paraId="19CFD7F4" w14:textId="77777777" w:rsidR="00180DA4" w:rsidRPr="00B52F99" w:rsidRDefault="00180DA4" w:rsidP="00180DA4">
      <w:pPr>
        <w:spacing w:after="60" w:line="360" w:lineRule="auto"/>
        <w:jc w:val="both"/>
        <w:rPr>
          <w:color w:val="000000" w:themeColor="text1"/>
        </w:rPr>
      </w:pPr>
    </w:p>
    <w:p w14:paraId="559C79F1" w14:textId="77777777" w:rsidR="00180DA4" w:rsidRPr="00B52F99" w:rsidRDefault="00180DA4" w:rsidP="00180DA4">
      <w:pPr>
        <w:pStyle w:val="Heading3"/>
        <w:shd w:val="clear" w:color="auto" w:fill="FFFFFF"/>
        <w:spacing w:before="0" w:line="360" w:lineRule="auto"/>
        <w:jc w:val="both"/>
        <w:rPr>
          <w:rFonts w:ascii="Times New Roman" w:hAnsi="Times New Roman" w:cs="Times New Roman"/>
          <w:color w:val="000000" w:themeColor="text1"/>
          <w:sz w:val="28"/>
          <w:szCs w:val="28"/>
        </w:rPr>
      </w:pPr>
      <w:r w:rsidRPr="00B52F99">
        <w:rPr>
          <w:rFonts w:ascii="Times New Roman" w:hAnsi="Times New Roman" w:cs="Times New Roman"/>
          <w:color w:val="000000" w:themeColor="text1"/>
          <w:sz w:val="28"/>
          <w:szCs w:val="28"/>
        </w:rPr>
        <w:t>Methods</w:t>
      </w:r>
    </w:p>
    <w:p w14:paraId="386801CE" w14:textId="5ABD8C51" w:rsidR="000E611A" w:rsidRPr="00B52F99" w:rsidRDefault="00F55632" w:rsidP="000E611A">
      <w:pPr>
        <w:spacing w:after="60" w:line="360" w:lineRule="auto"/>
        <w:jc w:val="both"/>
        <w:rPr>
          <w:color w:val="000000" w:themeColor="text1"/>
        </w:rPr>
      </w:pPr>
      <w:r w:rsidRPr="00B52F99">
        <w:rPr>
          <w:color w:val="000000" w:themeColor="text1"/>
        </w:rPr>
        <w:t xml:space="preserve">The biorhythm </w:t>
      </w:r>
      <w:r w:rsidR="00986C17" w:rsidRPr="00B52F99">
        <w:rPr>
          <w:color w:val="000000" w:themeColor="text1"/>
        </w:rPr>
        <w:t>is</w:t>
      </w:r>
      <w:r w:rsidRPr="00B52F99">
        <w:rPr>
          <w:color w:val="000000" w:themeColor="text1"/>
        </w:rPr>
        <w:t xml:space="preserve"> calculated from naturally exfoliated primary molars for 61 adolescents. We determine if the timing relate</w:t>
      </w:r>
      <w:r w:rsidR="003B01CE" w:rsidRPr="00B52F99">
        <w:rPr>
          <w:color w:val="000000" w:themeColor="text1"/>
        </w:rPr>
        <w:t>s</w:t>
      </w:r>
      <w:r w:rsidRPr="00B52F99">
        <w:rPr>
          <w:color w:val="000000" w:themeColor="text1"/>
        </w:rPr>
        <w:t xml:space="preserve"> to longitudinal measures of their weight, height, lower leg length and body mass collected over 14 months between September 2019 to October 2020. </w:t>
      </w:r>
      <w:r w:rsidR="000E611A" w:rsidRPr="00B52F99">
        <w:rPr>
          <w:color w:val="000000" w:themeColor="text1"/>
        </w:rPr>
        <w:t>We use univariate and multivariate statistical analyses to isolate and identify relationships with the biorhythm.</w:t>
      </w:r>
    </w:p>
    <w:p w14:paraId="43AE7649" w14:textId="51B6D914" w:rsidR="00180DA4" w:rsidRPr="00B52F99" w:rsidRDefault="00180DA4" w:rsidP="00180DA4">
      <w:pPr>
        <w:spacing w:after="60" w:line="360" w:lineRule="auto"/>
        <w:jc w:val="both"/>
        <w:rPr>
          <w:color w:val="000000" w:themeColor="text1"/>
        </w:rPr>
      </w:pPr>
    </w:p>
    <w:p w14:paraId="16FCAFDB" w14:textId="77777777" w:rsidR="00180DA4" w:rsidRPr="00B52F99" w:rsidRDefault="00180DA4" w:rsidP="00180DA4">
      <w:pPr>
        <w:pStyle w:val="Heading3"/>
        <w:shd w:val="clear" w:color="auto" w:fill="FFFFFF"/>
        <w:spacing w:before="0" w:line="360" w:lineRule="auto"/>
        <w:jc w:val="both"/>
        <w:rPr>
          <w:rFonts w:ascii="Times New Roman" w:hAnsi="Times New Roman" w:cs="Times New Roman"/>
          <w:color w:val="000000" w:themeColor="text1"/>
          <w:sz w:val="28"/>
          <w:szCs w:val="28"/>
        </w:rPr>
      </w:pPr>
      <w:r w:rsidRPr="00B52F99">
        <w:rPr>
          <w:rFonts w:ascii="Times New Roman" w:hAnsi="Times New Roman" w:cs="Times New Roman"/>
          <w:color w:val="000000" w:themeColor="text1"/>
          <w:sz w:val="28"/>
          <w:szCs w:val="28"/>
        </w:rPr>
        <w:t>Results</w:t>
      </w:r>
    </w:p>
    <w:p w14:paraId="76F31628" w14:textId="165511FF" w:rsidR="00180DA4" w:rsidRPr="00B52F99" w:rsidRDefault="00180DA4" w:rsidP="00180DA4">
      <w:pPr>
        <w:pStyle w:val="Heading3"/>
        <w:shd w:val="clear" w:color="auto" w:fill="FFFFFF"/>
        <w:spacing w:before="0" w:after="120" w:line="360" w:lineRule="auto"/>
        <w:jc w:val="both"/>
        <w:rPr>
          <w:rFonts w:ascii="Times New Roman" w:hAnsi="Times New Roman" w:cs="Times New Roman"/>
          <w:color w:val="000000" w:themeColor="text1"/>
        </w:rPr>
      </w:pPr>
      <w:r w:rsidRPr="00B52F99">
        <w:rPr>
          <w:rFonts w:ascii="Times New Roman" w:hAnsi="Times New Roman" w:cs="Times New Roman"/>
          <w:color w:val="000000" w:themeColor="text1"/>
        </w:rPr>
        <w:t>Participants with a faster biorhythm typically weigh less each month and gain significantly less weight and mass over 14-months</w:t>
      </w:r>
      <w:r w:rsidR="00622680" w:rsidRPr="00B52F99">
        <w:rPr>
          <w:rFonts w:ascii="Times New Roman" w:hAnsi="Times New Roman" w:cs="Times New Roman"/>
          <w:color w:val="000000" w:themeColor="text1"/>
        </w:rPr>
        <w:t>,</w:t>
      </w:r>
      <w:r w:rsidRPr="00B52F99">
        <w:rPr>
          <w:rFonts w:ascii="Times New Roman" w:hAnsi="Times New Roman" w:cs="Times New Roman"/>
          <w:color w:val="000000" w:themeColor="text1"/>
        </w:rPr>
        <w:t xml:space="preserve"> relative to those with a slower biorhythm. </w:t>
      </w:r>
      <w:r w:rsidRPr="00B52F99">
        <w:rPr>
          <w:rFonts w:ascii="Times New Roman" w:hAnsi="Times New Roman" w:cs="Times New Roman"/>
          <w:color w:val="000000" w:themeColor="text1"/>
          <w:shd w:val="clear" w:color="auto" w:fill="FFFFFF"/>
        </w:rPr>
        <w:t xml:space="preserve"> The biorhythm</w:t>
      </w:r>
      <w:r w:rsidR="00DC258B" w:rsidRPr="00B52F99">
        <w:rPr>
          <w:rFonts w:ascii="Times New Roman" w:hAnsi="Times New Roman" w:cs="Times New Roman"/>
          <w:color w:val="000000" w:themeColor="text1"/>
          <w:shd w:val="clear" w:color="auto" w:fill="FFFFFF"/>
        </w:rPr>
        <w:t xml:space="preserve"> </w:t>
      </w:r>
      <w:r w:rsidRPr="00B52F99">
        <w:rPr>
          <w:rFonts w:ascii="Times New Roman" w:hAnsi="Times New Roman" w:cs="Times New Roman"/>
          <w:color w:val="000000" w:themeColor="text1"/>
          <w:shd w:val="clear" w:color="auto" w:fill="FFFFFF"/>
        </w:rPr>
        <w:t>relat</w:t>
      </w:r>
      <w:r w:rsidR="00F55632" w:rsidRPr="00B52F99">
        <w:rPr>
          <w:rFonts w:ascii="Times New Roman" w:hAnsi="Times New Roman" w:cs="Times New Roman"/>
          <w:color w:val="000000" w:themeColor="text1"/>
          <w:shd w:val="clear" w:color="auto" w:fill="FFFFFF"/>
        </w:rPr>
        <w:t>es</w:t>
      </w:r>
      <w:r w:rsidRPr="00B52F99">
        <w:rPr>
          <w:rFonts w:ascii="Times New Roman" w:hAnsi="Times New Roman" w:cs="Times New Roman"/>
          <w:color w:val="000000" w:themeColor="text1"/>
          <w:shd w:val="clear" w:color="auto" w:fill="FFFFFF"/>
        </w:rPr>
        <w:t xml:space="preserve"> to sex differences in weight gain. </w:t>
      </w:r>
    </w:p>
    <w:p w14:paraId="66A6062C" w14:textId="77777777" w:rsidR="00180DA4" w:rsidRPr="00B52F99" w:rsidRDefault="00180DA4" w:rsidP="00180DA4">
      <w:pPr>
        <w:pStyle w:val="Heading3"/>
        <w:shd w:val="clear" w:color="auto" w:fill="FFFFFF"/>
        <w:spacing w:before="0" w:after="120" w:line="360" w:lineRule="auto"/>
        <w:jc w:val="both"/>
        <w:rPr>
          <w:rFonts w:ascii="Times New Roman" w:hAnsi="Times New Roman" w:cs="Times New Roman"/>
          <w:color w:val="000000" w:themeColor="text1"/>
          <w:shd w:val="clear" w:color="auto" w:fill="FFFFFF"/>
        </w:rPr>
      </w:pPr>
    </w:p>
    <w:p w14:paraId="0A47B9C1" w14:textId="52D1F25D" w:rsidR="00180DA4" w:rsidRPr="00B52F99" w:rsidRDefault="00180DA4" w:rsidP="00180DA4">
      <w:pPr>
        <w:spacing w:line="360" w:lineRule="auto"/>
        <w:jc w:val="both"/>
        <w:rPr>
          <w:color w:val="000000" w:themeColor="text1"/>
          <w:sz w:val="28"/>
          <w:szCs w:val="28"/>
        </w:rPr>
      </w:pPr>
      <w:r w:rsidRPr="00B52F99">
        <w:rPr>
          <w:color w:val="000000" w:themeColor="text1"/>
          <w:sz w:val="28"/>
          <w:szCs w:val="28"/>
        </w:rPr>
        <w:t>Conclusion</w:t>
      </w:r>
      <w:r w:rsidR="00F55632" w:rsidRPr="00B52F99">
        <w:rPr>
          <w:color w:val="000000" w:themeColor="text1"/>
          <w:sz w:val="28"/>
          <w:szCs w:val="28"/>
        </w:rPr>
        <w:t>s</w:t>
      </w:r>
    </w:p>
    <w:p w14:paraId="7CADC693" w14:textId="33E8F1C9" w:rsidR="00180DA4" w:rsidRPr="00B52F99" w:rsidRDefault="00180DA4" w:rsidP="00180DA4">
      <w:pPr>
        <w:pStyle w:val="Heading3"/>
        <w:shd w:val="clear" w:color="auto" w:fill="FFFFFF"/>
        <w:spacing w:before="0" w:after="120" w:line="360" w:lineRule="auto"/>
        <w:jc w:val="both"/>
        <w:rPr>
          <w:rFonts w:ascii="Times New Roman" w:hAnsi="Times New Roman" w:cs="Times New Roman"/>
          <w:color w:val="000000" w:themeColor="text1"/>
        </w:rPr>
      </w:pPr>
      <w:r w:rsidRPr="00B52F99">
        <w:rPr>
          <w:rFonts w:ascii="Times New Roman" w:hAnsi="Times New Roman" w:cs="Times New Roman"/>
          <w:color w:val="000000" w:themeColor="text1"/>
          <w:shd w:val="clear" w:color="auto" w:fill="FFFFFF"/>
        </w:rPr>
        <w:t>We identif</w:t>
      </w:r>
      <w:r w:rsidR="003B01CE" w:rsidRPr="00B52F99">
        <w:rPr>
          <w:rFonts w:ascii="Times New Roman" w:hAnsi="Times New Roman" w:cs="Times New Roman"/>
          <w:color w:val="000000" w:themeColor="text1"/>
          <w:shd w:val="clear" w:color="auto" w:fill="FFFFFF"/>
        </w:rPr>
        <w:t>y</w:t>
      </w:r>
      <w:r w:rsidR="009C2F1B" w:rsidRPr="00B52F99">
        <w:rPr>
          <w:rFonts w:ascii="Times New Roman" w:hAnsi="Times New Roman" w:cs="Times New Roman"/>
          <w:color w:val="000000" w:themeColor="text1"/>
          <w:shd w:val="clear" w:color="auto" w:fill="FFFFFF"/>
        </w:rPr>
        <w:t xml:space="preserve"> </w:t>
      </w:r>
      <w:r w:rsidRPr="00B52F99">
        <w:rPr>
          <w:rFonts w:ascii="Times New Roman" w:hAnsi="Times New Roman" w:cs="Times New Roman"/>
          <w:color w:val="000000" w:themeColor="text1"/>
          <w:shd w:val="clear" w:color="auto" w:fill="FFFFFF"/>
        </w:rPr>
        <w:t xml:space="preserve">a </w:t>
      </w:r>
      <w:r w:rsidRPr="00B52F99">
        <w:rPr>
          <w:rFonts w:ascii="Times New Roman" w:hAnsi="Times New Roman" w:cs="Times New Roman"/>
          <w:color w:val="000000" w:themeColor="text1"/>
        </w:rPr>
        <w:t>previously unknown factor that associates with</w:t>
      </w:r>
      <w:r w:rsidRPr="00B52F99">
        <w:rPr>
          <w:rFonts w:ascii="Times New Roman" w:hAnsi="Times New Roman" w:cs="Times New Roman"/>
          <w:color w:val="000000" w:themeColor="text1"/>
          <w:shd w:val="clear" w:color="auto" w:fill="FFFFFF"/>
        </w:rPr>
        <w:t xml:space="preserve"> the </w:t>
      </w:r>
      <w:r w:rsidRPr="00B52F99">
        <w:rPr>
          <w:rFonts w:ascii="Times New Roman" w:hAnsi="Times New Roman" w:cs="Times New Roman"/>
          <w:color w:val="000000" w:themeColor="text1"/>
        </w:rPr>
        <w:t>rapid change in body size that accompanies human adolescence</w:t>
      </w:r>
      <w:r w:rsidRPr="00B52F99">
        <w:rPr>
          <w:rFonts w:ascii="Times New Roman" w:hAnsi="Times New Roman" w:cs="Times New Roman"/>
          <w:color w:val="000000" w:themeColor="text1"/>
          <w:shd w:val="clear" w:color="auto" w:fill="FFFFFF"/>
        </w:rPr>
        <w:t>.</w:t>
      </w:r>
      <w:r w:rsidRPr="00B52F99">
        <w:rPr>
          <w:rFonts w:ascii="Times New Roman" w:hAnsi="Times New Roman" w:cs="Times New Roman"/>
          <w:color w:val="000000" w:themeColor="text1"/>
        </w:rPr>
        <w:t xml:space="preserve"> </w:t>
      </w:r>
      <w:r w:rsidR="00FB6EE4" w:rsidRPr="00B52F99">
        <w:rPr>
          <w:rFonts w:ascii="Times New Roman" w:hAnsi="Times New Roman" w:cs="Times New Roman"/>
          <w:color w:val="000000" w:themeColor="text1"/>
        </w:rPr>
        <w:t xml:space="preserve">Our findings </w:t>
      </w:r>
      <w:r w:rsidRPr="00B52F99">
        <w:rPr>
          <w:rFonts w:ascii="Times New Roman" w:hAnsi="Times New Roman" w:cs="Times New Roman"/>
          <w:color w:val="000000" w:themeColor="text1"/>
          <w:shd w:val="clear" w:color="auto" w:fill="FFFFFF"/>
        </w:rPr>
        <w:t>provide</w:t>
      </w:r>
      <w:r w:rsidRPr="00B52F99">
        <w:rPr>
          <w:rFonts w:ascii="Times New Roman" w:hAnsi="Times New Roman" w:cs="Times New Roman"/>
          <w:color w:val="000000" w:themeColor="text1"/>
        </w:rPr>
        <w:t xml:space="preserve"> </w:t>
      </w:r>
      <w:r w:rsidR="00FB6EE4" w:rsidRPr="00B52F99">
        <w:rPr>
          <w:rFonts w:ascii="Times New Roman" w:hAnsi="Times New Roman" w:cs="Times New Roman"/>
          <w:color w:val="000000" w:themeColor="text1"/>
        </w:rPr>
        <w:t xml:space="preserve">a basis from which to explore </w:t>
      </w:r>
      <w:r w:rsidRPr="00B52F99">
        <w:rPr>
          <w:rFonts w:ascii="Times New Roman" w:hAnsi="Times New Roman" w:cs="Times New Roman"/>
          <w:color w:val="000000" w:themeColor="text1"/>
        </w:rPr>
        <w:t>novel relationships between the biorhythm</w:t>
      </w:r>
      <w:r w:rsidR="00DC258B" w:rsidRPr="00B52F99">
        <w:rPr>
          <w:rFonts w:ascii="Times New Roman" w:hAnsi="Times New Roman" w:cs="Times New Roman"/>
          <w:color w:val="000000" w:themeColor="text1"/>
        </w:rPr>
        <w:t xml:space="preserve"> and</w:t>
      </w:r>
      <w:r w:rsidRPr="00B52F99">
        <w:rPr>
          <w:rFonts w:ascii="Times New Roman" w:hAnsi="Times New Roman" w:cs="Times New Roman"/>
          <w:color w:val="000000" w:themeColor="text1"/>
          <w:shd w:val="clear" w:color="auto" w:fill="FFFFFF"/>
        </w:rPr>
        <w:t xml:space="preserve"> weight</w:t>
      </w:r>
      <w:r w:rsidR="00DC258B" w:rsidRPr="00B52F99">
        <w:rPr>
          <w:rFonts w:ascii="Times New Roman" w:hAnsi="Times New Roman" w:cs="Times New Roman"/>
          <w:color w:val="000000" w:themeColor="text1"/>
          <w:shd w:val="clear" w:color="auto" w:fill="FFFFFF"/>
        </w:rPr>
        <w:t xml:space="preserve">-related </w:t>
      </w:r>
      <w:r w:rsidRPr="00B52F99">
        <w:rPr>
          <w:rFonts w:ascii="Times New Roman" w:hAnsi="Times New Roman" w:cs="Times New Roman"/>
          <w:color w:val="000000" w:themeColor="text1"/>
          <w:shd w:val="clear" w:color="auto" w:fill="FFFFFF"/>
        </w:rPr>
        <w:t>health risks.</w:t>
      </w:r>
    </w:p>
    <w:p w14:paraId="31A7EEB6" w14:textId="77777777" w:rsidR="00180DA4" w:rsidRPr="00B52F99" w:rsidRDefault="00180DA4" w:rsidP="00180DA4">
      <w:pPr>
        <w:rPr>
          <w:color w:val="000000" w:themeColor="text1"/>
        </w:rPr>
      </w:pPr>
    </w:p>
    <w:p w14:paraId="127D98F5" w14:textId="3B21A605" w:rsidR="00180DA4" w:rsidRPr="00B52F99" w:rsidRDefault="00180DA4" w:rsidP="00180DA4">
      <w:pPr>
        <w:rPr>
          <w:color w:val="000000" w:themeColor="text1"/>
        </w:rPr>
      </w:pPr>
    </w:p>
    <w:p w14:paraId="14EAE9AE" w14:textId="00B7BC2F" w:rsidR="00993973" w:rsidRPr="00B52F99" w:rsidRDefault="00993973" w:rsidP="00180DA4">
      <w:pPr>
        <w:rPr>
          <w:color w:val="000000" w:themeColor="text1"/>
        </w:rPr>
      </w:pPr>
    </w:p>
    <w:p w14:paraId="23BAFE7D" w14:textId="22D4B592" w:rsidR="00244D10" w:rsidRPr="00B52F99" w:rsidRDefault="00244D10" w:rsidP="00180DA4">
      <w:pPr>
        <w:rPr>
          <w:color w:val="000000" w:themeColor="text1"/>
        </w:rPr>
      </w:pPr>
    </w:p>
    <w:p w14:paraId="4C218F6F" w14:textId="7C30074A" w:rsidR="00244D10" w:rsidRPr="00B52F99" w:rsidRDefault="00244D10" w:rsidP="00180DA4">
      <w:pPr>
        <w:rPr>
          <w:color w:val="000000" w:themeColor="text1"/>
        </w:rPr>
      </w:pPr>
    </w:p>
    <w:p w14:paraId="5994A275" w14:textId="77777777" w:rsidR="00244D10" w:rsidRPr="00B52F99" w:rsidRDefault="00244D10" w:rsidP="00180DA4">
      <w:pPr>
        <w:rPr>
          <w:color w:val="000000" w:themeColor="text1"/>
        </w:rPr>
      </w:pPr>
    </w:p>
    <w:p w14:paraId="6B982237" w14:textId="2751CD22" w:rsidR="00244D10" w:rsidRPr="00B52F99" w:rsidRDefault="00993973" w:rsidP="00244D10">
      <w:pPr>
        <w:rPr>
          <w:b/>
          <w:bCs/>
          <w:color w:val="000000" w:themeColor="text1"/>
          <w:sz w:val="28"/>
          <w:szCs w:val="28"/>
        </w:rPr>
      </w:pPr>
      <w:r w:rsidRPr="00B52F99">
        <w:rPr>
          <w:b/>
          <w:bCs/>
          <w:color w:val="000000" w:themeColor="text1"/>
          <w:sz w:val="28"/>
          <w:szCs w:val="28"/>
        </w:rPr>
        <w:t>P</w:t>
      </w:r>
      <w:r w:rsidR="008C1F18" w:rsidRPr="00B52F99">
        <w:rPr>
          <w:b/>
          <w:bCs/>
          <w:color w:val="000000" w:themeColor="text1"/>
          <w:sz w:val="28"/>
          <w:szCs w:val="28"/>
        </w:rPr>
        <w:t>lain language summary</w:t>
      </w:r>
    </w:p>
    <w:p w14:paraId="083759E3" w14:textId="77777777" w:rsidR="00244D10" w:rsidRPr="00B52F99" w:rsidRDefault="00244D10" w:rsidP="00244D10">
      <w:pPr>
        <w:rPr>
          <w:b/>
          <w:bCs/>
          <w:color w:val="000000" w:themeColor="text1"/>
          <w:sz w:val="28"/>
          <w:szCs w:val="28"/>
        </w:rPr>
      </w:pPr>
    </w:p>
    <w:p w14:paraId="7C80A743" w14:textId="6CB1E455" w:rsidR="00244D10" w:rsidRPr="00B52F99" w:rsidRDefault="00244D10" w:rsidP="00244D10">
      <w:pPr>
        <w:spacing w:line="360" w:lineRule="auto"/>
        <w:jc w:val="both"/>
        <w:rPr>
          <w:color w:val="000000" w:themeColor="text1"/>
          <w:shd w:val="clear" w:color="auto" w:fill="FFFFFF"/>
        </w:rPr>
      </w:pPr>
      <w:r w:rsidRPr="00B52F99">
        <w:rPr>
          <w:color w:val="000000" w:themeColor="text1"/>
          <w:shd w:val="clear" w:color="auto" w:fill="FFFFFF"/>
        </w:rPr>
        <w:t xml:space="preserve">The human body undergoes cyclic changes such as </w:t>
      </w:r>
      <w:r w:rsidR="001E3522" w:rsidRPr="00B52F99">
        <w:rPr>
          <w:color w:val="000000" w:themeColor="text1"/>
          <w:shd w:val="clear" w:color="auto" w:fill="FFFFFF"/>
        </w:rPr>
        <w:t xml:space="preserve">the daily </w:t>
      </w:r>
      <w:r w:rsidR="00173DF3" w:rsidRPr="00B52F99">
        <w:rPr>
          <w:color w:val="000000" w:themeColor="text1"/>
          <w:shd w:val="clear" w:color="auto" w:fill="FFFFFF"/>
        </w:rPr>
        <w:t xml:space="preserve">cycle of </w:t>
      </w:r>
      <w:r w:rsidRPr="00B52F99">
        <w:rPr>
          <w:color w:val="000000" w:themeColor="text1"/>
          <w:shd w:val="clear" w:color="auto" w:fill="FFFFFF"/>
        </w:rPr>
        <w:t xml:space="preserve">sleeping and waking, and monthly menstruation. This study calculated one cycle that can be tracked through the growth of children’s milk teeth. The timing of the cycle in different children was compared to changes in body size that occurred when these children were in puberty. A link was seen between the children’s cycle and the weight </w:t>
      </w:r>
      <w:r w:rsidR="00E27A55" w:rsidRPr="00B52F99">
        <w:rPr>
          <w:color w:val="000000" w:themeColor="text1"/>
          <w:shd w:val="clear" w:color="auto" w:fill="FFFFFF"/>
        </w:rPr>
        <w:t xml:space="preserve">they </w:t>
      </w:r>
      <w:r w:rsidRPr="00B52F99">
        <w:rPr>
          <w:color w:val="000000" w:themeColor="text1"/>
          <w:shd w:val="clear" w:color="auto" w:fill="FFFFFF"/>
        </w:rPr>
        <w:t>gained over 14-months. Adolescents with a faster cycle typically weighed less each month and gained less weight over 14 months compared to those with a slower cycle.</w:t>
      </w:r>
    </w:p>
    <w:p w14:paraId="08CD8C5A" w14:textId="06AE5D23" w:rsidR="00A53156" w:rsidRDefault="00A53156" w:rsidP="009717E5">
      <w:pPr>
        <w:rPr>
          <w:color w:val="000000" w:themeColor="text1"/>
        </w:rPr>
      </w:pPr>
    </w:p>
    <w:p w14:paraId="6A37C3F2" w14:textId="77777777" w:rsidR="000D493A" w:rsidRPr="00B52F99" w:rsidRDefault="000D493A" w:rsidP="009717E5">
      <w:pPr>
        <w:rPr>
          <w:color w:val="000000" w:themeColor="text1"/>
        </w:rPr>
      </w:pPr>
    </w:p>
    <w:p w14:paraId="3760AD57" w14:textId="6D811822" w:rsidR="00211DFA" w:rsidRPr="00B52F99" w:rsidRDefault="007C6AD9" w:rsidP="00E679E7">
      <w:pPr>
        <w:spacing w:line="360" w:lineRule="auto"/>
        <w:rPr>
          <w:b/>
          <w:bCs/>
          <w:color w:val="000000" w:themeColor="text1"/>
          <w:sz w:val="28"/>
          <w:szCs w:val="28"/>
        </w:rPr>
      </w:pPr>
      <w:r w:rsidRPr="00B52F99">
        <w:rPr>
          <w:b/>
          <w:bCs/>
          <w:color w:val="000000" w:themeColor="text1"/>
          <w:sz w:val="28"/>
          <w:szCs w:val="28"/>
        </w:rPr>
        <w:lastRenderedPageBreak/>
        <w:t>Introduction</w:t>
      </w:r>
    </w:p>
    <w:p w14:paraId="28DDB7FA" w14:textId="0532C329" w:rsidR="006C4769" w:rsidRPr="00B52F99" w:rsidRDefault="00F017E7" w:rsidP="005D0197">
      <w:pPr>
        <w:spacing w:line="360" w:lineRule="auto"/>
        <w:jc w:val="both"/>
        <w:rPr>
          <w:color w:val="000000" w:themeColor="text1"/>
        </w:rPr>
      </w:pPr>
      <w:r w:rsidRPr="00B52F99">
        <w:rPr>
          <w:color w:val="000000" w:themeColor="text1"/>
        </w:rPr>
        <w:t>Human a</w:t>
      </w:r>
      <w:r w:rsidR="00FC31E4" w:rsidRPr="00B52F99">
        <w:rPr>
          <w:color w:val="000000" w:themeColor="text1"/>
        </w:rPr>
        <w:t>dolescence is a period of rapid chan</w:t>
      </w:r>
      <w:r w:rsidR="001A4CB7" w:rsidRPr="00B52F99">
        <w:rPr>
          <w:color w:val="000000" w:themeColor="text1"/>
        </w:rPr>
        <w:t>ge</w:t>
      </w:r>
      <w:r w:rsidR="00FC31E4" w:rsidRPr="00B52F99">
        <w:rPr>
          <w:color w:val="000000" w:themeColor="text1"/>
        </w:rPr>
        <w:t xml:space="preserve"> </w:t>
      </w:r>
      <w:r w:rsidR="001A4CB7" w:rsidRPr="00B52F99">
        <w:rPr>
          <w:color w:val="000000" w:themeColor="text1"/>
        </w:rPr>
        <w:t xml:space="preserve">in </w:t>
      </w:r>
      <w:r w:rsidR="00FC31E4" w:rsidRPr="00B52F99">
        <w:rPr>
          <w:color w:val="000000" w:themeColor="text1"/>
        </w:rPr>
        <w:t>body size</w:t>
      </w:r>
      <w:r w:rsidR="00D40F15" w:rsidRPr="00B52F99">
        <w:rPr>
          <w:color w:val="000000" w:themeColor="text1"/>
        </w:rPr>
        <w:t xml:space="preserve"> following the onset of puberty</w:t>
      </w:r>
      <w:r w:rsidR="00834B60" w:rsidRPr="00B52F99">
        <w:rPr>
          <w:color w:val="000000" w:themeColor="text1"/>
          <w:vertAlign w:val="superscript"/>
        </w:rPr>
        <w:t>1</w:t>
      </w:r>
      <w:r w:rsidR="003E64FE" w:rsidRPr="00B52F99">
        <w:rPr>
          <w:color w:val="000000" w:themeColor="text1"/>
        </w:rPr>
        <w:t xml:space="preserve">. </w:t>
      </w:r>
      <w:r w:rsidR="00BB7908" w:rsidRPr="00B52F99">
        <w:rPr>
          <w:color w:val="000000" w:themeColor="text1"/>
        </w:rPr>
        <w:t>S</w:t>
      </w:r>
      <w:r w:rsidR="003E64FE" w:rsidRPr="00B52F99">
        <w:rPr>
          <w:color w:val="000000" w:themeColor="text1"/>
        </w:rPr>
        <w:t xml:space="preserve">ex specific </w:t>
      </w:r>
      <w:r w:rsidR="009470D9" w:rsidRPr="00B52F99">
        <w:rPr>
          <w:color w:val="000000" w:themeColor="text1"/>
        </w:rPr>
        <w:t xml:space="preserve">increases in </w:t>
      </w:r>
      <w:r w:rsidR="00EA7591" w:rsidRPr="00B52F99">
        <w:rPr>
          <w:color w:val="000000" w:themeColor="text1"/>
        </w:rPr>
        <w:t xml:space="preserve">lean </w:t>
      </w:r>
      <w:r w:rsidR="003E64FE" w:rsidRPr="00B52F99">
        <w:rPr>
          <w:color w:val="000000" w:themeColor="text1"/>
        </w:rPr>
        <w:t xml:space="preserve">muscle, bone </w:t>
      </w:r>
      <w:r w:rsidR="00544D58" w:rsidRPr="00B52F99">
        <w:rPr>
          <w:color w:val="000000" w:themeColor="text1"/>
        </w:rPr>
        <w:t xml:space="preserve">mass, </w:t>
      </w:r>
      <w:r w:rsidR="003E64FE" w:rsidRPr="00B52F99">
        <w:rPr>
          <w:color w:val="000000" w:themeColor="text1"/>
        </w:rPr>
        <w:t>stature</w:t>
      </w:r>
      <w:r w:rsidR="009470D9" w:rsidRPr="00B52F99">
        <w:rPr>
          <w:color w:val="000000" w:themeColor="text1"/>
        </w:rPr>
        <w:t>,</w:t>
      </w:r>
      <w:r w:rsidR="005B77E4" w:rsidRPr="00B52F99">
        <w:rPr>
          <w:color w:val="000000" w:themeColor="text1"/>
        </w:rPr>
        <w:t xml:space="preserve"> </w:t>
      </w:r>
      <w:r w:rsidR="00861CF8" w:rsidRPr="00B52F99">
        <w:rPr>
          <w:color w:val="000000" w:themeColor="text1"/>
        </w:rPr>
        <w:t xml:space="preserve">and </w:t>
      </w:r>
      <w:r w:rsidR="00627F01" w:rsidRPr="00B52F99">
        <w:rPr>
          <w:color w:val="000000" w:themeColor="text1"/>
        </w:rPr>
        <w:t xml:space="preserve">the </w:t>
      </w:r>
      <w:r w:rsidR="001A4CB7" w:rsidRPr="00B52F99">
        <w:rPr>
          <w:color w:val="000000" w:themeColor="text1"/>
        </w:rPr>
        <w:t xml:space="preserve">amount and </w:t>
      </w:r>
      <w:r w:rsidR="00627F01" w:rsidRPr="00B52F99">
        <w:rPr>
          <w:color w:val="000000" w:themeColor="text1"/>
        </w:rPr>
        <w:t xml:space="preserve">distribution of </w:t>
      </w:r>
      <w:r w:rsidR="00B1575A" w:rsidRPr="00B52F99">
        <w:rPr>
          <w:color w:val="000000" w:themeColor="text1"/>
        </w:rPr>
        <w:t xml:space="preserve">subcutaneous and </w:t>
      </w:r>
      <w:r w:rsidR="00861CF8" w:rsidRPr="00B52F99">
        <w:rPr>
          <w:color w:val="000000" w:themeColor="text1"/>
        </w:rPr>
        <w:t>total</w:t>
      </w:r>
      <w:r w:rsidR="00B1575A" w:rsidRPr="00B52F99">
        <w:rPr>
          <w:color w:val="000000" w:themeColor="text1"/>
        </w:rPr>
        <w:t xml:space="preserve"> body fat</w:t>
      </w:r>
      <w:r w:rsidR="00834B60" w:rsidRPr="00B52F99">
        <w:rPr>
          <w:color w:val="000000" w:themeColor="text1"/>
          <w:vertAlign w:val="superscript"/>
        </w:rPr>
        <w:t>2-4</w:t>
      </w:r>
      <w:r w:rsidR="00627F01" w:rsidRPr="00B52F99">
        <w:rPr>
          <w:color w:val="000000" w:themeColor="text1"/>
        </w:rPr>
        <w:t xml:space="preserve"> </w:t>
      </w:r>
      <w:r w:rsidR="009470D9" w:rsidRPr="00B52F99">
        <w:rPr>
          <w:color w:val="000000" w:themeColor="text1"/>
        </w:rPr>
        <w:t xml:space="preserve">contribute to </w:t>
      </w:r>
      <w:r w:rsidR="00544D58" w:rsidRPr="00B52F99">
        <w:rPr>
          <w:color w:val="000000" w:themeColor="text1"/>
        </w:rPr>
        <w:t xml:space="preserve">extensive </w:t>
      </w:r>
      <w:r w:rsidR="003E64FE" w:rsidRPr="00B52F99">
        <w:rPr>
          <w:color w:val="000000" w:themeColor="text1"/>
        </w:rPr>
        <w:t>gain</w:t>
      </w:r>
      <w:r w:rsidR="00330DE3" w:rsidRPr="00B52F99">
        <w:rPr>
          <w:color w:val="000000" w:themeColor="text1"/>
        </w:rPr>
        <w:t xml:space="preserve">s in </w:t>
      </w:r>
      <w:r w:rsidR="006E13A2" w:rsidRPr="00B52F99">
        <w:rPr>
          <w:color w:val="000000" w:themeColor="text1"/>
        </w:rPr>
        <w:t xml:space="preserve">body </w:t>
      </w:r>
      <w:r w:rsidR="00854E03" w:rsidRPr="00B52F99">
        <w:rPr>
          <w:color w:val="000000" w:themeColor="text1"/>
        </w:rPr>
        <w:t>size</w:t>
      </w:r>
      <w:r w:rsidR="00834B60" w:rsidRPr="00B52F99">
        <w:rPr>
          <w:color w:val="000000" w:themeColor="text1"/>
          <w:vertAlign w:val="superscript"/>
        </w:rPr>
        <w:t>2,5-8</w:t>
      </w:r>
      <w:r w:rsidR="006C4769" w:rsidRPr="00B52F99">
        <w:rPr>
          <w:color w:val="000000" w:themeColor="text1"/>
        </w:rPr>
        <w:t xml:space="preserve">. These shifts vary </w:t>
      </w:r>
      <w:r w:rsidR="008920EB" w:rsidRPr="00B52F99">
        <w:rPr>
          <w:color w:val="000000" w:themeColor="text1"/>
        </w:rPr>
        <w:t xml:space="preserve">by the stage of </w:t>
      </w:r>
      <w:r w:rsidR="00623D26" w:rsidRPr="00B52F99">
        <w:rPr>
          <w:color w:val="000000" w:themeColor="text1"/>
        </w:rPr>
        <w:t>puberty for males and females</w:t>
      </w:r>
      <w:r w:rsidR="00834B60" w:rsidRPr="00B52F99">
        <w:rPr>
          <w:color w:val="000000" w:themeColor="text1"/>
          <w:vertAlign w:val="superscript"/>
        </w:rPr>
        <w:t>9</w:t>
      </w:r>
      <w:r w:rsidR="0089397F" w:rsidRPr="00B52F99">
        <w:rPr>
          <w:color w:val="000000" w:themeColor="text1"/>
          <w:vertAlign w:val="superscript"/>
        </w:rPr>
        <w:t>,</w:t>
      </w:r>
      <w:r w:rsidR="00834B60" w:rsidRPr="00B52F99">
        <w:rPr>
          <w:color w:val="000000" w:themeColor="text1"/>
          <w:vertAlign w:val="superscript"/>
        </w:rPr>
        <w:t>10</w:t>
      </w:r>
      <w:r w:rsidR="00623D26" w:rsidRPr="00B52F99">
        <w:rPr>
          <w:color w:val="000000" w:themeColor="text1"/>
        </w:rPr>
        <w:t xml:space="preserve">. </w:t>
      </w:r>
      <w:r w:rsidR="00C534A2" w:rsidRPr="00B52F99">
        <w:rPr>
          <w:color w:val="000000" w:themeColor="text1"/>
        </w:rPr>
        <w:t xml:space="preserve">Adolescents </w:t>
      </w:r>
      <w:r w:rsidR="00DA50F1" w:rsidRPr="00B52F99">
        <w:rPr>
          <w:color w:val="000000" w:themeColor="text1"/>
        </w:rPr>
        <w:t xml:space="preserve">can gain </w:t>
      </w:r>
      <w:r w:rsidR="003E64FE" w:rsidRPr="00B52F99">
        <w:rPr>
          <w:color w:val="000000" w:themeColor="text1"/>
        </w:rPr>
        <w:t>8</w:t>
      </w:r>
      <w:r w:rsidR="00FE4E02" w:rsidRPr="00B52F99">
        <w:rPr>
          <w:color w:val="000000" w:themeColor="text1"/>
        </w:rPr>
        <w:t>.3</w:t>
      </w:r>
      <w:r w:rsidR="00830379" w:rsidRPr="00B52F99">
        <w:rPr>
          <w:color w:val="000000" w:themeColor="text1"/>
        </w:rPr>
        <w:t>-</w:t>
      </w:r>
      <w:r w:rsidR="003E64FE" w:rsidRPr="00B52F99">
        <w:rPr>
          <w:color w:val="000000" w:themeColor="text1"/>
        </w:rPr>
        <w:t>9</w:t>
      </w:r>
      <w:r w:rsidR="00FE4E02" w:rsidRPr="00B52F99">
        <w:rPr>
          <w:color w:val="000000" w:themeColor="text1"/>
        </w:rPr>
        <w:t>.0</w:t>
      </w:r>
      <w:r w:rsidR="003E64FE" w:rsidRPr="00B52F99">
        <w:rPr>
          <w:color w:val="000000" w:themeColor="text1"/>
        </w:rPr>
        <w:t xml:space="preserve"> kg a year</w:t>
      </w:r>
      <w:r w:rsidR="00834B60" w:rsidRPr="00B52F99">
        <w:rPr>
          <w:color w:val="000000" w:themeColor="text1"/>
          <w:vertAlign w:val="superscript"/>
        </w:rPr>
        <w:t>2,6</w:t>
      </w:r>
      <w:r w:rsidR="0047344A" w:rsidRPr="00B52F99">
        <w:rPr>
          <w:color w:val="000000" w:themeColor="text1"/>
        </w:rPr>
        <w:t xml:space="preserve"> depending upon </w:t>
      </w:r>
      <w:r w:rsidRPr="00B52F99">
        <w:rPr>
          <w:color w:val="000000" w:themeColor="text1"/>
        </w:rPr>
        <w:t>genetic</w:t>
      </w:r>
      <w:r w:rsidR="000A7E3C" w:rsidRPr="00B52F99">
        <w:rPr>
          <w:color w:val="000000" w:themeColor="text1"/>
          <w:vertAlign w:val="superscript"/>
        </w:rPr>
        <w:t>11-14</w:t>
      </w:r>
      <w:r w:rsidRPr="00B52F99">
        <w:rPr>
          <w:color w:val="000000" w:themeColor="text1"/>
        </w:rPr>
        <w:t xml:space="preserve"> and </w:t>
      </w:r>
      <w:r w:rsidR="000A05AB" w:rsidRPr="00B52F99">
        <w:rPr>
          <w:color w:val="000000" w:themeColor="text1"/>
        </w:rPr>
        <w:t>environment</w:t>
      </w:r>
      <w:r w:rsidR="00C534A2" w:rsidRPr="00B52F99">
        <w:rPr>
          <w:color w:val="000000" w:themeColor="text1"/>
        </w:rPr>
        <w:t xml:space="preserve">al factors such </w:t>
      </w:r>
      <w:r w:rsidR="008920EB" w:rsidRPr="00B52F99">
        <w:rPr>
          <w:color w:val="000000" w:themeColor="text1"/>
        </w:rPr>
        <w:t xml:space="preserve">as </w:t>
      </w:r>
      <w:r w:rsidR="00C534A2" w:rsidRPr="00B52F99">
        <w:rPr>
          <w:color w:val="000000" w:themeColor="text1"/>
        </w:rPr>
        <w:t>dietary habits</w:t>
      </w:r>
      <w:r w:rsidR="00C534A2" w:rsidRPr="00B52F99">
        <w:rPr>
          <w:color w:val="000000" w:themeColor="text1"/>
          <w:vertAlign w:val="superscript"/>
        </w:rPr>
        <w:t>6</w:t>
      </w:r>
      <w:r w:rsidR="00C534A2" w:rsidRPr="00B52F99">
        <w:rPr>
          <w:color w:val="000000" w:themeColor="text1"/>
        </w:rPr>
        <w:t xml:space="preserve"> and activity levels</w:t>
      </w:r>
      <w:r w:rsidR="000A7E3C" w:rsidRPr="00B52F99">
        <w:rPr>
          <w:color w:val="000000" w:themeColor="text1"/>
          <w:vertAlign w:val="superscript"/>
        </w:rPr>
        <w:t>15</w:t>
      </w:r>
      <w:r w:rsidR="00C012B3" w:rsidRPr="00B52F99">
        <w:rPr>
          <w:color w:val="000000" w:themeColor="text1"/>
          <w:vertAlign w:val="superscript"/>
        </w:rPr>
        <w:t>,</w:t>
      </w:r>
      <w:r w:rsidR="000A7E3C" w:rsidRPr="00B52F99">
        <w:rPr>
          <w:color w:val="000000" w:themeColor="text1"/>
          <w:vertAlign w:val="superscript"/>
        </w:rPr>
        <w:t>16</w:t>
      </w:r>
      <w:r w:rsidR="00C534A2" w:rsidRPr="00B52F99">
        <w:rPr>
          <w:color w:val="000000" w:themeColor="text1"/>
        </w:rPr>
        <w:t>.</w:t>
      </w:r>
    </w:p>
    <w:p w14:paraId="2AFCF97B" w14:textId="77777777" w:rsidR="002856B8" w:rsidRPr="00B52F99" w:rsidRDefault="002856B8" w:rsidP="005D0197">
      <w:pPr>
        <w:spacing w:line="360" w:lineRule="auto"/>
        <w:jc w:val="both"/>
        <w:rPr>
          <w:b/>
          <w:bCs/>
          <w:color w:val="000000" w:themeColor="text1"/>
          <w:sz w:val="12"/>
          <w:szCs w:val="12"/>
        </w:rPr>
      </w:pPr>
    </w:p>
    <w:p w14:paraId="6E992D92" w14:textId="15881D55" w:rsidR="00330DE3" w:rsidRPr="00B52F99" w:rsidRDefault="0090146A" w:rsidP="005D0197">
      <w:pPr>
        <w:spacing w:line="360" w:lineRule="auto"/>
        <w:jc w:val="both"/>
        <w:rPr>
          <w:color w:val="000000" w:themeColor="text1"/>
        </w:rPr>
      </w:pPr>
      <w:r w:rsidRPr="00B52F99">
        <w:rPr>
          <w:color w:val="000000" w:themeColor="text1"/>
        </w:rPr>
        <w:t>The hypothalamus plays a pivotal role in the pubertal transition. It</w:t>
      </w:r>
      <w:r w:rsidR="00903F93" w:rsidRPr="00B52F99">
        <w:rPr>
          <w:color w:val="000000" w:themeColor="text1"/>
        </w:rPr>
        <w:t xml:space="preserve"> is</w:t>
      </w:r>
      <w:r w:rsidR="0081183D" w:rsidRPr="00B52F99">
        <w:rPr>
          <w:color w:val="000000" w:themeColor="text1"/>
        </w:rPr>
        <w:t xml:space="preserve"> a </w:t>
      </w:r>
      <w:r w:rsidR="0008279B" w:rsidRPr="00B52F99">
        <w:rPr>
          <w:color w:val="000000" w:themeColor="text1"/>
        </w:rPr>
        <w:t>region</w:t>
      </w:r>
      <w:r w:rsidR="00903F93" w:rsidRPr="00B52F99">
        <w:rPr>
          <w:color w:val="000000" w:themeColor="text1"/>
        </w:rPr>
        <w:t xml:space="preserve"> of </w:t>
      </w:r>
      <w:r w:rsidR="0081183D" w:rsidRPr="00B52F99">
        <w:rPr>
          <w:color w:val="000000" w:themeColor="text1"/>
        </w:rPr>
        <w:t>the brain</w:t>
      </w:r>
      <w:r w:rsidR="00903F93" w:rsidRPr="00B52F99">
        <w:rPr>
          <w:color w:val="000000" w:themeColor="text1"/>
        </w:rPr>
        <w:t xml:space="preserve"> that</w:t>
      </w:r>
      <w:r w:rsidR="0081183D" w:rsidRPr="00B52F99">
        <w:rPr>
          <w:color w:val="000000" w:themeColor="text1"/>
        </w:rPr>
        <w:t xml:space="preserve"> </w:t>
      </w:r>
      <w:r w:rsidR="00135BE9" w:rsidRPr="00B52F99">
        <w:rPr>
          <w:color w:val="000000" w:themeColor="text1"/>
        </w:rPr>
        <w:t xml:space="preserve">stimulates the release of hormones and </w:t>
      </w:r>
      <w:r w:rsidR="00E35531" w:rsidRPr="00B52F99">
        <w:rPr>
          <w:color w:val="000000" w:themeColor="text1"/>
        </w:rPr>
        <w:t>regulates</w:t>
      </w:r>
      <w:r w:rsidR="0081183D" w:rsidRPr="00B52F99">
        <w:rPr>
          <w:color w:val="000000" w:themeColor="text1"/>
        </w:rPr>
        <w:t xml:space="preserve"> </w:t>
      </w:r>
      <w:r w:rsidR="009D6CD7" w:rsidRPr="00B52F99">
        <w:rPr>
          <w:rFonts w:cstheme="minorHAnsi"/>
          <w:color w:val="000000" w:themeColor="text1"/>
          <w:shd w:val="clear" w:color="auto" w:fill="FFFFFF"/>
        </w:rPr>
        <w:t>food intake and energy expenditure</w:t>
      </w:r>
      <w:r w:rsidR="00E679E7" w:rsidRPr="00B52F99">
        <w:rPr>
          <w:color w:val="000000" w:themeColor="text1"/>
        </w:rPr>
        <w:t xml:space="preserve">. </w:t>
      </w:r>
      <w:r w:rsidR="00FC31E4" w:rsidRPr="00B52F99">
        <w:rPr>
          <w:color w:val="000000" w:themeColor="text1"/>
        </w:rPr>
        <w:t xml:space="preserve">Under the influence of growth hormone and </w:t>
      </w:r>
      <w:r w:rsidR="00FC31E4" w:rsidRPr="00B52F99">
        <w:rPr>
          <w:color w:val="000000" w:themeColor="text1"/>
          <w:shd w:val="clear" w:color="auto" w:fill="FFFFFF"/>
        </w:rPr>
        <w:t xml:space="preserve">insulin-like growth factor-I </w:t>
      </w:r>
      <w:r w:rsidR="00FC31E4" w:rsidRPr="00B52F99">
        <w:rPr>
          <w:color w:val="000000" w:themeColor="text1"/>
        </w:rPr>
        <w:t xml:space="preserve">in early adolescence, </w:t>
      </w:r>
      <w:r w:rsidR="00E679E7" w:rsidRPr="00B52F99">
        <w:rPr>
          <w:color w:val="000000" w:themeColor="text1"/>
        </w:rPr>
        <w:t xml:space="preserve">the steroid hormone </w:t>
      </w:r>
      <w:r w:rsidR="006C4769" w:rsidRPr="00B52F99">
        <w:rPr>
          <w:color w:val="000000" w:themeColor="text1"/>
        </w:rPr>
        <w:t>oestradiol creates the main growth spurt responsible for body size changes</w:t>
      </w:r>
      <w:r w:rsidR="00BE3C5F" w:rsidRPr="00B52F99">
        <w:rPr>
          <w:color w:val="000000" w:themeColor="text1"/>
        </w:rPr>
        <w:t xml:space="preserve"> in both sexes (testosterone is converted in males)</w:t>
      </w:r>
      <w:r w:rsidR="006C4769" w:rsidRPr="00B52F99">
        <w:rPr>
          <w:color w:val="000000" w:themeColor="text1"/>
          <w:vertAlign w:val="superscript"/>
        </w:rPr>
        <w:t>1</w:t>
      </w:r>
      <w:r w:rsidR="000A7E3C" w:rsidRPr="00B52F99">
        <w:rPr>
          <w:color w:val="000000" w:themeColor="text1"/>
          <w:vertAlign w:val="superscript"/>
        </w:rPr>
        <w:t>7,18</w:t>
      </w:r>
      <w:r w:rsidR="006C4769" w:rsidRPr="00B52F99">
        <w:rPr>
          <w:color w:val="000000" w:themeColor="text1"/>
        </w:rPr>
        <w:t xml:space="preserve">. The </w:t>
      </w:r>
      <w:r w:rsidR="00504705" w:rsidRPr="00B52F99">
        <w:rPr>
          <w:color w:val="000000" w:themeColor="text1"/>
        </w:rPr>
        <w:t xml:space="preserve">change in </w:t>
      </w:r>
      <w:r w:rsidR="006C4769" w:rsidRPr="00B52F99">
        <w:rPr>
          <w:color w:val="000000" w:themeColor="text1"/>
        </w:rPr>
        <w:t xml:space="preserve">body size </w:t>
      </w:r>
      <w:r w:rsidR="00504705" w:rsidRPr="00B52F99">
        <w:rPr>
          <w:color w:val="000000" w:themeColor="text1"/>
        </w:rPr>
        <w:t xml:space="preserve">is </w:t>
      </w:r>
      <w:r w:rsidR="006C4769" w:rsidRPr="00B52F99">
        <w:rPr>
          <w:color w:val="000000" w:themeColor="text1"/>
        </w:rPr>
        <w:t xml:space="preserve">mediated </w:t>
      </w:r>
      <w:r w:rsidR="00FC31E4" w:rsidRPr="00B52F99">
        <w:rPr>
          <w:color w:val="000000" w:themeColor="text1"/>
        </w:rPr>
        <w:t>via the hypothalamic-pituitary-gonadal axis</w:t>
      </w:r>
      <w:r w:rsidR="004B138A" w:rsidRPr="00B52F99">
        <w:rPr>
          <w:color w:val="000000" w:themeColor="text1"/>
          <w:vertAlign w:val="superscript"/>
        </w:rPr>
        <w:t>1</w:t>
      </w:r>
      <w:r w:rsidR="000A7E3C" w:rsidRPr="00B52F99">
        <w:rPr>
          <w:color w:val="000000" w:themeColor="text1"/>
          <w:vertAlign w:val="superscript"/>
        </w:rPr>
        <w:t>7,18</w:t>
      </w:r>
      <w:r w:rsidR="00834B60" w:rsidRPr="00B52F99">
        <w:rPr>
          <w:color w:val="000000" w:themeColor="text1"/>
        </w:rPr>
        <w:t>.</w:t>
      </w:r>
      <w:r w:rsidR="00FC31E4" w:rsidRPr="00B52F99">
        <w:rPr>
          <w:color w:val="000000" w:themeColor="text1"/>
        </w:rPr>
        <w:t xml:space="preserve"> </w:t>
      </w:r>
    </w:p>
    <w:p w14:paraId="0D7A7629" w14:textId="353AF120" w:rsidR="00544D58" w:rsidRPr="00B52F99" w:rsidRDefault="00544D58" w:rsidP="005D0197">
      <w:pPr>
        <w:spacing w:line="360" w:lineRule="auto"/>
        <w:jc w:val="both"/>
        <w:rPr>
          <w:color w:val="000000" w:themeColor="text1"/>
          <w:sz w:val="12"/>
          <w:szCs w:val="12"/>
        </w:rPr>
      </w:pPr>
    </w:p>
    <w:p w14:paraId="4693F56B" w14:textId="49F92AAA" w:rsidR="00E2339B" w:rsidRPr="00B52F99" w:rsidRDefault="00E2339B" w:rsidP="005D0197">
      <w:pPr>
        <w:spacing w:line="360" w:lineRule="auto"/>
        <w:jc w:val="both"/>
        <w:rPr>
          <w:color w:val="000000" w:themeColor="text1"/>
        </w:rPr>
      </w:pPr>
      <w:r w:rsidRPr="00B52F99">
        <w:rPr>
          <w:color w:val="000000" w:themeColor="text1"/>
          <w:shd w:val="clear" w:color="auto" w:fill="FFFFFF"/>
          <w:lang w:val="en-US" w:eastAsia="en-US"/>
        </w:rPr>
        <w:t xml:space="preserve">Life on earth is regulated by biological rhythms. Some </w:t>
      </w:r>
      <w:r w:rsidR="002C0DB4" w:rsidRPr="00B52F99">
        <w:rPr>
          <w:color w:val="000000" w:themeColor="text1"/>
          <w:shd w:val="clear" w:color="auto" w:fill="FFFFFF"/>
          <w:lang w:val="en-US" w:eastAsia="en-US"/>
        </w:rPr>
        <w:t xml:space="preserve">are </w:t>
      </w:r>
      <w:r w:rsidRPr="00B52F99">
        <w:rPr>
          <w:color w:val="000000" w:themeColor="text1"/>
          <w:shd w:val="clear" w:color="auto" w:fill="FFFFFF"/>
          <w:lang w:val="en-US" w:eastAsia="en-US"/>
        </w:rPr>
        <w:t xml:space="preserve">daily </w:t>
      </w:r>
      <w:r w:rsidR="002C0DB4" w:rsidRPr="00B52F99">
        <w:rPr>
          <w:color w:val="000000" w:themeColor="text1"/>
          <w:shd w:val="clear" w:color="auto" w:fill="FFFFFF"/>
          <w:lang w:val="en-US" w:eastAsia="en-US"/>
        </w:rPr>
        <w:t>rhythms</w:t>
      </w:r>
      <w:r w:rsidRPr="00B52F99">
        <w:rPr>
          <w:color w:val="000000" w:themeColor="text1"/>
          <w:shd w:val="clear" w:color="auto" w:fill="FFFFFF"/>
          <w:lang w:val="en-US"/>
        </w:rPr>
        <w:t xml:space="preserve"> linked to</w:t>
      </w:r>
      <w:r w:rsidRPr="00B52F99">
        <w:rPr>
          <w:color w:val="000000" w:themeColor="text1"/>
          <w:shd w:val="clear" w:color="auto" w:fill="FFFFFF"/>
          <w:lang w:val="en-US" w:eastAsia="en-US"/>
        </w:rPr>
        <w:t xml:space="preserve"> the light-related circadian cycle</w:t>
      </w:r>
      <w:r w:rsidR="00EB7E4D" w:rsidRPr="00B52F99">
        <w:rPr>
          <w:color w:val="000000" w:themeColor="text1"/>
          <w:shd w:val="clear" w:color="auto" w:fill="FFFFFF"/>
          <w:vertAlign w:val="superscript"/>
          <w:lang w:val="en-US" w:eastAsia="en-US"/>
        </w:rPr>
        <w:t>19,20</w:t>
      </w:r>
      <w:r w:rsidRPr="00B52F99">
        <w:rPr>
          <w:color w:val="000000" w:themeColor="text1"/>
          <w:shd w:val="clear" w:color="auto" w:fill="FFFFFF"/>
          <w:lang w:val="en-US" w:eastAsia="en-US"/>
        </w:rPr>
        <w:t xml:space="preserve">. Others </w:t>
      </w:r>
      <w:r w:rsidR="00A77D82" w:rsidRPr="00B52F99">
        <w:rPr>
          <w:color w:val="000000" w:themeColor="text1"/>
          <w:shd w:val="clear" w:color="auto" w:fill="FFFFFF"/>
          <w:lang w:val="en-US" w:eastAsia="en-US"/>
        </w:rPr>
        <w:t xml:space="preserve">are </w:t>
      </w:r>
      <w:r w:rsidRPr="00B52F99">
        <w:rPr>
          <w:color w:val="000000" w:themeColor="text1"/>
          <w:shd w:val="clear" w:color="auto" w:fill="FFFFFF"/>
          <w:lang w:val="en-US" w:eastAsia="en-US"/>
        </w:rPr>
        <w:t xml:space="preserve">longer </w:t>
      </w:r>
      <w:r w:rsidR="007F1303" w:rsidRPr="00B52F99">
        <w:rPr>
          <w:color w:val="000000" w:themeColor="text1"/>
          <w:shd w:val="clear" w:color="auto" w:fill="FFFFFF"/>
          <w:lang w:val="en-US" w:eastAsia="en-US"/>
        </w:rPr>
        <w:t xml:space="preserve">than 24-hours </w:t>
      </w:r>
      <w:r w:rsidR="0039782B" w:rsidRPr="00B52F99">
        <w:rPr>
          <w:color w:val="000000" w:themeColor="text1"/>
          <w:shd w:val="clear" w:color="auto" w:fill="FFFFFF"/>
          <w:lang w:val="en-US"/>
        </w:rPr>
        <w:t>with</w:t>
      </w:r>
      <w:r w:rsidR="002C0DB4" w:rsidRPr="00B52F99">
        <w:rPr>
          <w:color w:val="000000" w:themeColor="text1"/>
          <w:shd w:val="clear" w:color="auto" w:fill="FFFFFF"/>
          <w:lang w:val="en-US"/>
        </w:rPr>
        <w:t xml:space="preserve"> an</w:t>
      </w:r>
      <w:r w:rsidRPr="00B52F99">
        <w:rPr>
          <w:color w:val="000000" w:themeColor="text1"/>
          <w:shd w:val="clear" w:color="auto" w:fill="FFFFFF"/>
          <w:lang w:val="en-US"/>
        </w:rPr>
        <w:t xml:space="preserve"> </w:t>
      </w:r>
      <w:proofErr w:type="spellStart"/>
      <w:r w:rsidRPr="00B52F99">
        <w:rPr>
          <w:color w:val="000000" w:themeColor="text1"/>
        </w:rPr>
        <w:t>infradian</w:t>
      </w:r>
      <w:proofErr w:type="spellEnd"/>
      <w:r w:rsidRPr="00B52F99">
        <w:rPr>
          <w:color w:val="000000" w:themeColor="text1"/>
        </w:rPr>
        <w:t xml:space="preserve"> cycle. </w:t>
      </w:r>
      <w:r w:rsidR="00AA2596" w:rsidRPr="00B52F99">
        <w:rPr>
          <w:color w:val="000000" w:themeColor="text1"/>
        </w:rPr>
        <w:t>Evidence of</w:t>
      </w:r>
      <w:r w:rsidR="00D537CD" w:rsidRPr="00B52F99">
        <w:rPr>
          <w:color w:val="000000" w:themeColor="text1"/>
        </w:rPr>
        <w:t xml:space="preserve"> </w:t>
      </w:r>
      <w:proofErr w:type="spellStart"/>
      <w:r w:rsidR="00AA2596" w:rsidRPr="00B52F99">
        <w:rPr>
          <w:color w:val="000000" w:themeColor="text1"/>
        </w:rPr>
        <w:t>i</w:t>
      </w:r>
      <w:r w:rsidRPr="00B52F99">
        <w:rPr>
          <w:color w:val="000000" w:themeColor="text1"/>
        </w:rPr>
        <w:t>nfradian</w:t>
      </w:r>
      <w:proofErr w:type="spellEnd"/>
      <w:r w:rsidR="00173DF3" w:rsidRPr="00B52F99">
        <w:rPr>
          <w:color w:val="000000" w:themeColor="text1"/>
        </w:rPr>
        <w:t xml:space="preserve"> cycle</w:t>
      </w:r>
      <w:r w:rsidR="00D537CD" w:rsidRPr="00B52F99">
        <w:rPr>
          <w:color w:val="000000" w:themeColor="text1"/>
        </w:rPr>
        <w:t xml:space="preserve"> </w:t>
      </w:r>
      <w:r w:rsidR="0039782B" w:rsidRPr="00B52F99">
        <w:rPr>
          <w:color w:val="000000" w:themeColor="text1"/>
        </w:rPr>
        <w:t>is</w:t>
      </w:r>
      <w:r w:rsidR="00D537CD" w:rsidRPr="00B52F99">
        <w:rPr>
          <w:color w:val="000000" w:themeColor="text1"/>
        </w:rPr>
        <w:t xml:space="preserve"> </w:t>
      </w:r>
      <w:r w:rsidRPr="00B52F99">
        <w:rPr>
          <w:color w:val="000000" w:themeColor="text1"/>
        </w:rPr>
        <w:t xml:space="preserve">present in a range of organisms </w:t>
      </w:r>
      <w:r w:rsidR="00AA2596" w:rsidRPr="00B52F99">
        <w:rPr>
          <w:color w:val="000000" w:themeColor="text1"/>
        </w:rPr>
        <w:t>(</w:t>
      </w:r>
      <w:r w:rsidR="004C7653" w:rsidRPr="00B52F99">
        <w:rPr>
          <w:color w:val="000000" w:themeColor="text1"/>
        </w:rPr>
        <w:t>such as</w:t>
      </w:r>
      <w:r w:rsidR="00AA2596" w:rsidRPr="00B52F99">
        <w:rPr>
          <w:color w:val="000000" w:themeColor="text1"/>
        </w:rPr>
        <w:t xml:space="preserve"> tree rings) </w:t>
      </w:r>
      <w:r w:rsidRPr="00B52F99">
        <w:rPr>
          <w:color w:val="000000" w:themeColor="text1"/>
        </w:rPr>
        <w:t xml:space="preserve">and </w:t>
      </w:r>
      <w:r w:rsidR="00934C13" w:rsidRPr="00B52F99">
        <w:rPr>
          <w:color w:val="000000" w:themeColor="text1"/>
        </w:rPr>
        <w:t xml:space="preserve">mammalian </w:t>
      </w:r>
      <w:r w:rsidRPr="00B52F99">
        <w:rPr>
          <w:color w:val="000000" w:themeColor="text1"/>
        </w:rPr>
        <w:t>physiological systems</w:t>
      </w:r>
      <w:r w:rsidR="00EB7E4D" w:rsidRPr="00B52F99">
        <w:rPr>
          <w:color w:val="000000" w:themeColor="text1"/>
          <w:vertAlign w:val="superscript"/>
        </w:rPr>
        <w:t>20-2</w:t>
      </w:r>
      <w:r w:rsidR="00DB36FB" w:rsidRPr="00B52F99">
        <w:rPr>
          <w:color w:val="000000" w:themeColor="text1"/>
          <w:vertAlign w:val="superscript"/>
        </w:rPr>
        <w:t>3</w:t>
      </w:r>
      <w:r w:rsidRPr="00B52F99">
        <w:rPr>
          <w:color w:val="000000" w:themeColor="text1"/>
        </w:rPr>
        <w:t xml:space="preserve">. For humans, a near seven-day </w:t>
      </w:r>
      <w:r w:rsidR="002C0DB4" w:rsidRPr="00B52F99">
        <w:rPr>
          <w:color w:val="000000" w:themeColor="text1"/>
        </w:rPr>
        <w:t>rhythm</w:t>
      </w:r>
      <w:r w:rsidRPr="00B52F99">
        <w:rPr>
          <w:color w:val="000000" w:themeColor="text1"/>
        </w:rPr>
        <w:t xml:space="preserve"> has been identified in adult heart rate, core body temperature, excretion of metabolites and salt, and blood pressure during pregnancy</w:t>
      </w:r>
      <w:r w:rsidR="00B10836" w:rsidRPr="00B52F99">
        <w:rPr>
          <w:color w:val="000000" w:themeColor="text1"/>
          <w:vertAlign w:val="superscript"/>
        </w:rPr>
        <w:t>2</w:t>
      </w:r>
      <w:r w:rsidR="00DB36FB" w:rsidRPr="00B52F99">
        <w:rPr>
          <w:color w:val="000000" w:themeColor="text1"/>
          <w:vertAlign w:val="superscript"/>
        </w:rPr>
        <w:t>4</w:t>
      </w:r>
      <w:r w:rsidR="00B10836" w:rsidRPr="00B52F99">
        <w:rPr>
          <w:color w:val="000000" w:themeColor="text1"/>
          <w:vertAlign w:val="superscript"/>
        </w:rPr>
        <w:t>-</w:t>
      </w:r>
      <w:r w:rsidR="00DB36FB" w:rsidRPr="00B52F99">
        <w:rPr>
          <w:color w:val="000000" w:themeColor="text1"/>
          <w:vertAlign w:val="superscript"/>
        </w:rPr>
        <w:t>29</w:t>
      </w:r>
      <w:r w:rsidRPr="00B52F99">
        <w:rPr>
          <w:color w:val="000000" w:themeColor="text1"/>
        </w:rPr>
        <w:t>.</w:t>
      </w:r>
    </w:p>
    <w:p w14:paraId="607E0A95" w14:textId="77777777" w:rsidR="002856B8" w:rsidRPr="00B52F99" w:rsidRDefault="002856B8" w:rsidP="005D0197">
      <w:pPr>
        <w:spacing w:line="360" w:lineRule="auto"/>
        <w:jc w:val="both"/>
        <w:rPr>
          <w:color w:val="000000" w:themeColor="text1"/>
          <w:sz w:val="12"/>
          <w:szCs w:val="12"/>
        </w:rPr>
      </w:pPr>
    </w:p>
    <w:p w14:paraId="0ADB3D1F" w14:textId="50682F7E" w:rsidR="00282E0C" w:rsidRPr="00B52F99" w:rsidRDefault="00330DE3" w:rsidP="005D0197">
      <w:pPr>
        <w:spacing w:line="360" w:lineRule="auto"/>
        <w:jc w:val="both"/>
        <w:rPr>
          <w:color w:val="000000" w:themeColor="text1"/>
        </w:rPr>
      </w:pPr>
      <w:r w:rsidRPr="00B52F99">
        <w:rPr>
          <w:color w:val="000000" w:themeColor="text1"/>
        </w:rPr>
        <w:t>A</w:t>
      </w:r>
      <w:r w:rsidR="00C534A2" w:rsidRPr="00B52F99">
        <w:rPr>
          <w:color w:val="000000" w:themeColor="text1"/>
        </w:rPr>
        <w:t>ccumulating evidence suggest</w:t>
      </w:r>
      <w:r w:rsidR="00821C8A" w:rsidRPr="00B52F99">
        <w:rPr>
          <w:color w:val="000000" w:themeColor="text1"/>
        </w:rPr>
        <w:t>s</w:t>
      </w:r>
      <w:r w:rsidR="00C534A2" w:rsidRPr="00B52F99">
        <w:rPr>
          <w:color w:val="000000" w:themeColor="text1"/>
        </w:rPr>
        <w:t xml:space="preserve"> </w:t>
      </w:r>
      <w:r w:rsidR="00A759C0" w:rsidRPr="00B52F99">
        <w:rPr>
          <w:color w:val="000000" w:themeColor="text1"/>
        </w:rPr>
        <w:t xml:space="preserve">an </w:t>
      </w:r>
      <w:proofErr w:type="spellStart"/>
      <w:r w:rsidR="00A759C0" w:rsidRPr="00B52F99">
        <w:rPr>
          <w:color w:val="000000" w:themeColor="text1"/>
        </w:rPr>
        <w:t>infradian</w:t>
      </w:r>
      <w:proofErr w:type="spellEnd"/>
      <w:r w:rsidR="00A759C0" w:rsidRPr="00B52F99">
        <w:rPr>
          <w:color w:val="000000" w:themeColor="text1"/>
        </w:rPr>
        <w:t xml:space="preserve"> </w:t>
      </w:r>
      <w:r w:rsidR="00C534A2" w:rsidRPr="00B52F99">
        <w:rPr>
          <w:color w:val="000000" w:themeColor="text1"/>
        </w:rPr>
        <w:t>biorhythm</w:t>
      </w:r>
      <w:r w:rsidRPr="00B52F99">
        <w:rPr>
          <w:color w:val="000000" w:themeColor="text1"/>
        </w:rPr>
        <w:t xml:space="preserve"> </w:t>
      </w:r>
      <w:r w:rsidR="00C534A2" w:rsidRPr="00B52F99">
        <w:rPr>
          <w:color w:val="000000" w:themeColor="text1"/>
        </w:rPr>
        <w:t xml:space="preserve">may </w:t>
      </w:r>
      <w:r w:rsidRPr="00B52F99">
        <w:rPr>
          <w:color w:val="000000" w:themeColor="text1"/>
        </w:rPr>
        <w:t xml:space="preserve">act upon the </w:t>
      </w:r>
      <w:r w:rsidR="00821C8A" w:rsidRPr="00B52F99">
        <w:rPr>
          <w:color w:val="000000" w:themeColor="text1"/>
        </w:rPr>
        <w:t xml:space="preserve">mammalian </w:t>
      </w:r>
      <w:r w:rsidRPr="00B52F99">
        <w:rPr>
          <w:color w:val="000000" w:themeColor="text1"/>
        </w:rPr>
        <w:t xml:space="preserve">hypothalamus </w:t>
      </w:r>
      <w:r w:rsidR="00C00C00" w:rsidRPr="00B52F99">
        <w:rPr>
          <w:color w:val="000000" w:themeColor="text1"/>
        </w:rPr>
        <w:t xml:space="preserve">to </w:t>
      </w:r>
      <w:r w:rsidRPr="00B52F99">
        <w:rPr>
          <w:color w:val="000000" w:themeColor="text1"/>
        </w:rPr>
        <w:t>regulat</w:t>
      </w:r>
      <w:r w:rsidR="00C00C00" w:rsidRPr="00B52F99">
        <w:rPr>
          <w:color w:val="000000" w:themeColor="text1"/>
        </w:rPr>
        <w:t>e</w:t>
      </w:r>
      <w:r w:rsidRPr="00B52F99">
        <w:rPr>
          <w:color w:val="000000" w:themeColor="text1"/>
        </w:rPr>
        <w:t xml:space="preserve"> cell growth and body mass</w:t>
      </w:r>
      <w:r w:rsidR="00B10836" w:rsidRPr="00B52F99">
        <w:rPr>
          <w:color w:val="000000" w:themeColor="text1"/>
          <w:vertAlign w:val="superscript"/>
        </w:rPr>
        <w:t>3</w:t>
      </w:r>
      <w:r w:rsidR="00DB36FB" w:rsidRPr="00B52F99">
        <w:rPr>
          <w:color w:val="000000" w:themeColor="text1"/>
          <w:vertAlign w:val="superscript"/>
        </w:rPr>
        <w:t>0</w:t>
      </w:r>
      <w:r w:rsidR="00B10836" w:rsidRPr="00B52F99">
        <w:rPr>
          <w:color w:val="000000" w:themeColor="text1"/>
          <w:vertAlign w:val="superscript"/>
        </w:rPr>
        <w:t>,3</w:t>
      </w:r>
      <w:r w:rsidR="00DB36FB" w:rsidRPr="00B52F99">
        <w:rPr>
          <w:color w:val="000000" w:themeColor="text1"/>
          <w:vertAlign w:val="superscript"/>
        </w:rPr>
        <w:t>1</w:t>
      </w:r>
      <w:r w:rsidR="00821C8A" w:rsidRPr="00B52F99">
        <w:rPr>
          <w:color w:val="000000" w:themeColor="text1"/>
        </w:rPr>
        <w:t xml:space="preserve">. </w:t>
      </w:r>
      <w:r w:rsidR="00BF4642" w:rsidRPr="00B52F99">
        <w:rPr>
          <w:color w:val="000000" w:themeColor="text1"/>
        </w:rPr>
        <w:t>M</w:t>
      </w:r>
      <w:r w:rsidR="009D338F" w:rsidRPr="00B52F99">
        <w:rPr>
          <w:color w:val="000000" w:themeColor="text1"/>
        </w:rPr>
        <w:t xml:space="preserve">icroscopic-layered structures </w:t>
      </w:r>
      <w:r w:rsidR="00544D58" w:rsidRPr="00B52F99">
        <w:rPr>
          <w:color w:val="000000" w:themeColor="text1"/>
        </w:rPr>
        <w:t>of</w:t>
      </w:r>
      <w:r w:rsidR="009D338F" w:rsidRPr="00B52F99">
        <w:rPr>
          <w:color w:val="000000" w:themeColor="text1"/>
        </w:rPr>
        <w:t xml:space="preserve"> </w:t>
      </w:r>
      <w:r w:rsidR="00544D58" w:rsidRPr="00B52F99">
        <w:rPr>
          <w:color w:val="000000" w:themeColor="text1"/>
        </w:rPr>
        <w:t>mammalian</w:t>
      </w:r>
      <w:r w:rsidR="00CF3385" w:rsidRPr="00B52F99">
        <w:rPr>
          <w:color w:val="000000" w:themeColor="text1"/>
        </w:rPr>
        <w:t xml:space="preserve"> </w:t>
      </w:r>
      <w:r w:rsidR="009D338F" w:rsidRPr="00B52F99">
        <w:rPr>
          <w:color w:val="000000" w:themeColor="text1"/>
        </w:rPr>
        <w:t>teeth</w:t>
      </w:r>
      <w:r w:rsidR="00BF4642" w:rsidRPr="00B52F99">
        <w:rPr>
          <w:color w:val="000000" w:themeColor="text1"/>
        </w:rPr>
        <w:t xml:space="preserve"> retain evidence of</w:t>
      </w:r>
      <w:r w:rsidR="0066354F" w:rsidRPr="00B52F99">
        <w:rPr>
          <w:color w:val="000000" w:themeColor="text1"/>
        </w:rPr>
        <w:t xml:space="preserve"> </w:t>
      </w:r>
      <w:r w:rsidR="00EC6487" w:rsidRPr="00B52F99">
        <w:rPr>
          <w:color w:val="000000" w:themeColor="text1"/>
        </w:rPr>
        <w:t>th</w:t>
      </w:r>
      <w:r w:rsidR="00A4530D" w:rsidRPr="00B52F99">
        <w:rPr>
          <w:color w:val="000000" w:themeColor="text1"/>
        </w:rPr>
        <w:t>is</w:t>
      </w:r>
      <w:r w:rsidR="00C00C00" w:rsidRPr="00B52F99">
        <w:rPr>
          <w:color w:val="000000" w:themeColor="text1"/>
        </w:rPr>
        <w:t xml:space="preserve"> </w:t>
      </w:r>
      <w:r w:rsidR="00562B0D" w:rsidRPr="00B52F99">
        <w:rPr>
          <w:color w:val="000000" w:themeColor="text1"/>
        </w:rPr>
        <w:t>rhythm</w:t>
      </w:r>
      <w:r w:rsidR="0066354F" w:rsidRPr="00B52F99">
        <w:rPr>
          <w:color w:val="000000" w:themeColor="text1"/>
        </w:rPr>
        <w:t xml:space="preserve">. </w:t>
      </w:r>
      <w:r w:rsidR="00530BBF" w:rsidRPr="00B52F99">
        <w:rPr>
          <w:color w:val="000000" w:themeColor="text1"/>
        </w:rPr>
        <w:t xml:space="preserve">In </w:t>
      </w:r>
      <w:r w:rsidR="00AA7679" w:rsidRPr="00B52F99">
        <w:rPr>
          <w:color w:val="000000" w:themeColor="text1"/>
        </w:rPr>
        <w:t>human</w:t>
      </w:r>
      <w:r w:rsidR="00530BBF" w:rsidRPr="00B52F99">
        <w:rPr>
          <w:color w:val="000000" w:themeColor="text1"/>
        </w:rPr>
        <w:t xml:space="preserve"> tooth enamel, t</w:t>
      </w:r>
      <w:r w:rsidR="00944A2C" w:rsidRPr="00B52F99">
        <w:rPr>
          <w:color w:val="000000" w:themeColor="text1"/>
        </w:rPr>
        <w:t xml:space="preserve">he </w:t>
      </w:r>
      <w:r w:rsidR="0066354F" w:rsidRPr="00B52F99">
        <w:rPr>
          <w:color w:val="000000" w:themeColor="text1"/>
        </w:rPr>
        <w:t xml:space="preserve">rhythm is </w:t>
      </w:r>
      <w:r w:rsidR="00D40F15" w:rsidRPr="00B52F99">
        <w:rPr>
          <w:color w:val="000000" w:themeColor="text1"/>
        </w:rPr>
        <w:t xml:space="preserve">referred </w:t>
      </w:r>
      <w:r w:rsidR="00944A2C" w:rsidRPr="00B52F99">
        <w:rPr>
          <w:color w:val="000000" w:themeColor="text1"/>
        </w:rPr>
        <w:t>to</w:t>
      </w:r>
      <w:r w:rsidR="00D40F15" w:rsidRPr="00B52F99">
        <w:rPr>
          <w:color w:val="000000" w:themeColor="text1"/>
        </w:rPr>
        <w:t xml:space="preserve"> as</w:t>
      </w:r>
      <w:r w:rsidR="009D4660" w:rsidRPr="00B52F99">
        <w:rPr>
          <w:color w:val="000000" w:themeColor="text1"/>
        </w:rPr>
        <w:t xml:space="preserve"> </w:t>
      </w:r>
      <w:proofErr w:type="spellStart"/>
      <w:r w:rsidR="00D40F15" w:rsidRPr="00B52F99">
        <w:rPr>
          <w:color w:val="000000" w:themeColor="text1"/>
        </w:rPr>
        <w:t>Retzius</w:t>
      </w:r>
      <w:proofErr w:type="spellEnd"/>
      <w:r w:rsidR="00D40F15" w:rsidRPr="00B52F99">
        <w:rPr>
          <w:color w:val="000000" w:themeColor="text1"/>
        </w:rPr>
        <w:t xml:space="preserve"> periodicity (RP)</w:t>
      </w:r>
      <w:r w:rsidR="00F4490D" w:rsidRPr="00B52F99">
        <w:rPr>
          <w:color w:val="000000" w:themeColor="text1"/>
          <w:vertAlign w:val="superscript"/>
        </w:rPr>
        <w:t>3</w:t>
      </w:r>
      <w:r w:rsidR="00DB36FB" w:rsidRPr="00B52F99">
        <w:rPr>
          <w:color w:val="000000" w:themeColor="text1"/>
          <w:vertAlign w:val="superscript"/>
        </w:rPr>
        <w:t>2</w:t>
      </w:r>
      <w:r w:rsidR="006D5C1F" w:rsidRPr="00B52F99">
        <w:rPr>
          <w:color w:val="000000" w:themeColor="text1"/>
        </w:rPr>
        <w:t xml:space="preserve"> (</w:t>
      </w:r>
      <w:r w:rsidR="006D5C1F" w:rsidRPr="00B52F99">
        <w:rPr>
          <w:b/>
          <w:bCs/>
          <w:color w:val="000000" w:themeColor="text1"/>
        </w:rPr>
        <w:t>Fig. 1</w:t>
      </w:r>
      <w:r w:rsidR="006D5C1F" w:rsidRPr="00B52F99">
        <w:rPr>
          <w:color w:val="000000" w:themeColor="text1"/>
        </w:rPr>
        <w:t>)</w:t>
      </w:r>
      <w:r w:rsidR="00282E0C" w:rsidRPr="00B52F99">
        <w:rPr>
          <w:color w:val="000000" w:themeColor="text1"/>
        </w:rPr>
        <w:t xml:space="preserve">. RP forms through a circadian-like process, occurring </w:t>
      </w:r>
      <w:r w:rsidR="00821C8A" w:rsidRPr="00B52F99">
        <w:rPr>
          <w:color w:val="000000" w:themeColor="text1"/>
        </w:rPr>
        <w:t>with</w:t>
      </w:r>
      <w:r w:rsidR="00282E0C" w:rsidRPr="00B52F99">
        <w:rPr>
          <w:color w:val="000000" w:themeColor="text1"/>
        </w:rPr>
        <w:t xml:space="preserve"> a repeat interval that can be measured through histology </w:t>
      </w:r>
      <w:r w:rsidR="006179EC" w:rsidRPr="00B52F99">
        <w:rPr>
          <w:color w:val="000000" w:themeColor="text1"/>
        </w:rPr>
        <w:t xml:space="preserve">with </w:t>
      </w:r>
      <w:r w:rsidR="00282E0C" w:rsidRPr="00B52F99">
        <w:rPr>
          <w:color w:val="000000" w:themeColor="text1"/>
        </w:rPr>
        <w:t xml:space="preserve">a resolution of days. </w:t>
      </w:r>
      <w:r w:rsidR="007C5904" w:rsidRPr="00B52F99">
        <w:rPr>
          <w:color w:val="000000" w:themeColor="text1"/>
        </w:rPr>
        <w:t xml:space="preserve">The rhythm is </w:t>
      </w:r>
      <w:r w:rsidR="00DC5BC7" w:rsidRPr="00B52F99">
        <w:rPr>
          <w:color w:val="000000" w:themeColor="text1"/>
        </w:rPr>
        <w:t>consistent</w:t>
      </w:r>
      <w:r w:rsidR="007C5904" w:rsidRPr="00B52F99">
        <w:rPr>
          <w:color w:val="000000" w:themeColor="text1"/>
        </w:rPr>
        <w:t xml:space="preserve"> </w:t>
      </w:r>
      <w:r w:rsidR="00286F3B" w:rsidRPr="00B52F99">
        <w:rPr>
          <w:color w:val="000000" w:themeColor="text1"/>
        </w:rPr>
        <w:t xml:space="preserve">within </w:t>
      </w:r>
      <w:r w:rsidR="00E45B7E" w:rsidRPr="00B52F99">
        <w:rPr>
          <w:color w:val="000000" w:themeColor="text1"/>
        </w:rPr>
        <w:t xml:space="preserve">the </w:t>
      </w:r>
      <w:r w:rsidR="00D24908" w:rsidRPr="00B52F99">
        <w:rPr>
          <w:color w:val="000000" w:themeColor="text1"/>
        </w:rPr>
        <w:t xml:space="preserve">permanent </w:t>
      </w:r>
      <w:r w:rsidR="00E45B7E" w:rsidRPr="00B52F99">
        <w:rPr>
          <w:color w:val="000000" w:themeColor="text1"/>
        </w:rPr>
        <w:t>molars of individuals</w:t>
      </w:r>
      <w:r w:rsidR="00F4490D" w:rsidRPr="00B52F99">
        <w:rPr>
          <w:color w:val="000000" w:themeColor="text1"/>
          <w:vertAlign w:val="superscript"/>
        </w:rPr>
        <w:t>3</w:t>
      </w:r>
      <w:r w:rsidR="00DB36FB" w:rsidRPr="00B52F99">
        <w:rPr>
          <w:color w:val="000000" w:themeColor="text1"/>
          <w:vertAlign w:val="superscript"/>
        </w:rPr>
        <w:t>3</w:t>
      </w:r>
      <w:r w:rsidR="000A7E3C" w:rsidRPr="00B52F99">
        <w:rPr>
          <w:color w:val="000000" w:themeColor="text1"/>
          <w:vertAlign w:val="superscript"/>
        </w:rPr>
        <w:t>,</w:t>
      </w:r>
      <w:r w:rsidR="00F4490D" w:rsidRPr="00B52F99">
        <w:rPr>
          <w:color w:val="000000" w:themeColor="text1"/>
          <w:vertAlign w:val="superscript"/>
        </w:rPr>
        <w:t>3</w:t>
      </w:r>
      <w:r w:rsidR="00DB36FB" w:rsidRPr="00B52F99">
        <w:rPr>
          <w:color w:val="000000" w:themeColor="text1"/>
          <w:vertAlign w:val="superscript"/>
        </w:rPr>
        <w:t>4</w:t>
      </w:r>
      <w:r w:rsidR="00AA7679" w:rsidRPr="00B52F99">
        <w:rPr>
          <w:color w:val="000000" w:themeColor="text1"/>
        </w:rPr>
        <w:t xml:space="preserve"> </w:t>
      </w:r>
      <w:r w:rsidR="006367E3" w:rsidRPr="00B52F99">
        <w:rPr>
          <w:color w:val="000000" w:themeColor="text1"/>
        </w:rPr>
        <w:t>that do not retain evidence of developmental stress</w:t>
      </w:r>
      <w:r w:rsidR="00F4490D" w:rsidRPr="00B52F99">
        <w:rPr>
          <w:color w:val="000000" w:themeColor="text1"/>
          <w:vertAlign w:val="superscript"/>
        </w:rPr>
        <w:t>3</w:t>
      </w:r>
      <w:r w:rsidR="00137F51" w:rsidRPr="00B52F99">
        <w:rPr>
          <w:color w:val="000000" w:themeColor="text1"/>
          <w:vertAlign w:val="superscript"/>
        </w:rPr>
        <w:t>5</w:t>
      </w:r>
      <w:r w:rsidR="006367E3" w:rsidRPr="00B52F99">
        <w:rPr>
          <w:color w:val="000000" w:themeColor="text1"/>
        </w:rPr>
        <w:t xml:space="preserve">. RP </w:t>
      </w:r>
      <w:r w:rsidR="00AA7679" w:rsidRPr="00B52F99">
        <w:rPr>
          <w:color w:val="000000" w:themeColor="text1"/>
        </w:rPr>
        <w:t>relates to</w:t>
      </w:r>
      <w:r w:rsidR="007C5904" w:rsidRPr="00B52F99">
        <w:rPr>
          <w:color w:val="000000" w:themeColor="text1"/>
        </w:rPr>
        <w:t xml:space="preserve"> the </w:t>
      </w:r>
      <w:r w:rsidR="008920EB" w:rsidRPr="00B52F99">
        <w:rPr>
          <w:color w:val="000000" w:themeColor="text1"/>
        </w:rPr>
        <w:t xml:space="preserve">period in which </w:t>
      </w:r>
      <w:r w:rsidR="00AA7679" w:rsidRPr="00B52F99">
        <w:rPr>
          <w:color w:val="000000" w:themeColor="text1"/>
        </w:rPr>
        <w:t>tooth</w:t>
      </w:r>
      <w:r w:rsidR="008920EB" w:rsidRPr="00B52F99">
        <w:rPr>
          <w:color w:val="000000" w:themeColor="text1"/>
        </w:rPr>
        <w:t xml:space="preserve"> </w:t>
      </w:r>
      <w:r w:rsidR="00504705" w:rsidRPr="00B52F99">
        <w:rPr>
          <w:color w:val="000000" w:themeColor="text1"/>
        </w:rPr>
        <w:t xml:space="preserve">enamel </w:t>
      </w:r>
      <w:r w:rsidR="008920EB" w:rsidRPr="00B52F99">
        <w:rPr>
          <w:color w:val="000000" w:themeColor="text1"/>
        </w:rPr>
        <w:t xml:space="preserve">forms. </w:t>
      </w:r>
      <w:r w:rsidR="0089526D" w:rsidRPr="00B52F99">
        <w:rPr>
          <w:color w:val="000000" w:themeColor="text1"/>
        </w:rPr>
        <w:t>For human primary molars</w:t>
      </w:r>
      <w:r w:rsidR="00D501B0" w:rsidRPr="00B52F99">
        <w:rPr>
          <w:color w:val="000000" w:themeColor="text1"/>
        </w:rPr>
        <w:t>,</w:t>
      </w:r>
      <w:r w:rsidR="0089526D" w:rsidRPr="00B52F99">
        <w:rPr>
          <w:color w:val="000000" w:themeColor="text1"/>
        </w:rPr>
        <w:t xml:space="preserve"> this is the two-year period following birth</w:t>
      </w:r>
      <w:r w:rsidR="00F4490D" w:rsidRPr="00B52F99">
        <w:rPr>
          <w:color w:val="000000" w:themeColor="text1"/>
          <w:vertAlign w:val="superscript"/>
        </w:rPr>
        <w:t>3</w:t>
      </w:r>
      <w:r w:rsidR="00137F51" w:rsidRPr="00B52F99">
        <w:rPr>
          <w:color w:val="000000" w:themeColor="text1"/>
          <w:vertAlign w:val="superscript"/>
        </w:rPr>
        <w:t>6</w:t>
      </w:r>
      <w:r w:rsidR="0089526D" w:rsidRPr="00B52F99">
        <w:rPr>
          <w:color w:val="000000" w:themeColor="text1"/>
        </w:rPr>
        <w:t xml:space="preserve">. </w:t>
      </w:r>
      <w:r w:rsidR="00D250F8" w:rsidRPr="00B52F99">
        <w:rPr>
          <w:color w:val="000000" w:themeColor="text1"/>
        </w:rPr>
        <w:t>The</w:t>
      </w:r>
      <w:r w:rsidR="00504705" w:rsidRPr="00B52F99">
        <w:rPr>
          <w:color w:val="000000" w:themeColor="text1"/>
        </w:rPr>
        <w:t xml:space="preserve"> </w:t>
      </w:r>
      <w:r w:rsidR="00D250F8" w:rsidRPr="00B52F99">
        <w:rPr>
          <w:color w:val="000000" w:themeColor="text1"/>
        </w:rPr>
        <w:t xml:space="preserve">human </w:t>
      </w:r>
      <w:r w:rsidR="00504705" w:rsidRPr="00B52F99">
        <w:rPr>
          <w:color w:val="000000" w:themeColor="text1"/>
        </w:rPr>
        <w:t xml:space="preserve">modal </w:t>
      </w:r>
      <w:r w:rsidR="00AA7679" w:rsidRPr="00B52F99">
        <w:rPr>
          <w:color w:val="000000" w:themeColor="text1"/>
        </w:rPr>
        <w:t xml:space="preserve">RP </w:t>
      </w:r>
      <w:r w:rsidR="00D250F8" w:rsidRPr="00B52F99">
        <w:rPr>
          <w:color w:val="000000" w:themeColor="text1"/>
        </w:rPr>
        <w:t>has</w:t>
      </w:r>
      <w:r w:rsidR="0039782B" w:rsidRPr="00B52F99">
        <w:rPr>
          <w:color w:val="000000" w:themeColor="text1"/>
        </w:rPr>
        <w:t xml:space="preserve"> a</w:t>
      </w:r>
      <w:r w:rsidR="00D250F8" w:rsidRPr="00B52F99">
        <w:rPr>
          <w:color w:val="000000" w:themeColor="text1"/>
        </w:rPr>
        <w:t xml:space="preserve"> near</w:t>
      </w:r>
      <w:r w:rsidR="000F5D32" w:rsidRPr="00B52F99">
        <w:rPr>
          <w:color w:val="000000" w:themeColor="text1"/>
        </w:rPr>
        <w:t xml:space="preserve"> </w:t>
      </w:r>
      <w:r w:rsidR="00D250F8" w:rsidRPr="00B52F99">
        <w:rPr>
          <w:color w:val="000000" w:themeColor="text1"/>
        </w:rPr>
        <w:t>seven</w:t>
      </w:r>
      <w:r w:rsidR="000F5D32" w:rsidRPr="00B52F99">
        <w:rPr>
          <w:color w:val="000000" w:themeColor="text1"/>
        </w:rPr>
        <w:t>-</w:t>
      </w:r>
      <w:r w:rsidR="00D250F8" w:rsidRPr="00B52F99">
        <w:rPr>
          <w:color w:val="000000" w:themeColor="text1"/>
        </w:rPr>
        <w:t>day cycle</w:t>
      </w:r>
      <w:r w:rsidR="00F4490D" w:rsidRPr="00B52F99">
        <w:rPr>
          <w:color w:val="000000" w:themeColor="text1"/>
          <w:vertAlign w:val="superscript"/>
        </w:rPr>
        <w:t>3</w:t>
      </w:r>
      <w:r w:rsidR="00137F51" w:rsidRPr="00B52F99">
        <w:rPr>
          <w:color w:val="000000" w:themeColor="text1"/>
          <w:vertAlign w:val="superscript"/>
        </w:rPr>
        <w:t>3</w:t>
      </w:r>
      <w:r w:rsidR="00F4490D" w:rsidRPr="00B52F99">
        <w:rPr>
          <w:color w:val="000000" w:themeColor="text1"/>
          <w:vertAlign w:val="superscript"/>
        </w:rPr>
        <w:t>,3</w:t>
      </w:r>
      <w:r w:rsidR="00137F51" w:rsidRPr="00B52F99">
        <w:rPr>
          <w:color w:val="000000" w:themeColor="text1"/>
          <w:vertAlign w:val="superscript"/>
        </w:rPr>
        <w:t>4</w:t>
      </w:r>
      <w:r w:rsidR="00F4490D" w:rsidRPr="00B52F99">
        <w:rPr>
          <w:color w:val="000000" w:themeColor="text1"/>
          <w:vertAlign w:val="superscript"/>
        </w:rPr>
        <w:t>,3</w:t>
      </w:r>
      <w:r w:rsidR="00137F51" w:rsidRPr="00B52F99">
        <w:rPr>
          <w:color w:val="000000" w:themeColor="text1"/>
          <w:vertAlign w:val="superscript"/>
        </w:rPr>
        <w:t>7</w:t>
      </w:r>
      <w:r w:rsidR="00F4490D" w:rsidRPr="00B52F99">
        <w:rPr>
          <w:color w:val="000000" w:themeColor="text1"/>
          <w:vertAlign w:val="superscript"/>
        </w:rPr>
        <w:t>,</w:t>
      </w:r>
      <w:r w:rsidR="002B38A8" w:rsidRPr="00B52F99">
        <w:rPr>
          <w:color w:val="000000" w:themeColor="text1"/>
          <w:vertAlign w:val="superscript"/>
        </w:rPr>
        <w:t>3</w:t>
      </w:r>
      <w:r w:rsidR="00137F51" w:rsidRPr="00B52F99">
        <w:rPr>
          <w:color w:val="000000" w:themeColor="text1"/>
          <w:vertAlign w:val="superscript"/>
        </w:rPr>
        <w:t>8</w:t>
      </w:r>
      <w:r w:rsidR="00D250F8" w:rsidRPr="00B52F99">
        <w:rPr>
          <w:color w:val="000000" w:themeColor="text1"/>
        </w:rPr>
        <w:t xml:space="preserve"> but </w:t>
      </w:r>
      <w:r w:rsidR="00AA7679" w:rsidRPr="00B52F99">
        <w:rPr>
          <w:color w:val="000000" w:themeColor="text1"/>
        </w:rPr>
        <w:t>var</w:t>
      </w:r>
      <w:r w:rsidR="008B1290" w:rsidRPr="00B52F99">
        <w:rPr>
          <w:color w:val="000000" w:themeColor="text1"/>
        </w:rPr>
        <w:t>ies</w:t>
      </w:r>
      <w:r w:rsidR="00AA7679" w:rsidRPr="00B52F99">
        <w:rPr>
          <w:color w:val="000000" w:themeColor="text1"/>
        </w:rPr>
        <w:t xml:space="preserve"> from five to 12 days</w:t>
      </w:r>
      <w:r w:rsidR="00F4490D" w:rsidRPr="00B52F99">
        <w:rPr>
          <w:color w:val="000000" w:themeColor="text1"/>
          <w:vertAlign w:val="superscript"/>
        </w:rPr>
        <w:t>3</w:t>
      </w:r>
      <w:r w:rsidR="00137F51" w:rsidRPr="00B52F99">
        <w:rPr>
          <w:color w:val="000000" w:themeColor="text1"/>
          <w:vertAlign w:val="superscript"/>
        </w:rPr>
        <w:t>8</w:t>
      </w:r>
      <w:r w:rsidR="00F4490D" w:rsidRPr="00B52F99">
        <w:rPr>
          <w:color w:val="000000" w:themeColor="text1"/>
          <w:vertAlign w:val="superscript"/>
        </w:rPr>
        <w:t>,</w:t>
      </w:r>
      <w:r w:rsidR="00137F51" w:rsidRPr="00B52F99">
        <w:rPr>
          <w:color w:val="000000" w:themeColor="text1"/>
          <w:vertAlign w:val="superscript"/>
        </w:rPr>
        <w:t>39</w:t>
      </w:r>
      <w:r w:rsidR="00AA7679" w:rsidRPr="00B52F99">
        <w:rPr>
          <w:color w:val="000000" w:themeColor="text1"/>
        </w:rPr>
        <w:t xml:space="preserve"> when compared between individuals. </w:t>
      </w:r>
      <w:r w:rsidR="00282E0C" w:rsidRPr="00B52F99">
        <w:rPr>
          <w:color w:val="000000" w:themeColor="text1"/>
        </w:rPr>
        <w:t xml:space="preserve">Higher RP values </w:t>
      </w:r>
      <w:r w:rsidR="00A759C0" w:rsidRPr="00B52F99">
        <w:rPr>
          <w:color w:val="000000" w:themeColor="text1"/>
        </w:rPr>
        <w:t>occurring</w:t>
      </w:r>
      <w:r w:rsidR="00282E0C" w:rsidRPr="00B52F99">
        <w:rPr>
          <w:color w:val="000000" w:themeColor="text1"/>
        </w:rPr>
        <w:t xml:space="preserve"> over more days </w:t>
      </w:r>
      <w:r w:rsidR="00530BBF" w:rsidRPr="00B52F99">
        <w:rPr>
          <w:color w:val="000000" w:themeColor="text1"/>
        </w:rPr>
        <w:t>sugges</w:t>
      </w:r>
      <w:r w:rsidR="00DC5BC7" w:rsidRPr="00B52F99">
        <w:rPr>
          <w:color w:val="000000" w:themeColor="text1"/>
        </w:rPr>
        <w:t>t</w:t>
      </w:r>
      <w:r w:rsidR="00AA7679" w:rsidRPr="00B52F99">
        <w:rPr>
          <w:color w:val="000000" w:themeColor="text1"/>
        </w:rPr>
        <w:t xml:space="preserve"> </w:t>
      </w:r>
      <w:r w:rsidR="006367E3" w:rsidRPr="00B52F99">
        <w:rPr>
          <w:color w:val="000000" w:themeColor="text1"/>
        </w:rPr>
        <w:t xml:space="preserve">a slow </w:t>
      </w:r>
      <w:r w:rsidR="00530BBF" w:rsidRPr="00B52F99">
        <w:rPr>
          <w:color w:val="000000" w:themeColor="text1"/>
        </w:rPr>
        <w:t>underlying</w:t>
      </w:r>
      <w:r w:rsidR="00282E0C" w:rsidRPr="00B52F99">
        <w:rPr>
          <w:color w:val="000000" w:themeColor="text1"/>
        </w:rPr>
        <w:t xml:space="preserve"> biorhythm. Lower RP values</w:t>
      </w:r>
      <w:r w:rsidR="00AA7679" w:rsidRPr="00B52F99">
        <w:rPr>
          <w:color w:val="000000" w:themeColor="text1"/>
        </w:rPr>
        <w:t xml:space="preserve"> </w:t>
      </w:r>
      <w:r w:rsidR="00E679E7" w:rsidRPr="00B52F99">
        <w:rPr>
          <w:color w:val="000000" w:themeColor="text1"/>
        </w:rPr>
        <w:t xml:space="preserve">suggest </w:t>
      </w:r>
      <w:r w:rsidR="00282E0C" w:rsidRPr="00B52F99">
        <w:rPr>
          <w:color w:val="000000" w:themeColor="text1"/>
        </w:rPr>
        <w:t>a faster biorhythm.</w:t>
      </w:r>
      <w:r w:rsidR="00F76BD2" w:rsidRPr="00B52F99">
        <w:rPr>
          <w:color w:val="000000" w:themeColor="text1"/>
        </w:rPr>
        <w:t xml:space="preserve"> </w:t>
      </w:r>
    </w:p>
    <w:p w14:paraId="68C6206D" w14:textId="5EB553AE" w:rsidR="00282E0C" w:rsidRPr="00B52F99" w:rsidRDefault="00282E0C" w:rsidP="005D0197">
      <w:pPr>
        <w:spacing w:line="360" w:lineRule="auto"/>
        <w:jc w:val="both"/>
        <w:rPr>
          <w:color w:val="000000" w:themeColor="text1"/>
          <w:sz w:val="12"/>
          <w:szCs w:val="12"/>
        </w:rPr>
      </w:pPr>
    </w:p>
    <w:p w14:paraId="43D90751" w14:textId="08660D27" w:rsidR="006873F8" w:rsidRPr="00B52F99" w:rsidRDefault="00541CCC" w:rsidP="005D0197">
      <w:pPr>
        <w:spacing w:line="360" w:lineRule="auto"/>
        <w:jc w:val="both"/>
        <w:rPr>
          <w:color w:val="000000" w:themeColor="text1"/>
        </w:rPr>
      </w:pPr>
      <w:r w:rsidRPr="00B52F99">
        <w:rPr>
          <w:color w:val="000000" w:themeColor="text1"/>
        </w:rPr>
        <w:t>R</w:t>
      </w:r>
      <w:r w:rsidR="00544D58" w:rsidRPr="00B52F99">
        <w:rPr>
          <w:color w:val="000000" w:themeColor="text1"/>
        </w:rPr>
        <w:t>esearchers during the 1990’s</w:t>
      </w:r>
      <w:r w:rsidR="00F4490D" w:rsidRPr="00B52F99">
        <w:rPr>
          <w:color w:val="000000" w:themeColor="text1"/>
          <w:vertAlign w:val="superscript"/>
        </w:rPr>
        <w:t>4</w:t>
      </w:r>
      <w:r w:rsidR="00137F51" w:rsidRPr="00B52F99">
        <w:rPr>
          <w:color w:val="000000" w:themeColor="text1"/>
          <w:vertAlign w:val="superscript"/>
        </w:rPr>
        <w:t>0</w:t>
      </w:r>
      <w:r w:rsidR="00F4490D" w:rsidRPr="00B52F99">
        <w:rPr>
          <w:color w:val="000000" w:themeColor="text1"/>
          <w:vertAlign w:val="superscript"/>
        </w:rPr>
        <w:t>,4</w:t>
      </w:r>
      <w:r w:rsidR="00137F51" w:rsidRPr="00B52F99">
        <w:rPr>
          <w:color w:val="000000" w:themeColor="text1"/>
          <w:vertAlign w:val="superscript"/>
        </w:rPr>
        <w:t>1</w:t>
      </w:r>
      <w:r w:rsidR="00544D58" w:rsidRPr="00B52F99">
        <w:rPr>
          <w:color w:val="000000" w:themeColor="text1"/>
          <w:vertAlign w:val="superscript"/>
        </w:rPr>
        <w:t xml:space="preserve"> </w:t>
      </w:r>
      <w:r w:rsidR="00544D58" w:rsidRPr="00B52F99">
        <w:rPr>
          <w:color w:val="000000" w:themeColor="text1"/>
        </w:rPr>
        <w:t xml:space="preserve">suggested variation in RP might relate to </w:t>
      </w:r>
      <w:r w:rsidR="00562B0D" w:rsidRPr="00B52F99">
        <w:rPr>
          <w:color w:val="000000" w:themeColor="text1"/>
        </w:rPr>
        <w:t xml:space="preserve">species-specific </w:t>
      </w:r>
      <w:r w:rsidR="00544D58" w:rsidRPr="00B52F99">
        <w:rPr>
          <w:color w:val="000000" w:themeColor="text1"/>
        </w:rPr>
        <w:t xml:space="preserve">average body mass. </w:t>
      </w:r>
      <w:r w:rsidR="00944A2C" w:rsidRPr="00B52F99">
        <w:rPr>
          <w:color w:val="000000" w:themeColor="text1"/>
        </w:rPr>
        <w:t>Interspecific s</w:t>
      </w:r>
      <w:r w:rsidR="00544D58" w:rsidRPr="00B52F99">
        <w:rPr>
          <w:color w:val="000000" w:themeColor="text1"/>
        </w:rPr>
        <w:t xml:space="preserve">tudies </w:t>
      </w:r>
      <w:r w:rsidRPr="00B52F99">
        <w:rPr>
          <w:color w:val="000000" w:themeColor="text1"/>
        </w:rPr>
        <w:t xml:space="preserve">(meaning studies comparing different species) </w:t>
      </w:r>
      <w:r w:rsidR="00544D58" w:rsidRPr="00B52F99">
        <w:rPr>
          <w:color w:val="000000" w:themeColor="text1"/>
        </w:rPr>
        <w:t>confirmed these observations reveal</w:t>
      </w:r>
      <w:r w:rsidR="00944A2C" w:rsidRPr="00B52F99">
        <w:rPr>
          <w:color w:val="000000" w:themeColor="text1"/>
        </w:rPr>
        <w:t>ing</w:t>
      </w:r>
      <w:r w:rsidR="00544D58" w:rsidRPr="00B52F99">
        <w:rPr>
          <w:color w:val="000000" w:themeColor="text1"/>
        </w:rPr>
        <w:t xml:space="preserve"> that, with exceptions</w:t>
      </w:r>
      <w:r w:rsidR="00D47D61" w:rsidRPr="00B52F99">
        <w:rPr>
          <w:color w:val="000000" w:themeColor="text1"/>
          <w:vertAlign w:val="superscript"/>
        </w:rPr>
        <w:t>4</w:t>
      </w:r>
      <w:r w:rsidR="00CB37A4" w:rsidRPr="00B52F99">
        <w:rPr>
          <w:color w:val="000000" w:themeColor="text1"/>
          <w:vertAlign w:val="superscript"/>
        </w:rPr>
        <w:t>2</w:t>
      </w:r>
      <w:r w:rsidR="00D47D61" w:rsidRPr="00B52F99">
        <w:rPr>
          <w:color w:val="000000" w:themeColor="text1"/>
          <w:vertAlign w:val="superscript"/>
        </w:rPr>
        <w:t>,4</w:t>
      </w:r>
      <w:r w:rsidR="00CB37A4" w:rsidRPr="00B52F99">
        <w:rPr>
          <w:color w:val="000000" w:themeColor="text1"/>
          <w:vertAlign w:val="superscript"/>
        </w:rPr>
        <w:t>3</w:t>
      </w:r>
      <w:r w:rsidR="00544D58" w:rsidRPr="00B52F99">
        <w:rPr>
          <w:color w:val="000000" w:themeColor="text1"/>
        </w:rPr>
        <w:t xml:space="preserve">, </w:t>
      </w:r>
      <w:r w:rsidR="008920EB" w:rsidRPr="00B52F99">
        <w:rPr>
          <w:color w:val="000000" w:themeColor="text1"/>
        </w:rPr>
        <w:t>RP</w:t>
      </w:r>
      <w:r w:rsidR="00CE68BB" w:rsidRPr="00B52F99">
        <w:rPr>
          <w:color w:val="000000" w:themeColor="text1"/>
        </w:rPr>
        <w:t>-biorhythm</w:t>
      </w:r>
      <w:r w:rsidR="00544D58" w:rsidRPr="00B52F99">
        <w:rPr>
          <w:color w:val="000000" w:themeColor="text1"/>
        </w:rPr>
        <w:t xml:space="preserve"> was higher </w:t>
      </w:r>
      <w:r w:rsidR="0088482A" w:rsidRPr="00B52F99">
        <w:rPr>
          <w:color w:val="000000" w:themeColor="text1"/>
        </w:rPr>
        <w:t xml:space="preserve">(‘slower’) </w:t>
      </w:r>
      <w:r w:rsidR="00544D58" w:rsidRPr="00B52F99">
        <w:rPr>
          <w:color w:val="000000" w:themeColor="text1"/>
        </w:rPr>
        <w:t xml:space="preserve">in larger bodied living </w:t>
      </w:r>
      <w:r w:rsidRPr="00B52F99">
        <w:rPr>
          <w:color w:val="000000" w:themeColor="text1"/>
        </w:rPr>
        <w:t xml:space="preserve">species </w:t>
      </w:r>
      <w:r w:rsidR="00544D58" w:rsidRPr="00B52F99">
        <w:rPr>
          <w:color w:val="000000" w:themeColor="text1"/>
        </w:rPr>
        <w:t>including anthropoids</w:t>
      </w:r>
      <w:r w:rsidR="00D47D61" w:rsidRPr="00B52F99">
        <w:rPr>
          <w:color w:val="000000" w:themeColor="text1"/>
          <w:vertAlign w:val="superscript"/>
        </w:rPr>
        <w:t>3</w:t>
      </w:r>
      <w:r w:rsidR="00CB37A4" w:rsidRPr="00B52F99">
        <w:rPr>
          <w:color w:val="000000" w:themeColor="text1"/>
          <w:vertAlign w:val="superscript"/>
        </w:rPr>
        <w:t>0</w:t>
      </w:r>
      <w:r w:rsidR="00D47D61" w:rsidRPr="00B52F99">
        <w:rPr>
          <w:color w:val="000000" w:themeColor="text1"/>
          <w:vertAlign w:val="superscript"/>
        </w:rPr>
        <w:t>,3</w:t>
      </w:r>
      <w:r w:rsidR="00CB37A4" w:rsidRPr="00B52F99">
        <w:rPr>
          <w:color w:val="000000" w:themeColor="text1"/>
          <w:vertAlign w:val="superscript"/>
        </w:rPr>
        <w:t>1</w:t>
      </w:r>
      <w:r w:rsidR="00D47D61" w:rsidRPr="00B52F99">
        <w:rPr>
          <w:color w:val="000000" w:themeColor="text1"/>
          <w:vertAlign w:val="superscript"/>
        </w:rPr>
        <w:t>,4</w:t>
      </w:r>
      <w:r w:rsidR="00CB37A4" w:rsidRPr="00B52F99">
        <w:rPr>
          <w:color w:val="000000" w:themeColor="text1"/>
          <w:vertAlign w:val="superscript"/>
        </w:rPr>
        <w:t>4-46</w:t>
      </w:r>
      <w:r w:rsidR="001F0C18" w:rsidRPr="00B52F99">
        <w:rPr>
          <w:color w:val="000000" w:themeColor="text1"/>
        </w:rPr>
        <w:t>.</w:t>
      </w:r>
      <w:r w:rsidR="00544D58" w:rsidRPr="00B52F99">
        <w:rPr>
          <w:color w:val="000000" w:themeColor="text1"/>
        </w:rPr>
        <w:t xml:space="preserve"> </w:t>
      </w:r>
      <w:r w:rsidR="00C95659" w:rsidRPr="00B52F99">
        <w:rPr>
          <w:color w:val="000000" w:themeColor="text1"/>
        </w:rPr>
        <w:t>I</w:t>
      </w:r>
      <w:r w:rsidR="00B719F4" w:rsidRPr="00B52F99">
        <w:rPr>
          <w:color w:val="000000" w:themeColor="text1"/>
        </w:rPr>
        <w:t>n</w:t>
      </w:r>
      <w:r w:rsidR="00C95659" w:rsidRPr="00B52F99">
        <w:rPr>
          <w:color w:val="000000" w:themeColor="text1"/>
        </w:rPr>
        <w:t xml:space="preserve"> these s</w:t>
      </w:r>
      <w:r w:rsidR="00B652AF" w:rsidRPr="00B52F99">
        <w:rPr>
          <w:color w:val="000000" w:themeColor="text1"/>
        </w:rPr>
        <w:t>tudies</w:t>
      </w:r>
      <w:r w:rsidR="00C95659" w:rsidRPr="00B52F99">
        <w:rPr>
          <w:color w:val="000000" w:themeColor="text1"/>
        </w:rPr>
        <w:t>,</w:t>
      </w:r>
      <w:r w:rsidR="00B652AF" w:rsidRPr="00B52F99">
        <w:rPr>
          <w:color w:val="000000" w:themeColor="text1"/>
        </w:rPr>
        <w:t xml:space="preserve"> biological pathways </w:t>
      </w:r>
      <w:r w:rsidR="00C95659" w:rsidRPr="00B52F99">
        <w:rPr>
          <w:color w:val="000000" w:themeColor="text1"/>
        </w:rPr>
        <w:t xml:space="preserve">connecting </w:t>
      </w:r>
      <w:r w:rsidR="00B652AF" w:rsidRPr="00B52F99">
        <w:rPr>
          <w:color w:val="000000" w:themeColor="text1"/>
        </w:rPr>
        <w:t>RP and interspecific variation in body size</w:t>
      </w:r>
      <w:r w:rsidR="00C95659" w:rsidRPr="00B52F99">
        <w:rPr>
          <w:color w:val="000000" w:themeColor="text1"/>
        </w:rPr>
        <w:t xml:space="preserve"> </w:t>
      </w:r>
      <w:r w:rsidR="00115229" w:rsidRPr="00B52F99">
        <w:rPr>
          <w:color w:val="000000" w:themeColor="text1"/>
        </w:rPr>
        <w:t xml:space="preserve">were </w:t>
      </w:r>
      <w:r w:rsidR="00C95659" w:rsidRPr="00B52F99">
        <w:rPr>
          <w:color w:val="000000" w:themeColor="text1"/>
        </w:rPr>
        <w:t>proposed</w:t>
      </w:r>
      <w:r w:rsidR="00B652AF" w:rsidRPr="00B52F99">
        <w:rPr>
          <w:color w:val="000000" w:themeColor="text1"/>
        </w:rPr>
        <w:t xml:space="preserve">. Larger bodied species </w:t>
      </w:r>
      <w:r w:rsidR="00115229" w:rsidRPr="00B52F99">
        <w:rPr>
          <w:color w:val="000000" w:themeColor="text1"/>
        </w:rPr>
        <w:t>were</w:t>
      </w:r>
      <w:r w:rsidR="00C95659" w:rsidRPr="00B52F99">
        <w:rPr>
          <w:color w:val="000000" w:themeColor="text1"/>
        </w:rPr>
        <w:t xml:space="preserve"> suggested to </w:t>
      </w:r>
      <w:r w:rsidR="00B652AF" w:rsidRPr="00B52F99">
        <w:rPr>
          <w:color w:val="000000" w:themeColor="text1"/>
        </w:rPr>
        <w:t xml:space="preserve">attain their greater adult size through a slower biorhythm that produces slow growth rates over long periods of time, relative to </w:t>
      </w:r>
      <w:r w:rsidR="00E84817" w:rsidRPr="00B52F99">
        <w:rPr>
          <w:color w:val="000000" w:themeColor="text1"/>
        </w:rPr>
        <w:t xml:space="preserve">the faster biorhythm of </w:t>
      </w:r>
      <w:r w:rsidR="00B652AF" w:rsidRPr="00B52F99">
        <w:rPr>
          <w:color w:val="000000" w:themeColor="text1"/>
        </w:rPr>
        <w:t>smaller bodied species</w:t>
      </w:r>
      <w:r w:rsidR="00B652AF" w:rsidRPr="00B52F99">
        <w:rPr>
          <w:color w:val="000000" w:themeColor="text1"/>
          <w:vertAlign w:val="superscript"/>
        </w:rPr>
        <w:t>30,31</w:t>
      </w:r>
      <w:r w:rsidR="00B652AF" w:rsidRPr="00B52F99">
        <w:rPr>
          <w:color w:val="000000" w:themeColor="text1"/>
        </w:rPr>
        <w:t xml:space="preserve">. </w:t>
      </w:r>
      <w:r w:rsidR="00821C8A" w:rsidRPr="00B52F99">
        <w:rPr>
          <w:color w:val="000000" w:themeColor="text1"/>
        </w:rPr>
        <w:t xml:space="preserve">This </w:t>
      </w:r>
      <w:r w:rsidR="00395939" w:rsidRPr="00B52F99">
        <w:rPr>
          <w:color w:val="000000" w:themeColor="text1"/>
        </w:rPr>
        <w:t>p</w:t>
      </w:r>
      <w:r w:rsidR="00B652AF" w:rsidRPr="00B52F99">
        <w:rPr>
          <w:color w:val="000000" w:themeColor="text1"/>
        </w:rPr>
        <w:t>athway</w:t>
      </w:r>
      <w:r w:rsidR="00821C8A" w:rsidRPr="00B52F99">
        <w:rPr>
          <w:color w:val="000000" w:themeColor="text1"/>
        </w:rPr>
        <w:t xml:space="preserve"> has emerged as a key hypothesis for advancing understanding </w:t>
      </w:r>
      <w:r w:rsidR="008D22C7" w:rsidRPr="00B52F99">
        <w:rPr>
          <w:color w:val="000000" w:themeColor="text1"/>
        </w:rPr>
        <w:t xml:space="preserve">of </w:t>
      </w:r>
      <w:r w:rsidR="00821C8A" w:rsidRPr="00B52F99">
        <w:rPr>
          <w:color w:val="000000" w:themeColor="text1"/>
        </w:rPr>
        <w:t>the evolution of primate life history</w:t>
      </w:r>
      <w:r w:rsidR="00D47D61" w:rsidRPr="00B52F99">
        <w:rPr>
          <w:color w:val="000000" w:themeColor="text1"/>
          <w:vertAlign w:val="superscript"/>
        </w:rPr>
        <w:t>3</w:t>
      </w:r>
      <w:r w:rsidR="00CB37A4" w:rsidRPr="00B52F99">
        <w:rPr>
          <w:color w:val="000000" w:themeColor="text1"/>
          <w:vertAlign w:val="superscript"/>
        </w:rPr>
        <w:t>1</w:t>
      </w:r>
      <w:r w:rsidR="00E35531" w:rsidRPr="00B52F99">
        <w:rPr>
          <w:color w:val="000000" w:themeColor="text1"/>
        </w:rPr>
        <w:t>.</w:t>
      </w:r>
    </w:p>
    <w:p w14:paraId="3CB3C02E" w14:textId="04040CDE" w:rsidR="00E84817" w:rsidRPr="00B52F99" w:rsidRDefault="007A5F0A" w:rsidP="00381B5E">
      <w:pPr>
        <w:autoSpaceDE w:val="0"/>
        <w:autoSpaceDN w:val="0"/>
        <w:adjustRightInd w:val="0"/>
        <w:spacing w:line="360" w:lineRule="auto"/>
        <w:jc w:val="both"/>
        <w:rPr>
          <w:color w:val="000000" w:themeColor="text1"/>
        </w:rPr>
      </w:pPr>
      <w:r w:rsidRPr="00B52F99">
        <w:rPr>
          <w:rFonts w:eastAsiaTheme="minorEastAsia"/>
          <w:color w:val="000000" w:themeColor="text1"/>
          <w:lang w:eastAsia="zh-CN"/>
        </w:rPr>
        <w:lastRenderedPageBreak/>
        <w:t>I</w:t>
      </w:r>
      <w:r w:rsidR="001671FC" w:rsidRPr="00B52F99">
        <w:rPr>
          <w:color w:val="000000" w:themeColor="text1"/>
        </w:rPr>
        <w:t>nterspecific relationships are not always found within species</w:t>
      </w:r>
      <w:r w:rsidR="00D47D61" w:rsidRPr="00B52F99">
        <w:rPr>
          <w:color w:val="000000" w:themeColor="text1"/>
          <w:vertAlign w:val="superscript"/>
        </w:rPr>
        <w:t>4</w:t>
      </w:r>
      <w:r w:rsidR="001512CB" w:rsidRPr="00B52F99">
        <w:rPr>
          <w:color w:val="000000" w:themeColor="text1"/>
          <w:vertAlign w:val="superscript"/>
        </w:rPr>
        <w:t>7</w:t>
      </w:r>
      <w:r w:rsidR="00DC5BC7" w:rsidRPr="00B52F99">
        <w:rPr>
          <w:color w:val="000000" w:themeColor="text1"/>
        </w:rPr>
        <w:t>. B</w:t>
      </w:r>
      <w:r w:rsidR="001671FC" w:rsidRPr="00B52F99">
        <w:rPr>
          <w:color w:val="000000" w:themeColor="text1"/>
        </w:rPr>
        <w:t xml:space="preserve">ut when </w:t>
      </w:r>
      <w:r w:rsidR="00DC5BC7" w:rsidRPr="00B52F99">
        <w:rPr>
          <w:color w:val="000000" w:themeColor="text1"/>
        </w:rPr>
        <w:t xml:space="preserve">the underlying cause is </w:t>
      </w:r>
      <w:r w:rsidR="001671FC" w:rsidRPr="00B52F99">
        <w:rPr>
          <w:color w:val="000000" w:themeColor="text1"/>
        </w:rPr>
        <w:t xml:space="preserve">similar </w:t>
      </w:r>
      <w:r w:rsidR="00DC5BC7" w:rsidRPr="00B52F99">
        <w:rPr>
          <w:color w:val="000000" w:themeColor="text1"/>
        </w:rPr>
        <w:t>across different</w:t>
      </w:r>
      <w:r w:rsidR="001671FC" w:rsidRPr="00B52F99">
        <w:rPr>
          <w:color w:val="000000" w:themeColor="text1"/>
        </w:rPr>
        <w:t xml:space="preserve"> </w:t>
      </w:r>
      <w:r w:rsidR="005A248C" w:rsidRPr="00B52F99">
        <w:rPr>
          <w:color w:val="000000" w:themeColor="text1"/>
        </w:rPr>
        <w:t xml:space="preserve">taxonomic </w:t>
      </w:r>
      <w:r w:rsidR="001671FC" w:rsidRPr="00B52F99">
        <w:rPr>
          <w:color w:val="000000" w:themeColor="text1"/>
        </w:rPr>
        <w:t xml:space="preserve">levels then similar </w:t>
      </w:r>
      <w:r w:rsidR="00DC5BC7" w:rsidRPr="00B52F99">
        <w:rPr>
          <w:color w:val="000000" w:themeColor="text1"/>
        </w:rPr>
        <w:t>biological relationships</w:t>
      </w:r>
      <w:r w:rsidR="001671FC" w:rsidRPr="00B52F99">
        <w:rPr>
          <w:color w:val="000000" w:themeColor="text1"/>
        </w:rPr>
        <w:t xml:space="preserve"> can be present</w:t>
      </w:r>
      <w:r w:rsidR="00DC5BC7" w:rsidRPr="00B52F99">
        <w:rPr>
          <w:color w:val="000000" w:themeColor="text1"/>
        </w:rPr>
        <w:t xml:space="preserve"> within and between species</w:t>
      </w:r>
      <w:r w:rsidR="00D47D61" w:rsidRPr="00B52F99">
        <w:rPr>
          <w:color w:val="000000" w:themeColor="text1"/>
          <w:vertAlign w:val="superscript"/>
        </w:rPr>
        <w:t>4</w:t>
      </w:r>
      <w:r w:rsidR="001512CB" w:rsidRPr="00B52F99">
        <w:rPr>
          <w:color w:val="000000" w:themeColor="text1"/>
          <w:vertAlign w:val="superscript"/>
        </w:rPr>
        <w:t>8</w:t>
      </w:r>
      <w:r w:rsidR="001671FC" w:rsidRPr="00B52F99">
        <w:rPr>
          <w:color w:val="000000" w:themeColor="text1"/>
        </w:rPr>
        <w:t>.</w:t>
      </w:r>
      <w:r w:rsidR="00B915C6" w:rsidRPr="00B52F99">
        <w:rPr>
          <w:color w:val="000000" w:themeColor="text1"/>
        </w:rPr>
        <w:t xml:space="preserve"> </w:t>
      </w:r>
      <w:r w:rsidR="0053560A" w:rsidRPr="00B52F99">
        <w:rPr>
          <w:color w:val="000000" w:themeColor="text1"/>
        </w:rPr>
        <w:t>The hyp</w:t>
      </w:r>
      <w:r w:rsidR="00AB5EE4" w:rsidRPr="00B52F99">
        <w:rPr>
          <w:color w:val="000000" w:themeColor="text1"/>
        </w:rPr>
        <w:softHyphen/>
      </w:r>
      <w:r w:rsidR="00AB5EE4" w:rsidRPr="00B52F99">
        <w:rPr>
          <w:color w:val="000000" w:themeColor="text1"/>
        </w:rPr>
        <w:softHyphen/>
      </w:r>
      <w:r w:rsidR="0053560A" w:rsidRPr="00B52F99">
        <w:rPr>
          <w:color w:val="000000" w:themeColor="text1"/>
        </w:rPr>
        <w:t xml:space="preserve">othalamus has a central role </w:t>
      </w:r>
      <w:r w:rsidR="00A110EE" w:rsidRPr="00B52F99">
        <w:rPr>
          <w:color w:val="000000" w:themeColor="text1"/>
        </w:rPr>
        <w:t>for human growth</w:t>
      </w:r>
      <w:r w:rsidR="0053560A" w:rsidRPr="00B52F99">
        <w:rPr>
          <w:color w:val="000000" w:themeColor="text1"/>
          <w:vertAlign w:val="superscript"/>
        </w:rPr>
        <w:t>17,18</w:t>
      </w:r>
      <w:r w:rsidR="00B142A2" w:rsidRPr="00B52F99">
        <w:rPr>
          <w:color w:val="000000" w:themeColor="text1"/>
        </w:rPr>
        <w:t>. O</w:t>
      </w:r>
      <w:r w:rsidR="00C95659" w:rsidRPr="00B52F99">
        <w:rPr>
          <w:color w:val="000000" w:themeColor="text1"/>
        </w:rPr>
        <w:t xml:space="preserve">ur previous studies suggest aspects of human growth </w:t>
      </w:r>
      <w:r w:rsidR="0053560A" w:rsidRPr="00B52F99">
        <w:rPr>
          <w:color w:val="000000" w:themeColor="text1"/>
        </w:rPr>
        <w:t>may relate to</w:t>
      </w:r>
      <w:r w:rsidR="001556B8" w:rsidRPr="00B52F99">
        <w:rPr>
          <w:color w:val="000000" w:themeColor="text1"/>
        </w:rPr>
        <w:t xml:space="preserve"> RP-biorhythm. </w:t>
      </w:r>
      <w:r w:rsidR="00115229" w:rsidRPr="00B52F99">
        <w:rPr>
          <w:color w:val="000000" w:themeColor="text1"/>
        </w:rPr>
        <w:t>Specifically, w</w:t>
      </w:r>
      <w:r w:rsidR="007D7F17" w:rsidRPr="00B52F99">
        <w:rPr>
          <w:color w:val="000000" w:themeColor="text1"/>
        </w:rPr>
        <w:t xml:space="preserve">e have shown </w:t>
      </w:r>
      <w:r w:rsidR="004820D3" w:rsidRPr="00B52F99">
        <w:rPr>
          <w:color w:val="000000" w:themeColor="text1"/>
        </w:rPr>
        <w:t xml:space="preserve">that </w:t>
      </w:r>
      <w:r w:rsidR="007D7F17" w:rsidRPr="00B52F99">
        <w:rPr>
          <w:color w:val="000000" w:themeColor="text1"/>
        </w:rPr>
        <w:t>the size of microscopic canals that house blood vessels in human adolescent ribs relate to RP</w:t>
      </w:r>
      <w:r w:rsidR="0089635A" w:rsidRPr="00B52F99">
        <w:rPr>
          <w:color w:val="000000" w:themeColor="text1"/>
          <w:vertAlign w:val="superscript"/>
        </w:rPr>
        <w:t>49</w:t>
      </w:r>
      <w:r w:rsidR="00C95659" w:rsidRPr="00B52F99">
        <w:rPr>
          <w:color w:val="000000" w:themeColor="text1"/>
        </w:rPr>
        <w:t>. L</w:t>
      </w:r>
      <w:r w:rsidR="007D7F17" w:rsidRPr="00B52F99">
        <w:rPr>
          <w:color w:val="000000" w:themeColor="text1"/>
        </w:rPr>
        <w:t>arger canals facilitate greater blood flow and nutrient transfer</w:t>
      </w:r>
      <w:r w:rsidR="007D7F17" w:rsidRPr="00B52F99">
        <w:rPr>
          <w:color w:val="000000" w:themeColor="text1"/>
          <w:shd w:val="clear" w:color="auto" w:fill="FFFFFF"/>
          <w:vertAlign w:val="superscript"/>
        </w:rPr>
        <w:t>5</w:t>
      </w:r>
      <w:r w:rsidR="0089635A" w:rsidRPr="00B52F99">
        <w:rPr>
          <w:color w:val="000000" w:themeColor="text1"/>
          <w:shd w:val="clear" w:color="auto" w:fill="FFFFFF"/>
          <w:vertAlign w:val="superscript"/>
        </w:rPr>
        <w:t>0</w:t>
      </w:r>
      <w:r w:rsidR="007D7F17" w:rsidRPr="00B52F99">
        <w:rPr>
          <w:color w:val="000000" w:themeColor="text1"/>
          <w:shd w:val="clear" w:color="auto" w:fill="FFFFFF"/>
          <w:vertAlign w:val="superscript"/>
        </w:rPr>
        <w:t>,5</w:t>
      </w:r>
      <w:r w:rsidR="0089635A" w:rsidRPr="00B52F99">
        <w:rPr>
          <w:color w:val="000000" w:themeColor="text1"/>
          <w:shd w:val="clear" w:color="auto" w:fill="FFFFFF"/>
          <w:vertAlign w:val="superscript"/>
        </w:rPr>
        <w:t>1</w:t>
      </w:r>
      <w:r w:rsidR="007D7F17" w:rsidRPr="00B52F99">
        <w:rPr>
          <w:color w:val="000000" w:themeColor="text1"/>
        </w:rPr>
        <w:t xml:space="preserve">. </w:t>
      </w:r>
      <w:r w:rsidR="005D1639" w:rsidRPr="00B52F99">
        <w:rPr>
          <w:color w:val="000000" w:themeColor="text1"/>
        </w:rPr>
        <w:t xml:space="preserve">We observed </w:t>
      </w:r>
      <w:r w:rsidR="00941B29" w:rsidRPr="00B52F99">
        <w:rPr>
          <w:color w:val="000000" w:themeColor="text1"/>
        </w:rPr>
        <w:t xml:space="preserve">higher </w:t>
      </w:r>
      <w:r w:rsidR="00E84817" w:rsidRPr="00B52F99">
        <w:rPr>
          <w:rFonts w:eastAsiaTheme="minorEastAsia"/>
          <w:color w:val="000000" w:themeColor="text1"/>
          <w:lang w:eastAsia="zh-CN"/>
        </w:rPr>
        <w:t>RP</w:t>
      </w:r>
      <w:r w:rsidR="00941B29" w:rsidRPr="00B52F99">
        <w:rPr>
          <w:rFonts w:eastAsiaTheme="minorEastAsia"/>
          <w:color w:val="000000" w:themeColor="text1"/>
          <w:lang w:eastAsia="zh-CN"/>
        </w:rPr>
        <w:t xml:space="preserve"> values</w:t>
      </w:r>
      <w:r w:rsidR="00E84817" w:rsidRPr="00B52F99">
        <w:rPr>
          <w:rFonts w:eastAsiaTheme="minorEastAsia"/>
          <w:color w:val="000000" w:themeColor="text1"/>
          <w:lang w:eastAsia="zh-CN"/>
        </w:rPr>
        <w:t xml:space="preserve"> correspond with increased </w:t>
      </w:r>
      <w:r w:rsidR="00381B5E" w:rsidRPr="00B52F99">
        <w:rPr>
          <w:rFonts w:eastAsiaTheme="minorEastAsia"/>
          <w:color w:val="000000" w:themeColor="text1"/>
          <w:lang w:eastAsia="zh-CN"/>
        </w:rPr>
        <w:t xml:space="preserve">deposition of </w:t>
      </w:r>
      <w:r w:rsidR="00E84817" w:rsidRPr="00B52F99">
        <w:rPr>
          <w:rFonts w:eastAsiaTheme="minorEastAsia"/>
          <w:color w:val="000000" w:themeColor="text1"/>
          <w:lang w:eastAsia="zh-CN"/>
        </w:rPr>
        <w:t xml:space="preserve">primary bone </w:t>
      </w:r>
      <w:r w:rsidR="007236EA" w:rsidRPr="00B52F99">
        <w:rPr>
          <w:rFonts w:eastAsiaTheme="minorEastAsia"/>
          <w:color w:val="000000" w:themeColor="text1"/>
          <w:lang w:eastAsia="zh-CN"/>
        </w:rPr>
        <w:t>in humeri</w:t>
      </w:r>
      <w:r w:rsidR="005D1639" w:rsidRPr="00B52F99">
        <w:rPr>
          <w:rFonts w:eastAsiaTheme="minorEastAsia"/>
          <w:color w:val="000000" w:themeColor="text1"/>
          <w:lang w:eastAsia="zh-CN"/>
        </w:rPr>
        <w:t xml:space="preserve"> of young children</w:t>
      </w:r>
      <w:r w:rsidR="00AA7266" w:rsidRPr="00B52F99">
        <w:rPr>
          <w:rFonts w:eastAsiaTheme="minorEastAsia"/>
          <w:color w:val="000000" w:themeColor="text1"/>
          <w:vertAlign w:val="superscript"/>
          <w:lang w:eastAsia="zh-CN"/>
        </w:rPr>
        <w:t>5</w:t>
      </w:r>
      <w:r w:rsidR="0089635A" w:rsidRPr="00B52F99">
        <w:rPr>
          <w:rFonts w:eastAsiaTheme="minorEastAsia"/>
          <w:color w:val="000000" w:themeColor="text1"/>
          <w:vertAlign w:val="superscript"/>
          <w:lang w:eastAsia="zh-CN"/>
        </w:rPr>
        <w:t>2</w:t>
      </w:r>
      <w:r w:rsidR="00381B5E" w:rsidRPr="00B52F99">
        <w:rPr>
          <w:rFonts w:eastAsiaTheme="minorEastAsia"/>
          <w:color w:val="000000" w:themeColor="text1"/>
          <w:lang w:eastAsia="zh-CN"/>
        </w:rPr>
        <w:t xml:space="preserve">. </w:t>
      </w:r>
      <w:r w:rsidR="004820D3" w:rsidRPr="00B52F99">
        <w:rPr>
          <w:color w:val="000000" w:themeColor="text1"/>
          <w:shd w:val="clear" w:color="auto" w:fill="FFFFFF"/>
        </w:rPr>
        <w:t>T</w:t>
      </w:r>
      <w:r w:rsidR="005D1639" w:rsidRPr="00B52F99">
        <w:rPr>
          <w:color w:val="000000" w:themeColor="text1"/>
          <w:shd w:val="clear" w:color="auto" w:fill="FFFFFF"/>
        </w:rPr>
        <w:t xml:space="preserve">hese studies hint </w:t>
      </w:r>
      <w:r w:rsidR="00BF4AF4" w:rsidRPr="00B52F99">
        <w:rPr>
          <w:color w:val="000000" w:themeColor="text1"/>
          <w:shd w:val="clear" w:color="auto" w:fill="FFFFFF"/>
        </w:rPr>
        <w:t>at a</w:t>
      </w:r>
      <w:r w:rsidR="004820D3" w:rsidRPr="00B52F99">
        <w:rPr>
          <w:color w:val="000000" w:themeColor="text1"/>
          <w:shd w:val="clear" w:color="auto" w:fill="FFFFFF"/>
        </w:rPr>
        <w:t xml:space="preserve"> </w:t>
      </w:r>
      <w:r w:rsidR="005D1639" w:rsidRPr="00B52F99">
        <w:rPr>
          <w:color w:val="000000" w:themeColor="text1"/>
        </w:rPr>
        <w:t xml:space="preserve">biorhythm </w:t>
      </w:r>
      <w:r w:rsidR="00941B29" w:rsidRPr="00B52F99">
        <w:rPr>
          <w:color w:val="000000" w:themeColor="text1"/>
        </w:rPr>
        <w:t xml:space="preserve">underlying RP </w:t>
      </w:r>
      <w:r w:rsidR="00BF4AF4" w:rsidRPr="00B52F99">
        <w:rPr>
          <w:color w:val="000000" w:themeColor="text1"/>
        </w:rPr>
        <w:t xml:space="preserve">that </w:t>
      </w:r>
      <w:r w:rsidR="005D1639" w:rsidRPr="00B52F99">
        <w:rPr>
          <w:color w:val="000000" w:themeColor="text1"/>
        </w:rPr>
        <w:t xml:space="preserve">influences </w:t>
      </w:r>
      <w:r w:rsidR="00941B29" w:rsidRPr="00B52F99">
        <w:rPr>
          <w:color w:val="000000" w:themeColor="text1"/>
        </w:rPr>
        <w:t xml:space="preserve">rates of </w:t>
      </w:r>
      <w:r w:rsidR="005D1639" w:rsidRPr="00B52F99">
        <w:rPr>
          <w:color w:val="000000" w:themeColor="text1"/>
        </w:rPr>
        <w:t>cell proliferation</w:t>
      </w:r>
      <w:r w:rsidR="00B142A2" w:rsidRPr="00B52F99">
        <w:rPr>
          <w:color w:val="000000" w:themeColor="text1"/>
        </w:rPr>
        <w:t xml:space="preserve"> during the childhood growth years</w:t>
      </w:r>
      <w:r w:rsidR="005D1639" w:rsidRPr="00B52F99">
        <w:rPr>
          <w:color w:val="000000" w:themeColor="text1"/>
        </w:rPr>
        <w:t>.</w:t>
      </w:r>
    </w:p>
    <w:p w14:paraId="5B3FBCA8" w14:textId="00D08AD9" w:rsidR="0089635A" w:rsidRPr="00B52F99" w:rsidRDefault="0089635A" w:rsidP="007A5F0A">
      <w:pPr>
        <w:autoSpaceDE w:val="0"/>
        <w:autoSpaceDN w:val="0"/>
        <w:adjustRightInd w:val="0"/>
        <w:spacing w:line="360" w:lineRule="auto"/>
        <w:jc w:val="both"/>
        <w:rPr>
          <w:color w:val="000000" w:themeColor="text1"/>
        </w:rPr>
      </w:pPr>
    </w:p>
    <w:p w14:paraId="10DDD135" w14:textId="6E0523AD" w:rsidR="006873F8" w:rsidRPr="00B52F99" w:rsidRDefault="001F0560" w:rsidP="00150F4A">
      <w:pPr>
        <w:autoSpaceDE w:val="0"/>
        <w:autoSpaceDN w:val="0"/>
        <w:adjustRightInd w:val="0"/>
        <w:spacing w:line="360" w:lineRule="auto"/>
        <w:jc w:val="both"/>
        <w:rPr>
          <w:color w:val="000000" w:themeColor="text1"/>
        </w:rPr>
      </w:pPr>
      <w:r w:rsidRPr="00B52F99">
        <w:rPr>
          <w:color w:val="000000" w:themeColor="text1"/>
        </w:rPr>
        <w:t xml:space="preserve">Studies of adult humans indicate </w:t>
      </w:r>
      <w:r w:rsidR="0090581E" w:rsidRPr="00B52F99">
        <w:rPr>
          <w:color w:val="000000" w:themeColor="text1"/>
        </w:rPr>
        <w:t>t</w:t>
      </w:r>
      <w:r w:rsidRPr="00B52F99">
        <w:rPr>
          <w:color w:val="000000" w:themeColor="text1"/>
        </w:rPr>
        <w:t>aller adult</w:t>
      </w:r>
      <w:r w:rsidR="00B719F4" w:rsidRPr="00B52F99">
        <w:rPr>
          <w:color w:val="000000" w:themeColor="text1"/>
        </w:rPr>
        <w:t xml:space="preserve">s </w:t>
      </w:r>
      <w:r w:rsidRPr="00B52F99">
        <w:rPr>
          <w:color w:val="000000" w:themeColor="text1"/>
        </w:rPr>
        <w:t>tend to have lower RP values compared to shorter individuals</w:t>
      </w:r>
      <w:r w:rsidRPr="00B52F99">
        <w:rPr>
          <w:color w:val="000000" w:themeColor="text1"/>
          <w:vertAlign w:val="superscript"/>
        </w:rPr>
        <w:t>5</w:t>
      </w:r>
      <w:r w:rsidR="00E60B59" w:rsidRPr="00B52F99">
        <w:rPr>
          <w:color w:val="000000" w:themeColor="text1"/>
          <w:vertAlign w:val="superscript"/>
        </w:rPr>
        <w:t>3-55</w:t>
      </w:r>
      <w:r w:rsidR="00B719F4" w:rsidRPr="00B52F99">
        <w:rPr>
          <w:color w:val="000000" w:themeColor="text1"/>
          <w:vertAlign w:val="superscript"/>
        </w:rPr>
        <w:t xml:space="preserve">. </w:t>
      </w:r>
      <w:r w:rsidR="00B719F4" w:rsidRPr="00B52F99">
        <w:rPr>
          <w:color w:val="000000" w:themeColor="text1"/>
        </w:rPr>
        <w:t>Th</w:t>
      </w:r>
      <w:r w:rsidRPr="00B52F99">
        <w:rPr>
          <w:color w:val="000000" w:themeColor="text1"/>
        </w:rPr>
        <w:t xml:space="preserve">e biorhythm appears to have a limited </w:t>
      </w:r>
      <w:r w:rsidR="00E60B59" w:rsidRPr="00B52F99">
        <w:rPr>
          <w:color w:val="000000" w:themeColor="text1"/>
        </w:rPr>
        <w:t>association with</w:t>
      </w:r>
      <w:r w:rsidRPr="00B52F99">
        <w:rPr>
          <w:color w:val="000000" w:themeColor="text1"/>
        </w:rPr>
        <w:t xml:space="preserve"> adult human weight</w:t>
      </w:r>
      <w:r w:rsidRPr="00B52F99">
        <w:rPr>
          <w:color w:val="000000" w:themeColor="text1"/>
          <w:vertAlign w:val="superscript"/>
        </w:rPr>
        <w:t>5</w:t>
      </w:r>
      <w:r w:rsidR="00E60B59" w:rsidRPr="00B52F99">
        <w:rPr>
          <w:color w:val="000000" w:themeColor="text1"/>
          <w:vertAlign w:val="superscript"/>
        </w:rPr>
        <w:t>5</w:t>
      </w:r>
      <w:r w:rsidRPr="00B52F99">
        <w:rPr>
          <w:color w:val="000000" w:themeColor="text1"/>
          <w:shd w:val="clear" w:color="auto" w:fill="FFFFFF"/>
        </w:rPr>
        <w:t>. Researchers utilised the</w:t>
      </w:r>
      <w:r w:rsidR="00B719F4" w:rsidRPr="00B52F99">
        <w:rPr>
          <w:color w:val="000000" w:themeColor="text1"/>
          <w:shd w:val="clear" w:color="auto" w:fill="FFFFFF"/>
        </w:rPr>
        <w:t xml:space="preserve"> height</w:t>
      </w:r>
      <w:r w:rsidRPr="00B52F99">
        <w:rPr>
          <w:color w:val="000000" w:themeColor="text1"/>
          <w:shd w:val="clear" w:color="auto" w:fill="FFFFFF"/>
        </w:rPr>
        <w:t xml:space="preserve"> data from adults to hypothesize a biological pathway for human growth that differs to the interspecific pathway</w:t>
      </w:r>
      <w:r w:rsidRPr="00B52F99">
        <w:rPr>
          <w:color w:val="000000" w:themeColor="text1"/>
          <w:vertAlign w:val="superscript"/>
        </w:rPr>
        <w:t>30,31</w:t>
      </w:r>
      <w:r w:rsidRPr="00B52F99">
        <w:rPr>
          <w:color w:val="000000" w:themeColor="text1"/>
          <w:shd w:val="clear" w:color="auto" w:fill="FFFFFF"/>
        </w:rPr>
        <w:t>.</w:t>
      </w:r>
      <w:r w:rsidRPr="00B52F99">
        <w:rPr>
          <w:color w:val="000000" w:themeColor="text1"/>
        </w:rPr>
        <w:t xml:space="preserve"> As the duration of human growth is constrained</w:t>
      </w:r>
      <w:r w:rsidR="00B142A2" w:rsidRPr="00B52F99">
        <w:rPr>
          <w:color w:val="000000" w:themeColor="text1"/>
        </w:rPr>
        <w:t>,</w:t>
      </w:r>
      <w:r w:rsidRPr="00B52F99">
        <w:rPr>
          <w:color w:val="000000" w:themeColor="text1"/>
        </w:rPr>
        <w:t xml:space="preserve"> relative to interspecific variation in growth periods, the biorhythm might accelerate to increase cell proliferation to achieve greater body size</w:t>
      </w:r>
      <w:r w:rsidRPr="00B52F99">
        <w:rPr>
          <w:color w:val="000000" w:themeColor="text1"/>
          <w:vertAlign w:val="superscript"/>
        </w:rPr>
        <w:t>30</w:t>
      </w:r>
      <w:r w:rsidRPr="00B52F99">
        <w:rPr>
          <w:color w:val="000000" w:themeColor="text1"/>
        </w:rPr>
        <w:t xml:space="preserve">. Thus, in contrast to the </w:t>
      </w:r>
      <w:r w:rsidR="00B719F4" w:rsidRPr="00B52F99">
        <w:rPr>
          <w:color w:val="000000" w:themeColor="text1"/>
        </w:rPr>
        <w:t xml:space="preserve">interspecific </w:t>
      </w:r>
      <w:r w:rsidRPr="00B52F99">
        <w:rPr>
          <w:color w:val="000000" w:themeColor="text1"/>
        </w:rPr>
        <w:t>positive correlation</w:t>
      </w:r>
      <w:r w:rsidR="00B719F4" w:rsidRPr="00B52F99">
        <w:rPr>
          <w:color w:val="000000" w:themeColor="text1"/>
        </w:rPr>
        <w:t xml:space="preserve"> </w:t>
      </w:r>
      <w:r w:rsidRPr="00B52F99">
        <w:rPr>
          <w:color w:val="000000" w:themeColor="text1"/>
        </w:rPr>
        <w:t>between the duration of growth periods</w:t>
      </w:r>
      <w:r w:rsidR="00081936" w:rsidRPr="00B52F99">
        <w:rPr>
          <w:color w:val="000000" w:themeColor="text1"/>
        </w:rPr>
        <w:t xml:space="preserve"> and</w:t>
      </w:r>
      <w:r w:rsidRPr="00B52F99">
        <w:rPr>
          <w:color w:val="000000" w:themeColor="text1"/>
        </w:rPr>
        <w:t xml:space="preserve"> body size and </w:t>
      </w:r>
      <w:r w:rsidR="00B142A2" w:rsidRPr="00B52F99">
        <w:rPr>
          <w:color w:val="000000" w:themeColor="text1"/>
        </w:rPr>
        <w:t>RP</w:t>
      </w:r>
      <w:r w:rsidRPr="00B52F99">
        <w:rPr>
          <w:color w:val="000000" w:themeColor="text1"/>
        </w:rPr>
        <w:t xml:space="preserve">, the </w:t>
      </w:r>
      <w:r w:rsidR="00E900A4" w:rsidRPr="00B52F99">
        <w:rPr>
          <w:color w:val="000000" w:themeColor="text1"/>
        </w:rPr>
        <w:t>idea</w:t>
      </w:r>
      <w:r w:rsidRPr="00B52F99">
        <w:rPr>
          <w:color w:val="000000" w:themeColor="text1"/>
        </w:rPr>
        <w:t xml:space="preserve"> is that stature and RP should correlate negatively in humans</w:t>
      </w:r>
      <w:r w:rsidR="00B719F4" w:rsidRPr="00B52F99">
        <w:rPr>
          <w:color w:val="000000" w:themeColor="text1"/>
        </w:rPr>
        <w:t>.</w:t>
      </w:r>
      <w:r w:rsidR="006873F8" w:rsidRPr="00B52F99">
        <w:rPr>
          <w:color w:val="000000" w:themeColor="text1"/>
        </w:rPr>
        <w:t xml:space="preserve"> </w:t>
      </w:r>
      <w:r w:rsidR="009B03CF" w:rsidRPr="00B52F99">
        <w:rPr>
          <w:color w:val="000000" w:themeColor="text1"/>
        </w:rPr>
        <w:t>Currently</w:t>
      </w:r>
      <w:r w:rsidR="008E156B" w:rsidRPr="00B52F99">
        <w:rPr>
          <w:color w:val="000000" w:themeColor="text1"/>
        </w:rPr>
        <w:t xml:space="preserve"> </w:t>
      </w:r>
      <w:r w:rsidR="00115229" w:rsidRPr="00B52F99">
        <w:rPr>
          <w:color w:val="000000" w:themeColor="text1"/>
        </w:rPr>
        <w:t>however</w:t>
      </w:r>
      <w:r w:rsidR="009B03CF" w:rsidRPr="00B52F99">
        <w:rPr>
          <w:color w:val="000000" w:themeColor="text1"/>
        </w:rPr>
        <w:t xml:space="preserve">, </w:t>
      </w:r>
      <w:r w:rsidR="00BA5339" w:rsidRPr="00B52F99">
        <w:rPr>
          <w:color w:val="000000" w:themeColor="text1"/>
        </w:rPr>
        <w:t xml:space="preserve">evidence </w:t>
      </w:r>
      <w:r w:rsidR="008E156B" w:rsidRPr="00B52F99">
        <w:rPr>
          <w:color w:val="000000" w:themeColor="text1"/>
        </w:rPr>
        <w:t>of</w:t>
      </w:r>
      <w:r w:rsidR="00BA5339" w:rsidRPr="00B52F99">
        <w:rPr>
          <w:color w:val="000000" w:themeColor="text1"/>
        </w:rPr>
        <w:t xml:space="preserve"> </w:t>
      </w:r>
      <w:r w:rsidR="008E156B" w:rsidRPr="00B52F99">
        <w:rPr>
          <w:color w:val="000000" w:themeColor="text1"/>
        </w:rPr>
        <w:t xml:space="preserve">the </w:t>
      </w:r>
      <w:r w:rsidR="009B03CF" w:rsidRPr="00B52F99">
        <w:rPr>
          <w:color w:val="000000" w:themeColor="text1"/>
        </w:rPr>
        <w:t xml:space="preserve">biorhythm </w:t>
      </w:r>
      <w:r w:rsidR="00DD6934" w:rsidRPr="00B52F99">
        <w:rPr>
          <w:color w:val="000000" w:themeColor="text1"/>
        </w:rPr>
        <w:t xml:space="preserve">in relation to </w:t>
      </w:r>
      <w:r w:rsidR="009B03CF" w:rsidRPr="00B52F99">
        <w:rPr>
          <w:color w:val="000000" w:themeColor="text1"/>
        </w:rPr>
        <w:t>human</w:t>
      </w:r>
      <w:r w:rsidR="00BA5339" w:rsidRPr="00B52F99">
        <w:rPr>
          <w:color w:val="000000" w:themeColor="text1"/>
        </w:rPr>
        <w:t xml:space="preserve"> growth</w:t>
      </w:r>
      <w:r w:rsidR="00E60B59" w:rsidRPr="00B52F99">
        <w:rPr>
          <w:color w:val="000000" w:themeColor="text1"/>
          <w:vertAlign w:val="superscript"/>
        </w:rPr>
        <w:t>49</w:t>
      </w:r>
      <w:r w:rsidR="00BA5339" w:rsidRPr="00B52F99">
        <w:rPr>
          <w:color w:val="000000" w:themeColor="text1"/>
          <w:vertAlign w:val="superscript"/>
        </w:rPr>
        <w:t>,5</w:t>
      </w:r>
      <w:r w:rsidR="00E60B59" w:rsidRPr="00B52F99">
        <w:rPr>
          <w:color w:val="000000" w:themeColor="text1"/>
          <w:vertAlign w:val="superscript"/>
        </w:rPr>
        <w:t>2</w:t>
      </w:r>
      <w:r w:rsidR="00BA5339" w:rsidRPr="00B52F99">
        <w:rPr>
          <w:color w:val="000000" w:themeColor="text1"/>
          <w:vertAlign w:val="superscript"/>
        </w:rPr>
        <w:t xml:space="preserve"> </w:t>
      </w:r>
      <w:r w:rsidR="00BA5339" w:rsidRPr="00B52F99">
        <w:rPr>
          <w:color w:val="000000" w:themeColor="text1"/>
        </w:rPr>
        <w:t>is limited</w:t>
      </w:r>
      <w:r w:rsidR="009B03CF" w:rsidRPr="00B52F99">
        <w:rPr>
          <w:color w:val="000000" w:themeColor="text1"/>
        </w:rPr>
        <w:t xml:space="preserve">.  </w:t>
      </w:r>
    </w:p>
    <w:p w14:paraId="1D275D65" w14:textId="62C35CF6" w:rsidR="006873F8" w:rsidRPr="00B52F99" w:rsidRDefault="006873F8" w:rsidP="00150F4A">
      <w:pPr>
        <w:autoSpaceDE w:val="0"/>
        <w:autoSpaceDN w:val="0"/>
        <w:adjustRightInd w:val="0"/>
        <w:spacing w:line="360" w:lineRule="auto"/>
        <w:jc w:val="both"/>
        <w:rPr>
          <w:color w:val="000000" w:themeColor="text1"/>
        </w:rPr>
      </w:pPr>
    </w:p>
    <w:p w14:paraId="2B6B606C" w14:textId="76C8067F" w:rsidR="00D20BAF" w:rsidRPr="00B52F99" w:rsidRDefault="009B03CF" w:rsidP="00150F4A">
      <w:pPr>
        <w:autoSpaceDE w:val="0"/>
        <w:autoSpaceDN w:val="0"/>
        <w:adjustRightInd w:val="0"/>
        <w:spacing w:line="360" w:lineRule="auto"/>
        <w:jc w:val="both"/>
        <w:rPr>
          <w:color w:val="000000" w:themeColor="text1"/>
        </w:rPr>
      </w:pPr>
      <w:r w:rsidRPr="00B52F99">
        <w:rPr>
          <w:color w:val="000000" w:themeColor="text1"/>
        </w:rPr>
        <w:t xml:space="preserve">Here, </w:t>
      </w:r>
      <w:r w:rsidR="00150F4A" w:rsidRPr="00B52F99">
        <w:rPr>
          <w:color w:val="000000" w:themeColor="text1"/>
        </w:rPr>
        <w:t xml:space="preserve">we </w:t>
      </w:r>
      <w:r w:rsidR="00D20BAF" w:rsidRPr="00B52F99">
        <w:rPr>
          <w:color w:val="000000" w:themeColor="text1"/>
        </w:rPr>
        <w:t xml:space="preserve">calculate </w:t>
      </w:r>
      <w:r w:rsidR="00150F4A" w:rsidRPr="00B52F99">
        <w:rPr>
          <w:color w:val="000000" w:themeColor="text1"/>
        </w:rPr>
        <w:t xml:space="preserve">the biorhythm </w:t>
      </w:r>
      <w:r w:rsidR="00D20BAF" w:rsidRPr="00B52F99">
        <w:rPr>
          <w:color w:val="000000" w:themeColor="text1"/>
        </w:rPr>
        <w:t>from</w:t>
      </w:r>
      <w:r w:rsidR="00150F4A" w:rsidRPr="00B52F99">
        <w:rPr>
          <w:color w:val="000000" w:themeColor="text1"/>
        </w:rPr>
        <w:t xml:space="preserve"> primary molars in relation to weight gain</w:t>
      </w:r>
      <w:r w:rsidR="00E27A55" w:rsidRPr="00B52F99">
        <w:rPr>
          <w:color w:val="000000" w:themeColor="text1"/>
        </w:rPr>
        <w:t xml:space="preserve"> for</w:t>
      </w:r>
      <w:r w:rsidR="00150F4A" w:rsidRPr="00B52F99">
        <w:rPr>
          <w:color w:val="000000" w:themeColor="text1"/>
        </w:rPr>
        <w:t xml:space="preserve"> 61 children (average starting age = 10.33yrs) from Dunedin, southern New Zealand, over a period of 14 months between September 2019 to October 2020.</w:t>
      </w:r>
      <w:r w:rsidR="007236EA" w:rsidRPr="00B52F99">
        <w:rPr>
          <w:color w:val="000000" w:themeColor="text1"/>
          <w:shd w:val="clear" w:color="auto" w:fill="FFFFFF"/>
        </w:rPr>
        <w:t xml:space="preserve"> </w:t>
      </w:r>
      <w:r w:rsidR="00D20BAF" w:rsidRPr="00B52F99">
        <w:rPr>
          <w:color w:val="000000" w:themeColor="text1"/>
        </w:rPr>
        <w:t>Adolescent weight is of particular interest because of the substantial gains during puberty that are driven by the hypothalamus. We demonstrate that adolescents with a faster biorhythm gain less weight over 14 months and have the smallest change in their body mass index (BMI) compared to adolescents with a slower biorhythm.</w:t>
      </w:r>
    </w:p>
    <w:p w14:paraId="40B606E3" w14:textId="77777777" w:rsidR="00D20BAF" w:rsidRPr="00B52F99" w:rsidRDefault="00D20BAF" w:rsidP="00150F4A">
      <w:pPr>
        <w:autoSpaceDE w:val="0"/>
        <w:autoSpaceDN w:val="0"/>
        <w:adjustRightInd w:val="0"/>
        <w:spacing w:line="360" w:lineRule="auto"/>
        <w:jc w:val="both"/>
        <w:rPr>
          <w:color w:val="000000" w:themeColor="text1"/>
        </w:rPr>
      </w:pPr>
    </w:p>
    <w:p w14:paraId="3E8FF460" w14:textId="5BF61257" w:rsidR="006873F8" w:rsidRPr="00B52F99" w:rsidRDefault="006873F8" w:rsidP="00BC626E">
      <w:pPr>
        <w:spacing w:line="480" w:lineRule="auto"/>
        <w:rPr>
          <w:b/>
          <w:bCs/>
          <w:color w:val="000000" w:themeColor="text1"/>
          <w:sz w:val="28"/>
          <w:szCs w:val="28"/>
        </w:rPr>
      </w:pPr>
    </w:p>
    <w:p w14:paraId="0A2A7B29" w14:textId="77777777" w:rsidR="00D20BAF" w:rsidRPr="00B52F99" w:rsidRDefault="00D20BAF" w:rsidP="00BC626E">
      <w:pPr>
        <w:spacing w:line="480" w:lineRule="auto"/>
        <w:rPr>
          <w:b/>
          <w:bCs/>
          <w:color w:val="000000" w:themeColor="text1"/>
          <w:sz w:val="28"/>
          <w:szCs w:val="28"/>
        </w:rPr>
      </w:pPr>
    </w:p>
    <w:p w14:paraId="7903C679" w14:textId="4AE22ADE" w:rsidR="006873F8" w:rsidRPr="00B52F99" w:rsidRDefault="006873F8" w:rsidP="00BC626E">
      <w:pPr>
        <w:spacing w:line="480" w:lineRule="auto"/>
        <w:rPr>
          <w:b/>
          <w:bCs/>
          <w:color w:val="000000" w:themeColor="text1"/>
          <w:sz w:val="28"/>
          <w:szCs w:val="28"/>
        </w:rPr>
      </w:pPr>
    </w:p>
    <w:p w14:paraId="6193697A" w14:textId="078AE5B0" w:rsidR="00D20BAF" w:rsidRPr="00B52F99" w:rsidRDefault="00D20BAF" w:rsidP="00BC626E">
      <w:pPr>
        <w:spacing w:line="480" w:lineRule="auto"/>
        <w:rPr>
          <w:b/>
          <w:bCs/>
          <w:color w:val="000000" w:themeColor="text1"/>
          <w:sz w:val="28"/>
          <w:szCs w:val="28"/>
        </w:rPr>
      </w:pPr>
    </w:p>
    <w:p w14:paraId="769A42E9" w14:textId="2E8B7F13" w:rsidR="00D20BAF" w:rsidRDefault="00D20BAF" w:rsidP="00BC626E">
      <w:pPr>
        <w:spacing w:line="480" w:lineRule="auto"/>
        <w:rPr>
          <w:b/>
          <w:bCs/>
          <w:color w:val="000000" w:themeColor="text1"/>
          <w:sz w:val="28"/>
          <w:szCs w:val="28"/>
        </w:rPr>
      </w:pPr>
    </w:p>
    <w:p w14:paraId="3896D059" w14:textId="06365CEF" w:rsidR="000D493A" w:rsidRDefault="000D493A" w:rsidP="00BC626E">
      <w:pPr>
        <w:spacing w:line="480" w:lineRule="auto"/>
        <w:rPr>
          <w:b/>
          <w:bCs/>
          <w:color w:val="000000" w:themeColor="text1"/>
          <w:sz w:val="28"/>
          <w:szCs w:val="28"/>
        </w:rPr>
      </w:pPr>
    </w:p>
    <w:p w14:paraId="6E97FC5C" w14:textId="77777777" w:rsidR="000D493A" w:rsidRPr="00B52F99" w:rsidRDefault="000D493A" w:rsidP="00BC626E">
      <w:pPr>
        <w:spacing w:line="480" w:lineRule="auto"/>
        <w:rPr>
          <w:b/>
          <w:bCs/>
          <w:color w:val="000000" w:themeColor="text1"/>
          <w:sz w:val="28"/>
          <w:szCs w:val="28"/>
        </w:rPr>
      </w:pPr>
    </w:p>
    <w:p w14:paraId="34E0EE7F" w14:textId="3199D652" w:rsidR="00BC626E" w:rsidRPr="00B52F99" w:rsidRDefault="00BC626E" w:rsidP="00BC626E">
      <w:pPr>
        <w:spacing w:line="480" w:lineRule="auto"/>
        <w:rPr>
          <w:b/>
          <w:bCs/>
          <w:color w:val="000000" w:themeColor="text1"/>
          <w:sz w:val="28"/>
          <w:szCs w:val="28"/>
        </w:rPr>
      </w:pPr>
      <w:r w:rsidRPr="00B52F99">
        <w:rPr>
          <w:b/>
          <w:bCs/>
          <w:color w:val="000000" w:themeColor="text1"/>
          <w:sz w:val="28"/>
          <w:szCs w:val="28"/>
        </w:rPr>
        <w:lastRenderedPageBreak/>
        <w:t>Methods</w:t>
      </w:r>
    </w:p>
    <w:p w14:paraId="75BFDC3B" w14:textId="0A209BF8" w:rsidR="006873F8" w:rsidRPr="00B52F99" w:rsidRDefault="007110AC" w:rsidP="00BC626E">
      <w:pPr>
        <w:spacing w:line="480" w:lineRule="auto"/>
        <w:rPr>
          <w:color w:val="000000" w:themeColor="text1"/>
          <w:sz w:val="28"/>
          <w:szCs w:val="28"/>
        </w:rPr>
      </w:pPr>
      <w:r w:rsidRPr="00B52F99">
        <w:rPr>
          <w:color w:val="000000" w:themeColor="text1"/>
          <w:sz w:val="28"/>
          <w:szCs w:val="28"/>
        </w:rPr>
        <w:t>P</w:t>
      </w:r>
      <w:r w:rsidR="006873F8" w:rsidRPr="00B52F99">
        <w:rPr>
          <w:color w:val="000000" w:themeColor="text1"/>
          <w:sz w:val="28"/>
          <w:szCs w:val="28"/>
        </w:rPr>
        <w:t>articipants</w:t>
      </w:r>
      <w:r w:rsidRPr="00B52F99">
        <w:rPr>
          <w:color w:val="000000" w:themeColor="text1"/>
          <w:sz w:val="28"/>
          <w:szCs w:val="28"/>
        </w:rPr>
        <w:t xml:space="preserve">, </w:t>
      </w:r>
      <w:r w:rsidR="006873F8" w:rsidRPr="00B52F99">
        <w:rPr>
          <w:color w:val="000000" w:themeColor="text1"/>
          <w:sz w:val="28"/>
          <w:szCs w:val="28"/>
        </w:rPr>
        <w:t>dental samples</w:t>
      </w:r>
      <w:r w:rsidR="00615971" w:rsidRPr="00B52F99">
        <w:rPr>
          <w:color w:val="000000" w:themeColor="text1"/>
          <w:sz w:val="28"/>
          <w:szCs w:val="28"/>
        </w:rPr>
        <w:t>, study design and ethics</w:t>
      </w:r>
    </w:p>
    <w:p w14:paraId="207445DF" w14:textId="2B50C178" w:rsidR="007110AC" w:rsidRPr="00B52F99" w:rsidRDefault="007110AC" w:rsidP="00615971">
      <w:pPr>
        <w:spacing w:line="360" w:lineRule="auto"/>
        <w:jc w:val="both"/>
        <w:rPr>
          <w:color w:val="000000" w:themeColor="text1"/>
        </w:rPr>
      </w:pPr>
      <w:r w:rsidRPr="00B52F99">
        <w:rPr>
          <w:color w:val="000000" w:themeColor="text1"/>
        </w:rPr>
        <w:t>The 61 participants (</w:t>
      </w:r>
      <w:r w:rsidRPr="00B52F99">
        <w:rPr>
          <w:i/>
          <w:iCs/>
          <w:color w:val="000000" w:themeColor="text1"/>
        </w:rPr>
        <w:t>n</w:t>
      </w:r>
      <w:r w:rsidRPr="00B52F99">
        <w:rPr>
          <w:color w:val="000000" w:themeColor="text1"/>
        </w:rPr>
        <w:t xml:space="preserve">=34 females and </w:t>
      </w:r>
      <w:r w:rsidRPr="00B52F99">
        <w:rPr>
          <w:i/>
          <w:iCs/>
          <w:color w:val="000000" w:themeColor="text1"/>
        </w:rPr>
        <w:t>n</w:t>
      </w:r>
      <w:r w:rsidRPr="00B52F99">
        <w:rPr>
          <w:color w:val="000000" w:themeColor="text1"/>
        </w:rPr>
        <w:t>=27 males) were selected from a larger cohort that were part of the Biorhythm of Childhood Growth project. The BCG is an ongoing prospective cohort study that investigates childhood development in middle-income</w:t>
      </w:r>
      <w:r w:rsidR="00615971" w:rsidRPr="00B52F99">
        <w:rPr>
          <w:color w:val="000000" w:themeColor="text1"/>
        </w:rPr>
        <w:t xml:space="preserve"> </w:t>
      </w:r>
      <w:r w:rsidRPr="00B52F99">
        <w:rPr>
          <w:color w:val="000000" w:themeColor="text1"/>
        </w:rPr>
        <w:t>children</w:t>
      </w:r>
      <w:r w:rsidR="00615971" w:rsidRPr="00B52F99">
        <w:rPr>
          <w:color w:val="000000" w:themeColor="text1"/>
        </w:rPr>
        <w:t xml:space="preserve"> from Southern New Zealand</w:t>
      </w:r>
      <w:r w:rsidRPr="00B52F99">
        <w:rPr>
          <w:color w:val="000000" w:themeColor="text1"/>
          <w:vertAlign w:val="superscript"/>
        </w:rPr>
        <w:t>56</w:t>
      </w:r>
      <w:r w:rsidRPr="00B52F99">
        <w:rPr>
          <w:color w:val="000000" w:themeColor="text1"/>
        </w:rPr>
        <w:t xml:space="preserve">. Participants attended primary schools at the start of the project and then intermediate schools (see acknowledgements) within Dunedin city, New Zealand. 49 participants were of New Zealand European ethnicity. 6 participants were </w:t>
      </w:r>
      <w:r w:rsidR="00A63D25" w:rsidRPr="00B52F99">
        <w:rPr>
          <w:color w:val="000000" w:themeColor="text1"/>
        </w:rPr>
        <w:t xml:space="preserve">of mixed heritage </w:t>
      </w:r>
      <w:r w:rsidRPr="00B52F99">
        <w:rPr>
          <w:color w:val="000000" w:themeColor="text1"/>
        </w:rPr>
        <w:t xml:space="preserve">either New Zealand European/Māori, or New Zealand European/Pasifika. 6 participants were either Māori, Pasifika, </w:t>
      </w:r>
      <w:r w:rsidR="00A63D25" w:rsidRPr="00B52F99">
        <w:rPr>
          <w:color w:val="000000" w:themeColor="text1"/>
        </w:rPr>
        <w:t xml:space="preserve">Iranian or of mixed </w:t>
      </w:r>
      <w:r w:rsidRPr="00B52F99">
        <w:rPr>
          <w:color w:val="000000" w:themeColor="text1"/>
        </w:rPr>
        <w:t xml:space="preserve">Swiss/Korean </w:t>
      </w:r>
      <w:r w:rsidR="00A63D25" w:rsidRPr="00B52F99">
        <w:rPr>
          <w:color w:val="000000" w:themeColor="text1"/>
        </w:rPr>
        <w:t>heritage</w:t>
      </w:r>
      <w:r w:rsidRPr="00B52F99">
        <w:rPr>
          <w:color w:val="000000" w:themeColor="text1"/>
        </w:rPr>
        <w:t>.</w:t>
      </w:r>
    </w:p>
    <w:p w14:paraId="3182902F" w14:textId="77777777" w:rsidR="00A63D25" w:rsidRPr="00B52F99" w:rsidRDefault="00A63D25" w:rsidP="00A63D25">
      <w:pPr>
        <w:spacing w:line="360" w:lineRule="auto"/>
        <w:jc w:val="both"/>
        <w:rPr>
          <w:rFonts w:ascii="Segoe UI" w:hAnsi="Segoe UI" w:cs="Segoe UI"/>
          <w:color w:val="000000" w:themeColor="text1"/>
          <w:sz w:val="23"/>
          <w:szCs w:val="23"/>
        </w:rPr>
      </w:pPr>
    </w:p>
    <w:p w14:paraId="0DBD1F02" w14:textId="58DD012A" w:rsidR="006873F8" w:rsidRPr="00B52F99" w:rsidRDefault="006873F8" w:rsidP="00A63D25">
      <w:pPr>
        <w:spacing w:line="360" w:lineRule="auto"/>
        <w:jc w:val="both"/>
        <w:rPr>
          <w:b/>
          <w:bCs/>
          <w:color w:val="000000" w:themeColor="text1"/>
          <w:sz w:val="28"/>
          <w:szCs w:val="28"/>
        </w:rPr>
      </w:pPr>
      <w:r w:rsidRPr="00B52F99">
        <w:rPr>
          <w:color w:val="000000" w:themeColor="text1"/>
        </w:rPr>
        <w:t>Naturally exfoliated primary molars were collected from all BCG participants (</w:t>
      </w:r>
      <w:r w:rsidRPr="00B52F99">
        <w:rPr>
          <w:i/>
          <w:iCs/>
          <w:color w:val="000000" w:themeColor="text1"/>
        </w:rPr>
        <w:t>n</w:t>
      </w:r>
      <w:r w:rsidRPr="00B52F99">
        <w:rPr>
          <w:color w:val="000000" w:themeColor="text1"/>
        </w:rPr>
        <w:t>=125</w:t>
      </w:r>
      <w:r w:rsidR="00615971" w:rsidRPr="00B52F99">
        <w:rPr>
          <w:color w:val="000000" w:themeColor="text1"/>
        </w:rPr>
        <w:t xml:space="preserve"> children</w:t>
      </w:r>
      <w:r w:rsidRPr="00B52F99">
        <w:rPr>
          <w:color w:val="000000" w:themeColor="text1"/>
        </w:rPr>
        <w:t xml:space="preserve">) and </w:t>
      </w:r>
      <w:r w:rsidR="00BF4D9F" w:rsidRPr="00B52F99">
        <w:rPr>
          <w:i/>
          <w:iCs/>
          <w:color w:val="000000" w:themeColor="text1"/>
        </w:rPr>
        <w:t>n=</w:t>
      </w:r>
      <w:r w:rsidRPr="00B52F99">
        <w:rPr>
          <w:color w:val="000000" w:themeColor="text1"/>
        </w:rPr>
        <w:t xml:space="preserve">61 </w:t>
      </w:r>
      <w:proofErr w:type="gramStart"/>
      <w:r w:rsidRPr="00B52F99">
        <w:rPr>
          <w:color w:val="000000" w:themeColor="text1"/>
        </w:rPr>
        <w:t>were</w:t>
      </w:r>
      <w:proofErr w:type="gramEnd"/>
      <w:r w:rsidRPr="00B52F99">
        <w:rPr>
          <w:color w:val="000000" w:themeColor="text1"/>
        </w:rPr>
        <w:t xml:space="preserve"> randomly selected from these for the current analyses based upon histology criteria (see methods). </w:t>
      </w:r>
      <w:r w:rsidRPr="00B52F99">
        <w:rPr>
          <w:color w:val="000000" w:themeColor="text1"/>
          <w:shd w:val="clear" w:color="auto" w:fill="FFFFFF"/>
        </w:rPr>
        <w:t xml:space="preserve">RP </w:t>
      </w:r>
      <w:r w:rsidRPr="00B52F99">
        <w:rPr>
          <w:color w:val="000000" w:themeColor="text1"/>
        </w:rPr>
        <w:t>w</w:t>
      </w:r>
      <w:r w:rsidR="007110AC" w:rsidRPr="00B52F99">
        <w:rPr>
          <w:color w:val="000000" w:themeColor="text1"/>
        </w:rPr>
        <w:t>as</w:t>
      </w:r>
      <w:r w:rsidRPr="00B52F99">
        <w:rPr>
          <w:color w:val="000000" w:themeColor="text1"/>
        </w:rPr>
        <w:t xml:space="preserve"> calculated for each participant</w:t>
      </w:r>
      <w:r w:rsidR="007110AC" w:rsidRPr="00B52F99">
        <w:rPr>
          <w:color w:val="000000" w:themeColor="text1"/>
        </w:rPr>
        <w:t>,</w:t>
      </w:r>
      <w:r w:rsidRPr="00B52F99">
        <w:rPr>
          <w:color w:val="000000" w:themeColor="text1"/>
        </w:rPr>
        <w:t xml:space="preserve"> directly from their naturally exfoliated primary molars</w:t>
      </w:r>
      <w:r w:rsidR="007110AC" w:rsidRPr="00B52F99">
        <w:rPr>
          <w:color w:val="000000" w:themeColor="text1"/>
        </w:rPr>
        <w:t>,</w:t>
      </w:r>
      <w:r w:rsidRPr="00B52F99">
        <w:rPr>
          <w:color w:val="000000" w:themeColor="text1"/>
        </w:rPr>
        <w:t xml:space="preserve"> which w</w:t>
      </w:r>
      <w:r w:rsidR="007110AC" w:rsidRPr="00B52F99">
        <w:rPr>
          <w:color w:val="000000" w:themeColor="text1"/>
        </w:rPr>
        <w:t>as</w:t>
      </w:r>
      <w:r w:rsidRPr="00B52F99">
        <w:rPr>
          <w:color w:val="000000" w:themeColor="text1"/>
        </w:rPr>
        <w:t xml:space="preserve"> compared to measures of that individual’s weight and BMI. </w:t>
      </w:r>
      <w:r w:rsidRPr="00B52F99">
        <w:rPr>
          <w:color w:val="000000" w:themeColor="text1"/>
          <w:shd w:val="clear" w:color="auto" w:fill="FFFFFF"/>
        </w:rPr>
        <w:t>RP was calculated by one of us, GM, in the United Kingdom independently and blind of the weight and height data recorded in New Zealand by another author (SW).</w:t>
      </w:r>
    </w:p>
    <w:p w14:paraId="077EAD3B" w14:textId="4FB98990" w:rsidR="00615971" w:rsidRPr="00B52F99" w:rsidRDefault="00615971" w:rsidP="00615971">
      <w:pPr>
        <w:autoSpaceDE w:val="0"/>
        <w:autoSpaceDN w:val="0"/>
        <w:adjustRightInd w:val="0"/>
        <w:spacing w:line="360" w:lineRule="auto"/>
        <w:jc w:val="both"/>
        <w:rPr>
          <w:color w:val="000000" w:themeColor="text1"/>
          <w:shd w:val="clear" w:color="auto" w:fill="FFFFFF"/>
        </w:rPr>
      </w:pPr>
    </w:p>
    <w:p w14:paraId="6CBF8BB1" w14:textId="49248AE3" w:rsidR="00615971" w:rsidRPr="00B52F99" w:rsidRDefault="00615971" w:rsidP="00615971">
      <w:pPr>
        <w:spacing w:line="360" w:lineRule="auto"/>
        <w:jc w:val="both"/>
        <w:rPr>
          <w:color w:val="000000" w:themeColor="text1"/>
        </w:rPr>
      </w:pPr>
      <w:r w:rsidRPr="00B52F99">
        <w:rPr>
          <w:color w:val="000000" w:themeColor="text1"/>
        </w:rPr>
        <w:t>We focused on primary molars only, as RP is a sequence</w:t>
      </w:r>
      <w:r w:rsidRPr="00B52F99">
        <w:rPr>
          <w:color w:val="000000" w:themeColor="text1"/>
          <w:vertAlign w:val="superscript"/>
        </w:rPr>
        <w:t xml:space="preserve"> </w:t>
      </w:r>
      <w:r w:rsidRPr="00B52F99">
        <w:rPr>
          <w:color w:val="000000" w:themeColor="text1"/>
        </w:rPr>
        <w:t>for some individuals that can change between tooth types along the tooth row</w:t>
      </w:r>
      <w:r w:rsidRPr="00B52F99">
        <w:rPr>
          <w:color w:val="000000" w:themeColor="text1"/>
          <w:vertAlign w:val="superscript"/>
        </w:rPr>
        <w:t>3</w:t>
      </w:r>
      <w:r w:rsidR="00B6569F" w:rsidRPr="00B52F99">
        <w:rPr>
          <w:color w:val="000000" w:themeColor="text1"/>
          <w:vertAlign w:val="superscript"/>
        </w:rPr>
        <w:t>3</w:t>
      </w:r>
      <w:r w:rsidRPr="00B52F99">
        <w:rPr>
          <w:color w:val="000000" w:themeColor="text1"/>
        </w:rPr>
        <w:t xml:space="preserve">. </w:t>
      </w:r>
      <w:r w:rsidRPr="00B52F99">
        <w:rPr>
          <w:color w:val="000000" w:themeColor="text1"/>
          <w:shd w:val="clear" w:color="auto" w:fill="FFFFFF"/>
        </w:rPr>
        <w:t>All deciduous</w:t>
      </w:r>
      <w:r w:rsidRPr="00B52F99">
        <w:rPr>
          <w:color w:val="000000" w:themeColor="text1"/>
        </w:rPr>
        <w:t xml:space="preserve"> molars, both maxillary and mandibular, were naturally exfoliated during the project. They were collected once a month during the monthly measurement of the growth variables. Molars with accentuated markings (also known as stress lines) were excluded as RP can sometimes change on either side of a stress marking</w:t>
      </w:r>
      <w:r w:rsidR="00B6569F" w:rsidRPr="00B52F99">
        <w:rPr>
          <w:color w:val="000000" w:themeColor="text1"/>
          <w:vertAlign w:val="superscript"/>
        </w:rPr>
        <w:t>35</w:t>
      </w:r>
      <w:r w:rsidRPr="00B52F99">
        <w:rPr>
          <w:color w:val="000000" w:themeColor="text1"/>
        </w:rPr>
        <w:t>.</w:t>
      </w:r>
    </w:p>
    <w:p w14:paraId="2B5B55F0" w14:textId="77777777" w:rsidR="006873F8" w:rsidRPr="00B52F99" w:rsidRDefault="006873F8" w:rsidP="00615971">
      <w:pPr>
        <w:autoSpaceDE w:val="0"/>
        <w:autoSpaceDN w:val="0"/>
        <w:adjustRightInd w:val="0"/>
        <w:spacing w:line="360" w:lineRule="auto"/>
        <w:jc w:val="both"/>
        <w:rPr>
          <w:color w:val="000000" w:themeColor="text1"/>
        </w:rPr>
      </w:pPr>
    </w:p>
    <w:p w14:paraId="69FC933B" w14:textId="29736E96" w:rsidR="006873F8" w:rsidRPr="00B52F99" w:rsidRDefault="006873F8" w:rsidP="00615971">
      <w:pPr>
        <w:spacing w:line="360" w:lineRule="auto"/>
        <w:jc w:val="both"/>
        <w:rPr>
          <w:color w:val="000000" w:themeColor="text1"/>
        </w:rPr>
      </w:pPr>
      <w:r w:rsidRPr="00B52F99">
        <w:rPr>
          <w:color w:val="000000" w:themeColor="text1"/>
        </w:rPr>
        <w:t xml:space="preserve">Additional measures were incorporated into our </w:t>
      </w:r>
      <w:r w:rsidR="00BF4D9F" w:rsidRPr="00B52F99">
        <w:rPr>
          <w:color w:val="000000" w:themeColor="text1"/>
        </w:rPr>
        <w:t>study</w:t>
      </w:r>
      <w:r w:rsidRPr="00B52F99">
        <w:rPr>
          <w:color w:val="000000" w:themeColor="text1"/>
        </w:rPr>
        <w:t xml:space="preserve"> design so we could identify their effect on potential relationships between RP and weight gain. Adolescence typically commences in females (age 9 to 12 years) before males (age 11 to 14 years)</w:t>
      </w:r>
      <w:r w:rsidRPr="00B52F99">
        <w:rPr>
          <w:color w:val="000000" w:themeColor="text1"/>
          <w:vertAlign w:val="superscript"/>
        </w:rPr>
        <w:t>1,2</w:t>
      </w:r>
      <w:r w:rsidRPr="00B52F99">
        <w:rPr>
          <w:color w:val="000000" w:themeColor="text1"/>
        </w:rPr>
        <w:t>.  Peak growth in height is greater for males but occurs sooner for females</w:t>
      </w:r>
      <w:r w:rsidRPr="00B52F99">
        <w:rPr>
          <w:color w:val="000000" w:themeColor="text1"/>
          <w:vertAlign w:val="superscript"/>
        </w:rPr>
        <w:t>57</w:t>
      </w:r>
      <w:r w:rsidRPr="00B52F99">
        <w:rPr>
          <w:color w:val="000000" w:themeColor="text1"/>
        </w:rPr>
        <w:t xml:space="preserve">. Because of these sex differences in the timing of adolescence, we expected females to gain more weight and height than males over the course of 14-months. If the biorhythm relates to adolescent weight/BMI gains, then there should be sex differences in these relationships. </w:t>
      </w:r>
    </w:p>
    <w:p w14:paraId="19A91D5F" w14:textId="77777777" w:rsidR="006873F8" w:rsidRPr="00B52F99" w:rsidRDefault="006873F8" w:rsidP="00615971">
      <w:pPr>
        <w:spacing w:line="360" w:lineRule="auto"/>
        <w:jc w:val="both"/>
        <w:rPr>
          <w:color w:val="000000" w:themeColor="text1"/>
        </w:rPr>
      </w:pPr>
    </w:p>
    <w:p w14:paraId="07D87E50" w14:textId="6361925E" w:rsidR="006873F8" w:rsidRPr="00B52F99" w:rsidRDefault="006873F8" w:rsidP="00615971">
      <w:pPr>
        <w:spacing w:line="360" w:lineRule="auto"/>
        <w:jc w:val="both"/>
        <w:rPr>
          <w:color w:val="000000" w:themeColor="text1"/>
        </w:rPr>
      </w:pPr>
      <w:r w:rsidRPr="00B52F99">
        <w:rPr>
          <w:color w:val="000000" w:themeColor="text1"/>
        </w:rPr>
        <w:t>Many factors influence body size during puberty. Body composition has a genetic component</w:t>
      </w:r>
      <w:r w:rsidRPr="00B52F99">
        <w:rPr>
          <w:color w:val="000000" w:themeColor="text1"/>
          <w:vertAlign w:val="superscript"/>
        </w:rPr>
        <w:t>11-14</w:t>
      </w:r>
      <w:r w:rsidRPr="00B52F99">
        <w:rPr>
          <w:color w:val="000000" w:themeColor="text1"/>
        </w:rPr>
        <w:t>, and can be influenced by dietary habits</w:t>
      </w:r>
      <w:r w:rsidRPr="00B52F99">
        <w:rPr>
          <w:color w:val="000000" w:themeColor="text1"/>
          <w:vertAlign w:val="superscript"/>
        </w:rPr>
        <w:t>6</w:t>
      </w:r>
      <w:r w:rsidRPr="00B52F99">
        <w:rPr>
          <w:color w:val="000000" w:themeColor="text1"/>
        </w:rPr>
        <w:t>, social environment, and variation in activity levels</w:t>
      </w:r>
      <w:r w:rsidRPr="00B52F99">
        <w:rPr>
          <w:color w:val="000000" w:themeColor="text1"/>
          <w:vertAlign w:val="superscript"/>
        </w:rPr>
        <w:t>15,16</w:t>
      </w:r>
      <w:r w:rsidRPr="00B52F99">
        <w:rPr>
          <w:color w:val="000000" w:themeColor="text1"/>
        </w:rPr>
        <w:t xml:space="preserve"> related to seasons</w:t>
      </w:r>
      <w:r w:rsidRPr="00B52F99">
        <w:rPr>
          <w:color w:val="000000" w:themeColor="text1"/>
          <w:vertAlign w:val="superscript"/>
        </w:rPr>
        <w:t>5</w:t>
      </w:r>
      <w:r w:rsidRPr="00B52F99">
        <w:rPr>
          <w:color w:val="000000" w:themeColor="text1"/>
        </w:rPr>
        <w:t>. A recent study reports the effect of a Covid-19 national lockdown on adolescent BMI</w:t>
      </w:r>
      <w:r w:rsidRPr="00B52F99">
        <w:rPr>
          <w:color w:val="000000" w:themeColor="text1"/>
          <w:vertAlign w:val="superscript"/>
        </w:rPr>
        <w:t>5</w:t>
      </w:r>
      <w:r w:rsidR="00A67E2C" w:rsidRPr="00B52F99">
        <w:rPr>
          <w:color w:val="000000" w:themeColor="text1"/>
          <w:vertAlign w:val="superscript"/>
        </w:rPr>
        <w:t>7</w:t>
      </w:r>
      <w:r w:rsidRPr="00B52F99">
        <w:rPr>
          <w:color w:val="000000" w:themeColor="text1"/>
        </w:rPr>
        <w:t xml:space="preserve">. We therefore recorded the timing of maturation stages for participants in our study, modelled from </w:t>
      </w:r>
      <w:r w:rsidRPr="00B52F99">
        <w:rPr>
          <w:color w:val="000000" w:themeColor="text1"/>
        </w:rPr>
        <w:lastRenderedPageBreak/>
        <w:t>longitudinal measurements of height and lower leg length, and variation in these parameters and weight gain related to ancestry, seasons of the year and a Covid-19 lockdown that occurred unexpectedly between the end of March 2020 until the beginning of June when New Zealand returned to Level 1</w:t>
      </w:r>
      <w:r w:rsidRPr="00B52F99">
        <w:rPr>
          <w:color w:val="000000" w:themeColor="text1"/>
          <w:vertAlign w:val="superscript"/>
        </w:rPr>
        <w:t>5</w:t>
      </w:r>
      <w:r w:rsidR="00B6569F" w:rsidRPr="00B52F99">
        <w:rPr>
          <w:color w:val="000000" w:themeColor="text1"/>
          <w:vertAlign w:val="superscript"/>
        </w:rPr>
        <w:t>8</w:t>
      </w:r>
      <w:r w:rsidRPr="00B52F99">
        <w:rPr>
          <w:color w:val="000000" w:themeColor="text1"/>
        </w:rPr>
        <w:t>.</w:t>
      </w:r>
    </w:p>
    <w:p w14:paraId="6C865741" w14:textId="77777777" w:rsidR="00C93401" w:rsidRPr="00B52F99" w:rsidRDefault="00C93401" w:rsidP="00C93401">
      <w:pPr>
        <w:spacing w:line="360" w:lineRule="auto"/>
        <w:jc w:val="both"/>
        <w:rPr>
          <w:color w:val="000000" w:themeColor="text1"/>
        </w:rPr>
      </w:pPr>
    </w:p>
    <w:p w14:paraId="3CBAE35E" w14:textId="6FCC34D1" w:rsidR="00C93401" w:rsidRPr="00B52F99" w:rsidRDefault="00C93401" w:rsidP="00C93401">
      <w:pPr>
        <w:spacing w:line="360" w:lineRule="auto"/>
        <w:jc w:val="both"/>
        <w:rPr>
          <w:b/>
          <w:bCs/>
          <w:color w:val="000000" w:themeColor="text1"/>
        </w:rPr>
      </w:pPr>
      <w:r w:rsidRPr="00B52F99">
        <w:rPr>
          <w:color w:val="000000" w:themeColor="text1"/>
        </w:rPr>
        <w:t xml:space="preserve">Ethical approval for monthly measurements from participants and collection of primary molars was obtained from the University of Otago Human Ethics Committee (approval number H19/030). Research consultation with Māori was obtained from the </w:t>
      </w:r>
      <w:proofErr w:type="spellStart"/>
      <w:r w:rsidRPr="00B52F99">
        <w:rPr>
          <w:color w:val="000000" w:themeColor="text1"/>
        </w:rPr>
        <w:t>Ngāi</w:t>
      </w:r>
      <w:proofErr w:type="spellEnd"/>
      <w:r w:rsidRPr="00B52F99">
        <w:rPr>
          <w:color w:val="000000" w:themeColor="text1"/>
        </w:rPr>
        <w:t xml:space="preserve"> </w:t>
      </w:r>
      <w:proofErr w:type="spellStart"/>
      <w:r w:rsidRPr="00B52F99">
        <w:rPr>
          <w:color w:val="000000" w:themeColor="text1"/>
        </w:rPr>
        <w:t>Tahu</w:t>
      </w:r>
      <w:proofErr w:type="spellEnd"/>
      <w:r w:rsidRPr="00B52F99">
        <w:rPr>
          <w:color w:val="000000" w:themeColor="text1"/>
        </w:rPr>
        <w:t xml:space="preserve"> Research Consultation Committee. </w:t>
      </w:r>
      <w:r w:rsidR="000D72FC" w:rsidRPr="00B52F99">
        <w:rPr>
          <w:color w:val="000000" w:themeColor="text1"/>
          <w:shd w:val="clear" w:color="auto" w:fill="FFFFFF"/>
        </w:rPr>
        <w:t xml:space="preserve">In New Zealand, research consultation with Māori is mandated in all areas of research that involves people of Māori descent. </w:t>
      </w:r>
      <w:r w:rsidRPr="00B52F99">
        <w:rPr>
          <w:color w:val="000000" w:themeColor="text1"/>
        </w:rPr>
        <w:t>Informed consent was obtained from all participants and their parents or guardians. A list of participating schools in Dunedin is given in Acknowledgments.</w:t>
      </w:r>
    </w:p>
    <w:p w14:paraId="35A4C606" w14:textId="77777777" w:rsidR="00BC626E" w:rsidRPr="00B52F99" w:rsidRDefault="00BC626E" w:rsidP="00BC626E">
      <w:pPr>
        <w:spacing w:line="360" w:lineRule="auto"/>
        <w:jc w:val="both"/>
        <w:rPr>
          <w:i/>
          <w:iCs/>
          <w:color w:val="000000" w:themeColor="text1"/>
        </w:rPr>
      </w:pPr>
    </w:p>
    <w:p w14:paraId="0D4DAACD" w14:textId="77777777" w:rsidR="00BC626E" w:rsidRPr="00B52F99" w:rsidRDefault="00BC626E" w:rsidP="00BC626E">
      <w:pPr>
        <w:spacing w:line="360" w:lineRule="auto"/>
        <w:textAlignment w:val="baseline"/>
        <w:rPr>
          <w:color w:val="000000" w:themeColor="text1"/>
          <w:sz w:val="28"/>
          <w:szCs w:val="28"/>
        </w:rPr>
      </w:pPr>
      <w:r w:rsidRPr="00B52F99">
        <w:rPr>
          <w:color w:val="000000" w:themeColor="text1"/>
          <w:sz w:val="28"/>
          <w:szCs w:val="28"/>
        </w:rPr>
        <w:t>Histology</w:t>
      </w:r>
    </w:p>
    <w:p w14:paraId="779E2D0C" w14:textId="5E72295D" w:rsidR="00BC626E" w:rsidRPr="00B52F99" w:rsidRDefault="00BC626E" w:rsidP="00BC626E">
      <w:pPr>
        <w:pStyle w:val="EndNoteBibliography"/>
        <w:spacing w:line="360" w:lineRule="auto"/>
        <w:jc w:val="both"/>
        <w:rPr>
          <w:bCs/>
          <w:color w:val="000000" w:themeColor="text1"/>
          <w:lang w:val="en-GB"/>
        </w:rPr>
      </w:pPr>
      <w:r w:rsidRPr="00B52F99">
        <w:rPr>
          <w:bCs/>
          <w:color w:val="000000" w:themeColor="text1"/>
          <w:lang w:val="en-GB"/>
        </w:rPr>
        <w:t>Thin sections were created following standard procedures</w:t>
      </w:r>
      <w:r w:rsidR="00B6569F" w:rsidRPr="00B52F99">
        <w:rPr>
          <w:bCs/>
          <w:color w:val="000000" w:themeColor="text1"/>
          <w:vertAlign w:val="superscript"/>
          <w:lang w:val="en-GB"/>
        </w:rPr>
        <w:t>39</w:t>
      </w:r>
      <w:r w:rsidRPr="00B52F99">
        <w:rPr>
          <w:bCs/>
          <w:color w:val="000000" w:themeColor="text1"/>
          <w:lang w:val="en-GB"/>
        </w:rPr>
        <w:t xml:space="preserve">. Teeth were embedded in resin (Buehler EpoxiCure®) and sectioned through the tip of the mesial cusp and dentin horn using a Buehler Isomet 1000 precision saw. Sections were fixed to glass microscope slides (Evo Stick® resin), ground (grit P400, P600, P1200) (Buehler® EcoMet 300), polished with a 0.3 µm aluminium oxide powder (Buehler® Micro-Polish II), cleaned in an ultrasonic bath, dehydrated in 95-100% ethanol, cleared (Histoclear®), and mounted with a coverslip (DPX®). </w:t>
      </w:r>
      <w:r w:rsidRPr="00B52F99">
        <w:rPr>
          <w:color w:val="000000" w:themeColor="text1"/>
          <w:shd w:val="clear" w:color="auto" w:fill="FFFFFF"/>
        </w:rPr>
        <w:t xml:space="preserve">Thin section thickness is determined by visibility of incremental lines. Lines can become visibile at different depths in thin sections of primary molar from different individuals. </w:t>
      </w:r>
      <w:r w:rsidRPr="00B52F99">
        <w:rPr>
          <w:bCs/>
          <w:color w:val="000000" w:themeColor="text1"/>
          <w:lang w:val="en-GB"/>
        </w:rPr>
        <w:t xml:space="preserve">Sections were examined using a high-resolution microscope (Olympus® BX53) and microscope camera (Olympus® DP25). Images were obtained and analysed in CELL® Live Biology imaging software. </w:t>
      </w:r>
    </w:p>
    <w:p w14:paraId="0A331681" w14:textId="77777777" w:rsidR="00BC626E" w:rsidRPr="00B52F99" w:rsidRDefault="00BC626E" w:rsidP="00BC626E">
      <w:pPr>
        <w:pStyle w:val="EndNoteBibliography"/>
        <w:spacing w:line="360" w:lineRule="auto"/>
        <w:jc w:val="both"/>
        <w:rPr>
          <w:bCs/>
          <w:color w:val="000000" w:themeColor="text1"/>
          <w:lang w:val="en-GB"/>
        </w:rPr>
      </w:pPr>
    </w:p>
    <w:p w14:paraId="64F31120" w14:textId="0063A866" w:rsidR="00BC626E" w:rsidRPr="00B52F99" w:rsidRDefault="00BC626E" w:rsidP="00BC626E">
      <w:pPr>
        <w:spacing w:line="360" w:lineRule="auto"/>
        <w:jc w:val="both"/>
        <w:textAlignment w:val="baseline"/>
        <w:rPr>
          <w:rFonts w:eastAsiaTheme="minorHAnsi"/>
          <w:color w:val="000000" w:themeColor="text1"/>
          <w:lang w:eastAsia="en-US"/>
        </w:rPr>
      </w:pPr>
      <w:proofErr w:type="spellStart"/>
      <w:r w:rsidRPr="00B52F99">
        <w:rPr>
          <w:color w:val="000000" w:themeColor="text1"/>
        </w:rPr>
        <w:t>Retzius</w:t>
      </w:r>
      <w:proofErr w:type="spellEnd"/>
      <w:r w:rsidRPr="00B52F99">
        <w:rPr>
          <w:color w:val="000000" w:themeColor="text1"/>
        </w:rPr>
        <w:t xml:space="preserve"> periodicity data was recorded by GM</w:t>
      </w:r>
      <w:r w:rsidR="00774A7F" w:rsidRPr="00B52F99">
        <w:rPr>
          <w:color w:val="000000" w:themeColor="text1"/>
        </w:rPr>
        <w:t xml:space="preserve"> in the United Kingdom</w:t>
      </w:r>
      <w:r w:rsidRPr="00B52F99">
        <w:rPr>
          <w:color w:val="000000" w:themeColor="text1"/>
        </w:rPr>
        <w:t xml:space="preserve">, independently and blind of the New Zealand growth data.  Each participant was selected for inclusion into the study if we were able to produce two </w:t>
      </w:r>
      <w:r w:rsidR="00F13AA9" w:rsidRPr="00B52F99">
        <w:rPr>
          <w:color w:val="000000" w:themeColor="text1"/>
        </w:rPr>
        <w:t xml:space="preserve">matching </w:t>
      </w:r>
      <w:r w:rsidRPr="00B52F99">
        <w:rPr>
          <w:color w:val="000000" w:themeColor="text1"/>
        </w:rPr>
        <w:t xml:space="preserve">RPs for their primary molars, either: (a) from the outer lateral enamel of each participant’s first and second primary molars, or (b) from one single primary molar. </w:t>
      </w:r>
      <w:r w:rsidRPr="00B52F99">
        <w:rPr>
          <w:rFonts w:eastAsiaTheme="minorHAnsi"/>
          <w:color w:val="000000" w:themeColor="text1"/>
          <w:lang w:eastAsia="en-US"/>
        </w:rPr>
        <w:t xml:space="preserve">Lateral enamel commences as the first </w:t>
      </w:r>
      <w:proofErr w:type="spellStart"/>
      <w:r w:rsidRPr="00B52F99">
        <w:rPr>
          <w:rFonts w:eastAsiaTheme="minorHAnsi"/>
          <w:color w:val="000000" w:themeColor="text1"/>
          <w:lang w:eastAsia="en-US"/>
        </w:rPr>
        <w:t>Retzius</w:t>
      </w:r>
      <w:proofErr w:type="spellEnd"/>
      <w:r w:rsidRPr="00B52F99">
        <w:rPr>
          <w:rFonts w:eastAsiaTheme="minorHAnsi"/>
          <w:color w:val="000000" w:themeColor="text1"/>
          <w:lang w:eastAsia="en-US"/>
        </w:rPr>
        <w:t xml:space="preserve"> line emerges on the outer enamel surface as a perikymata (meaning, growth lines on the exterior rather than interior of the tooth enamel). </w:t>
      </w:r>
    </w:p>
    <w:p w14:paraId="5BE4F6A7" w14:textId="77777777" w:rsidR="00BC626E" w:rsidRPr="00B52F99" w:rsidRDefault="00BC626E" w:rsidP="00BC626E">
      <w:pPr>
        <w:spacing w:line="360" w:lineRule="auto"/>
        <w:jc w:val="both"/>
        <w:textAlignment w:val="baseline"/>
        <w:rPr>
          <w:rFonts w:eastAsiaTheme="minorHAnsi"/>
          <w:color w:val="000000" w:themeColor="text1"/>
          <w:lang w:eastAsia="en-US"/>
        </w:rPr>
      </w:pPr>
    </w:p>
    <w:p w14:paraId="79D7526F" w14:textId="266EDF37" w:rsidR="00BC626E" w:rsidRPr="00B52F99" w:rsidRDefault="00BC626E" w:rsidP="00BC626E">
      <w:pPr>
        <w:spacing w:line="360" w:lineRule="auto"/>
        <w:jc w:val="both"/>
        <w:textAlignment w:val="baseline"/>
        <w:rPr>
          <w:rFonts w:eastAsiaTheme="minorHAnsi"/>
          <w:color w:val="000000" w:themeColor="text1"/>
          <w:lang w:eastAsia="en-US"/>
        </w:rPr>
      </w:pPr>
      <w:r w:rsidRPr="00B52F99">
        <w:rPr>
          <w:color w:val="000000" w:themeColor="text1"/>
        </w:rPr>
        <w:t>We found no evidence that RP changed within an individual</w:t>
      </w:r>
      <w:r w:rsidR="00774A7F" w:rsidRPr="00B52F99">
        <w:rPr>
          <w:color w:val="000000" w:themeColor="text1"/>
        </w:rPr>
        <w:t xml:space="preserve"> when compared</w:t>
      </w:r>
      <w:r w:rsidRPr="00B52F99">
        <w:rPr>
          <w:color w:val="000000" w:themeColor="text1"/>
        </w:rPr>
        <w:t xml:space="preserve"> between their primary molars, either in comparisons between mandibular and maxillary molars or first and second molars (Supplementary Table 1)</w:t>
      </w:r>
      <w:r w:rsidR="00774A7F" w:rsidRPr="00B52F99">
        <w:rPr>
          <w:color w:val="000000" w:themeColor="text1"/>
        </w:rPr>
        <w:t xml:space="preserve">. This </w:t>
      </w:r>
      <w:r w:rsidRPr="00B52F99">
        <w:rPr>
          <w:color w:val="000000" w:themeColor="text1"/>
        </w:rPr>
        <w:t>is consistent with findings for permanent molars</w:t>
      </w:r>
      <w:r w:rsidRPr="00B52F99">
        <w:rPr>
          <w:color w:val="000000" w:themeColor="text1"/>
          <w:vertAlign w:val="superscript"/>
        </w:rPr>
        <w:t>3</w:t>
      </w:r>
      <w:r w:rsidR="00A67E2C" w:rsidRPr="00B52F99">
        <w:rPr>
          <w:color w:val="000000" w:themeColor="text1"/>
          <w:vertAlign w:val="superscript"/>
        </w:rPr>
        <w:t>3</w:t>
      </w:r>
      <w:r w:rsidRPr="00B52F99">
        <w:rPr>
          <w:color w:val="000000" w:themeColor="text1"/>
        </w:rPr>
        <w:t>.</w:t>
      </w:r>
      <w:r w:rsidRPr="00B52F99">
        <w:rPr>
          <w:rFonts w:eastAsiaTheme="minorHAnsi"/>
          <w:color w:val="000000" w:themeColor="text1"/>
          <w:lang w:eastAsia="en-US"/>
        </w:rPr>
        <w:t xml:space="preserve"> Oblique thin sections were identified and removed from the study. Oblique sections can be easily identified from the morphology of the dentin horn together with the slope of the enamel buccal and lingual surfaces of the functional and guiding cusps.</w:t>
      </w:r>
    </w:p>
    <w:p w14:paraId="51B54AFB" w14:textId="1D404D59" w:rsidR="00774A7F" w:rsidRPr="00B52F99" w:rsidRDefault="00BC626E" w:rsidP="00BC626E">
      <w:pPr>
        <w:autoSpaceDE w:val="0"/>
        <w:autoSpaceDN w:val="0"/>
        <w:adjustRightInd w:val="0"/>
        <w:spacing w:line="360" w:lineRule="auto"/>
        <w:jc w:val="both"/>
        <w:rPr>
          <w:rFonts w:eastAsiaTheme="minorHAnsi"/>
          <w:color w:val="000000" w:themeColor="text1"/>
          <w:lang w:eastAsia="en-US"/>
        </w:rPr>
      </w:pPr>
      <w:r w:rsidRPr="00B52F99">
        <w:rPr>
          <w:rFonts w:eastAsiaTheme="minorHAnsi"/>
          <w:color w:val="000000" w:themeColor="text1"/>
          <w:lang w:eastAsia="en-US"/>
        </w:rPr>
        <w:lastRenderedPageBreak/>
        <w:t xml:space="preserve">RP was calculated in two standard ways. The number of daily cross striations was counted along a prism between two adjacent </w:t>
      </w:r>
      <w:proofErr w:type="spellStart"/>
      <w:r w:rsidRPr="00B52F99">
        <w:rPr>
          <w:rFonts w:eastAsiaTheme="minorHAnsi"/>
          <w:color w:val="000000" w:themeColor="text1"/>
          <w:lang w:eastAsia="en-US"/>
        </w:rPr>
        <w:t>Retzius</w:t>
      </w:r>
      <w:proofErr w:type="spellEnd"/>
      <w:r w:rsidRPr="00B52F99">
        <w:rPr>
          <w:rFonts w:eastAsiaTheme="minorHAnsi"/>
          <w:color w:val="000000" w:themeColor="text1"/>
          <w:lang w:eastAsia="en-US"/>
        </w:rPr>
        <w:t xml:space="preserve"> lines in lateral enamel at 200-400x magnifications (includes the ocular magnification). When consecutive cross-striations were not clearly visible between two </w:t>
      </w:r>
      <w:proofErr w:type="spellStart"/>
      <w:r w:rsidRPr="00B52F99">
        <w:rPr>
          <w:rFonts w:eastAsiaTheme="minorHAnsi"/>
          <w:color w:val="000000" w:themeColor="text1"/>
          <w:lang w:eastAsia="en-US"/>
        </w:rPr>
        <w:t>Retzius</w:t>
      </w:r>
      <w:proofErr w:type="spellEnd"/>
      <w:r w:rsidRPr="00B52F99">
        <w:rPr>
          <w:rFonts w:eastAsiaTheme="minorHAnsi"/>
          <w:color w:val="000000" w:themeColor="text1"/>
          <w:lang w:eastAsia="en-US"/>
        </w:rPr>
        <w:t xml:space="preserve"> lines, RP was calculated from local daily enamel secretion rates (DSRs) divided by prism lengths</w:t>
      </w:r>
      <w:r w:rsidRPr="00B52F99">
        <w:rPr>
          <w:rFonts w:eastAsiaTheme="minorHAnsi"/>
          <w:color w:val="000000" w:themeColor="text1"/>
          <w:vertAlign w:val="superscript"/>
          <w:lang w:eastAsia="en-US"/>
        </w:rPr>
        <w:t>4</w:t>
      </w:r>
      <w:r w:rsidR="00A67E2C" w:rsidRPr="00B52F99">
        <w:rPr>
          <w:rFonts w:eastAsiaTheme="minorHAnsi"/>
          <w:color w:val="000000" w:themeColor="text1"/>
          <w:vertAlign w:val="superscript"/>
          <w:lang w:eastAsia="en-US"/>
        </w:rPr>
        <w:t>5</w:t>
      </w:r>
      <w:r w:rsidRPr="00B52F99">
        <w:rPr>
          <w:rFonts w:eastAsiaTheme="minorHAnsi"/>
          <w:color w:val="000000" w:themeColor="text1"/>
          <w:lang w:eastAsia="en-US"/>
        </w:rPr>
        <w:t xml:space="preserve">. </w:t>
      </w:r>
    </w:p>
    <w:p w14:paraId="77656C32" w14:textId="77777777" w:rsidR="00774A7F" w:rsidRPr="00B52F99" w:rsidRDefault="00774A7F" w:rsidP="00BC626E">
      <w:pPr>
        <w:autoSpaceDE w:val="0"/>
        <w:autoSpaceDN w:val="0"/>
        <w:adjustRightInd w:val="0"/>
        <w:spacing w:line="360" w:lineRule="auto"/>
        <w:jc w:val="both"/>
        <w:rPr>
          <w:rFonts w:eastAsiaTheme="minorHAnsi"/>
          <w:color w:val="000000" w:themeColor="text1"/>
          <w:lang w:eastAsia="en-US"/>
        </w:rPr>
      </w:pPr>
    </w:p>
    <w:p w14:paraId="2B22A1DD" w14:textId="2D6272B0" w:rsidR="00BC626E" w:rsidRPr="00B52F99" w:rsidRDefault="00BC626E" w:rsidP="00BC626E">
      <w:pPr>
        <w:autoSpaceDE w:val="0"/>
        <w:autoSpaceDN w:val="0"/>
        <w:adjustRightInd w:val="0"/>
        <w:spacing w:line="360" w:lineRule="auto"/>
        <w:jc w:val="both"/>
        <w:rPr>
          <w:rFonts w:eastAsiaTheme="minorHAnsi"/>
          <w:color w:val="000000" w:themeColor="text1"/>
          <w:lang w:eastAsia="en-US"/>
        </w:rPr>
      </w:pPr>
      <w:r w:rsidRPr="00B52F99">
        <w:rPr>
          <w:rFonts w:eastAsiaTheme="minorHAnsi"/>
          <w:color w:val="000000" w:themeColor="text1"/>
          <w:lang w:eastAsia="en-US"/>
        </w:rPr>
        <w:t xml:space="preserve">We had a good understanding of DSRs in primary molars of </w:t>
      </w:r>
      <w:r w:rsidR="00774A7F" w:rsidRPr="00B52F99">
        <w:rPr>
          <w:rFonts w:eastAsiaTheme="minorHAnsi"/>
          <w:color w:val="000000" w:themeColor="text1"/>
          <w:lang w:eastAsia="en-US"/>
        </w:rPr>
        <w:t xml:space="preserve">these </w:t>
      </w:r>
      <w:r w:rsidRPr="00B52F99">
        <w:rPr>
          <w:rFonts w:eastAsiaTheme="minorHAnsi"/>
          <w:color w:val="000000" w:themeColor="text1"/>
          <w:lang w:eastAsia="en-US"/>
        </w:rPr>
        <w:t>New Zealand children</w:t>
      </w:r>
      <w:r w:rsidR="008037A5" w:rsidRPr="00B52F99">
        <w:rPr>
          <w:rFonts w:eastAsiaTheme="minorHAnsi"/>
          <w:color w:val="000000" w:themeColor="text1"/>
          <w:vertAlign w:val="superscript"/>
          <w:lang w:eastAsia="en-US"/>
        </w:rPr>
        <w:t>56</w:t>
      </w:r>
      <w:r w:rsidRPr="00B52F99">
        <w:rPr>
          <w:rFonts w:eastAsiaTheme="minorHAnsi"/>
          <w:color w:val="000000" w:themeColor="text1"/>
          <w:lang w:eastAsia="en-US"/>
        </w:rPr>
        <w:t>. Variation in DSRs was not a confounding factor in our calculation of RP as DSRs vary only slightly in outer lateral enamel of primary molars of New Zealand European children</w:t>
      </w:r>
      <w:r w:rsidR="008037A5" w:rsidRPr="00B52F99">
        <w:rPr>
          <w:rFonts w:eastAsiaTheme="minorHAnsi"/>
          <w:color w:val="000000" w:themeColor="text1"/>
          <w:vertAlign w:val="superscript"/>
          <w:lang w:eastAsia="en-US"/>
        </w:rPr>
        <w:t>56</w:t>
      </w:r>
      <w:r w:rsidRPr="00B52F99">
        <w:rPr>
          <w:rFonts w:eastAsiaTheme="minorHAnsi"/>
          <w:color w:val="000000" w:themeColor="text1"/>
          <w:lang w:eastAsia="en-US"/>
        </w:rPr>
        <w:t>. DSRs were calculated by measuring along a prism across the span of six cross striations, which corresponds to five days of enamel formation (two adjacent cross striations = 24 hrs of enamel secretion</w:t>
      </w:r>
      <w:proofErr w:type="gramStart"/>
      <w:r w:rsidRPr="00B52F99">
        <w:rPr>
          <w:rFonts w:eastAsiaTheme="minorHAnsi"/>
          <w:color w:val="000000" w:themeColor="text1"/>
          <w:lang w:eastAsia="en-US"/>
        </w:rPr>
        <w:t>), and</w:t>
      </w:r>
      <w:proofErr w:type="gramEnd"/>
      <w:r w:rsidRPr="00B52F99">
        <w:rPr>
          <w:rFonts w:eastAsiaTheme="minorHAnsi"/>
          <w:color w:val="000000" w:themeColor="text1"/>
          <w:lang w:eastAsia="en-US"/>
        </w:rPr>
        <w:t xml:space="preserve"> dividing this measurement by five to get a daily mean DSR. This was repeated six times within the local enamel so that a grand mean DSR could be calculated. Following this first calculation, the distance between four to six adjacent </w:t>
      </w:r>
      <w:proofErr w:type="spellStart"/>
      <w:r w:rsidRPr="00B52F99">
        <w:rPr>
          <w:rFonts w:eastAsiaTheme="minorHAnsi"/>
          <w:color w:val="000000" w:themeColor="text1"/>
          <w:lang w:eastAsia="en-US"/>
        </w:rPr>
        <w:t>Retzius</w:t>
      </w:r>
      <w:proofErr w:type="spellEnd"/>
      <w:r w:rsidRPr="00B52F99">
        <w:rPr>
          <w:rFonts w:eastAsiaTheme="minorHAnsi"/>
          <w:color w:val="000000" w:themeColor="text1"/>
          <w:lang w:eastAsia="en-US"/>
        </w:rPr>
        <w:t xml:space="preserve"> lines was also measured, corresponding to three to five repeat intervals respectively, and divided by three or five. This distance between two adjacent </w:t>
      </w:r>
      <w:proofErr w:type="spellStart"/>
      <w:r w:rsidRPr="00B52F99">
        <w:rPr>
          <w:rFonts w:eastAsiaTheme="minorHAnsi"/>
          <w:color w:val="000000" w:themeColor="text1"/>
          <w:lang w:eastAsia="en-US"/>
        </w:rPr>
        <w:t>Retzius</w:t>
      </w:r>
      <w:proofErr w:type="spellEnd"/>
      <w:r w:rsidRPr="00B52F99">
        <w:rPr>
          <w:rFonts w:eastAsiaTheme="minorHAnsi"/>
          <w:color w:val="000000" w:themeColor="text1"/>
          <w:lang w:eastAsia="en-US"/>
        </w:rPr>
        <w:t xml:space="preserve"> lines was then divided by the grand mean DSR to yield an RP value.</w:t>
      </w:r>
    </w:p>
    <w:p w14:paraId="6AA85A13" w14:textId="77777777" w:rsidR="00BC626E" w:rsidRPr="00B52F99" w:rsidRDefault="00BC626E" w:rsidP="00BC626E">
      <w:pPr>
        <w:autoSpaceDE w:val="0"/>
        <w:autoSpaceDN w:val="0"/>
        <w:adjustRightInd w:val="0"/>
        <w:spacing w:line="360" w:lineRule="auto"/>
        <w:jc w:val="both"/>
        <w:rPr>
          <w:rFonts w:eastAsiaTheme="minorHAnsi"/>
          <w:color w:val="000000" w:themeColor="text1"/>
          <w:lang w:eastAsia="en-US"/>
        </w:rPr>
      </w:pPr>
    </w:p>
    <w:p w14:paraId="57946CFB" w14:textId="066BB8AF" w:rsidR="00BC626E" w:rsidRPr="00B52F99" w:rsidRDefault="00104180" w:rsidP="000D56E6">
      <w:pPr>
        <w:spacing w:line="360" w:lineRule="auto"/>
        <w:rPr>
          <w:color w:val="000000" w:themeColor="text1"/>
          <w:sz w:val="28"/>
          <w:szCs w:val="28"/>
        </w:rPr>
      </w:pPr>
      <w:r w:rsidRPr="00B52F99">
        <w:rPr>
          <w:color w:val="000000" w:themeColor="text1"/>
          <w:sz w:val="28"/>
          <w:szCs w:val="28"/>
        </w:rPr>
        <w:t>Measurements of w</w:t>
      </w:r>
      <w:r w:rsidR="00BC626E" w:rsidRPr="00B52F99">
        <w:rPr>
          <w:color w:val="000000" w:themeColor="text1"/>
          <w:sz w:val="28"/>
          <w:szCs w:val="28"/>
        </w:rPr>
        <w:t>eight</w:t>
      </w:r>
      <w:r w:rsidR="000D56E6" w:rsidRPr="00B52F99">
        <w:rPr>
          <w:color w:val="000000" w:themeColor="text1"/>
          <w:sz w:val="28"/>
          <w:szCs w:val="28"/>
        </w:rPr>
        <w:t xml:space="preserve">, </w:t>
      </w:r>
      <w:r w:rsidR="00BC626E" w:rsidRPr="00B52F99">
        <w:rPr>
          <w:color w:val="000000" w:themeColor="text1"/>
          <w:sz w:val="28"/>
          <w:szCs w:val="28"/>
        </w:rPr>
        <w:t>height</w:t>
      </w:r>
      <w:r w:rsidR="000D56E6" w:rsidRPr="00B52F99">
        <w:rPr>
          <w:color w:val="000000" w:themeColor="text1"/>
          <w:sz w:val="28"/>
          <w:szCs w:val="28"/>
        </w:rPr>
        <w:t>, maturation, and body mass index</w:t>
      </w:r>
      <w:r w:rsidRPr="00B52F99">
        <w:rPr>
          <w:color w:val="000000" w:themeColor="text1"/>
          <w:sz w:val="28"/>
          <w:szCs w:val="28"/>
        </w:rPr>
        <w:t>.</w:t>
      </w:r>
    </w:p>
    <w:p w14:paraId="7425D077" w14:textId="0DCFEDBB" w:rsidR="00BC626E" w:rsidRPr="00B52F99" w:rsidRDefault="00BC626E" w:rsidP="00BC626E">
      <w:pPr>
        <w:spacing w:line="360" w:lineRule="auto"/>
        <w:jc w:val="both"/>
        <w:rPr>
          <w:color w:val="000000" w:themeColor="text1"/>
        </w:rPr>
      </w:pPr>
      <w:r w:rsidRPr="00B52F99">
        <w:rPr>
          <w:color w:val="000000" w:themeColor="text1"/>
        </w:rPr>
        <w:t>These were recorded by SW</w:t>
      </w:r>
      <w:r w:rsidR="00774A7F" w:rsidRPr="00B52F99">
        <w:rPr>
          <w:color w:val="000000" w:themeColor="text1"/>
        </w:rPr>
        <w:t xml:space="preserve"> in Dunedin</w:t>
      </w:r>
      <w:r w:rsidRPr="00B52F99">
        <w:rPr>
          <w:color w:val="000000" w:themeColor="text1"/>
        </w:rPr>
        <w:t>, independently and blind of the</w:t>
      </w:r>
      <w:r w:rsidR="00774A7F" w:rsidRPr="00B52F99">
        <w:rPr>
          <w:color w:val="000000" w:themeColor="text1"/>
        </w:rPr>
        <w:t xml:space="preserve"> </w:t>
      </w:r>
      <w:proofErr w:type="spellStart"/>
      <w:r w:rsidRPr="00B52F99">
        <w:rPr>
          <w:color w:val="000000" w:themeColor="text1"/>
        </w:rPr>
        <w:t>R</w:t>
      </w:r>
      <w:r w:rsidR="00774A7F" w:rsidRPr="00B52F99">
        <w:rPr>
          <w:color w:val="000000" w:themeColor="text1"/>
        </w:rPr>
        <w:t>etzius</w:t>
      </w:r>
      <w:proofErr w:type="spellEnd"/>
      <w:r w:rsidR="00774A7F" w:rsidRPr="00B52F99">
        <w:rPr>
          <w:color w:val="000000" w:themeColor="text1"/>
        </w:rPr>
        <w:t xml:space="preserve"> periodicity</w:t>
      </w:r>
      <w:r w:rsidRPr="00B52F99">
        <w:rPr>
          <w:color w:val="000000" w:themeColor="text1"/>
        </w:rPr>
        <w:t xml:space="preserve"> data</w:t>
      </w:r>
      <w:r w:rsidR="00774A7F" w:rsidRPr="00B52F99">
        <w:rPr>
          <w:color w:val="000000" w:themeColor="text1"/>
        </w:rPr>
        <w:t xml:space="preserve"> that was generated in the United Kingdom</w:t>
      </w:r>
      <w:r w:rsidRPr="00B52F99">
        <w:rPr>
          <w:color w:val="000000" w:themeColor="text1"/>
        </w:rPr>
        <w:t xml:space="preserve">.  Height, </w:t>
      </w:r>
      <w:proofErr w:type="gramStart"/>
      <w:r w:rsidRPr="00B52F99">
        <w:rPr>
          <w:color w:val="000000" w:themeColor="text1"/>
        </w:rPr>
        <w:t>weight</w:t>
      </w:r>
      <w:proofErr w:type="gramEnd"/>
      <w:r w:rsidRPr="00B52F99">
        <w:rPr>
          <w:color w:val="000000" w:themeColor="text1"/>
        </w:rPr>
        <w:t xml:space="preserve"> and lower leg length measurements were recorded from each child over a 14-month period between September 2019 to October 2020 during visits to the schools. Most measurements were taken about 4 weeks apart, excluding January 2020 during the school holiday, and between March to early June 2020 during the national lockdown due to the onset of the COVID-19 pandemic. Standing height measurements were taken using a </w:t>
      </w:r>
      <w:proofErr w:type="spellStart"/>
      <w:r w:rsidRPr="00B52F99">
        <w:rPr>
          <w:color w:val="000000" w:themeColor="text1"/>
        </w:rPr>
        <w:t>Seca</w:t>
      </w:r>
      <w:proofErr w:type="spellEnd"/>
      <w:r w:rsidRPr="00B52F99">
        <w:rPr>
          <w:color w:val="000000" w:themeColor="text1"/>
        </w:rPr>
        <w:t xml:space="preserve"> 213 Stadiometer.  Lower leg length measurements were recorded three times per participant per visit, using a custom-made laser measuring device with the children in a standardised seated position. Weight was recorded on calibrated scales.</w:t>
      </w:r>
    </w:p>
    <w:p w14:paraId="69BB6C06" w14:textId="77777777" w:rsidR="00BC626E" w:rsidRPr="00B52F99" w:rsidRDefault="00BC626E" w:rsidP="00BC626E">
      <w:pPr>
        <w:spacing w:line="360" w:lineRule="auto"/>
        <w:jc w:val="both"/>
        <w:rPr>
          <w:b/>
          <w:bCs/>
          <w:color w:val="000000" w:themeColor="text1"/>
        </w:rPr>
      </w:pPr>
    </w:p>
    <w:p w14:paraId="74E26A46" w14:textId="3DF6233D" w:rsidR="00BC626E" w:rsidRPr="00B52F99" w:rsidRDefault="00BC626E" w:rsidP="00BC626E">
      <w:pPr>
        <w:spacing w:line="360" w:lineRule="auto"/>
        <w:jc w:val="both"/>
        <w:rPr>
          <w:color w:val="000000" w:themeColor="text1"/>
        </w:rPr>
      </w:pPr>
      <w:r w:rsidRPr="00B52F99">
        <w:rPr>
          <w:color w:val="000000" w:themeColor="text1"/>
        </w:rPr>
        <w:t>Maturity status of each participant was primarily estimated by modelling longitudinal measurements of their heights taken approximately once per month. Measurements were modelled using fixed bandwidth kernel weighted robust 3</w:t>
      </w:r>
      <w:r w:rsidRPr="00B52F99">
        <w:rPr>
          <w:color w:val="000000" w:themeColor="text1"/>
          <w:vertAlign w:val="superscript"/>
        </w:rPr>
        <w:t>rd</w:t>
      </w:r>
      <w:r w:rsidRPr="00B52F99">
        <w:rPr>
          <w:color w:val="000000" w:themeColor="text1"/>
        </w:rPr>
        <w:t xml:space="preserve"> degree polynomial regression smoothing of heights on measurement dates</w:t>
      </w:r>
      <w:r w:rsidR="008037A5" w:rsidRPr="00B52F99">
        <w:rPr>
          <w:color w:val="000000" w:themeColor="text1"/>
          <w:vertAlign w:val="superscript"/>
        </w:rPr>
        <w:t>59</w:t>
      </w:r>
      <w:r w:rsidRPr="00B52F99">
        <w:rPr>
          <w:color w:val="000000" w:themeColor="text1"/>
        </w:rPr>
        <w:t xml:space="preserve">. </w:t>
      </w:r>
      <w:proofErr w:type="gramStart"/>
      <w:r w:rsidRPr="00B52F99">
        <w:rPr>
          <w:color w:val="000000" w:themeColor="text1"/>
        </w:rPr>
        <w:t>Each individual</w:t>
      </w:r>
      <w:proofErr w:type="gramEnd"/>
      <w:r w:rsidRPr="00B52F99">
        <w:rPr>
          <w:color w:val="000000" w:themeColor="text1"/>
        </w:rPr>
        <w:t xml:space="preserve"> was assigned one of four maturity scores based upon criteria involving the shape of individually modelled curves along with their sex and age-specific heights. Individuals who were relatively short for age who had not reached pre-spurt minimum height growth velocity were assigned a maturity score of 1 (‘pre’ in Table 1). Individuals who had reached pre-spurt minimum height growth velocity but who were not near peak height velocity were assigned a maturity score of 2 (‘early’). Those individuals who were very close to or who had just exceeded peak height growth velocity were assigned </w:t>
      </w:r>
      <w:r w:rsidRPr="00B52F99">
        <w:rPr>
          <w:color w:val="000000" w:themeColor="text1"/>
        </w:rPr>
        <w:lastRenderedPageBreak/>
        <w:t>a maturity score of 3 (‘peak’). Individuals who had clearly exceeded peak height velocity and were approaching an upper asymptote were assigned a maturity score of 4 (‘late’). Individual maturity status was also estimated using the same approach but with longitudinal measures of lower leg length. Results were very similar and are available from the authors.</w:t>
      </w:r>
    </w:p>
    <w:p w14:paraId="7C7E1857" w14:textId="77777777" w:rsidR="00DB74CD" w:rsidRPr="00B52F99" w:rsidRDefault="00DB74CD" w:rsidP="00BC626E">
      <w:pPr>
        <w:spacing w:line="360" w:lineRule="auto"/>
        <w:jc w:val="both"/>
        <w:rPr>
          <w:color w:val="000000" w:themeColor="text1"/>
          <w:lang w:val="en-NZ" w:eastAsia="en-NZ"/>
        </w:rPr>
      </w:pPr>
    </w:p>
    <w:p w14:paraId="70182011" w14:textId="77777777" w:rsidR="00BC626E" w:rsidRPr="00B52F99" w:rsidRDefault="00BC626E" w:rsidP="00BC626E">
      <w:pPr>
        <w:spacing w:line="360" w:lineRule="auto"/>
        <w:jc w:val="both"/>
        <w:rPr>
          <w:color w:val="000000" w:themeColor="text1"/>
        </w:rPr>
      </w:pPr>
      <w:r w:rsidRPr="00B52F99">
        <w:rPr>
          <w:color w:val="000000" w:themeColor="text1"/>
        </w:rPr>
        <w:t xml:space="preserve">BMI and BMI percentiles, for a given age and sex, were calculated using each participant’s birth date, sex, height, </w:t>
      </w:r>
      <w:proofErr w:type="gramStart"/>
      <w:r w:rsidRPr="00B52F99">
        <w:rPr>
          <w:color w:val="000000" w:themeColor="text1"/>
        </w:rPr>
        <w:t>weight</w:t>
      </w:r>
      <w:proofErr w:type="gramEnd"/>
      <w:r w:rsidRPr="00B52F99">
        <w:rPr>
          <w:color w:val="000000" w:themeColor="text1"/>
        </w:rPr>
        <w:t xml:space="preserve"> and date that the measurements were taken. These measurements were entered into the online calculator for New Zealand children provided by the New Zealand Ministry of Health.</w:t>
      </w:r>
    </w:p>
    <w:p w14:paraId="689317C5" w14:textId="77777777" w:rsidR="00BC626E" w:rsidRPr="00B52F99" w:rsidRDefault="00BC626E" w:rsidP="00BC626E">
      <w:pPr>
        <w:spacing w:line="360" w:lineRule="auto"/>
        <w:jc w:val="both"/>
        <w:rPr>
          <w:b/>
          <w:bCs/>
          <w:color w:val="000000" w:themeColor="text1"/>
        </w:rPr>
      </w:pPr>
    </w:p>
    <w:p w14:paraId="6E03DA79" w14:textId="77777777" w:rsidR="00BC626E" w:rsidRPr="00B52F99" w:rsidRDefault="00BC626E" w:rsidP="00BC626E">
      <w:pPr>
        <w:spacing w:line="360" w:lineRule="auto"/>
        <w:jc w:val="both"/>
        <w:rPr>
          <w:color w:val="000000" w:themeColor="text1"/>
          <w:sz w:val="28"/>
          <w:szCs w:val="28"/>
        </w:rPr>
      </w:pPr>
      <w:r w:rsidRPr="00B52F99">
        <w:rPr>
          <w:color w:val="000000" w:themeColor="text1"/>
          <w:sz w:val="28"/>
          <w:szCs w:val="28"/>
        </w:rPr>
        <w:t>Statistical analyses</w:t>
      </w:r>
    </w:p>
    <w:p w14:paraId="24E1421B" w14:textId="77777777" w:rsidR="00BC626E" w:rsidRPr="00B52F99" w:rsidRDefault="00BC626E" w:rsidP="00BC626E">
      <w:pPr>
        <w:spacing w:line="360" w:lineRule="auto"/>
        <w:jc w:val="both"/>
        <w:rPr>
          <w:color w:val="000000" w:themeColor="text1"/>
        </w:rPr>
      </w:pPr>
      <w:r w:rsidRPr="00B52F99">
        <w:rPr>
          <w:color w:val="000000" w:themeColor="text1"/>
        </w:rPr>
        <w:t xml:space="preserve">Data were log-transformed. Pearson correlation coefficient was used to measure strength of association between gains in </w:t>
      </w:r>
      <w:r w:rsidRPr="00B52F99">
        <w:rPr>
          <w:rFonts w:eastAsiaTheme="minorHAnsi"/>
          <w:color w:val="000000" w:themeColor="text1"/>
          <w:lang w:eastAsia="en-US"/>
        </w:rPr>
        <w:t>weight gain and height, lower leg length, starting age and maturation stage.</w:t>
      </w:r>
      <w:r w:rsidRPr="00B52F99">
        <w:rPr>
          <w:color w:val="000000" w:themeColor="text1"/>
        </w:rPr>
        <w:t xml:space="preserve"> The influence of starting age on the relationship between RP and weight gained over 14 months was assessed through partial correlations. Height and weight were compared between males and females with a two tailed t-test. Weight was compared between females grouped by RP using a Kruskal-Wallis H with multiple comparisons. </w:t>
      </w:r>
      <w:r w:rsidRPr="00B52F99">
        <w:rPr>
          <w:color w:val="000000" w:themeColor="text1"/>
          <w:shd w:val="clear" w:color="auto" w:fill="FFFFFF"/>
        </w:rPr>
        <w:t xml:space="preserve">The relationship between RP and weight/gained over 14 months was modelled using quadratic regression with </w:t>
      </w:r>
      <w:r w:rsidRPr="00B52F99">
        <w:rPr>
          <w:i/>
          <w:iCs/>
          <w:color w:val="000000" w:themeColor="text1"/>
          <w:shd w:val="clear" w:color="auto" w:fill="FFFFFF"/>
        </w:rPr>
        <w:t>p</w:t>
      </w:r>
      <w:r w:rsidRPr="00B52F99">
        <w:rPr>
          <w:color w:val="000000" w:themeColor="text1"/>
          <w:shd w:val="clear" w:color="auto" w:fill="FFFFFF"/>
        </w:rPr>
        <w:t xml:space="preserve"> values adjusted using a Bonferroni correction. </w:t>
      </w:r>
      <w:r w:rsidRPr="00B52F99">
        <w:rPr>
          <w:color w:val="000000" w:themeColor="text1"/>
        </w:rPr>
        <w:t xml:space="preserve">We conducted further analyses using a Kruskal-Wallis H test with multiple comparisons to analyse the rank order of RPs and weight/BMI gained when grouped by those with six, seven and eight days, which were the largest samples sizes. A </w:t>
      </w:r>
      <w:r w:rsidRPr="00B52F99">
        <w:rPr>
          <w:rFonts w:eastAsiaTheme="minorEastAsia"/>
          <w:color w:val="000000" w:themeColor="text1"/>
          <w:lang w:eastAsia="zh-CN"/>
        </w:rPr>
        <w:t xml:space="preserve">Chi square test was used to determine if there was a relationship between </w:t>
      </w:r>
      <w:r w:rsidRPr="00B52F99">
        <w:rPr>
          <w:rFonts w:eastAsiaTheme="minorHAnsi"/>
          <w:color w:val="000000" w:themeColor="text1"/>
          <w:lang w:eastAsia="en-US"/>
        </w:rPr>
        <w:t>p</w:t>
      </w:r>
      <w:r w:rsidRPr="00B52F99">
        <w:rPr>
          <w:rFonts w:eastAsiaTheme="minorEastAsia"/>
          <w:color w:val="000000" w:themeColor="text1"/>
          <w:lang w:eastAsia="zh-CN"/>
        </w:rPr>
        <w:t>articipants with RPs of five or six days and a BMI of or greater than the 95</w:t>
      </w:r>
      <w:r w:rsidRPr="00B52F99">
        <w:rPr>
          <w:rFonts w:eastAsiaTheme="minorEastAsia"/>
          <w:color w:val="000000" w:themeColor="text1"/>
          <w:vertAlign w:val="superscript"/>
          <w:lang w:eastAsia="zh-CN"/>
        </w:rPr>
        <w:t>th</w:t>
      </w:r>
      <w:r w:rsidRPr="00B52F99">
        <w:rPr>
          <w:rFonts w:eastAsiaTheme="minorEastAsia"/>
          <w:color w:val="000000" w:themeColor="text1"/>
          <w:lang w:eastAsia="zh-CN"/>
        </w:rPr>
        <w:t xml:space="preserve"> percentile, compared to those with RPs of seven or eight days. </w:t>
      </w:r>
      <w:r w:rsidRPr="00B52F99">
        <w:rPr>
          <w:color w:val="000000" w:themeColor="text1"/>
        </w:rPr>
        <w:t xml:space="preserve">Multivariate regression was undertaken to assess the relative strength of the effect of log transformed weight, leg length, stature on the predictor variable RP, using standardized beta coefficients. We also examined the relative relationship of RP to total gains in log-transformed weight, height, and leg length, using standardized beta coefficients, just for females with maturation scores of three. </w:t>
      </w:r>
    </w:p>
    <w:p w14:paraId="11C78581" w14:textId="02DBF6C4" w:rsidR="00BC626E" w:rsidRPr="00B52F99" w:rsidRDefault="00BC626E" w:rsidP="00BC626E">
      <w:pPr>
        <w:spacing w:after="240" w:line="360" w:lineRule="auto"/>
        <w:rPr>
          <w:b/>
          <w:bCs/>
          <w:color w:val="000000" w:themeColor="text1"/>
          <w:sz w:val="28"/>
          <w:szCs w:val="28"/>
        </w:rPr>
      </w:pPr>
    </w:p>
    <w:p w14:paraId="387877B9" w14:textId="256E62E5" w:rsidR="000D56E6" w:rsidRPr="00B52F99" w:rsidRDefault="000D56E6" w:rsidP="00BC626E">
      <w:pPr>
        <w:spacing w:after="240" w:line="360" w:lineRule="auto"/>
        <w:rPr>
          <w:b/>
          <w:bCs/>
          <w:color w:val="000000" w:themeColor="text1"/>
          <w:sz w:val="28"/>
          <w:szCs w:val="28"/>
        </w:rPr>
      </w:pPr>
    </w:p>
    <w:p w14:paraId="16D4BC57" w14:textId="3661F826" w:rsidR="00BF4D9F" w:rsidRPr="00B52F99" w:rsidRDefault="00BF4D9F" w:rsidP="00BC626E">
      <w:pPr>
        <w:spacing w:after="240" w:line="360" w:lineRule="auto"/>
        <w:rPr>
          <w:b/>
          <w:bCs/>
          <w:color w:val="000000" w:themeColor="text1"/>
          <w:sz w:val="28"/>
          <w:szCs w:val="28"/>
        </w:rPr>
      </w:pPr>
    </w:p>
    <w:p w14:paraId="67799AF3" w14:textId="77777777" w:rsidR="00BF4D9F" w:rsidRPr="00B52F99" w:rsidRDefault="00BF4D9F" w:rsidP="00BC626E">
      <w:pPr>
        <w:spacing w:after="240" w:line="360" w:lineRule="auto"/>
        <w:rPr>
          <w:b/>
          <w:bCs/>
          <w:color w:val="000000" w:themeColor="text1"/>
          <w:sz w:val="28"/>
          <w:szCs w:val="28"/>
        </w:rPr>
      </w:pPr>
    </w:p>
    <w:p w14:paraId="4B3F6CDE" w14:textId="24762331" w:rsidR="005D6AF8" w:rsidRPr="00B52F99" w:rsidRDefault="005D6AF8" w:rsidP="00BC626E">
      <w:pPr>
        <w:spacing w:after="240" w:line="360" w:lineRule="auto"/>
        <w:rPr>
          <w:b/>
          <w:bCs/>
          <w:color w:val="000000" w:themeColor="text1"/>
          <w:sz w:val="28"/>
          <w:szCs w:val="28"/>
        </w:rPr>
      </w:pPr>
    </w:p>
    <w:p w14:paraId="6330D89A" w14:textId="77777777" w:rsidR="00B34265" w:rsidRPr="00B52F99" w:rsidRDefault="00B34265" w:rsidP="00BC626E">
      <w:pPr>
        <w:spacing w:after="240" w:line="360" w:lineRule="auto"/>
        <w:rPr>
          <w:b/>
          <w:bCs/>
          <w:color w:val="000000" w:themeColor="text1"/>
          <w:sz w:val="28"/>
          <w:szCs w:val="28"/>
        </w:rPr>
      </w:pPr>
    </w:p>
    <w:p w14:paraId="795C473C" w14:textId="132D76F6" w:rsidR="00C16474" w:rsidRPr="00B52F99" w:rsidRDefault="00CE3618" w:rsidP="00F96D4D">
      <w:pPr>
        <w:spacing w:after="240" w:line="360" w:lineRule="exact"/>
        <w:rPr>
          <w:b/>
          <w:bCs/>
          <w:color w:val="000000" w:themeColor="text1"/>
          <w:sz w:val="28"/>
          <w:szCs w:val="28"/>
        </w:rPr>
      </w:pPr>
      <w:r w:rsidRPr="00B52F99">
        <w:rPr>
          <w:b/>
          <w:bCs/>
          <w:color w:val="000000" w:themeColor="text1"/>
          <w:sz w:val="28"/>
          <w:szCs w:val="28"/>
        </w:rPr>
        <w:lastRenderedPageBreak/>
        <w:t>R</w:t>
      </w:r>
      <w:r w:rsidR="007C6AD9" w:rsidRPr="00B52F99">
        <w:rPr>
          <w:b/>
          <w:bCs/>
          <w:color w:val="000000" w:themeColor="text1"/>
          <w:sz w:val="28"/>
          <w:szCs w:val="28"/>
        </w:rPr>
        <w:t>esults</w:t>
      </w:r>
    </w:p>
    <w:p w14:paraId="0C420405" w14:textId="0E6BDBA6" w:rsidR="00F96D4D" w:rsidRPr="00B52F99" w:rsidRDefault="005E1D0B" w:rsidP="005D0197">
      <w:pPr>
        <w:spacing w:line="360" w:lineRule="auto"/>
        <w:jc w:val="both"/>
        <w:rPr>
          <w:rFonts w:cstheme="minorHAnsi"/>
          <w:color w:val="000000" w:themeColor="text1"/>
          <w:sz w:val="28"/>
          <w:szCs w:val="28"/>
        </w:rPr>
      </w:pPr>
      <w:r w:rsidRPr="00B52F99">
        <w:rPr>
          <w:rFonts w:cstheme="minorHAnsi"/>
          <w:color w:val="000000" w:themeColor="text1"/>
          <w:sz w:val="28"/>
          <w:szCs w:val="28"/>
        </w:rPr>
        <w:t>Descriptive</w:t>
      </w:r>
      <w:r w:rsidR="00111E6E" w:rsidRPr="00B52F99">
        <w:rPr>
          <w:rFonts w:cstheme="minorHAnsi"/>
          <w:color w:val="000000" w:themeColor="text1"/>
          <w:sz w:val="28"/>
          <w:szCs w:val="28"/>
        </w:rPr>
        <w:t xml:space="preserve"> data</w:t>
      </w:r>
    </w:p>
    <w:p w14:paraId="34D8FA2C" w14:textId="6C3E9B0F" w:rsidR="009D73B9" w:rsidRPr="00B52F99" w:rsidRDefault="00F84086" w:rsidP="001D55B5">
      <w:pPr>
        <w:autoSpaceDE w:val="0"/>
        <w:autoSpaceDN w:val="0"/>
        <w:adjustRightInd w:val="0"/>
        <w:spacing w:line="360" w:lineRule="auto"/>
        <w:jc w:val="both"/>
        <w:rPr>
          <w:rFonts w:cstheme="minorHAnsi"/>
          <w:color w:val="000000" w:themeColor="text1"/>
        </w:rPr>
      </w:pPr>
      <w:r w:rsidRPr="00B52F99">
        <w:rPr>
          <w:rFonts w:cstheme="minorHAnsi"/>
          <w:color w:val="000000" w:themeColor="text1"/>
        </w:rPr>
        <w:t xml:space="preserve">Participants </w:t>
      </w:r>
      <w:r w:rsidR="00447958" w:rsidRPr="00B52F99">
        <w:rPr>
          <w:rFonts w:cstheme="minorHAnsi"/>
          <w:color w:val="000000" w:themeColor="text1"/>
        </w:rPr>
        <w:t xml:space="preserve">gained </w:t>
      </w:r>
      <w:r w:rsidR="000E2C84" w:rsidRPr="00B52F99">
        <w:rPr>
          <w:rFonts w:cstheme="minorHAnsi"/>
          <w:color w:val="000000" w:themeColor="text1"/>
        </w:rPr>
        <w:t xml:space="preserve">an average of </w:t>
      </w:r>
      <w:r w:rsidR="00447958" w:rsidRPr="00B52F99">
        <w:rPr>
          <w:rFonts w:cstheme="minorHAnsi"/>
          <w:color w:val="000000" w:themeColor="text1"/>
        </w:rPr>
        <w:t>6.3</w:t>
      </w:r>
      <w:r w:rsidR="00023BA5" w:rsidRPr="00B52F99">
        <w:rPr>
          <w:rFonts w:cstheme="minorHAnsi"/>
          <w:color w:val="000000" w:themeColor="text1"/>
        </w:rPr>
        <w:t>3</w:t>
      </w:r>
      <w:r w:rsidR="00447958" w:rsidRPr="00B52F99">
        <w:rPr>
          <w:rFonts w:cstheme="minorHAnsi"/>
          <w:color w:val="000000" w:themeColor="text1"/>
        </w:rPr>
        <w:t xml:space="preserve"> kg </w:t>
      </w:r>
      <w:r w:rsidR="00EE22A6" w:rsidRPr="00B52F99">
        <w:rPr>
          <w:rFonts w:cstheme="minorHAnsi"/>
          <w:color w:val="000000" w:themeColor="text1"/>
        </w:rPr>
        <w:t>over 14-months</w:t>
      </w:r>
      <w:r w:rsidR="00447958" w:rsidRPr="00B52F99">
        <w:rPr>
          <w:rFonts w:cstheme="minorHAnsi"/>
          <w:color w:val="000000" w:themeColor="text1"/>
        </w:rPr>
        <w:t xml:space="preserve"> (Table 1).</w:t>
      </w:r>
      <w:r w:rsidR="001C4CF0" w:rsidRPr="00B52F99">
        <w:rPr>
          <w:rFonts w:cstheme="minorHAnsi"/>
          <w:color w:val="000000" w:themeColor="text1"/>
        </w:rPr>
        <w:t xml:space="preserve"> </w:t>
      </w:r>
      <w:r w:rsidR="00F616B1" w:rsidRPr="00B52F99">
        <w:rPr>
          <w:rFonts w:cstheme="minorHAnsi"/>
          <w:color w:val="000000" w:themeColor="text1"/>
        </w:rPr>
        <w:t>L</w:t>
      </w:r>
      <w:r w:rsidR="00447958" w:rsidRPr="00B52F99">
        <w:rPr>
          <w:rFonts w:cstheme="minorHAnsi"/>
          <w:color w:val="000000" w:themeColor="text1"/>
        </w:rPr>
        <w:t>og transformed weight</w:t>
      </w:r>
      <w:r w:rsidR="00E24D42" w:rsidRPr="00B52F99">
        <w:rPr>
          <w:rFonts w:cstheme="minorHAnsi"/>
          <w:color w:val="000000" w:themeColor="text1"/>
        </w:rPr>
        <w:t xml:space="preserve"> </w:t>
      </w:r>
      <w:r w:rsidR="00605E8B" w:rsidRPr="00B52F99">
        <w:rPr>
          <w:rFonts w:cstheme="minorHAnsi"/>
          <w:color w:val="000000" w:themeColor="text1"/>
        </w:rPr>
        <w:t>gain</w:t>
      </w:r>
      <w:r w:rsidR="00A76A21" w:rsidRPr="00B52F99">
        <w:rPr>
          <w:rFonts w:cstheme="minorHAnsi"/>
          <w:color w:val="000000" w:themeColor="text1"/>
        </w:rPr>
        <w:t>ed</w:t>
      </w:r>
      <w:r w:rsidR="00605E8B" w:rsidRPr="00B52F99">
        <w:rPr>
          <w:rFonts w:cstheme="minorHAnsi"/>
          <w:color w:val="000000" w:themeColor="text1"/>
        </w:rPr>
        <w:t xml:space="preserve"> </w:t>
      </w:r>
      <w:r w:rsidR="00730EA6" w:rsidRPr="00B52F99">
        <w:rPr>
          <w:rFonts w:cstheme="minorHAnsi"/>
          <w:color w:val="000000" w:themeColor="text1"/>
        </w:rPr>
        <w:t xml:space="preserve">over this period </w:t>
      </w:r>
      <w:r w:rsidR="00605E8B" w:rsidRPr="00B52F99">
        <w:rPr>
          <w:rFonts w:cstheme="minorHAnsi"/>
          <w:color w:val="000000" w:themeColor="text1"/>
        </w:rPr>
        <w:t xml:space="preserve">was </w:t>
      </w:r>
      <w:r w:rsidR="00447958" w:rsidRPr="00B52F99">
        <w:rPr>
          <w:rFonts w:cstheme="minorHAnsi"/>
          <w:color w:val="000000" w:themeColor="text1"/>
        </w:rPr>
        <w:t xml:space="preserve">positively and significantly correlated with </w:t>
      </w:r>
      <w:r w:rsidR="00730EA6" w:rsidRPr="00B52F99">
        <w:rPr>
          <w:rFonts w:cstheme="minorHAnsi"/>
          <w:color w:val="000000" w:themeColor="text1"/>
        </w:rPr>
        <w:t xml:space="preserve">total </w:t>
      </w:r>
      <w:r w:rsidR="001F5BE2" w:rsidRPr="00B52F99">
        <w:rPr>
          <w:rFonts w:cstheme="minorHAnsi"/>
          <w:color w:val="000000" w:themeColor="text1"/>
        </w:rPr>
        <w:t>gains in height</w:t>
      </w:r>
      <w:r w:rsidR="00447958" w:rsidRPr="00B52F99">
        <w:rPr>
          <w:rFonts w:cstheme="minorHAnsi"/>
          <w:color w:val="000000" w:themeColor="text1"/>
        </w:rPr>
        <w:t xml:space="preserve"> (</w:t>
      </w:r>
      <w:r w:rsidR="00447958" w:rsidRPr="00B52F99">
        <w:rPr>
          <w:rFonts w:cstheme="minorHAnsi"/>
          <w:i/>
          <w:iCs/>
          <w:color w:val="000000" w:themeColor="text1"/>
        </w:rPr>
        <w:t>p</w:t>
      </w:r>
      <w:r w:rsidR="00447958" w:rsidRPr="00B52F99">
        <w:rPr>
          <w:rFonts w:cstheme="minorHAnsi"/>
          <w:color w:val="000000" w:themeColor="text1"/>
        </w:rPr>
        <w:t>=0.0</w:t>
      </w:r>
      <w:r w:rsidR="00175415" w:rsidRPr="00B52F99">
        <w:rPr>
          <w:rFonts w:cstheme="minorHAnsi"/>
          <w:color w:val="000000" w:themeColor="text1"/>
        </w:rPr>
        <w:t>18</w:t>
      </w:r>
      <w:r w:rsidR="00447958" w:rsidRPr="00B52F99">
        <w:rPr>
          <w:rFonts w:cstheme="minorHAnsi"/>
          <w:color w:val="000000" w:themeColor="text1"/>
        </w:rPr>
        <w:t>)</w:t>
      </w:r>
      <w:r w:rsidR="00A76A21" w:rsidRPr="00B52F99">
        <w:rPr>
          <w:rFonts w:cstheme="minorHAnsi"/>
          <w:color w:val="000000" w:themeColor="text1"/>
        </w:rPr>
        <w:t xml:space="preserve"> </w:t>
      </w:r>
      <w:r w:rsidR="001F5BE2" w:rsidRPr="00B52F99">
        <w:rPr>
          <w:rFonts w:cstheme="minorHAnsi"/>
          <w:color w:val="000000" w:themeColor="text1"/>
        </w:rPr>
        <w:t xml:space="preserve">and </w:t>
      </w:r>
      <w:r w:rsidR="00447958" w:rsidRPr="00B52F99">
        <w:rPr>
          <w:rFonts w:cstheme="minorHAnsi"/>
          <w:color w:val="000000" w:themeColor="text1"/>
        </w:rPr>
        <w:t>lower leg length</w:t>
      </w:r>
      <w:r w:rsidR="00574C55" w:rsidRPr="00B52F99">
        <w:rPr>
          <w:rFonts w:cstheme="minorHAnsi"/>
          <w:color w:val="000000" w:themeColor="text1"/>
        </w:rPr>
        <w:t xml:space="preserve"> (</w:t>
      </w:r>
      <w:r w:rsidR="00574C55" w:rsidRPr="00B52F99">
        <w:rPr>
          <w:rFonts w:cstheme="minorHAnsi"/>
          <w:i/>
          <w:iCs/>
          <w:color w:val="000000" w:themeColor="text1"/>
        </w:rPr>
        <w:t>p</w:t>
      </w:r>
      <w:r w:rsidR="00574C55" w:rsidRPr="00B52F99">
        <w:rPr>
          <w:rFonts w:cstheme="minorHAnsi"/>
          <w:color w:val="000000" w:themeColor="text1"/>
        </w:rPr>
        <w:t>=0.0</w:t>
      </w:r>
      <w:r w:rsidR="00175415" w:rsidRPr="00B52F99">
        <w:rPr>
          <w:rFonts w:cstheme="minorHAnsi"/>
          <w:color w:val="000000" w:themeColor="text1"/>
        </w:rPr>
        <w:t>06</w:t>
      </w:r>
      <w:r w:rsidR="00574C55" w:rsidRPr="00B52F99">
        <w:rPr>
          <w:rFonts w:cstheme="minorHAnsi"/>
          <w:color w:val="000000" w:themeColor="text1"/>
        </w:rPr>
        <w:t>)</w:t>
      </w:r>
      <w:r w:rsidR="00A76A21" w:rsidRPr="00B52F99">
        <w:rPr>
          <w:rFonts w:cstheme="minorHAnsi"/>
          <w:color w:val="000000" w:themeColor="text1"/>
        </w:rPr>
        <w:t>, but not starting age</w:t>
      </w:r>
      <w:r w:rsidR="00447958" w:rsidRPr="00B52F99">
        <w:rPr>
          <w:rFonts w:cstheme="minorHAnsi"/>
          <w:color w:val="000000" w:themeColor="text1"/>
        </w:rPr>
        <w:t xml:space="preserve"> </w:t>
      </w:r>
      <w:r w:rsidR="00D20A34" w:rsidRPr="00B52F99">
        <w:rPr>
          <w:rFonts w:cstheme="minorHAnsi"/>
          <w:color w:val="000000" w:themeColor="text1"/>
        </w:rPr>
        <w:t xml:space="preserve">(in years) </w:t>
      </w:r>
      <w:r w:rsidR="00F529C4" w:rsidRPr="00B52F99">
        <w:rPr>
          <w:rFonts w:cstheme="minorHAnsi"/>
          <w:color w:val="000000" w:themeColor="text1"/>
        </w:rPr>
        <w:t>(</w:t>
      </w:r>
      <w:r w:rsidR="00447958" w:rsidRPr="00B52F99">
        <w:rPr>
          <w:rFonts w:cstheme="minorHAnsi"/>
          <w:i/>
          <w:iCs/>
          <w:color w:val="000000" w:themeColor="text1"/>
        </w:rPr>
        <w:t>p</w:t>
      </w:r>
      <w:r w:rsidR="00447958" w:rsidRPr="00B52F99">
        <w:rPr>
          <w:rFonts w:cstheme="minorHAnsi"/>
          <w:color w:val="000000" w:themeColor="text1"/>
        </w:rPr>
        <w:t>=0.6</w:t>
      </w:r>
      <w:r w:rsidR="00F529C4" w:rsidRPr="00B52F99">
        <w:rPr>
          <w:rFonts w:cstheme="minorHAnsi"/>
          <w:color w:val="000000" w:themeColor="text1"/>
        </w:rPr>
        <w:t>16</w:t>
      </w:r>
      <w:r w:rsidR="00447958" w:rsidRPr="00B52F99">
        <w:rPr>
          <w:rFonts w:cstheme="minorHAnsi"/>
          <w:color w:val="000000" w:themeColor="text1"/>
        </w:rPr>
        <w:t>)</w:t>
      </w:r>
      <w:r w:rsidR="00ED7893" w:rsidRPr="00B52F99">
        <w:rPr>
          <w:rFonts w:cstheme="minorHAnsi"/>
          <w:color w:val="000000" w:themeColor="text1"/>
        </w:rPr>
        <w:t xml:space="preserve"> (Supplementary Fig</w:t>
      </w:r>
      <w:r w:rsidR="00E660A0" w:rsidRPr="00B52F99">
        <w:rPr>
          <w:rFonts w:cstheme="minorHAnsi"/>
          <w:color w:val="000000" w:themeColor="text1"/>
        </w:rPr>
        <w:t>ure</w:t>
      </w:r>
      <w:r w:rsidR="00A43D2C" w:rsidRPr="00B52F99">
        <w:rPr>
          <w:rFonts w:cstheme="minorHAnsi"/>
          <w:color w:val="000000" w:themeColor="text1"/>
        </w:rPr>
        <w:t xml:space="preserve"> </w:t>
      </w:r>
      <w:r w:rsidR="00ED7893" w:rsidRPr="00B52F99">
        <w:rPr>
          <w:rFonts w:cstheme="minorHAnsi"/>
          <w:color w:val="000000" w:themeColor="text1"/>
        </w:rPr>
        <w:t>1a-c)</w:t>
      </w:r>
      <w:r w:rsidR="00447958" w:rsidRPr="00B52F99">
        <w:rPr>
          <w:rFonts w:cstheme="minorHAnsi"/>
          <w:color w:val="000000" w:themeColor="text1"/>
        </w:rPr>
        <w:t>.</w:t>
      </w:r>
      <w:r w:rsidR="00201727" w:rsidRPr="00B52F99">
        <w:rPr>
          <w:rFonts w:cstheme="minorHAnsi"/>
          <w:color w:val="000000" w:themeColor="text1"/>
        </w:rPr>
        <w:t xml:space="preserve"> </w:t>
      </w:r>
      <w:r w:rsidR="00F616B1" w:rsidRPr="00B52F99">
        <w:rPr>
          <w:rFonts w:cstheme="minorHAnsi"/>
          <w:color w:val="000000" w:themeColor="text1"/>
        </w:rPr>
        <w:t>A</w:t>
      </w:r>
      <w:r w:rsidR="00A76A21" w:rsidRPr="00B52F99">
        <w:rPr>
          <w:rFonts w:cstheme="minorHAnsi"/>
          <w:color w:val="000000" w:themeColor="text1"/>
        </w:rPr>
        <w:t>verage starting BMI of 18.51 kg/m</w:t>
      </w:r>
      <w:r w:rsidR="00A76A21" w:rsidRPr="00B52F99">
        <w:rPr>
          <w:rFonts w:cstheme="minorHAnsi"/>
          <w:color w:val="000000" w:themeColor="text1"/>
          <w:vertAlign w:val="superscript"/>
        </w:rPr>
        <w:t xml:space="preserve">2 </w:t>
      </w:r>
      <w:r w:rsidR="00A76A21" w:rsidRPr="00B52F99">
        <w:rPr>
          <w:rFonts w:cstheme="minorHAnsi"/>
          <w:color w:val="000000" w:themeColor="text1"/>
        </w:rPr>
        <w:t>(range=14.9-28.8</w:t>
      </w:r>
      <w:r w:rsidR="000F3FB3" w:rsidRPr="00B52F99">
        <w:rPr>
          <w:rFonts w:cstheme="minorHAnsi"/>
          <w:color w:val="000000" w:themeColor="text1"/>
        </w:rPr>
        <w:t>0)</w:t>
      </w:r>
      <w:r w:rsidR="00A76A21" w:rsidRPr="00B52F99">
        <w:rPr>
          <w:rFonts w:cstheme="minorHAnsi"/>
          <w:color w:val="000000" w:themeColor="text1"/>
        </w:rPr>
        <w:t xml:space="preserve"> is </w:t>
      </w:r>
      <w:r w:rsidR="00F66B95" w:rsidRPr="00B52F99">
        <w:rPr>
          <w:rFonts w:cstheme="minorHAnsi"/>
          <w:color w:val="000000" w:themeColor="text1"/>
        </w:rPr>
        <w:t>close</w:t>
      </w:r>
      <w:r w:rsidR="00A76A21" w:rsidRPr="00B52F99">
        <w:rPr>
          <w:rFonts w:cstheme="minorHAnsi"/>
          <w:color w:val="000000" w:themeColor="text1"/>
        </w:rPr>
        <w:t xml:space="preserve"> to the average BMI of 19.8 kg/m</w:t>
      </w:r>
      <w:r w:rsidR="00A76A21" w:rsidRPr="00B52F99">
        <w:rPr>
          <w:rFonts w:cstheme="minorHAnsi"/>
          <w:color w:val="000000" w:themeColor="text1"/>
          <w:vertAlign w:val="superscript"/>
        </w:rPr>
        <w:t>2</w:t>
      </w:r>
      <w:r w:rsidR="00A76A21" w:rsidRPr="00B52F99">
        <w:rPr>
          <w:rFonts w:cstheme="minorHAnsi"/>
          <w:color w:val="000000" w:themeColor="text1"/>
        </w:rPr>
        <w:t xml:space="preserve"> (range=14.4-33.8) reported for</w:t>
      </w:r>
      <w:r w:rsidR="00F66B95" w:rsidRPr="00B52F99">
        <w:rPr>
          <w:rFonts w:cstheme="minorHAnsi"/>
          <w:color w:val="000000" w:themeColor="text1"/>
        </w:rPr>
        <w:t xml:space="preserve"> slightly older </w:t>
      </w:r>
      <w:r w:rsidR="00A76A21" w:rsidRPr="00B52F99">
        <w:rPr>
          <w:rFonts w:cstheme="minorHAnsi"/>
          <w:color w:val="000000" w:themeColor="text1"/>
        </w:rPr>
        <w:t>children from Dunedin</w:t>
      </w:r>
      <w:r w:rsidR="0061444A" w:rsidRPr="00B52F99">
        <w:rPr>
          <w:rFonts w:cstheme="minorHAnsi"/>
          <w:color w:val="000000" w:themeColor="text1"/>
          <w:vertAlign w:val="superscript"/>
        </w:rPr>
        <w:t>3</w:t>
      </w:r>
      <w:r w:rsidR="00A76A21" w:rsidRPr="00B52F99">
        <w:rPr>
          <w:rFonts w:cstheme="minorHAnsi"/>
          <w:color w:val="000000" w:themeColor="text1"/>
        </w:rPr>
        <w:t>.</w:t>
      </w:r>
      <w:r w:rsidR="00BA0607" w:rsidRPr="00B52F99">
        <w:rPr>
          <w:rFonts w:cstheme="minorHAnsi"/>
          <w:color w:val="000000" w:themeColor="text1"/>
        </w:rPr>
        <w:t xml:space="preserve"> </w:t>
      </w:r>
      <w:r w:rsidR="0030667A" w:rsidRPr="00B52F99">
        <w:rPr>
          <w:rFonts w:cstheme="minorHAnsi"/>
          <w:color w:val="000000" w:themeColor="text1"/>
        </w:rPr>
        <w:t xml:space="preserve">Within </w:t>
      </w:r>
      <w:r w:rsidR="00A4181B" w:rsidRPr="00B52F99">
        <w:rPr>
          <w:rFonts w:cstheme="minorHAnsi"/>
          <w:color w:val="000000" w:themeColor="text1"/>
        </w:rPr>
        <w:t>our</w:t>
      </w:r>
      <w:r w:rsidR="0030667A" w:rsidRPr="00B52F99">
        <w:rPr>
          <w:rFonts w:cstheme="minorHAnsi"/>
          <w:color w:val="000000" w:themeColor="text1"/>
        </w:rPr>
        <w:t xml:space="preserve"> cohort, w</w:t>
      </w:r>
      <w:r w:rsidR="009D73B9" w:rsidRPr="00B52F99">
        <w:rPr>
          <w:rFonts w:cstheme="minorHAnsi"/>
          <w:color w:val="000000" w:themeColor="text1"/>
        </w:rPr>
        <w:t>eight gained (6.6</w:t>
      </w:r>
      <w:r w:rsidR="007636BA" w:rsidRPr="00B52F99">
        <w:rPr>
          <w:rFonts w:cstheme="minorHAnsi"/>
          <w:color w:val="000000" w:themeColor="text1"/>
        </w:rPr>
        <w:t>9</w:t>
      </w:r>
      <w:r w:rsidR="009D73B9" w:rsidRPr="00B52F99">
        <w:rPr>
          <w:rFonts w:cstheme="minorHAnsi"/>
          <w:color w:val="000000" w:themeColor="text1"/>
        </w:rPr>
        <w:t xml:space="preserve"> kg, </w:t>
      </w:r>
      <w:proofErr w:type="spellStart"/>
      <w:r w:rsidR="009D73B9" w:rsidRPr="00B52F99">
        <w:rPr>
          <w:rFonts w:cstheme="minorHAnsi"/>
          <w:color w:val="000000" w:themeColor="text1"/>
        </w:rPr>
        <w:t>sd</w:t>
      </w:r>
      <w:proofErr w:type="spellEnd"/>
      <w:r w:rsidR="009D73B9" w:rsidRPr="00B52F99">
        <w:rPr>
          <w:rFonts w:cstheme="minorHAnsi"/>
          <w:color w:val="000000" w:themeColor="text1"/>
        </w:rPr>
        <w:t>=2.8</w:t>
      </w:r>
      <w:r w:rsidR="00175415" w:rsidRPr="00B52F99">
        <w:rPr>
          <w:rFonts w:cstheme="minorHAnsi"/>
          <w:color w:val="000000" w:themeColor="text1"/>
        </w:rPr>
        <w:t>2</w:t>
      </w:r>
      <w:r w:rsidR="009D73B9" w:rsidRPr="00B52F99">
        <w:rPr>
          <w:rFonts w:cstheme="minorHAnsi"/>
          <w:color w:val="000000" w:themeColor="text1"/>
        </w:rPr>
        <w:t xml:space="preserve">) by New Zealand European females over 14 months (the largest sample size) was </w:t>
      </w:r>
      <w:proofErr w:type="gramStart"/>
      <w:r w:rsidR="009D73B9" w:rsidRPr="00B52F99">
        <w:rPr>
          <w:rFonts w:cstheme="minorHAnsi"/>
          <w:color w:val="000000" w:themeColor="text1"/>
        </w:rPr>
        <w:t>similar to</w:t>
      </w:r>
      <w:proofErr w:type="gramEnd"/>
      <w:r w:rsidR="009D73B9" w:rsidRPr="00B52F99">
        <w:rPr>
          <w:rFonts w:cstheme="minorHAnsi"/>
          <w:color w:val="000000" w:themeColor="text1"/>
        </w:rPr>
        <w:t xml:space="preserve"> weight gained </w:t>
      </w:r>
      <w:r w:rsidR="00F82613" w:rsidRPr="00B52F99">
        <w:rPr>
          <w:rFonts w:cstheme="minorHAnsi"/>
          <w:color w:val="000000" w:themeColor="text1"/>
        </w:rPr>
        <w:t xml:space="preserve">by </w:t>
      </w:r>
      <w:r w:rsidR="009D73B9" w:rsidRPr="00B52F99">
        <w:rPr>
          <w:color w:val="000000" w:themeColor="text1"/>
        </w:rPr>
        <w:t>New Zealand European/Māori and New Zealand European/Pasifika females</w:t>
      </w:r>
      <w:r w:rsidR="00D501B0" w:rsidRPr="00B52F99">
        <w:rPr>
          <w:color w:val="000000" w:themeColor="text1"/>
        </w:rPr>
        <w:t xml:space="preserve"> </w:t>
      </w:r>
      <w:r w:rsidR="00D501B0" w:rsidRPr="00B52F99">
        <w:rPr>
          <w:rFonts w:cstheme="minorHAnsi"/>
          <w:color w:val="000000" w:themeColor="text1"/>
        </w:rPr>
        <w:t xml:space="preserve">(6.70 kg, </w:t>
      </w:r>
      <w:proofErr w:type="spellStart"/>
      <w:r w:rsidR="00D501B0" w:rsidRPr="00B52F99">
        <w:rPr>
          <w:rFonts w:cstheme="minorHAnsi"/>
          <w:color w:val="000000" w:themeColor="text1"/>
        </w:rPr>
        <w:t>sd</w:t>
      </w:r>
      <w:proofErr w:type="spellEnd"/>
      <w:r w:rsidR="00D501B0" w:rsidRPr="00B52F99">
        <w:rPr>
          <w:rFonts w:cstheme="minorHAnsi"/>
          <w:color w:val="000000" w:themeColor="text1"/>
        </w:rPr>
        <w:t>=2.47)</w:t>
      </w:r>
      <w:r w:rsidR="009D73B9" w:rsidRPr="00B52F99">
        <w:rPr>
          <w:rFonts w:cstheme="minorHAnsi"/>
          <w:color w:val="000000" w:themeColor="text1"/>
        </w:rPr>
        <w:t>.</w:t>
      </w:r>
      <w:r w:rsidR="001D55B5" w:rsidRPr="00B52F99">
        <w:rPr>
          <w:color w:val="000000" w:themeColor="text1"/>
        </w:rPr>
        <w:t xml:space="preserve"> </w:t>
      </w:r>
    </w:p>
    <w:p w14:paraId="772C2C85" w14:textId="74B4EA24" w:rsidR="00211DFA" w:rsidRPr="00B52F99" w:rsidRDefault="00211DFA" w:rsidP="005D0197">
      <w:pPr>
        <w:spacing w:line="360" w:lineRule="auto"/>
        <w:jc w:val="both"/>
        <w:rPr>
          <w:rFonts w:cstheme="minorHAnsi"/>
          <w:color w:val="000000" w:themeColor="text1"/>
        </w:rPr>
      </w:pPr>
    </w:p>
    <w:p w14:paraId="73E58EA9" w14:textId="7A7E54F1" w:rsidR="00211DFA" w:rsidRPr="00B52F99" w:rsidRDefault="00211DFA" w:rsidP="005D0197">
      <w:pPr>
        <w:spacing w:line="360" w:lineRule="auto"/>
        <w:jc w:val="both"/>
        <w:rPr>
          <w:color w:val="000000" w:themeColor="text1"/>
        </w:rPr>
      </w:pPr>
      <w:r w:rsidRPr="00B52F99">
        <w:rPr>
          <w:color w:val="000000" w:themeColor="text1"/>
        </w:rPr>
        <w:t xml:space="preserve">RP-biorhythm had a </w:t>
      </w:r>
      <w:r w:rsidR="000F3A55" w:rsidRPr="00B52F99">
        <w:rPr>
          <w:color w:val="000000" w:themeColor="text1"/>
        </w:rPr>
        <w:t xml:space="preserve">mean value of 7.26, a </w:t>
      </w:r>
      <w:r w:rsidRPr="00B52F99">
        <w:rPr>
          <w:color w:val="000000" w:themeColor="text1"/>
        </w:rPr>
        <w:t>modal six-day periodicity</w:t>
      </w:r>
      <w:r w:rsidR="000F3A55" w:rsidRPr="00B52F99">
        <w:rPr>
          <w:color w:val="000000" w:themeColor="text1"/>
        </w:rPr>
        <w:t>,</w:t>
      </w:r>
      <w:r w:rsidRPr="00B52F99">
        <w:rPr>
          <w:color w:val="000000" w:themeColor="text1"/>
        </w:rPr>
        <w:t xml:space="preserve"> </w:t>
      </w:r>
      <w:r w:rsidR="006442AF" w:rsidRPr="00B52F99">
        <w:rPr>
          <w:color w:val="000000" w:themeColor="text1"/>
        </w:rPr>
        <w:t>and</w:t>
      </w:r>
      <w:r w:rsidRPr="00B52F99">
        <w:rPr>
          <w:color w:val="000000" w:themeColor="text1"/>
        </w:rPr>
        <w:t xml:space="preserve"> a range between five to 10 days (Table 1) that lies within the range of RP’s reported for humans</w:t>
      </w:r>
      <w:r w:rsidR="0065513E" w:rsidRPr="00B52F99">
        <w:rPr>
          <w:color w:val="000000" w:themeColor="text1"/>
          <w:vertAlign w:val="superscript"/>
        </w:rPr>
        <w:t>3</w:t>
      </w:r>
      <w:r w:rsidR="00EA70CA" w:rsidRPr="00B52F99">
        <w:rPr>
          <w:color w:val="000000" w:themeColor="text1"/>
          <w:vertAlign w:val="superscript"/>
        </w:rPr>
        <w:t>7</w:t>
      </w:r>
      <w:r w:rsidR="0065513E" w:rsidRPr="00B52F99">
        <w:rPr>
          <w:color w:val="000000" w:themeColor="text1"/>
          <w:vertAlign w:val="superscript"/>
        </w:rPr>
        <w:t>,</w:t>
      </w:r>
      <w:r w:rsidR="00EA70CA" w:rsidRPr="00B52F99">
        <w:rPr>
          <w:color w:val="000000" w:themeColor="text1"/>
          <w:vertAlign w:val="superscript"/>
        </w:rPr>
        <w:t>39</w:t>
      </w:r>
      <w:r w:rsidR="0065513E" w:rsidRPr="00B52F99">
        <w:rPr>
          <w:color w:val="000000" w:themeColor="text1"/>
          <w:vertAlign w:val="superscript"/>
        </w:rPr>
        <w:t>,4</w:t>
      </w:r>
      <w:r w:rsidR="00EA70CA" w:rsidRPr="00B52F99">
        <w:rPr>
          <w:color w:val="000000" w:themeColor="text1"/>
          <w:vertAlign w:val="superscript"/>
        </w:rPr>
        <w:t>5</w:t>
      </w:r>
      <w:r w:rsidRPr="00B52F99">
        <w:rPr>
          <w:color w:val="000000" w:themeColor="text1"/>
        </w:rPr>
        <w:t>. As with permanent molars</w:t>
      </w:r>
      <w:r w:rsidR="0065513E" w:rsidRPr="00B52F99">
        <w:rPr>
          <w:color w:val="000000" w:themeColor="text1"/>
          <w:vertAlign w:val="superscript"/>
        </w:rPr>
        <w:t>3</w:t>
      </w:r>
      <w:r w:rsidR="00EA70CA" w:rsidRPr="00B52F99">
        <w:rPr>
          <w:color w:val="000000" w:themeColor="text1"/>
          <w:vertAlign w:val="superscript"/>
        </w:rPr>
        <w:t>3</w:t>
      </w:r>
      <w:r w:rsidRPr="00B52F99">
        <w:rPr>
          <w:color w:val="000000" w:themeColor="text1"/>
        </w:rPr>
        <w:t xml:space="preserve">, we found no evidence that RP varied between </w:t>
      </w:r>
      <w:r w:rsidR="001C0447" w:rsidRPr="00B52F99">
        <w:rPr>
          <w:color w:val="000000" w:themeColor="text1"/>
        </w:rPr>
        <w:t>primary</w:t>
      </w:r>
      <w:r w:rsidRPr="00B52F99">
        <w:rPr>
          <w:color w:val="000000" w:themeColor="text1"/>
        </w:rPr>
        <w:t xml:space="preserve"> maxillary or mandibular molars, or between </w:t>
      </w:r>
      <w:r w:rsidR="001C0447" w:rsidRPr="00B52F99">
        <w:rPr>
          <w:color w:val="000000" w:themeColor="text1"/>
        </w:rPr>
        <w:t>primary</w:t>
      </w:r>
      <w:r w:rsidRPr="00B52F99">
        <w:rPr>
          <w:color w:val="000000" w:themeColor="text1"/>
        </w:rPr>
        <w:t xml:space="preserve"> first and second molars, when compared within individuals (</w:t>
      </w:r>
      <w:r w:rsidR="00621B90" w:rsidRPr="00B52F99">
        <w:rPr>
          <w:color w:val="000000" w:themeColor="text1"/>
        </w:rPr>
        <w:t xml:space="preserve">see </w:t>
      </w:r>
      <w:r w:rsidRPr="00B52F99">
        <w:rPr>
          <w:color w:val="000000" w:themeColor="text1"/>
        </w:rPr>
        <w:t xml:space="preserve">Supplementary Table 1). Within the cohort, </w:t>
      </w:r>
      <w:r w:rsidRPr="00B52F99">
        <w:rPr>
          <w:rFonts w:cstheme="minorHAnsi"/>
          <w:color w:val="000000" w:themeColor="text1"/>
        </w:rPr>
        <w:t xml:space="preserve">New Zealand European females </w:t>
      </w:r>
      <w:r w:rsidR="00A4181B" w:rsidRPr="00B52F99">
        <w:rPr>
          <w:color w:val="000000" w:themeColor="text1"/>
        </w:rPr>
        <w:t xml:space="preserve">had a mean RP of 7.50 that </w:t>
      </w:r>
      <w:r w:rsidRPr="00B52F99">
        <w:rPr>
          <w:rFonts w:cstheme="minorHAnsi"/>
          <w:color w:val="000000" w:themeColor="text1"/>
        </w:rPr>
        <w:t xml:space="preserve">was </w:t>
      </w:r>
      <w:r w:rsidR="00B32705" w:rsidRPr="00B52F99">
        <w:rPr>
          <w:rFonts w:cstheme="minorHAnsi"/>
          <w:color w:val="000000" w:themeColor="text1"/>
        </w:rPr>
        <w:t>slightly higher than</w:t>
      </w:r>
      <w:r w:rsidRPr="00B52F99">
        <w:rPr>
          <w:rFonts w:cstheme="minorHAnsi"/>
          <w:color w:val="000000" w:themeColor="text1"/>
        </w:rPr>
        <w:t xml:space="preserve"> the mean RP of 7.37 for New </w:t>
      </w:r>
      <w:r w:rsidRPr="00B52F99">
        <w:rPr>
          <w:color w:val="000000" w:themeColor="text1"/>
        </w:rPr>
        <w:t>Zealand European/Māori/Pasifika females.</w:t>
      </w:r>
    </w:p>
    <w:p w14:paraId="0FE29B9D" w14:textId="5556DF76" w:rsidR="00A724E8" w:rsidRPr="00B52F99" w:rsidRDefault="00A724E8" w:rsidP="005D0197">
      <w:pPr>
        <w:spacing w:line="360" w:lineRule="auto"/>
        <w:jc w:val="both"/>
        <w:rPr>
          <w:rFonts w:cstheme="minorHAnsi"/>
          <w:color w:val="000000" w:themeColor="text1"/>
        </w:rPr>
      </w:pPr>
    </w:p>
    <w:p w14:paraId="48258BF9" w14:textId="3660CC38" w:rsidR="00F96D4D" w:rsidRPr="00B52F99" w:rsidRDefault="003F18D9" w:rsidP="005D0197">
      <w:pPr>
        <w:spacing w:line="360" w:lineRule="auto"/>
        <w:jc w:val="both"/>
        <w:rPr>
          <w:color w:val="000000" w:themeColor="text1"/>
          <w:sz w:val="28"/>
          <w:szCs w:val="28"/>
        </w:rPr>
      </w:pPr>
      <w:r w:rsidRPr="00B52F99">
        <w:rPr>
          <w:color w:val="000000" w:themeColor="text1"/>
          <w:sz w:val="28"/>
          <w:szCs w:val="28"/>
        </w:rPr>
        <w:t>Sex</w:t>
      </w:r>
      <w:r w:rsidR="00EE22A6" w:rsidRPr="00B52F99">
        <w:rPr>
          <w:color w:val="000000" w:themeColor="text1"/>
          <w:sz w:val="28"/>
          <w:szCs w:val="28"/>
        </w:rPr>
        <w:t xml:space="preserve"> differences in weight</w:t>
      </w:r>
      <w:r w:rsidR="008A5991" w:rsidRPr="00B52F99">
        <w:rPr>
          <w:color w:val="000000" w:themeColor="text1"/>
          <w:sz w:val="28"/>
          <w:szCs w:val="28"/>
        </w:rPr>
        <w:t>,</w:t>
      </w:r>
      <w:r w:rsidR="007D3583" w:rsidRPr="00B52F99">
        <w:rPr>
          <w:color w:val="000000" w:themeColor="text1"/>
          <w:sz w:val="28"/>
          <w:szCs w:val="28"/>
        </w:rPr>
        <w:t xml:space="preserve"> </w:t>
      </w:r>
      <w:proofErr w:type="gramStart"/>
      <w:r w:rsidR="007D3583" w:rsidRPr="00B52F99">
        <w:rPr>
          <w:color w:val="000000" w:themeColor="text1"/>
          <w:sz w:val="28"/>
          <w:szCs w:val="28"/>
        </w:rPr>
        <w:t>mass</w:t>
      </w:r>
      <w:proofErr w:type="gramEnd"/>
      <w:r w:rsidR="00EE22A6" w:rsidRPr="00B52F99">
        <w:rPr>
          <w:color w:val="000000" w:themeColor="text1"/>
          <w:sz w:val="28"/>
          <w:szCs w:val="28"/>
        </w:rPr>
        <w:t xml:space="preserve"> and height</w:t>
      </w:r>
    </w:p>
    <w:p w14:paraId="4F2DA060" w14:textId="24947D7A" w:rsidR="007D3583" w:rsidRPr="00B52F99" w:rsidRDefault="003F18D9" w:rsidP="007D3583">
      <w:pPr>
        <w:spacing w:line="360" w:lineRule="auto"/>
        <w:jc w:val="both"/>
        <w:rPr>
          <w:rFonts w:cstheme="minorHAnsi"/>
          <w:color w:val="000000" w:themeColor="text1"/>
        </w:rPr>
      </w:pPr>
      <w:r w:rsidRPr="00B52F99">
        <w:rPr>
          <w:color w:val="000000" w:themeColor="text1"/>
        </w:rPr>
        <w:t>As expected, f</w:t>
      </w:r>
      <w:r w:rsidR="00FA1DAF" w:rsidRPr="00B52F99">
        <w:rPr>
          <w:rFonts w:cstheme="minorHAnsi"/>
          <w:color w:val="000000" w:themeColor="text1"/>
        </w:rPr>
        <w:t xml:space="preserve">emale weight, BMI, </w:t>
      </w:r>
      <w:proofErr w:type="gramStart"/>
      <w:r w:rsidR="00FA1DAF" w:rsidRPr="00B52F99">
        <w:rPr>
          <w:rFonts w:cstheme="minorHAnsi"/>
          <w:color w:val="000000" w:themeColor="text1"/>
        </w:rPr>
        <w:t>height</w:t>
      </w:r>
      <w:proofErr w:type="gramEnd"/>
      <w:r w:rsidR="00FA1DAF" w:rsidRPr="00B52F99">
        <w:rPr>
          <w:rFonts w:cstheme="minorHAnsi"/>
          <w:color w:val="000000" w:themeColor="text1"/>
        </w:rPr>
        <w:t xml:space="preserve"> and lower leg length increased by a greater amount </w:t>
      </w:r>
      <w:r w:rsidR="00DC196C" w:rsidRPr="00B52F99">
        <w:rPr>
          <w:rFonts w:cstheme="minorHAnsi"/>
          <w:color w:val="000000" w:themeColor="text1"/>
        </w:rPr>
        <w:t>than males when compared over a 14-month period between September 2019 to October 2020</w:t>
      </w:r>
      <w:r w:rsidR="00FA1DAF" w:rsidRPr="00B52F99">
        <w:rPr>
          <w:rFonts w:cstheme="minorHAnsi"/>
          <w:color w:val="000000" w:themeColor="text1"/>
        </w:rPr>
        <w:t xml:space="preserve"> (</w:t>
      </w:r>
      <w:r w:rsidR="00FA1DAF" w:rsidRPr="00B52F99">
        <w:rPr>
          <w:rFonts w:cstheme="minorHAnsi"/>
          <w:b/>
          <w:bCs/>
          <w:color w:val="000000" w:themeColor="text1"/>
        </w:rPr>
        <w:t>Fig.</w:t>
      </w:r>
      <w:r w:rsidR="00185D16" w:rsidRPr="00B52F99">
        <w:rPr>
          <w:rFonts w:cstheme="minorHAnsi"/>
          <w:b/>
          <w:bCs/>
          <w:color w:val="000000" w:themeColor="text1"/>
        </w:rPr>
        <w:t xml:space="preserve"> </w:t>
      </w:r>
      <w:r w:rsidR="006D5C1F" w:rsidRPr="00B52F99">
        <w:rPr>
          <w:rFonts w:cstheme="minorHAnsi"/>
          <w:b/>
          <w:bCs/>
          <w:color w:val="000000" w:themeColor="text1"/>
        </w:rPr>
        <w:t>2</w:t>
      </w:r>
      <w:r w:rsidR="00ED7893" w:rsidRPr="00B52F99">
        <w:rPr>
          <w:rFonts w:cstheme="minorHAnsi"/>
          <w:b/>
          <w:bCs/>
          <w:color w:val="000000" w:themeColor="text1"/>
        </w:rPr>
        <w:t>a-d</w:t>
      </w:r>
      <w:r w:rsidR="005A47B3" w:rsidRPr="00B52F99">
        <w:rPr>
          <w:rFonts w:cstheme="minorHAnsi"/>
          <w:b/>
          <w:bCs/>
          <w:color w:val="000000" w:themeColor="text1"/>
        </w:rPr>
        <w:t xml:space="preserve">; </w:t>
      </w:r>
      <w:r w:rsidR="005A47B3" w:rsidRPr="00B52F99">
        <w:rPr>
          <w:rFonts w:cstheme="minorHAnsi"/>
          <w:color w:val="000000" w:themeColor="text1"/>
        </w:rPr>
        <w:t>Supplementary Data 1</w:t>
      </w:r>
      <w:r w:rsidR="00FA1DAF" w:rsidRPr="00B52F99">
        <w:rPr>
          <w:rFonts w:cstheme="minorHAnsi"/>
          <w:color w:val="000000" w:themeColor="text1"/>
        </w:rPr>
        <w:t xml:space="preserve">). </w:t>
      </w:r>
      <w:r w:rsidR="00FB236E" w:rsidRPr="00B52F99">
        <w:rPr>
          <w:rFonts w:cstheme="minorHAnsi"/>
          <w:color w:val="000000" w:themeColor="text1"/>
        </w:rPr>
        <w:t xml:space="preserve">On average, females weighed more </w:t>
      </w:r>
      <w:r w:rsidR="00D335C1" w:rsidRPr="00B52F99">
        <w:rPr>
          <w:rFonts w:cstheme="minorHAnsi"/>
          <w:color w:val="000000" w:themeColor="text1"/>
        </w:rPr>
        <w:t xml:space="preserve">at the start </w:t>
      </w:r>
      <w:r w:rsidR="00FB236E" w:rsidRPr="00B52F99">
        <w:rPr>
          <w:rFonts w:cstheme="minorHAnsi"/>
          <w:color w:val="000000" w:themeColor="text1"/>
        </w:rPr>
        <w:t>(females=38.41kg; males=37.42kg</w:t>
      </w:r>
      <w:r w:rsidR="00D335C1" w:rsidRPr="00B52F99">
        <w:rPr>
          <w:rFonts w:cstheme="minorHAnsi"/>
          <w:color w:val="000000" w:themeColor="text1"/>
        </w:rPr>
        <w:t xml:space="preserve">) </w:t>
      </w:r>
      <w:r w:rsidR="00FB236E" w:rsidRPr="00B52F99">
        <w:rPr>
          <w:rFonts w:cstheme="minorHAnsi"/>
          <w:color w:val="000000" w:themeColor="text1"/>
        </w:rPr>
        <w:t xml:space="preserve">and end of the project (females=46.00kg; males=43.20kg). </w:t>
      </w:r>
      <w:r w:rsidR="00F66B95" w:rsidRPr="00B52F99">
        <w:rPr>
          <w:color w:val="000000" w:themeColor="text1"/>
        </w:rPr>
        <w:t>Twenty-six</w:t>
      </w:r>
      <w:r w:rsidR="00FA1DAF" w:rsidRPr="00B52F99">
        <w:rPr>
          <w:color w:val="000000" w:themeColor="text1"/>
        </w:rPr>
        <w:t xml:space="preserve"> females were assigned a maturation score of 3</w:t>
      </w:r>
      <w:r w:rsidR="00DA2214" w:rsidRPr="00B52F99">
        <w:rPr>
          <w:color w:val="000000" w:themeColor="text1"/>
        </w:rPr>
        <w:t xml:space="preserve"> (</w:t>
      </w:r>
      <w:r w:rsidR="002555E4" w:rsidRPr="00B52F99">
        <w:rPr>
          <w:color w:val="000000" w:themeColor="text1"/>
        </w:rPr>
        <w:t>Table 1</w:t>
      </w:r>
      <w:r w:rsidR="00DA2214" w:rsidRPr="00B52F99">
        <w:rPr>
          <w:color w:val="000000" w:themeColor="text1"/>
        </w:rPr>
        <w:t>)</w:t>
      </w:r>
      <w:r w:rsidR="00FA1DAF" w:rsidRPr="00B52F99">
        <w:rPr>
          <w:color w:val="000000" w:themeColor="text1"/>
        </w:rPr>
        <w:t xml:space="preserve"> having probably reached peak height velocity. Eight males were preadolescent, 18 had entered adolescence, and one individual probably approached peak height velocity.</w:t>
      </w:r>
      <w:r w:rsidR="00AD1932" w:rsidRPr="00B52F99">
        <w:rPr>
          <w:color w:val="000000" w:themeColor="text1"/>
        </w:rPr>
        <w:t xml:space="preserve"> </w:t>
      </w:r>
      <w:r w:rsidR="006442AF" w:rsidRPr="00B52F99">
        <w:rPr>
          <w:color w:val="000000" w:themeColor="text1"/>
        </w:rPr>
        <w:t>As expected, l</w:t>
      </w:r>
      <w:r w:rsidR="00FA1DAF" w:rsidRPr="00B52F99">
        <w:rPr>
          <w:rFonts w:cstheme="minorHAnsi"/>
          <w:color w:val="000000" w:themeColor="text1"/>
        </w:rPr>
        <w:t>o</w:t>
      </w:r>
      <w:r w:rsidR="00FA1DAF" w:rsidRPr="00B52F99">
        <w:rPr>
          <w:color w:val="000000" w:themeColor="text1"/>
        </w:rPr>
        <w:t>g transformed maturity scores were significantly and positively correlated with weight</w:t>
      </w:r>
      <w:r w:rsidR="00F66B95" w:rsidRPr="00B52F99">
        <w:rPr>
          <w:color w:val="000000" w:themeColor="text1"/>
        </w:rPr>
        <w:t>/</w:t>
      </w:r>
      <w:r w:rsidR="00FC04AE" w:rsidRPr="00B52F99">
        <w:rPr>
          <w:color w:val="000000" w:themeColor="text1"/>
        </w:rPr>
        <w:t xml:space="preserve">BMI gained over 14 months </w:t>
      </w:r>
      <w:r w:rsidR="00475CBD" w:rsidRPr="00B52F99">
        <w:rPr>
          <w:rFonts w:cstheme="minorHAnsi"/>
          <w:color w:val="000000" w:themeColor="text1"/>
        </w:rPr>
        <w:t>(Supplementary Fig</w:t>
      </w:r>
      <w:r w:rsidR="00E660A0" w:rsidRPr="00B52F99">
        <w:rPr>
          <w:rFonts w:cstheme="minorHAnsi"/>
          <w:color w:val="000000" w:themeColor="text1"/>
        </w:rPr>
        <w:t>ure</w:t>
      </w:r>
      <w:r w:rsidR="00475CBD" w:rsidRPr="00B52F99">
        <w:rPr>
          <w:rFonts w:cstheme="minorHAnsi"/>
          <w:color w:val="000000" w:themeColor="text1"/>
        </w:rPr>
        <w:t xml:space="preserve"> 2a</w:t>
      </w:r>
      <w:r w:rsidR="00FC04AE" w:rsidRPr="00B52F99">
        <w:rPr>
          <w:rFonts w:cstheme="minorHAnsi"/>
          <w:color w:val="000000" w:themeColor="text1"/>
        </w:rPr>
        <w:t>-b</w:t>
      </w:r>
      <w:r w:rsidR="00475CBD" w:rsidRPr="00B52F99">
        <w:rPr>
          <w:rFonts w:cstheme="minorHAnsi"/>
          <w:color w:val="000000" w:themeColor="text1"/>
        </w:rPr>
        <w:t>).</w:t>
      </w:r>
    </w:p>
    <w:p w14:paraId="19A21E70" w14:textId="77777777" w:rsidR="00D90179" w:rsidRPr="00B52F99" w:rsidRDefault="00D90179" w:rsidP="005D0197">
      <w:pPr>
        <w:spacing w:after="60" w:line="360" w:lineRule="auto"/>
        <w:jc w:val="both"/>
        <w:rPr>
          <w:color w:val="000000" w:themeColor="text1"/>
          <w:sz w:val="28"/>
          <w:szCs w:val="28"/>
        </w:rPr>
      </w:pPr>
    </w:p>
    <w:p w14:paraId="489ADDF8" w14:textId="4BFB8C1B" w:rsidR="00D90179" w:rsidRPr="00B52F99" w:rsidRDefault="00A15D56" w:rsidP="00D90179">
      <w:pPr>
        <w:spacing w:after="60" w:line="360" w:lineRule="auto"/>
        <w:jc w:val="both"/>
        <w:rPr>
          <w:color w:val="000000" w:themeColor="text1"/>
          <w:sz w:val="28"/>
          <w:szCs w:val="28"/>
        </w:rPr>
      </w:pPr>
      <w:r w:rsidRPr="00B52F99">
        <w:rPr>
          <w:color w:val="000000" w:themeColor="text1"/>
          <w:sz w:val="28"/>
          <w:szCs w:val="28"/>
        </w:rPr>
        <w:t>W</w:t>
      </w:r>
      <w:r w:rsidR="006D4D75" w:rsidRPr="00B52F99">
        <w:rPr>
          <w:color w:val="000000" w:themeColor="text1"/>
          <w:sz w:val="28"/>
          <w:szCs w:val="28"/>
        </w:rPr>
        <w:t xml:space="preserve">eight </w:t>
      </w:r>
      <w:r w:rsidR="00F621B0" w:rsidRPr="00B52F99">
        <w:rPr>
          <w:color w:val="000000" w:themeColor="text1"/>
          <w:sz w:val="28"/>
          <w:szCs w:val="28"/>
        </w:rPr>
        <w:t xml:space="preserve">and </w:t>
      </w:r>
      <w:r w:rsidR="007D3583" w:rsidRPr="00B52F99">
        <w:rPr>
          <w:color w:val="000000" w:themeColor="text1"/>
          <w:sz w:val="28"/>
          <w:szCs w:val="28"/>
        </w:rPr>
        <w:t>mass</w:t>
      </w:r>
      <w:r w:rsidR="00F621B0" w:rsidRPr="00B52F99">
        <w:rPr>
          <w:color w:val="000000" w:themeColor="text1"/>
          <w:sz w:val="28"/>
          <w:szCs w:val="28"/>
        </w:rPr>
        <w:t xml:space="preserve"> </w:t>
      </w:r>
      <w:r w:rsidR="00366798" w:rsidRPr="00B52F99">
        <w:rPr>
          <w:color w:val="000000" w:themeColor="text1"/>
          <w:sz w:val="28"/>
          <w:szCs w:val="28"/>
        </w:rPr>
        <w:t xml:space="preserve">gained </w:t>
      </w:r>
      <w:r w:rsidRPr="00B52F99">
        <w:rPr>
          <w:color w:val="000000" w:themeColor="text1"/>
          <w:sz w:val="28"/>
          <w:szCs w:val="28"/>
        </w:rPr>
        <w:t>relate to R</w:t>
      </w:r>
      <w:r w:rsidR="005E1D0B" w:rsidRPr="00B52F99">
        <w:rPr>
          <w:color w:val="000000" w:themeColor="text1"/>
          <w:sz w:val="28"/>
          <w:szCs w:val="28"/>
        </w:rPr>
        <w:t>P</w:t>
      </w:r>
      <w:r w:rsidR="007D3583" w:rsidRPr="00B52F99">
        <w:rPr>
          <w:color w:val="000000" w:themeColor="text1"/>
          <w:sz w:val="28"/>
          <w:szCs w:val="28"/>
        </w:rPr>
        <w:t>-biorhythm</w:t>
      </w:r>
    </w:p>
    <w:p w14:paraId="4E5DDD97" w14:textId="5DD6F054" w:rsidR="00EE1637" w:rsidRPr="00B52F99" w:rsidRDefault="00F725C7" w:rsidP="005D0197">
      <w:pPr>
        <w:spacing w:line="360" w:lineRule="auto"/>
        <w:jc w:val="both"/>
        <w:rPr>
          <w:rFonts w:cstheme="minorHAnsi"/>
          <w:color w:val="000000" w:themeColor="text1"/>
        </w:rPr>
      </w:pPr>
      <w:r w:rsidRPr="00B52F99">
        <w:rPr>
          <w:rFonts w:cstheme="minorHAnsi"/>
          <w:color w:val="000000" w:themeColor="text1"/>
        </w:rPr>
        <w:t>R</w:t>
      </w:r>
      <w:r w:rsidR="00DE424B" w:rsidRPr="00B52F99">
        <w:rPr>
          <w:rFonts w:cstheme="minorHAnsi"/>
          <w:color w:val="000000" w:themeColor="text1"/>
        </w:rPr>
        <w:t>egression analys</w:t>
      </w:r>
      <w:r w:rsidR="00E153B0" w:rsidRPr="00B52F99">
        <w:rPr>
          <w:rFonts w:cstheme="minorHAnsi"/>
          <w:color w:val="000000" w:themeColor="text1"/>
        </w:rPr>
        <w:t>es</w:t>
      </w:r>
      <w:r w:rsidR="00DE424B" w:rsidRPr="00B52F99">
        <w:rPr>
          <w:rFonts w:cstheme="minorHAnsi"/>
          <w:color w:val="000000" w:themeColor="text1"/>
        </w:rPr>
        <w:t xml:space="preserve"> </w:t>
      </w:r>
      <w:r w:rsidR="00BA0607" w:rsidRPr="00B52F99">
        <w:rPr>
          <w:rFonts w:cstheme="minorHAnsi"/>
          <w:color w:val="000000" w:themeColor="text1"/>
        </w:rPr>
        <w:t>revealed</w:t>
      </w:r>
      <w:r w:rsidR="00DE424B" w:rsidRPr="00B52F99">
        <w:rPr>
          <w:rFonts w:cstheme="minorHAnsi"/>
          <w:color w:val="000000" w:themeColor="text1"/>
        </w:rPr>
        <w:t xml:space="preserve"> </w:t>
      </w:r>
      <w:r w:rsidR="00040670" w:rsidRPr="00B52F99">
        <w:rPr>
          <w:rFonts w:cstheme="minorHAnsi"/>
          <w:color w:val="000000" w:themeColor="text1"/>
        </w:rPr>
        <w:t xml:space="preserve">log transformed </w:t>
      </w:r>
      <w:r w:rsidR="006D4D75" w:rsidRPr="00B52F99">
        <w:rPr>
          <w:rFonts w:cstheme="minorHAnsi"/>
          <w:color w:val="000000" w:themeColor="text1"/>
        </w:rPr>
        <w:t xml:space="preserve">RP </w:t>
      </w:r>
      <w:r w:rsidR="00A457F6" w:rsidRPr="00B52F99">
        <w:rPr>
          <w:rFonts w:cstheme="minorHAnsi"/>
          <w:color w:val="000000" w:themeColor="text1"/>
        </w:rPr>
        <w:t xml:space="preserve">was significantly related to </w:t>
      </w:r>
      <w:r w:rsidR="00504B09" w:rsidRPr="00B52F99">
        <w:rPr>
          <w:rFonts w:cstheme="minorHAnsi"/>
          <w:color w:val="000000" w:themeColor="text1"/>
        </w:rPr>
        <w:t xml:space="preserve">the </w:t>
      </w:r>
      <w:r w:rsidR="00040670" w:rsidRPr="00B52F99">
        <w:rPr>
          <w:rFonts w:cstheme="minorHAnsi"/>
          <w:color w:val="000000" w:themeColor="text1"/>
        </w:rPr>
        <w:t xml:space="preserve">log transformed </w:t>
      </w:r>
      <w:proofErr w:type="gramStart"/>
      <w:r w:rsidR="00A457F6" w:rsidRPr="00B52F99">
        <w:rPr>
          <w:rFonts w:cstheme="minorHAnsi"/>
          <w:color w:val="000000" w:themeColor="text1"/>
        </w:rPr>
        <w:t xml:space="preserve">weight </w:t>
      </w:r>
      <w:r w:rsidR="003062B7" w:rsidRPr="00B52F99">
        <w:rPr>
          <w:rFonts w:cstheme="minorHAnsi"/>
          <w:color w:val="000000" w:themeColor="text1"/>
        </w:rPr>
        <w:t xml:space="preserve"> </w:t>
      </w:r>
      <w:r w:rsidR="00A457F6" w:rsidRPr="00B52F99">
        <w:rPr>
          <w:rFonts w:cstheme="minorHAnsi"/>
          <w:color w:val="000000" w:themeColor="text1"/>
        </w:rPr>
        <w:t>and</w:t>
      </w:r>
      <w:proofErr w:type="gramEnd"/>
      <w:r w:rsidR="00A457F6" w:rsidRPr="00B52F99">
        <w:rPr>
          <w:rFonts w:cstheme="minorHAnsi"/>
          <w:color w:val="000000" w:themeColor="text1"/>
        </w:rPr>
        <w:t xml:space="preserve"> </w:t>
      </w:r>
      <w:r w:rsidR="006074B6" w:rsidRPr="00B52F99">
        <w:rPr>
          <w:rFonts w:cstheme="minorHAnsi"/>
          <w:color w:val="000000" w:themeColor="text1"/>
        </w:rPr>
        <w:t>BMI</w:t>
      </w:r>
      <w:r w:rsidR="00F64F96" w:rsidRPr="00B52F99">
        <w:rPr>
          <w:rFonts w:cstheme="minorHAnsi"/>
          <w:color w:val="000000" w:themeColor="text1"/>
        </w:rPr>
        <w:t xml:space="preserve"> </w:t>
      </w:r>
      <w:r w:rsidR="003062B7" w:rsidRPr="00B52F99">
        <w:rPr>
          <w:rFonts w:cstheme="minorHAnsi"/>
          <w:color w:val="000000" w:themeColor="text1"/>
        </w:rPr>
        <w:t>(</w:t>
      </w:r>
      <w:r w:rsidR="003062B7" w:rsidRPr="00B52F99">
        <w:rPr>
          <w:rFonts w:cstheme="minorHAnsi"/>
          <w:b/>
          <w:bCs/>
          <w:color w:val="000000" w:themeColor="text1"/>
        </w:rPr>
        <w:t xml:space="preserve">Fig. </w:t>
      </w:r>
      <w:r w:rsidR="005A47B3" w:rsidRPr="00B52F99">
        <w:rPr>
          <w:rFonts w:cstheme="minorHAnsi"/>
          <w:b/>
          <w:bCs/>
          <w:color w:val="000000" w:themeColor="text1"/>
        </w:rPr>
        <w:t>3a-</w:t>
      </w:r>
      <w:r w:rsidR="003062B7" w:rsidRPr="00B52F99">
        <w:rPr>
          <w:rFonts w:cstheme="minorHAnsi"/>
          <w:b/>
          <w:bCs/>
          <w:color w:val="000000" w:themeColor="text1"/>
        </w:rPr>
        <w:t>b</w:t>
      </w:r>
      <w:r w:rsidR="005A47B3" w:rsidRPr="00B52F99">
        <w:rPr>
          <w:rFonts w:cstheme="minorHAnsi"/>
          <w:b/>
          <w:bCs/>
          <w:color w:val="000000" w:themeColor="text1"/>
        </w:rPr>
        <w:t xml:space="preserve">; </w:t>
      </w:r>
      <w:r w:rsidR="005A47B3" w:rsidRPr="00B52F99">
        <w:rPr>
          <w:rFonts w:cstheme="minorHAnsi"/>
          <w:color w:val="000000" w:themeColor="text1"/>
        </w:rPr>
        <w:t>Supplementary Data 2</w:t>
      </w:r>
      <w:r w:rsidR="003062B7" w:rsidRPr="00B52F99">
        <w:rPr>
          <w:rFonts w:cstheme="minorHAnsi"/>
          <w:color w:val="000000" w:themeColor="text1"/>
        </w:rPr>
        <w:t xml:space="preserve">) </w:t>
      </w:r>
      <w:r w:rsidR="000C03F7" w:rsidRPr="00B52F99">
        <w:rPr>
          <w:rFonts w:cstheme="minorHAnsi"/>
          <w:color w:val="000000" w:themeColor="text1"/>
        </w:rPr>
        <w:t xml:space="preserve">that participants </w:t>
      </w:r>
      <w:r w:rsidR="00BA0607" w:rsidRPr="00B52F99">
        <w:rPr>
          <w:rFonts w:cstheme="minorHAnsi"/>
          <w:color w:val="000000" w:themeColor="text1"/>
        </w:rPr>
        <w:t>gained over 14-months</w:t>
      </w:r>
      <w:r w:rsidR="00DE424B" w:rsidRPr="00B52F99">
        <w:rPr>
          <w:rFonts w:cstheme="minorHAnsi"/>
          <w:color w:val="000000" w:themeColor="text1"/>
        </w:rPr>
        <w:t>.</w:t>
      </w:r>
      <w:r w:rsidR="000004FF" w:rsidRPr="00B52F99">
        <w:rPr>
          <w:rFonts w:cstheme="minorHAnsi"/>
          <w:color w:val="000000" w:themeColor="text1"/>
        </w:rPr>
        <w:t xml:space="preserve"> </w:t>
      </w:r>
      <w:r w:rsidR="004C5CE7" w:rsidRPr="00B52F99">
        <w:rPr>
          <w:rFonts w:cstheme="minorHAnsi"/>
          <w:color w:val="000000" w:themeColor="text1"/>
        </w:rPr>
        <w:t>A</w:t>
      </w:r>
      <w:r w:rsidR="00DC52B4" w:rsidRPr="00B52F99">
        <w:rPr>
          <w:rFonts w:cstheme="minorHAnsi"/>
          <w:color w:val="000000" w:themeColor="text1"/>
        </w:rPr>
        <w:t xml:space="preserve"> </w:t>
      </w:r>
      <w:r w:rsidR="003A58DA" w:rsidRPr="00B52F99">
        <w:rPr>
          <w:rFonts w:cstheme="minorHAnsi"/>
          <w:color w:val="000000" w:themeColor="text1"/>
        </w:rPr>
        <w:t>quadratic</w:t>
      </w:r>
      <w:r w:rsidR="006B6405" w:rsidRPr="00B52F99">
        <w:rPr>
          <w:rFonts w:cstheme="minorHAnsi"/>
          <w:color w:val="000000" w:themeColor="text1"/>
        </w:rPr>
        <w:t xml:space="preserve"> equation</w:t>
      </w:r>
      <w:r w:rsidR="00DC52B4" w:rsidRPr="00B52F99">
        <w:rPr>
          <w:rFonts w:cstheme="minorHAnsi"/>
          <w:color w:val="000000" w:themeColor="text1"/>
        </w:rPr>
        <w:t xml:space="preserve"> was the best fit for our data </w:t>
      </w:r>
      <w:r w:rsidR="006F411C" w:rsidRPr="00B52F99">
        <w:rPr>
          <w:rFonts w:cstheme="minorHAnsi"/>
          <w:color w:val="000000" w:themeColor="text1"/>
        </w:rPr>
        <w:t>as the</w:t>
      </w:r>
      <w:r w:rsidR="00DC52B4" w:rsidRPr="00B52F99">
        <w:rPr>
          <w:rFonts w:cstheme="minorHAnsi"/>
          <w:color w:val="000000" w:themeColor="text1"/>
        </w:rPr>
        <w:t xml:space="preserve"> relationship between RP and weight</w:t>
      </w:r>
      <w:r w:rsidR="00A457F6" w:rsidRPr="00B52F99">
        <w:rPr>
          <w:rFonts w:cstheme="minorHAnsi"/>
          <w:color w:val="000000" w:themeColor="text1"/>
        </w:rPr>
        <w:t>/BMI</w:t>
      </w:r>
      <w:r w:rsidR="00DC52B4" w:rsidRPr="00B52F99">
        <w:rPr>
          <w:rFonts w:cstheme="minorHAnsi"/>
          <w:color w:val="000000" w:themeColor="text1"/>
        </w:rPr>
        <w:t xml:space="preserve"> </w:t>
      </w:r>
      <w:r w:rsidR="00057797" w:rsidRPr="00B52F99">
        <w:rPr>
          <w:rFonts w:cstheme="minorHAnsi"/>
          <w:color w:val="000000" w:themeColor="text1"/>
        </w:rPr>
        <w:t xml:space="preserve">was </w:t>
      </w:r>
      <w:r w:rsidR="003A58DA" w:rsidRPr="00B52F99">
        <w:rPr>
          <w:rFonts w:cstheme="minorHAnsi"/>
          <w:color w:val="000000" w:themeColor="text1"/>
        </w:rPr>
        <w:t>curv</w:t>
      </w:r>
      <w:r w:rsidR="00057797" w:rsidRPr="00B52F99">
        <w:rPr>
          <w:rFonts w:cstheme="minorHAnsi"/>
          <w:color w:val="000000" w:themeColor="text1"/>
        </w:rPr>
        <w:t>ilinear.</w:t>
      </w:r>
      <w:r w:rsidRPr="00B52F99">
        <w:rPr>
          <w:rFonts w:cstheme="minorHAnsi"/>
          <w:color w:val="000000" w:themeColor="text1"/>
        </w:rPr>
        <w:t xml:space="preserve"> </w:t>
      </w:r>
      <w:r w:rsidR="009D1515" w:rsidRPr="00B52F99">
        <w:rPr>
          <w:rFonts w:cstheme="minorHAnsi"/>
          <w:color w:val="000000" w:themeColor="text1"/>
        </w:rPr>
        <w:t>R</w:t>
      </w:r>
      <w:r w:rsidR="00E81012" w:rsidRPr="00B52F99">
        <w:rPr>
          <w:rFonts w:cstheme="minorHAnsi"/>
          <w:color w:val="000000" w:themeColor="text1"/>
        </w:rPr>
        <w:t xml:space="preserve">P </w:t>
      </w:r>
      <w:r w:rsidR="00FE11F3" w:rsidRPr="00B52F99">
        <w:rPr>
          <w:rFonts w:cstheme="minorHAnsi"/>
          <w:color w:val="000000" w:themeColor="text1"/>
        </w:rPr>
        <w:t>was</w:t>
      </w:r>
      <w:r w:rsidR="009D1515" w:rsidRPr="00B52F99">
        <w:rPr>
          <w:rFonts w:cstheme="minorHAnsi"/>
          <w:color w:val="000000" w:themeColor="text1"/>
        </w:rPr>
        <w:t xml:space="preserve"> </w:t>
      </w:r>
      <w:r w:rsidR="00D26479" w:rsidRPr="00B52F99">
        <w:rPr>
          <w:rFonts w:cstheme="minorHAnsi"/>
          <w:color w:val="000000" w:themeColor="text1"/>
        </w:rPr>
        <w:t xml:space="preserve">still significantly related to </w:t>
      </w:r>
      <w:r w:rsidR="009D1515" w:rsidRPr="00B52F99">
        <w:rPr>
          <w:rFonts w:cstheme="minorHAnsi"/>
          <w:color w:val="000000" w:themeColor="text1"/>
        </w:rPr>
        <w:t xml:space="preserve">weight gain over shorter intervals of 12 </w:t>
      </w:r>
      <w:r w:rsidR="00DE424B" w:rsidRPr="00B52F99">
        <w:rPr>
          <w:rFonts w:cstheme="minorHAnsi"/>
          <w:color w:val="000000" w:themeColor="text1"/>
        </w:rPr>
        <w:t>and</w:t>
      </w:r>
      <w:r w:rsidR="009D1515" w:rsidRPr="00B52F99">
        <w:rPr>
          <w:rFonts w:cstheme="minorHAnsi"/>
          <w:color w:val="000000" w:themeColor="text1"/>
        </w:rPr>
        <w:t xml:space="preserve"> 13</w:t>
      </w:r>
      <w:r w:rsidR="00E81012" w:rsidRPr="00B52F99">
        <w:rPr>
          <w:rFonts w:cstheme="minorHAnsi"/>
          <w:color w:val="000000" w:themeColor="text1"/>
        </w:rPr>
        <w:t>-</w:t>
      </w:r>
      <w:r w:rsidR="009D1515" w:rsidRPr="00B52F99">
        <w:rPr>
          <w:rFonts w:cstheme="minorHAnsi"/>
          <w:color w:val="000000" w:themeColor="text1"/>
        </w:rPr>
        <w:t>months</w:t>
      </w:r>
      <w:r w:rsidR="00B843AC" w:rsidRPr="00B52F99">
        <w:rPr>
          <w:rFonts w:cstheme="minorHAnsi"/>
          <w:color w:val="000000" w:themeColor="text1"/>
        </w:rPr>
        <w:t xml:space="preserve">, </w:t>
      </w:r>
      <w:r w:rsidR="00BB7EFA" w:rsidRPr="00B52F99">
        <w:rPr>
          <w:rFonts w:cstheme="minorHAnsi"/>
          <w:color w:val="000000" w:themeColor="text1"/>
        </w:rPr>
        <w:t>one longer interval of 15</w:t>
      </w:r>
      <w:r w:rsidR="00E81012" w:rsidRPr="00B52F99">
        <w:rPr>
          <w:rFonts w:cstheme="minorHAnsi"/>
          <w:color w:val="000000" w:themeColor="text1"/>
        </w:rPr>
        <w:t>-</w:t>
      </w:r>
      <w:r w:rsidR="00BB7EFA" w:rsidRPr="00B52F99">
        <w:rPr>
          <w:rFonts w:cstheme="minorHAnsi"/>
          <w:color w:val="000000" w:themeColor="text1"/>
        </w:rPr>
        <w:t xml:space="preserve">months, </w:t>
      </w:r>
      <w:r w:rsidR="00E81012" w:rsidRPr="00B52F99">
        <w:rPr>
          <w:rFonts w:cstheme="minorHAnsi"/>
          <w:color w:val="000000" w:themeColor="text1"/>
        </w:rPr>
        <w:t xml:space="preserve">and </w:t>
      </w:r>
      <w:r w:rsidR="000004FF" w:rsidRPr="00B52F99">
        <w:rPr>
          <w:rFonts w:cstheme="minorHAnsi"/>
          <w:color w:val="000000" w:themeColor="text1"/>
        </w:rPr>
        <w:t>to</w:t>
      </w:r>
      <w:r w:rsidR="003B6B85" w:rsidRPr="00B52F99">
        <w:rPr>
          <w:rFonts w:cstheme="minorHAnsi"/>
          <w:color w:val="000000" w:themeColor="text1"/>
        </w:rPr>
        <w:t xml:space="preserve"> </w:t>
      </w:r>
      <w:r w:rsidR="00AC60F5" w:rsidRPr="00B52F99">
        <w:rPr>
          <w:rFonts w:cstheme="minorHAnsi"/>
          <w:color w:val="000000" w:themeColor="text1"/>
        </w:rPr>
        <w:t xml:space="preserve">adjusted </w:t>
      </w:r>
      <w:r w:rsidR="003B6B85" w:rsidRPr="00B52F99">
        <w:rPr>
          <w:rFonts w:cstheme="minorHAnsi"/>
          <w:color w:val="000000" w:themeColor="text1"/>
        </w:rPr>
        <w:t xml:space="preserve">maximum </w:t>
      </w:r>
      <w:r w:rsidR="00D61F9D" w:rsidRPr="00B52F99">
        <w:rPr>
          <w:rFonts w:cstheme="minorHAnsi"/>
          <w:color w:val="000000" w:themeColor="text1"/>
        </w:rPr>
        <w:t>weigh</w:t>
      </w:r>
      <w:r w:rsidR="000004FF" w:rsidRPr="00B52F99">
        <w:rPr>
          <w:rFonts w:cstheme="minorHAnsi"/>
          <w:color w:val="000000" w:themeColor="text1"/>
        </w:rPr>
        <w:t>t</w:t>
      </w:r>
      <w:r w:rsidR="00D61F9D" w:rsidRPr="00B52F99">
        <w:rPr>
          <w:rFonts w:cstheme="minorHAnsi"/>
          <w:color w:val="000000" w:themeColor="text1"/>
        </w:rPr>
        <w:t xml:space="preserve"> gain</w:t>
      </w:r>
      <w:r w:rsidR="000004FF" w:rsidRPr="00B52F99">
        <w:rPr>
          <w:rFonts w:cstheme="minorHAnsi"/>
          <w:color w:val="000000" w:themeColor="text1"/>
        </w:rPr>
        <w:t>s</w:t>
      </w:r>
      <w:r w:rsidR="00E81012" w:rsidRPr="00B52F99">
        <w:rPr>
          <w:rFonts w:cstheme="minorHAnsi"/>
          <w:color w:val="000000" w:themeColor="text1"/>
        </w:rPr>
        <w:t xml:space="preserve"> over 14-months</w:t>
      </w:r>
      <w:r w:rsidR="00D61F9D" w:rsidRPr="00B52F99">
        <w:rPr>
          <w:rFonts w:cstheme="minorHAnsi"/>
          <w:color w:val="000000" w:themeColor="text1"/>
        </w:rPr>
        <w:t xml:space="preserve"> </w:t>
      </w:r>
      <w:r w:rsidR="006B6405" w:rsidRPr="00B52F99">
        <w:rPr>
          <w:rFonts w:cstheme="minorHAnsi"/>
          <w:color w:val="000000" w:themeColor="text1"/>
        </w:rPr>
        <w:t xml:space="preserve">(Table </w:t>
      </w:r>
      <w:r w:rsidR="00D26479" w:rsidRPr="00B52F99">
        <w:rPr>
          <w:rFonts w:cstheme="minorHAnsi"/>
          <w:color w:val="000000" w:themeColor="text1"/>
        </w:rPr>
        <w:t>2</w:t>
      </w:r>
      <w:r w:rsidR="006B6405" w:rsidRPr="00B52F99">
        <w:rPr>
          <w:rFonts w:cstheme="minorHAnsi"/>
          <w:color w:val="000000" w:themeColor="text1"/>
        </w:rPr>
        <w:t>)</w:t>
      </w:r>
      <w:r w:rsidR="000004FF" w:rsidRPr="00B52F99">
        <w:rPr>
          <w:rFonts w:cstheme="minorHAnsi"/>
          <w:color w:val="000000" w:themeColor="text1"/>
        </w:rPr>
        <w:t>.</w:t>
      </w:r>
      <w:r w:rsidR="006B45E8" w:rsidRPr="00B52F99">
        <w:rPr>
          <w:rFonts w:cstheme="minorHAnsi"/>
          <w:color w:val="000000" w:themeColor="text1"/>
        </w:rPr>
        <w:t xml:space="preserve"> A</w:t>
      </w:r>
      <w:r w:rsidR="000C3D73" w:rsidRPr="00B52F99">
        <w:rPr>
          <w:color w:val="000000" w:themeColor="text1"/>
        </w:rPr>
        <w:t>fter applying a conservative Bonferroni-corrected criterion</w:t>
      </w:r>
      <w:r w:rsidR="00057797" w:rsidRPr="00B52F99">
        <w:rPr>
          <w:color w:val="000000" w:themeColor="text1"/>
        </w:rPr>
        <w:t xml:space="preserve"> to adjust for multiple testing</w:t>
      </w:r>
      <w:r w:rsidR="000C3D73" w:rsidRPr="00B52F99">
        <w:rPr>
          <w:color w:val="000000" w:themeColor="text1"/>
        </w:rPr>
        <w:t>, all but one p</w:t>
      </w:r>
      <w:r w:rsidR="00175937" w:rsidRPr="00B52F99">
        <w:rPr>
          <w:color w:val="000000" w:themeColor="text1"/>
        </w:rPr>
        <w:t>-</w:t>
      </w:r>
      <w:r w:rsidR="000C3D73" w:rsidRPr="00B52F99">
        <w:rPr>
          <w:color w:val="000000" w:themeColor="text1"/>
        </w:rPr>
        <w:t xml:space="preserve">value in Table </w:t>
      </w:r>
      <w:r w:rsidR="00825AE3" w:rsidRPr="00B52F99">
        <w:rPr>
          <w:color w:val="000000" w:themeColor="text1"/>
        </w:rPr>
        <w:lastRenderedPageBreak/>
        <w:t>2</w:t>
      </w:r>
      <w:r w:rsidR="000C3D73" w:rsidRPr="00B52F99">
        <w:rPr>
          <w:color w:val="000000" w:themeColor="text1"/>
        </w:rPr>
        <w:t xml:space="preserve"> is </w:t>
      </w:r>
      <w:r w:rsidR="00366798" w:rsidRPr="00B52F99">
        <w:rPr>
          <w:color w:val="000000" w:themeColor="text1"/>
        </w:rPr>
        <w:t xml:space="preserve">still </w:t>
      </w:r>
      <w:r w:rsidR="000C3D73" w:rsidRPr="00B52F99">
        <w:rPr>
          <w:color w:val="000000" w:themeColor="text1"/>
        </w:rPr>
        <w:t xml:space="preserve">significant falling below 0.008 (0.05 divided by 6 tests). </w:t>
      </w:r>
      <w:r w:rsidR="00957D05" w:rsidRPr="00B52F99">
        <w:rPr>
          <w:rFonts w:cstheme="minorHAnsi"/>
          <w:color w:val="000000" w:themeColor="text1"/>
        </w:rPr>
        <w:t>Examination of</w:t>
      </w:r>
      <w:r w:rsidR="00E26139" w:rsidRPr="00B52F99">
        <w:rPr>
          <w:rFonts w:cstheme="minorHAnsi"/>
          <w:color w:val="000000" w:themeColor="text1"/>
        </w:rPr>
        <w:t xml:space="preserve"> partial correlation</w:t>
      </w:r>
      <w:r w:rsidR="00957D05" w:rsidRPr="00B52F99">
        <w:rPr>
          <w:rFonts w:cstheme="minorHAnsi"/>
          <w:color w:val="000000" w:themeColor="text1"/>
        </w:rPr>
        <w:t>s</w:t>
      </w:r>
      <w:r w:rsidR="00E26139" w:rsidRPr="00B52F99">
        <w:rPr>
          <w:rFonts w:cstheme="minorHAnsi"/>
          <w:color w:val="000000" w:themeColor="text1"/>
        </w:rPr>
        <w:t xml:space="preserve"> reveal</w:t>
      </w:r>
      <w:r w:rsidR="003F18D9" w:rsidRPr="00B52F99">
        <w:rPr>
          <w:rFonts w:cstheme="minorHAnsi"/>
          <w:color w:val="000000" w:themeColor="text1"/>
        </w:rPr>
        <w:t>ed</w:t>
      </w:r>
      <w:r w:rsidR="00827717" w:rsidRPr="00B52F99">
        <w:rPr>
          <w:rFonts w:cstheme="minorHAnsi"/>
          <w:color w:val="000000" w:themeColor="text1"/>
        </w:rPr>
        <w:t xml:space="preserve"> </w:t>
      </w:r>
      <w:r w:rsidR="00E26139" w:rsidRPr="00B52F99">
        <w:rPr>
          <w:rFonts w:cstheme="minorHAnsi"/>
          <w:color w:val="000000" w:themeColor="text1"/>
        </w:rPr>
        <w:t xml:space="preserve">starting age had no influence on </w:t>
      </w:r>
      <w:r w:rsidR="00827717" w:rsidRPr="00B52F99">
        <w:rPr>
          <w:rFonts w:cstheme="minorHAnsi"/>
          <w:color w:val="000000" w:themeColor="text1"/>
        </w:rPr>
        <w:t xml:space="preserve">the </w:t>
      </w:r>
      <w:r w:rsidR="00765FC3" w:rsidRPr="00B52F99">
        <w:rPr>
          <w:rFonts w:cstheme="minorHAnsi"/>
          <w:color w:val="000000" w:themeColor="text1"/>
        </w:rPr>
        <w:t>r</w:t>
      </w:r>
      <w:r w:rsidR="00E26139" w:rsidRPr="00B52F99">
        <w:rPr>
          <w:rFonts w:cstheme="minorHAnsi"/>
          <w:color w:val="000000" w:themeColor="text1"/>
        </w:rPr>
        <w:t xml:space="preserve">elationship between RP and weight gained (Supplementary </w:t>
      </w:r>
      <w:r w:rsidR="0006582E" w:rsidRPr="00B52F99">
        <w:rPr>
          <w:rFonts w:cstheme="minorHAnsi"/>
          <w:color w:val="000000" w:themeColor="text1"/>
        </w:rPr>
        <w:t>Table</w:t>
      </w:r>
      <w:r w:rsidR="00E26139" w:rsidRPr="00B52F99">
        <w:rPr>
          <w:rFonts w:cstheme="minorHAnsi"/>
          <w:color w:val="000000" w:themeColor="text1"/>
        </w:rPr>
        <w:t xml:space="preserve"> </w:t>
      </w:r>
      <w:r w:rsidR="000F3FB3" w:rsidRPr="00B52F99">
        <w:rPr>
          <w:rFonts w:cstheme="minorHAnsi"/>
          <w:color w:val="000000" w:themeColor="text1"/>
        </w:rPr>
        <w:t>2</w:t>
      </w:r>
      <w:r w:rsidR="00E26139" w:rsidRPr="00B52F99">
        <w:rPr>
          <w:rFonts w:cstheme="minorHAnsi"/>
          <w:color w:val="000000" w:themeColor="text1"/>
        </w:rPr>
        <w:t>).</w:t>
      </w:r>
      <w:r w:rsidR="009D73B9" w:rsidRPr="00B52F99">
        <w:rPr>
          <w:rFonts w:cstheme="minorHAnsi"/>
          <w:color w:val="000000" w:themeColor="text1"/>
        </w:rPr>
        <w:t xml:space="preserve"> </w:t>
      </w:r>
    </w:p>
    <w:p w14:paraId="5B65C2CF" w14:textId="77777777" w:rsidR="00DB74CD" w:rsidRPr="00B52F99" w:rsidRDefault="00DB74CD" w:rsidP="005D0197">
      <w:pPr>
        <w:spacing w:line="360" w:lineRule="auto"/>
        <w:jc w:val="both"/>
        <w:rPr>
          <w:rFonts w:cstheme="minorHAnsi"/>
          <w:color w:val="000000" w:themeColor="text1"/>
        </w:rPr>
      </w:pPr>
    </w:p>
    <w:p w14:paraId="7C51A2B7" w14:textId="7EB0E0FA" w:rsidR="005752FE" w:rsidRPr="00B52F99" w:rsidRDefault="00EE1637" w:rsidP="005752FE">
      <w:pPr>
        <w:spacing w:line="360" w:lineRule="auto"/>
        <w:jc w:val="both"/>
        <w:rPr>
          <w:rFonts w:cstheme="minorHAnsi"/>
          <w:color w:val="000000" w:themeColor="text1"/>
        </w:rPr>
      </w:pPr>
      <w:r w:rsidRPr="00B52F99">
        <w:rPr>
          <w:rFonts w:cstheme="minorHAnsi"/>
          <w:color w:val="000000" w:themeColor="text1"/>
        </w:rPr>
        <w:t>We conducted f</w:t>
      </w:r>
      <w:r w:rsidR="00257A16" w:rsidRPr="00B52F99">
        <w:rPr>
          <w:rFonts w:cstheme="minorHAnsi"/>
          <w:color w:val="000000" w:themeColor="text1"/>
        </w:rPr>
        <w:t>urther analys</w:t>
      </w:r>
      <w:r w:rsidR="00A50477" w:rsidRPr="00B52F99">
        <w:rPr>
          <w:rFonts w:cstheme="minorHAnsi"/>
          <w:color w:val="000000" w:themeColor="text1"/>
        </w:rPr>
        <w:t>es</w:t>
      </w:r>
      <w:r w:rsidR="00257A16" w:rsidRPr="00B52F99">
        <w:rPr>
          <w:rFonts w:cstheme="minorHAnsi"/>
          <w:color w:val="000000" w:themeColor="text1"/>
        </w:rPr>
        <w:t xml:space="preserve"> using a Kruskal-Wallis H test with multiple comparisons to analyse the rank order of RPs </w:t>
      </w:r>
      <w:r w:rsidR="00C05A37" w:rsidRPr="00B52F99">
        <w:rPr>
          <w:rFonts w:cstheme="minorHAnsi"/>
          <w:color w:val="000000" w:themeColor="text1"/>
        </w:rPr>
        <w:t xml:space="preserve">of those with six, seven and eight day-periodicities (the largest sample sizes), </w:t>
      </w:r>
      <w:r w:rsidR="00476B01" w:rsidRPr="00B52F99">
        <w:rPr>
          <w:rFonts w:cstheme="minorHAnsi"/>
          <w:color w:val="000000" w:themeColor="text1"/>
        </w:rPr>
        <w:t xml:space="preserve">compared to </w:t>
      </w:r>
      <w:r w:rsidR="00C05A37" w:rsidRPr="00B52F99">
        <w:rPr>
          <w:rFonts w:cstheme="minorHAnsi"/>
          <w:color w:val="000000" w:themeColor="text1"/>
        </w:rPr>
        <w:t xml:space="preserve">their </w:t>
      </w:r>
      <w:r w:rsidR="00476B01" w:rsidRPr="00B52F99">
        <w:rPr>
          <w:rFonts w:cstheme="minorHAnsi"/>
          <w:color w:val="000000" w:themeColor="text1"/>
        </w:rPr>
        <w:t>weight/BMI gained</w:t>
      </w:r>
      <w:r w:rsidR="00257A16" w:rsidRPr="00B52F99">
        <w:rPr>
          <w:rFonts w:cstheme="minorHAnsi"/>
          <w:color w:val="000000" w:themeColor="text1"/>
        </w:rPr>
        <w:t>. Participants with an RP of six days gained significantly less weight</w:t>
      </w:r>
      <w:r w:rsidRPr="00B52F99">
        <w:rPr>
          <w:rFonts w:cstheme="minorHAnsi"/>
          <w:color w:val="000000" w:themeColor="text1"/>
        </w:rPr>
        <w:t xml:space="preserve"> </w:t>
      </w:r>
      <w:r w:rsidR="00257A16" w:rsidRPr="00B52F99">
        <w:rPr>
          <w:rFonts w:cstheme="minorHAnsi"/>
          <w:color w:val="000000" w:themeColor="text1"/>
        </w:rPr>
        <w:t>(mean</w:t>
      </w:r>
      <w:r w:rsidRPr="00B52F99">
        <w:rPr>
          <w:rFonts w:cstheme="minorHAnsi"/>
          <w:color w:val="000000" w:themeColor="text1"/>
        </w:rPr>
        <w:t xml:space="preserve"> weight </w:t>
      </w:r>
      <w:r w:rsidR="00257A16" w:rsidRPr="00B52F99">
        <w:rPr>
          <w:rFonts w:cstheme="minorHAnsi"/>
          <w:color w:val="000000" w:themeColor="text1"/>
        </w:rPr>
        <w:t>=4.</w:t>
      </w:r>
      <w:r w:rsidR="00D31A4B" w:rsidRPr="00B52F99">
        <w:rPr>
          <w:rFonts w:cstheme="minorHAnsi"/>
          <w:color w:val="000000" w:themeColor="text1"/>
        </w:rPr>
        <w:t>19</w:t>
      </w:r>
      <w:r w:rsidR="00257A16" w:rsidRPr="00B52F99">
        <w:rPr>
          <w:rFonts w:cstheme="minorHAnsi"/>
          <w:color w:val="000000" w:themeColor="text1"/>
        </w:rPr>
        <w:t xml:space="preserve"> kg) after 14 months, compared to the greater </w:t>
      </w:r>
      <w:r w:rsidR="008D0D0F" w:rsidRPr="00B52F99">
        <w:rPr>
          <w:rFonts w:cstheme="minorHAnsi"/>
          <w:color w:val="000000" w:themeColor="text1"/>
        </w:rPr>
        <w:t xml:space="preserve">average </w:t>
      </w:r>
      <w:r w:rsidR="00257A16" w:rsidRPr="00B52F99">
        <w:rPr>
          <w:rFonts w:cstheme="minorHAnsi"/>
          <w:color w:val="000000" w:themeColor="text1"/>
        </w:rPr>
        <w:t>weight gain of those with RPs of seven days (mean=7.</w:t>
      </w:r>
      <w:r w:rsidR="008D0D0F" w:rsidRPr="00B52F99">
        <w:rPr>
          <w:rFonts w:cstheme="minorHAnsi"/>
          <w:color w:val="000000" w:themeColor="text1"/>
        </w:rPr>
        <w:t>6</w:t>
      </w:r>
      <w:r w:rsidR="00B32090" w:rsidRPr="00B52F99">
        <w:rPr>
          <w:rFonts w:cstheme="minorHAnsi"/>
          <w:color w:val="000000" w:themeColor="text1"/>
        </w:rPr>
        <w:t>1</w:t>
      </w:r>
      <w:r w:rsidR="00257A16" w:rsidRPr="00B52F99">
        <w:rPr>
          <w:rFonts w:cstheme="minorHAnsi"/>
          <w:color w:val="000000" w:themeColor="text1"/>
        </w:rPr>
        <w:t xml:space="preserve"> kg) or eight days (mean=7.</w:t>
      </w:r>
      <w:r w:rsidR="008D0D0F" w:rsidRPr="00B52F99">
        <w:rPr>
          <w:rFonts w:cstheme="minorHAnsi"/>
          <w:color w:val="000000" w:themeColor="text1"/>
        </w:rPr>
        <w:t>80</w:t>
      </w:r>
      <w:r w:rsidR="00257A16" w:rsidRPr="00B52F99">
        <w:rPr>
          <w:rFonts w:cstheme="minorHAnsi"/>
          <w:color w:val="000000" w:themeColor="text1"/>
        </w:rPr>
        <w:t xml:space="preserve"> kg) (KW=1</w:t>
      </w:r>
      <w:r w:rsidR="00B56F06" w:rsidRPr="00B52F99">
        <w:rPr>
          <w:rFonts w:cstheme="minorHAnsi"/>
          <w:color w:val="000000" w:themeColor="text1"/>
        </w:rPr>
        <w:t>2</w:t>
      </w:r>
      <w:r w:rsidR="00154D24" w:rsidRPr="00B52F99">
        <w:rPr>
          <w:rFonts w:cstheme="minorHAnsi"/>
          <w:color w:val="000000" w:themeColor="text1"/>
        </w:rPr>
        <w:t>.</w:t>
      </w:r>
      <w:r w:rsidR="00B56F06" w:rsidRPr="00B52F99">
        <w:rPr>
          <w:rFonts w:cstheme="minorHAnsi"/>
          <w:color w:val="000000" w:themeColor="text1"/>
        </w:rPr>
        <w:t>774</w:t>
      </w:r>
      <w:r w:rsidR="00257A16" w:rsidRPr="00B52F99">
        <w:rPr>
          <w:rFonts w:cstheme="minorHAnsi"/>
          <w:color w:val="000000" w:themeColor="text1"/>
        </w:rPr>
        <w:t>, df=2, p=0.0</w:t>
      </w:r>
      <w:r w:rsidR="00B56F06" w:rsidRPr="00B52F99">
        <w:rPr>
          <w:rFonts w:cstheme="minorHAnsi"/>
          <w:color w:val="000000" w:themeColor="text1"/>
        </w:rPr>
        <w:t>0</w:t>
      </w:r>
      <w:r w:rsidR="003D450D" w:rsidRPr="00B52F99">
        <w:rPr>
          <w:rFonts w:cstheme="minorHAnsi"/>
          <w:color w:val="000000" w:themeColor="text1"/>
        </w:rPr>
        <w:t>2</w:t>
      </w:r>
      <w:r w:rsidR="00257A16" w:rsidRPr="00B52F99">
        <w:rPr>
          <w:rFonts w:cstheme="minorHAnsi"/>
          <w:color w:val="000000" w:themeColor="text1"/>
        </w:rPr>
        <w:t xml:space="preserve">; </w:t>
      </w:r>
      <w:r w:rsidR="00257A16" w:rsidRPr="00B52F99">
        <w:rPr>
          <w:rFonts w:cstheme="minorHAnsi"/>
          <w:b/>
          <w:bCs/>
          <w:color w:val="000000" w:themeColor="text1"/>
        </w:rPr>
        <w:t xml:space="preserve">Fig. </w:t>
      </w:r>
      <w:r w:rsidR="004B3D24" w:rsidRPr="00B52F99">
        <w:rPr>
          <w:rFonts w:cstheme="minorHAnsi"/>
          <w:b/>
          <w:bCs/>
          <w:color w:val="000000" w:themeColor="text1"/>
        </w:rPr>
        <w:t>3</w:t>
      </w:r>
      <w:r w:rsidR="00A50477" w:rsidRPr="00B52F99">
        <w:rPr>
          <w:rFonts w:cstheme="minorHAnsi"/>
          <w:b/>
          <w:bCs/>
          <w:color w:val="000000" w:themeColor="text1"/>
        </w:rPr>
        <w:t>c</w:t>
      </w:r>
      <w:r w:rsidR="005A47B3" w:rsidRPr="00B52F99">
        <w:rPr>
          <w:rFonts w:cstheme="minorHAnsi"/>
          <w:b/>
          <w:bCs/>
          <w:color w:val="000000" w:themeColor="text1"/>
        </w:rPr>
        <w:t xml:space="preserve">; </w:t>
      </w:r>
      <w:r w:rsidR="005A47B3" w:rsidRPr="00B52F99">
        <w:rPr>
          <w:rFonts w:cstheme="minorHAnsi"/>
          <w:color w:val="000000" w:themeColor="text1"/>
        </w:rPr>
        <w:t>Supplementary Data 2</w:t>
      </w:r>
      <w:r w:rsidR="00257A16" w:rsidRPr="00B52F99">
        <w:rPr>
          <w:rFonts w:cstheme="minorHAnsi"/>
          <w:color w:val="000000" w:themeColor="text1"/>
        </w:rPr>
        <w:t xml:space="preserve">). </w:t>
      </w:r>
      <w:r w:rsidR="005752FE" w:rsidRPr="00B52F99">
        <w:rPr>
          <w:rFonts w:cstheme="minorHAnsi"/>
          <w:color w:val="000000" w:themeColor="text1"/>
        </w:rPr>
        <w:t>Participants with an RP of six days also gained significantly less BMI (mean BMI =0.38 kg/m</w:t>
      </w:r>
      <w:r w:rsidR="005752FE" w:rsidRPr="00B52F99">
        <w:rPr>
          <w:rFonts w:cstheme="minorHAnsi"/>
          <w:color w:val="000000" w:themeColor="text1"/>
          <w:vertAlign w:val="superscript"/>
        </w:rPr>
        <w:t>2</w:t>
      </w:r>
      <w:r w:rsidR="005752FE" w:rsidRPr="00B52F99">
        <w:rPr>
          <w:rFonts w:cstheme="minorHAnsi"/>
          <w:color w:val="000000" w:themeColor="text1"/>
        </w:rPr>
        <w:t>) after 14 months, compared to the much greater average BMI gain of those with RPs of seven days (mean=1.51 kg/m</w:t>
      </w:r>
      <w:r w:rsidR="005752FE" w:rsidRPr="00B52F99">
        <w:rPr>
          <w:rFonts w:cstheme="minorHAnsi"/>
          <w:color w:val="000000" w:themeColor="text1"/>
          <w:vertAlign w:val="superscript"/>
        </w:rPr>
        <w:t>2</w:t>
      </w:r>
      <w:r w:rsidR="005752FE" w:rsidRPr="00B52F99">
        <w:rPr>
          <w:rFonts w:cstheme="minorHAnsi"/>
          <w:color w:val="000000" w:themeColor="text1"/>
        </w:rPr>
        <w:t>) or eight days (mean=1.73 kg/m</w:t>
      </w:r>
      <w:r w:rsidR="005752FE" w:rsidRPr="00B52F99">
        <w:rPr>
          <w:rFonts w:cstheme="minorHAnsi"/>
          <w:color w:val="000000" w:themeColor="text1"/>
          <w:vertAlign w:val="superscript"/>
        </w:rPr>
        <w:t>2</w:t>
      </w:r>
      <w:r w:rsidR="005752FE" w:rsidRPr="00B52F99">
        <w:rPr>
          <w:rFonts w:cstheme="minorHAnsi"/>
          <w:color w:val="000000" w:themeColor="text1"/>
        </w:rPr>
        <w:t>) (KW=</w:t>
      </w:r>
      <w:r w:rsidR="003E0E23" w:rsidRPr="00B52F99">
        <w:rPr>
          <w:rFonts w:cstheme="minorHAnsi"/>
          <w:color w:val="000000" w:themeColor="text1"/>
        </w:rPr>
        <w:t>11.283</w:t>
      </w:r>
      <w:r w:rsidR="005752FE" w:rsidRPr="00B52F99">
        <w:rPr>
          <w:rFonts w:cstheme="minorHAnsi"/>
          <w:color w:val="000000" w:themeColor="text1"/>
        </w:rPr>
        <w:t>, df=2, p=0.00</w:t>
      </w:r>
      <w:r w:rsidR="003E0E23" w:rsidRPr="00B52F99">
        <w:rPr>
          <w:rFonts w:cstheme="minorHAnsi"/>
          <w:color w:val="000000" w:themeColor="text1"/>
        </w:rPr>
        <w:t>4</w:t>
      </w:r>
      <w:r w:rsidR="005752FE" w:rsidRPr="00B52F99">
        <w:rPr>
          <w:rFonts w:cstheme="minorHAnsi"/>
          <w:color w:val="000000" w:themeColor="text1"/>
        </w:rPr>
        <w:t xml:space="preserve">; </w:t>
      </w:r>
      <w:r w:rsidR="005752FE" w:rsidRPr="00B52F99">
        <w:rPr>
          <w:rFonts w:cstheme="minorHAnsi"/>
          <w:b/>
          <w:bCs/>
          <w:color w:val="000000" w:themeColor="text1"/>
        </w:rPr>
        <w:t>Fig 3d</w:t>
      </w:r>
      <w:r w:rsidR="005A47B3" w:rsidRPr="00B52F99">
        <w:rPr>
          <w:rFonts w:cstheme="minorHAnsi"/>
          <w:b/>
          <w:bCs/>
          <w:color w:val="000000" w:themeColor="text1"/>
        </w:rPr>
        <w:t xml:space="preserve">; </w:t>
      </w:r>
      <w:r w:rsidR="005A47B3" w:rsidRPr="00B52F99">
        <w:rPr>
          <w:rFonts w:cstheme="minorHAnsi"/>
          <w:color w:val="000000" w:themeColor="text1"/>
        </w:rPr>
        <w:t>Supplementary Data 2</w:t>
      </w:r>
      <w:r w:rsidR="005752FE" w:rsidRPr="00B52F99">
        <w:rPr>
          <w:rFonts w:cstheme="minorHAnsi"/>
          <w:color w:val="000000" w:themeColor="text1"/>
        </w:rPr>
        <w:t xml:space="preserve">). </w:t>
      </w:r>
    </w:p>
    <w:p w14:paraId="4EC75B98" w14:textId="62DC4B8D" w:rsidR="0086073B" w:rsidRPr="00B52F99" w:rsidRDefault="0086073B" w:rsidP="005D0197">
      <w:pPr>
        <w:spacing w:line="360" w:lineRule="auto"/>
        <w:jc w:val="both"/>
        <w:rPr>
          <w:rFonts w:cstheme="minorHAnsi"/>
          <w:color w:val="000000" w:themeColor="text1"/>
        </w:rPr>
      </w:pPr>
    </w:p>
    <w:p w14:paraId="49EE564A" w14:textId="77777777" w:rsidR="00456C17" w:rsidRPr="00B52F99" w:rsidRDefault="00456C17" w:rsidP="00456C17">
      <w:pPr>
        <w:spacing w:after="60" w:line="360" w:lineRule="auto"/>
        <w:jc w:val="both"/>
        <w:rPr>
          <w:rFonts w:eastAsiaTheme="minorEastAsia"/>
          <w:color w:val="000000" w:themeColor="text1"/>
          <w:sz w:val="28"/>
          <w:szCs w:val="28"/>
          <w:lang w:eastAsia="zh-CN"/>
        </w:rPr>
      </w:pPr>
      <w:r w:rsidRPr="00B52F99">
        <w:rPr>
          <w:rFonts w:eastAsiaTheme="minorEastAsia"/>
          <w:color w:val="000000" w:themeColor="text1"/>
          <w:sz w:val="28"/>
          <w:szCs w:val="28"/>
          <w:lang w:eastAsia="zh-CN"/>
        </w:rPr>
        <w:t>Mass greater than the 95</w:t>
      </w:r>
      <w:r w:rsidRPr="00B52F99">
        <w:rPr>
          <w:rFonts w:eastAsiaTheme="minorEastAsia"/>
          <w:color w:val="000000" w:themeColor="text1"/>
          <w:sz w:val="28"/>
          <w:szCs w:val="28"/>
          <w:vertAlign w:val="superscript"/>
          <w:lang w:eastAsia="zh-CN"/>
        </w:rPr>
        <w:t>th</w:t>
      </w:r>
      <w:r w:rsidRPr="00B52F99">
        <w:rPr>
          <w:rFonts w:eastAsiaTheme="minorEastAsia"/>
          <w:color w:val="000000" w:themeColor="text1"/>
          <w:sz w:val="28"/>
          <w:szCs w:val="28"/>
          <w:lang w:eastAsia="zh-CN"/>
        </w:rPr>
        <w:t xml:space="preserve"> percentile relates to RP-biorhythm</w:t>
      </w:r>
    </w:p>
    <w:p w14:paraId="57712BCC" w14:textId="57DEF131" w:rsidR="00456C17" w:rsidRPr="00B52F99" w:rsidRDefault="00456C17" w:rsidP="00456C17">
      <w:pPr>
        <w:spacing w:after="60" w:line="360" w:lineRule="auto"/>
        <w:jc w:val="both"/>
        <w:rPr>
          <w:rFonts w:eastAsiaTheme="minorEastAsia"/>
          <w:color w:val="000000" w:themeColor="text1"/>
          <w:lang w:eastAsia="zh-CN"/>
        </w:rPr>
      </w:pPr>
      <w:r w:rsidRPr="00B52F99">
        <w:rPr>
          <w:rFonts w:eastAsiaTheme="minorEastAsia"/>
          <w:color w:val="000000" w:themeColor="text1"/>
          <w:lang w:eastAsia="zh-CN"/>
        </w:rPr>
        <w:t>Starting (September 2019) and ending-BMI percentiles (October 2020) from participants with RPs of five or six days (</w:t>
      </w:r>
      <w:r w:rsidRPr="00B52F99">
        <w:rPr>
          <w:rFonts w:eastAsiaTheme="minorEastAsia"/>
          <w:i/>
          <w:iCs/>
          <w:color w:val="000000" w:themeColor="text1"/>
          <w:lang w:eastAsia="zh-CN"/>
        </w:rPr>
        <w:t>n</w:t>
      </w:r>
      <w:r w:rsidRPr="00B52F99">
        <w:rPr>
          <w:rFonts w:eastAsiaTheme="minorEastAsia"/>
          <w:color w:val="000000" w:themeColor="text1"/>
          <w:lang w:eastAsia="zh-CN"/>
        </w:rPr>
        <w:t>=2</w:t>
      </w:r>
      <w:r w:rsidR="00BA0DA8" w:rsidRPr="00B52F99">
        <w:rPr>
          <w:rFonts w:eastAsiaTheme="minorEastAsia"/>
          <w:color w:val="000000" w:themeColor="text1"/>
          <w:lang w:eastAsia="zh-CN"/>
        </w:rPr>
        <w:t>0</w:t>
      </w:r>
      <w:r w:rsidRPr="00B52F99">
        <w:rPr>
          <w:rFonts w:eastAsiaTheme="minorEastAsia"/>
          <w:color w:val="000000" w:themeColor="text1"/>
          <w:lang w:eastAsia="zh-CN"/>
        </w:rPr>
        <w:t>) were compared to those with RPs of seven and eight days (</w:t>
      </w:r>
      <w:r w:rsidRPr="00B52F99">
        <w:rPr>
          <w:rFonts w:eastAsiaTheme="minorEastAsia"/>
          <w:i/>
          <w:iCs/>
          <w:color w:val="000000" w:themeColor="text1"/>
          <w:lang w:eastAsia="zh-CN"/>
        </w:rPr>
        <w:t>n</w:t>
      </w:r>
      <w:r w:rsidRPr="00B52F99">
        <w:rPr>
          <w:rFonts w:eastAsiaTheme="minorEastAsia"/>
          <w:color w:val="000000" w:themeColor="text1"/>
          <w:lang w:eastAsia="zh-CN"/>
        </w:rPr>
        <w:t>=2</w:t>
      </w:r>
      <w:r w:rsidR="00BA0DA8" w:rsidRPr="00B52F99">
        <w:rPr>
          <w:rFonts w:eastAsiaTheme="minorEastAsia"/>
          <w:color w:val="000000" w:themeColor="text1"/>
          <w:lang w:eastAsia="zh-CN"/>
        </w:rPr>
        <w:t>7</w:t>
      </w:r>
      <w:r w:rsidRPr="00B52F99">
        <w:rPr>
          <w:rFonts w:eastAsiaTheme="minorEastAsia"/>
          <w:color w:val="000000" w:themeColor="text1"/>
          <w:lang w:eastAsia="zh-CN"/>
        </w:rPr>
        <w:t xml:space="preserve">). Of the participants with a lower RP, </w:t>
      </w:r>
      <w:r w:rsidRPr="00B52F99">
        <w:rPr>
          <w:rFonts w:eastAsiaTheme="minorEastAsia"/>
          <w:i/>
          <w:iCs/>
          <w:color w:val="000000" w:themeColor="text1"/>
          <w:lang w:eastAsia="zh-CN"/>
        </w:rPr>
        <w:t>n</w:t>
      </w:r>
      <w:r w:rsidRPr="00B52F99">
        <w:rPr>
          <w:rFonts w:eastAsiaTheme="minorEastAsia"/>
          <w:color w:val="000000" w:themeColor="text1"/>
          <w:lang w:eastAsia="zh-CN"/>
        </w:rPr>
        <w:t xml:space="preserve">=3 had a starting BMI that </w:t>
      </w:r>
      <w:r w:rsidR="00945940" w:rsidRPr="00B52F99">
        <w:rPr>
          <w:rFonts w:eastAsiaTheme="minorEastAsia"/>
          <w:color w:val="000000" w:themeColor="text1"/>
          <w:lang w:eastAsia="zh-CN"/>
        </w:rPr>
        <w:t xml:space="preserve">was equal to or above </w:t>
      </w:r>
      <w:r w:rsidRPr="00B52F99">
        <w:rPr>
          <w:rFonts w:eastAsiaTheme="minorEastAsia"/>
          <w:color w:val="000000" w:themeColor="text1"/>
          <w:lang w:eastAsia="zh-CN"/>
        </w:rPr>
        <w:t>the 95</w:t>
      </w:r>
      <w:r w:rsidRPr="00B52F99">
        <w:rPr>
          <w:rFonts w:eastAsiaTheme="minorEastAsia"/>
          <w:color w:val="000000" w:themeColor="text1"/>
          <w:vertAlign w:val="superscript"/>
          <w:lang w:eastAsia="zh-CN"/>
        </w:rPr>
        <w:t>th</w:t>
      </w:r>
      <w:r w:rsidRPr="00B52F99">
        <w:rPr>
          <w:rFonts w:eastAsiaTheme="minorEastAsia"/>
          <w:color w:val="000000" w:themeColor="text1"/>
          <w:lang w:eastAsia="zh-CN"/>
        </w:rPr>
        <w:t xml:space="preserve"> percentile compared with</w:t>
      </w:r>
      <w:r w:rsidRPr="00B52F99">
        <w:rPr>
          <w:rFonts w:eastAsiaTheme="minorEastAsia"/>
          <w:i/>
          <w:iCs/>
          <w:color w:val="000000" w:themeColor="text1"/>
          <w:lang w:eastAsia="zh-CN"/>
        </w:rPr>
        <w:t xml:space="preserve"> n</w:t>
      </w:r>
      <w:r w:rsidRPr="00B52F99">
        <w:rPr>
          <w:rFonts w:eastAsiaTheme="minorEastAsia"/>
          <w:color w:val="000000" w:themeColor="text1"/>
          <w:lang w:eastAsia="zh-CN"/>
        </w:rPr>
        <w:t>=</w:t>
      </w:r>
      <w:r w:rsidR="00945940" w:rsidRPr="00B52F99">
        <w:rPr>
          <w:rFonts w:eastAsiaTheme="minorEastAsia"/>
          <w:color w:val="000000" w:themeColor="text1"/>
          <w:lang w:eastAsia="zh-CN"/>
        </w:rPr>
        <w:t>7</w:t>
      </w:r>
      <w:r w:rsidRPr="00B52F99">
        <w:rPr>
          <w:rFonts w:eastAsiaTheme="minorEastAsia"/>
          <w:color w:val="000000" w:themeColor="text1"/>
          <w:lang w:eastAsia="zh-CN"/>
        </w:rPr>
        <w:t xml:space="preserve"> of those with a higher RP, but the Chi square test of association was not significant (</w:t>
      </w:r>
      <w:r w:rsidRPr="00B52F99">
        <w:rPr>
          <w:rFonts w:eastAsiaTheme="minorEastAsia"/>
          <w:b/>
          <w:bCs/>
          <w:color w:val="000000" w:themeColor="text1"/>
          <w:lang w:eastAsia="zh-CN"/>
        </w:rPr>
        <w:t>Fig 3e</w:t>
      </w:r>
      <w:r w:rsidR="00635AAD" w:rsidRPr="00B52F99">
        <w:rPr>
          <w:rFonts w:eastAsiaTheme="minorEastAsia"/>
          <w:b/>
          <w:bCs/>
          <w:color w:val="000000" w:themeColor="text1"/>
          <w:lang w:eastAsia="zh-CN"/>
        </w:rPr>
        <w:t xml:space="preserve">; </w:t>
      </w:r>
      <w:r w:rsidR="00635AAD" w:rsidRPr="00B52F99">
        <w:rPr>
          <w:rFonts w:cstheme="minorHAnsi"/>
          <w:color w:val="000000" w:themeColor="text1"/>
        </w:rPr>
        <w:t>Supplementary Data 2</w:t>
      </w:r>
      <w:r w:rsidRPr="00B52F99">
        <w:rPr>
          <w:rFonts w:eastAsiaTheme="minorEastAsia"/>
          <w:color w:val="000000" w:themeColor="text1"/>
          <w:lang w:eastAsia="zh-CN"/>
        </w:rPr>
        <w:t xml:space="preserve">). After 14 months, </w:t>
      </w:r>
      <w:r w:rsidRPr="00B52F99">
        <w:rPr>
          <w:rFonts w:eastAsiaTheme="minorEastAsia"/>
          <w:i/>
          <w:iCs/>
          <w:color w:val="000000" w:themeColor="text1"/>
          <w:lang w:eastAsia="zh-CN"/>
        </w:rPr>
        <w:t>n</w:t>
      </w:r>
      <w:r w:rsidRPr="00B52F99">
        <w:rPr>
          <w:rFonts w:eastAsiaTheme="minorEastAsia"/>
          <w:color w:val="000000" w:themeColor="text1"/>
          <w:lang w:eastAsia="zh-CN"/>
        </w:rPr>
        <w:t>=1 participant with a lower RP had a BMI above the 95</w:t>
      </w:r>
      <w:r w:rsidRPr="00B52F99">
        <w:rPr>
          <w:rFonts w:eastAsiaTheme="minorEastAsia"/>
          <w:color w:val="000000" w:themeColor="text1"/>
          <w:vertAlign w:val="superscript"/>
          <w:lang w:eastAsia="zh-CN"/>
        </w:rPr>
        <w:t>th</w:t>
      </w:r>
      <w:r w:rsidRPr="00B52F99">
        <w:rPr>
          <w:rFonts w:eastAsiaTheme="minorEastAsia"/>
          <w:color w:val="000000" w:themeColor="text1"/>
          <w:lang w:eastAsia="zh-CN"/>
        </w:rPr>
        <w:t xml:space="preserve"> percentile compared to </w:t>
      </w:r>
      <w:r w:rsidRPr="00B52F99">
        <w:rPr>
          <w:rFonts w:eastAsiaTheme="minorEastAsia"/>
          <w:i/>
          <w:iCs/>
          <w:color w:val="000000" w:themeColor="text1"/>
          <w:lang w:eastAsia="zh-CN"/>
        </w:rPr>
        <w:t>n</w:t>
      </w:r>
      <w:r w:rsidRPr="00B52F99">
        <w:rPr>
          <w:rFonts w:eastAsiaTheme="minorEastAsia"/>
          <w:color w:val="000000" w:themeColor="text1"/>
          <w:lang w:eastAsia="zh-CN"/>
        </w:rPr>
        <w:t>=</w:t>
      </w:r>
      <w:r w:rsidR="00945940" w:rsidRPr="00B52F99">
        <w:rPr>
          <w:rFonts w:eastAsiaTheme="minorEastAsia"/>
          <w:color w:val="000000" w:themeColor="text1"/>
          <w:lang w:eastAsia="zh-CN"/>
        </w:rPr>
        <w:t>9</w:t>
      </w:r>
      <w:r w:rsidRPr="00B52F99">
        <w:rPr>
          <w:rFonts w:eastAsiaTheme="minorEastAsia"/>
          <w:color w:val="000000" w:themeColor="text1"/>
          <w:lang w:eastAsia="zh-CN"/>
        </w:rPr>
        <w:t xml:space="preserve"> of those with a higher RP, and the association was significant (x</w:t>
      </w:r>
      <w:r w:rsidR="000C03F7" w:rsidRPr="00B52F99">
        <w:rPr>
          <w:rFonts w:eastAsiaTheme="minorEastAsia"/>
          <w:color w:val="000000" w:themeColor="text1"/>
          <w:lang w:eastAsia="zh-CN"/>
        </w:rPr>
        <w:t xml:space="preserve"> </w:t>
      </w:r>
      <w:r w:rsidRPr="00B52F99">
        <w:rPr>
          <w:rFonts w:eastAsiaTheme="minorEastAsia"/>
          <w:color w:val="000000" w:themeColor="text1"/>
          <w:lang w:eastAsia="zh-CN"/>
        </w:rPr>
        <w:t xml:space="preserve">(1) = </w:t>
      </w:r>
      <w:r w:rsidR="004A6CB3" w:rsidRPr="00B52F99">
        <w:rPr>
          <w:rFonts w:eastAsiaTheme="minorEastAsia"/>
          <w:color w:val="000000" w:themeColor="text1"/>
          <w:lang w:eastAsia="zh-CN"/>
        </w:rPr>
        <w:t>4.755</w:t>
      </w:r>
      <w:r w:rsidRPr="00B52F99">
        <w:rPr>
          <w:rFonts w:eastAsiaTheme="minorEastAsia"/>
          <w:color w:val="000000" w:themeColor="text1"/>
          <w:lang w:eastAsia="zh-CN"/>
        </w:rPr>
        <w:t>, p=0.0</w:t>
      </w:r>
      <w:r w:rsidR="004A6CB3" w:rsidRPr="00B52F99">
        <w:rPr>
          <w:rFonts w:eastAsiaTheme="minorEastAsia"/>
          <w:color w:val="000000" w:themeColor="text1"/>
          <w:lang w:eastAsia="zh-CN"/>
        </w:rPr>
        <w:t>29</w:t>
      </w:r>
      <w:r w:rsidRPr="00B52F99">
        <w:rPr>
          <w:rFonts w:eastAsiaTheme="minorEastAsia"/>
          <w:color w:val="000000" w:themeColor="text1"/>
          <w:lang w:eastAsia="zh-CN"/>
        </w:rPr>
        <w:t xml:space="preserve">; </w:t>
      </w:r>
      <w:r w:rsidRPr="00B52F99">
        <w:rPr>
          <w:rFonts w:eastAsiaTheme="minorEastAsia"/>
          <w:b/>
          <w:bCs/>
          <w:color w:val="000000" w:themeColor="text1"/>
          <w:lang w:eastAsia="zh-CN"/>
        </w:rPr>
        <w:t>Fig. 3f</w:t>
      </w:r>
      <w:r w:rsidR="00635AAD" w:rsidRPr="00B52F99">
        <w:rPr>
          <w:rFonts w:eastAsiaTheme="minorEastAsia"/>
          <w:color w:val="000000" w:themeColor="text1"/>
          <w:lang w:eastAsia="zh-CN"/>
        </w:rPr>
        <w:t>;</w:t>
      </w:r>
      <w:r w:rsidR="00635AAD" w:rsidRPr="00B52F99">
        <w:rPr>
          <w:rFonts w:eastAsiaTheme="minorEastAsia"/>
          <w:b/>
          <w:bCs/>
          <w:color w:val="000000" w:themeColor="text1"/>
          <w:lang w:eastAsia="zh-CN"/>
        </w:rPr>
        <w:t xml:space="preserve"> </w:t>
      </w:r>
      <w:r w:rsidR="00635AAD" w:rsidRPr="00B52F99">
        <w:rPr>
          <w:rFonts w:cstheme="minorHAnsi"/>
          <w:color w:val="000000" w:themeColor="text1"/>
        </w:rPr>
        <w:t>Supplementary Data 2</w:t>
      </w:r>
      <w:r w:rsidRPr="00B52F99">
        <w:rPr>
          <w:rFonts w:eastAsiaTheme="minorEastAsia"/>
          <w:color w:val="000000" w:themeColor="text1"/>
          <w:lang w:eastAsia="zh-CN"/>
        </w:rPr>
        <w:t xml:space="preserve">). </w:t>
      </w:r>
      <w:r w:rsidR="000C03F7" w:rsidRPr="00B52F99">
        <w:rPr>
          <w:rFonts w:eastAsiaTheme="minorEastAsia"/>
          <w:color w:val="000000" w:themeColor="text1"/>
          <w:lang w:eastAsia="zh-CN"/>
        </w:rPr>
        <w:t>P</w:t>
      </w:r>
      <w:r w:rsidRPr="00B52F99">
        <w:rPr>
          <w:rFonts w:eastAsiaTheme="minorEastAsia"/>
          <w:color w:val="000000" w:themeColor="text1"/>
          <w:lang w:eastAsia="zh-CN"/>
        </w:rPr>
        <w:t xml:space="preserve">articipants with higher RP’s were 6.6 times more likely to develop obesity </w:t>
      </w:r>
      <w:r w:rsidR="00AD3D94" w:rsidRPr="00B52F99">
        <w:rPr>
          <w:rFonts w:eastAsiaTheme="minorEastAsia"/>
          <w:color w:val="000000" w:themeColor="text1"/>
          <w:lang w:eastAsia="zh-CN"/>
        </w:rPr>
        <w:t>(</w:t>
      </w:r>
      <w:r w:rsidR="00E11E10" w:rsidRPr="00B52F99">
        <w:rPr>
          <w:rFonts w:eastAsiaTheme="minorEastAsia"/>
          <w:color w:val="000000" w:themeColor="text1"/>
          <w:lang w:eastAsia="zh-CN"/>
        </w:rPr>
        <w:t>BMI</w:t>
      </w:r>
      <w:r w:rsidR="00AD3D94" w:rsidRPr="00B52F99">
        <w:rPr>
          <w:rFonts w:eastAsiaTheme="minorEastAsia"/>
          <w:color w:val="000000" w:themeColor="text1"/>
          <w:lang w:eastAsia="zh-CN"/>
        </w:rPr>
        <w:t>&gt;95</w:t>
      </w:r>
      <w:r w:rsidR="00AD3D94" w:rsidRPr="00B52F99">
        <w:rPr>
          <w:rFonts w:eastAsiaTheme="minorEastAsia"/>
          <w:color w:val="000000" w:themeColor="text1"/>
          <w:vertAlign w:val="superscript"/>
          <w:lang w:eastAsia="zh-CN"/>
        </w:rPr>
        <w:t>th</w:t>
      </w:r>
      <w:r w:rsidR="00AD3D94" w:rsidRPr="00B52F99">
        <w:rPr>
          <w:rFonts w:eastAsiaTheme="minorEastAsia"/>
          <w:color w:val="000000" w:themeColor="text1"/>
          <w:lang w:eastAsia="zh-CN"/>
        </w:rPr>
        <w:t xml:space="preserve"> percentile) </w:t>
      </w:r>
      <w:r w:rsidRPr="00B52F99">
        <w:rPr>
          <w:rFonts w:eastAsiaTheme="minorEastAsia"/>
          <w:color w:val="000000" w:themeColor="text1"/>
          <w:lang w:eastAsia="zh-CN"/>
        </w:rPr>
        <w:t>after 14 months.</w:t>
      </w:r>
    </w:p>
    <w:p w14:paraId="4B126CEA" w14:textId="77777777" w:rsidR="00EF32E7" w:rsidRPr="00B52F99" w:rsidRDefault="00EF32E7" w:rsidP="00EF32E7">
      <w:pPr>
        <w:pStyle w:val="CommentText"/>
        <w:spacing w:line="200" w:lineRule="exact"/>
        <w:jc w:val="both"/>
        <w:rPr>
          <w:color w:val="000000" w:themeColor="text1"/>
          <w:sz w:val="18"/>
          <w:szCs w:val="18"/>
        </w:rPr>
      </w:pPr>
    </w:p>
    <w:p w14:paraId="0F3162A3" w14:textId="77777777" w:rsidR="00A61035" w:rsidRPr="00B52F99" w:rsidRDefault="00A61035" w:rsidP="00A61035">
      <w:pPr>
        <w:spacing w:after="60" w:line="360" w:lineRule="auto"/>
        <w:jc w:val="both"/>
        <w:rPr>
          <w:color w:val="000000" w:themeColor="text1"/>
          <w:sz w:val="28"/>
          <w:szCs w:val="28"/>
        </w:rPr>
      </w:pPr>
      <w:r w:rsidRPr="00B52F99">
        <w:rPr>
          <w:color w:val="000000" w:themeColor="text1"/>
          <w:sz w:val="28"/>
          <w:szCs w:val="28"/>
        </w:rPr>
        <w:t>Average total weight relates to RP-biorhythm</w:t>
      </w:r>
    </w:p>
    <w:p w14:paraId="74A1B7FE" w14:textId="7E91AFA7" w:rsidR="00A61035" w:rsidRPr="00B52F99" w:rsidRDefault="00A61035" w:rsidP="00A61035">
      <w:pPr>
        <w:spacing w:line="360" w:lineRule="auto"/>
        <w:jc w:val="both"/>
        <w:rPr>
          <w:rFonts w:cstheme="minorHAnsi"/>
          <w:color w:val="000000" w:themeColor="text1"/>
        </w:rPr>
      </w:pPr>
      <w:r w:rsidRPr="00B52F99">
        <w:rPr>
          <w:rFonts w:cstheme="minorHAnsi"/>
          <w:color w:val="000000" w:themeColor="text1"/>
        </w:rPr>
        <w:t xml:space="preserve">Regression analyses revealed RP was significantly related to the average weight of the participants </w:t>
      </w:r>
      <w:r w:rsidR="000C6014" w:rsidRPr="00B52F99">
        <w:rPr>
          <w:rFonts w:cstheme="minorHAnsi"/>
          <w:color w:val="000000" w:themeColor="text1"/>
        </w:rPr>
        <w:t xml:space="preserve">over 14-months </w:t>
      </w:r>
      <w:r w:rsidRPr="00B52F99">
        <w:rPr>
          <w:rFonts w:cstheme="minorHAnsi"/>
          <w:color w:val="000000" w:themeColor="text1"/>
        </w:rPr>
        <w:t xml:space="preserve">(Table 3; </w:t>
      </w:r>
      <w:r w:rsidRPr="00B52F99">
        <w:rPr>
          <w:rFonts w:cstheme="minorHAnsi"/>
          <w:b/>
          <w:bCs/>
          <w:color w:val="000000" w:themeColor="text1"/>
        </w:rPr>
        <w:t>Fig 4a</w:t>
      </w:r>
      <w:r w:rsidR="00DB3FB3" w:rsidRPr="00B52F99">
        <w:rPr>
          <w:rFonts w:cstheme="minorHAnsi"/>
          <w:color w:val="000000" w:themeColor="text1"/>
        </w:rPr>
        <w:t>;</w:t>
      </w:r>
      <w:r w:rsidR="00DB3FB3" w:rsidRPr="00B52F99">
        <w:rPr>
          <w:rFonts w:cstheme="minorHAnsi"/>
          <w:b/>
          <w:bCs/>
          <w:color w:val="000000" w:themeColor="text1"/>
        </w:rPr>
        <w:t xml:space="preserve"> </w:t>
      </w:r>
      <w:r w:rsidR="00DB3FB3" w:rsidRPr="00B52F99">
        <w:rPr>
          <w:rFonts w:cstheme="minorHAnsi"/>
          <w:color w:val="000000" w:themeColor="text1"/>
        </w:rPr>
        <w:t>Supplementary Data 3</w:t>
      </w:r>
      <w:r w:rsidRPr="00B52F99">
        <w:rPr>
          <w:rFonts w:cstheme="minorHAnsi"/>
          <w:color w:val="000000" w:themeColor="text1"/>
        </w:rPr>
        <w:t>). Examination of the month-by-month average weight of the participants revealed those with repeat-intervals of seven or eight days typically weighed more each month compared to those with RPs of six days (</w:t>
      </w:r>
      <w:r w:rsidRPr="00B52F99">
        <w:rPr>
          <w:rFonts w:cstheme="minorHAnsi"/>
          <w:b/>
          <w:bCs/>
          <w:color w:val="000000" w:themeColor="text1"/>
        </w:rPr>
        <w:t>Fig. 4b-c</w:t>
      </w:r>
      <w:r w:rsidR="00DB3FB3" w:rsidRPr="00B52F99">
        <w:rPr>
          <w:rFonts w:cstheme="minorHAnsi"/>
          <w:color w:val="000000" w:themeColor="text1"/>
        </w:rPr>
        <w:t>;</w:t>
      </w:r>
      <w:r w:rsidR="00DB3FB3" w:rsidRPr="00B52F99">
        <w:rPr>
          <w:rFonts w:cstheme="minorHAnsi"/>
          <w:b/>
          <w:bCs/>
          <w:color w:val="000000" w:themeColor="text1"/>
        </w:rPr>
        <w:t xml:space="preserve"> </w:t>
      </w:r>
      <w:r w:rsidR="00DB3FB3" w:rsidRPr="00B52F99">
        <w:rPr>
          <w:rFonts w:cstheme="minorHAnsi"/>
          <w:color w:val="000000" w:themeColor="text1"/>
        </w:rPr>
        <w:t>Supplementary Data 3</w:t>
      </w:r>
      <w:r w:rsidRPr="00B52F99">
        <w:rPr>
          <w:rFonts w:cstheme="minorHAnsi"/>
          <w:color w:val="000000" w:themeColor="text1"/>
        </w:rPr>
        <w:t xml:space="preserve">). Sex differences in weight and RP values are contributing factors here, as </w:t>
      </w:r>
      <w:r w:rsidRPr="00B52F99">
        <w:rPr>
          <w:rFonts w:cstheme="minorHAnsi"/>
          <w:i/>
          <w:iCs/>
          <w:color w:val="000000" w:themeColor="text1"/>
        </w:rPr>
        <w:t>n</w:t>
      </w:r>
      <w:r w:rsidRPr="00B52F99">
        <w:rPr>
          <w:rFonts w:cstheme="minorHAnsi"/>
          <w:color w:val="000000" w:themeColor="text1"/>
        </w:rPr>
        <w:t xml:space="preserve">=17 of those with RPs of seven and eight days were females compared to </w:t>
      </w:r>
      <w:r w:rsidRPr="00B52F99">
        <w:rPr>
          <w:rFonts w:cstheme="minorHAnsi"/>
          <w:i/>
          <w:iCs/>
          <w:color w:val="000000" w:themeColor="text1"/>
        </w:rPr>
        <w:t>n</w:t>
      </w:r>
      <w:r w:rsidRPr="00B52F99">
        <w:rPr>
          <w:rFonts w:cstheme="minorHAnsi"/>
          <w:color w:val="000000" w:themeColor="text1"/>
        </w:rPr>
        <w:t>=12 males (see analyses below). Further regression analyses revealed RP was significantly related to the monthly weight of the participants</w:t>
      </w:r>
      <w:r w:rsidR="00727DD8" w:rsidRPr="00B52F99">
        <w:rPr>
          <w:rFonts w:cstheme="minorHAnsi"/>
          <w:color w:val="000000" w:themeColor="text1"/>
        </w:rPr>
        <w:t xml:space="preserve"> </w:t>
      </w:r>
      <w:r w:rsidRPr="00B52F99">
        <w:rPr>
          <w:rFonts w:cstheme="minorHAnsi"/>
          <w:color w:val="000000" w:themeColor="text1"/>
        </w:rPr>
        <w:t xml:space="preserve">(Table 3; </w:t>
      </w:r>
      <w:r w:rsidRPr="00B52F99">
        <w:rPr>
          <w:rFonts w:cstheme="minorHAnsi"/>
          <w:b/>
          <w:bCs/>
          <w:color w:val="000000" w:themeColor="text1"/>
        </w:rPr>
        <w:t>Fig 4d-</w:t>
      </w:r>
      <w:r w:rsidR="00727DD8" w:rsidRPr="00B52F99">
        <w:rPr>
          <w:rFonts w:cstheme="minorHAnsi"/>
          <w:b/>
          <w:bCs/>
          <w:color w:val="000000" w:themeColor="text1"/>
        </w:rPr>
        <w:t>f</w:t>
      </w:r>
      <w:r w:rsidR="00A150A6" w:rsidRPr="00B52F99">
        <w:rPr>
          <w:rFonts w:cstheme="minorHAnsi"/>
          <w:color w:val="000000" w:themeColor="text1"/>
        </w:rPr>
        <w:t>; Supplementary Data 3</w:t>
      </w:r>
      <w:r w:rsidRPr="00B52F99">
        <w:rPr>
          <w:rFonts w:cstheme="minorHAnsi"/>
          <w:color w:val="000000" w:themeColor="text1"/>
        </w:rPr>
        <w:t>). Applying a</w:t>
      </w:r>
      <w:r w:rsidRPr="00B52F99">
        <w:rPr>
          <w:color w:val="000000" w:themeColor="text1"/>
        </w:rPr>
        <w:t xml:space="preserve"> </w:t>
      </w:r>
      <w:r w:rsidR="00A97C1A" w:rsidRPr="00B52F99">
        <w:rPr>
          <w:color w:val="000000" w:themeColor="text1"/>
        </w:rPr>
        <w:t xml:space="preserve">conservative </w:t>
      </w:r>
      <w:r w:rsidRPr="00B52F99">
        <w:rPr>
          <w:color w:val="000000" w:themeColor="text1"/>
        </w:rPr>
        <w:t>Bonferroni-correct</w:t>
      </w:r>
      <w:r w:rsidR="00115229" w:rsidRPr="00B52F99">
        <w:rPr>
          <w:color w:val="000000" w:themeColor="text1"/>
        </w:rPr>
        <w:t>ion</w:t>
      </w:r>
      <w:r w:rsidRPr="00B52F99">
        <w:rPr>
          <w:color w:val="000000" w:themeColor="text1"/>
        </w:rPr>
        <w:t xml:space="preserve"> to adjust for multiple testing</w:t>
      </w:r>
      <w:r w:rsidR="00115229" w:rsidRPr="00B52F99">
        <w:rPr>
          <w:color w:val="000000" w:themeColor="text1"/>
        </w:rPr>
        <w:t>,</w:t>
      </w:r>
      <w:r w:rsidRPr="00B52F99">
        <w:rPr>
          <w:color w:val="000000" w:themeColor="text1"/>
        </w:rPr>
        <w:t xml:space="preserve"> </w:t>
      </w:r>
      <w:r w:rsidR="00DC5742" w:rsidRPr="00B52F99">
        <w:rPr>
          <w:color w:val="000000" w:themeColor="text1"/>
        </w:rPr>
        <w:t>one</w:t>
      </w:r>
      <w:r w:rsidRPr="00B52F99">
        <w:rPr>
          <w:color w:val="000000" w:themeColor="text1"/>
        </w:rPr>
        <w:t xml:space="preserve"> of the f</w:t>
      </w:r>
      <w:r w:rsidR="00DC5742" w:rsidRPr="00B52F99">
        <w:rPr>
          <w:color w:val="000000" w:themeColor="text1"/>
        </w:rPr>
        <w:t>our</w:t>
      </w:r>
      <w:r w:rsidRPr="00B52F99">
        <w:rPr>
          <w:color w:val="000000" w:themeColor="text1"/>
        </w:rPr>
        <w:t xml:space="preserve"> p-values in Table 2 are significant below 0.01</w:t>
      </w:r>
      <w:r w:rsidR="00DC5742" w:rsidRPr="00B52F99">
        <w:rPr>
          <w:color w:val="000000" w:themeColor="text1"/>
        </w:rPr>
        <w:t>3</w:t>
      </w:r>
      <w:r w:rsidRPr="00B52F99">
        <w:rPr>
          <w:color w:val="000000" w:themeColor="text1"/>
        </w:rPr>
        <w:t xml:space="preserve"> (0.05 divided by </w:t>
      </w:r>
      <w:r w:rsidR="00DC5742" w:rsidRPr="00B52F99">
        <w:rPr>
          <w:color w:val="000000" w:themeColor="text1"/>
        </w:rPr>
        <w:t>4</w:t>
      </w:r>
      <w:r w:rsidRPr="00B52F99">
        <w:rPr>
          <w:color w:val="000000" w:themeColor="text1"/>
        </w:rPr>
        <w:t xml:space="preserve"> tests).</w:t>
      </w:r>
    </w:p>
    <w:p w14:paraId="6CB9D76C" w14:textId="411284EE" w:rsidR="00DB74CD" w:rsidRPr="00B52F99" w:rsidRDefault="00DB74CD" w:rsidP="00B256C8">
      <w:pPr>
        <w:spacing w:after="120" w:line="360" w:lineRule="auto"/>
        <w:jc w:val="both"/>
        <w:rPr>
          <w:rFonts w:cstheme="minorHAnsi"/>
          <w:b/>
          <w:bCs/>
          <w:color w:val="000000" w:themeColor="text1"/>
          <w:sz w:val="22"/>
          <w:szCs w:val="22"/>
        </w:rPr>
      </w:pPr>
    </w:p>
    <w:p w14:paraId="7E8284F6" w14:textId="77777777" w:rsidR="00727DD8" w:rsidRPr="00B52F99" w:rsidRDefault="00727DD8" w:rsidP="00B256C8">
      <w:pPr>
        <w:spacing w:after="120" w:line="360" w:lineRule="auto"/>
        <w:jc w:val="both"/>
        <w:rPr>
          <w:rFonts w:cstheme="minorHAnsi"/>
          <w:b/>
          <w:bCs/>
          <w:color w:val="000000" w:themeColor="text1"/>
          <w:sz w:val="22"/>
          <w:szCs w:val="22"/>
        </w:rPr>
      </w:pPr>
    </w:p>
    <w:p w14:paraId="7D4A1E8B" w14:textId="2EB4E4CA" w:rsidR="0088101F" w:rsidRPr="00B52F99" w:rsidRDefault="008E28E4" w:rsidP="00B256C8">
      <w:pPr>
        <w:spacing w:after="120" w:line="360" w:lineRule="auto"/>
        <w:jc w:val="both"/>
        <w:rPr>
          <w:color w:val="000000" w:themeColor="text1"/>
          <w:sz w:val="28"/>
          <w:szCs w:val="28"/>
        </w:rPr>
      </w:pPr>
      <w:r w:rsidRPr="00B52F99">
        <w:rPr>
          <w:color w:val="000000" w:themeColor="text1"/>
          <w:sz w:val="28"/>
          <w:szCs w:val="28"/>
        </w:rPr>
        <w:lastRenderedPageBreak/>
        <w:t>S</w:t>
      </w:r>
      <w:r w:rsidR="00211DFA" w:rsidRPr="00B52F99">
        <w:rPr>
          <w:color w:val="000000" w:themeColor="text1"/>
          <w:sz w:val="28"/>
          <w:szCs w:val="28"/>
        </w:rPr>
        <w:t xml:space="preserve">ex differences in </w:t>
      </w:r>
      <w:r w:rsidRPr="00B52F99">
        <w:rPr>
          <w:color w:val="000000" w:themeColor="text1"/>
          <w:sz w:val="28"/>
          <w:szCs w:val="28"/>
        </w:rPr>
        <w:t xml:space="preserve">RP-biorhythm related to </w:t>
      </w:r>
      <w:r w:rsidR="00211DFA" w:rsidRPr="00B52F99">
        <w:rPr>
          <w:color w:val="000000" w:themeColor="text1"/>
          <w:sz w:val="28"/>
          <w:szCs w:val="28"/>
        </w:rPr>
        <w:t>weight</w:t>
      </w:r>
      <w:r w:rsidR="00A53156" w:rsidRPr="00B52F99">
        <w:rPr>
          <w:color w:val="000000" w:themeColor="text1"/>
          <w:sz w:val="28"/>
          <w:szCs w:val="28"/>
        </w:rPr>
        <w:t xml:space="preserve"> gain and </w:t>
      </w:r>
      <w:r w:rsidR="008348F9" w:rsidRPr="00B52F99">
        <w:rPr>
          <w:color w:val="000000" w:themeColor="text1"/>
          <w:sz w:val="28"/>
          <w:szCs w:val="28"/>
        </w:rPr>
        <w:t xml:space="preserve">total </w:t>
      </w:r>
      <w:r w:rsidR="00E353C8" w:rsidRPr="00B52F99">
        <w:rPr>
          <w:color w:val="000000" w:themeColor="text1"/>
          <w:sz w:val="28"/>
          <w:szCs w:val="28"/>
        </w:rPr>
        <w:t>average</w:t>
      </w:r>
      <w:r w:rsidR="00A53156" w:rsidRPr="00B52F99">
        <w:rPr>
          <w:color w:val="000000" w:themeColor="text1"/>
          <w:sz w:val="28"/>
          <w:szCs w:val="28"/>
        </w:rPr>
        <w:t xml:space="preserve"> weight</w:t>
      </w:r>
    </w:p>
    <w:p w14:paraId="1A07B974" w14:textId="764DEB2C" w:rsidR="002447CE" w:rsidRPr="00B52F99" w:rsidRDefault="0057306F" w:rsidP="005D0197">
      <w:pPr>
        <w:spacing w:line="360" w:lineRule="auto"/>
        <w:jc w:val="both"/>
        <w:rPr>
          <w:color w:val="000000" w:themeColor="text1"/>
        </w:rPr>
      </w:pPr>
      <w:r w:rsidRPr="00B52F99">
        <w:rPr>
          <w:color w:val="000000" w:themeColor="text1"/>
        </w:rPr>
        <w:t xml:space="preserve">Females had a </w:t>
      </w:r>
      <w:r w:rsidR="004F42D5" w:rsidRPr="00B52F99">
        <w:rPr>
          <w:color w:val="000000" w:themeColor="text1"/>
        </w:rPr>
        <w:t xml:space="preserve">higher </w:t>
      </w:r>
      <w:r w:rsidRPr="00B52F99">
        <w:rPr>
          <w:color w:val="000000" w:themeColor="text1"/>
        </w:rPr>
        <w:t xml:space="preserve">modal RP of eight days </w:t>
      </w:r>
      <w:r w:rsidR="004F42D5" w:rsidRPr="00B52F99">
        <w:rPr>
          <w:color w:val="000000" w:themeColor="text1"/>
        </w:rPr>
        <w:t xml:space="preserve">compared to </w:t>
      </w:r>
      <w:r w:rsidR="00440EB1" w:rsidRPr="00B52F99">
        <w:rPr>
          <w:color w:val="000000" w:themeColor="text1"/>
        </w:rPr>
        <w:t xml:space="preserve">the </w:t>
      </w:r>
      <w:r w:rsidR="004F42D5" w:rsidRPr="00B52F99">
        <w:rPr>
          <w:color w:val="000000" w:themeColor="text1"/>
        </w:rPr>
        <w:t>male modal RP of six days</w:t>
      </w:r>
      <w:r w:rsidR="00AB0743" w:rsidRPr="00B52F99">
        <w:rPr>
          <w:color w:val="000000" w:themeColor="text1"/>
        </w:rPr>
        <w:t xml:space="preserve"> </w:t>
      </w:r>
      <w:r w:rsidRPr="00B52F99">
        <w:rPr>
          <w:color w:val="000000" w:themeColor="text1"/>
        </w:rPr>
        <w:t>(Table 1</w:t>
      </w:r>
      <w:r w:rsidR="003359E8" w:rsidRPr="00B52F99">
        <w:rPr>
          <w:color w:val="000000" w:themeColor="text1"/>
        </w:rPr>
        <w:t xml:space="preserve">; </w:t>
      </w:r>
      <w:r w:rsidR="002036DE" w:rsidRPr="00B52F99">
        <w:rPr>
          <w:b/>
          <w:bCs/>
          <w:color w:val="000000" w:themeColor="text1"/>
        </w:rPr>
        <w:t xml:space="preserve">Fig. </w:t>
      </w:r>
      <w:r w:rsidR="00504B09" w:rsidRPr="00B52F99">
        <w:rPr>
          <w:b/>
          <w:bCs/>
          <w:color w:val="000000" w:themeColor="text1"/>
        </w:rPr>
        <w:t>5</w:t>
      </w:r>
      <w:r w:rsidR="00E52964" w:rsidRPr="00B52F99">
        <w:rPr>
          <w:b/>
          <w:bCs/>
          <w:color w:val="000000" w:themeColor="text1"/>
        </w:rPr>
        <w:t>a;</w:t>
      </w:r>
      <w:r w:rsidR="00E52964" w:rsidRPr="00B52F99">
        <w:rPr>
          <w:color w:val="000000" w:themeColor="text1"/>
        </w:rPr>
        <w:t xml:space="preserve"> Supplementary Fig</w:t>
      </w:r>
      <w:r w:rsidR="00E660A0" w:rsidRPr="00B52F99">
        <w:rPr>
          <w:color w:val="000000" w:themeColor="text1"/>
        </w:rPr>
        <w:t>ure</w:t>
      </w:r>
      <w:r w:rsidR="00611B30" w:rsidRPr="00B52F99">
        <w:rPr>
          <w:color w:val="000000" w:themeColor="text1"/>
        </w:rPr>
        <w:t>.</w:t>
      </w:r>
      <w:r w:rsidR="00E52964" w:rsidRPr="00B52F99">
        <w:rPr>
          <w:color w:val="000000" w:themeColor="text1"/>
        </w:rPr>
        <w:t xml:space="preserve"> 3</w:t>
      </w:r>
      <w:r w:rsidR="00914517" w:rsidRPr="00B52F99">
        <w:rPr>
          <w:color w:val="000000" w:themeColor="text1"/>
        </w:rPr>
        <w:t xml:space="preserve">; </w:t>
      </w:r>
      <w:r w:rsidR="00914517" w:rsidRPr="00B52F99">
        <w:rPr>
          <w:rFonts w:cstheme="minorHAnsi"/>
          <w:color w:val="000000" w:themeColor="text1"/>
        </w:rPr>
        <w:t xml:space="preserve">Supplementary Data </w:t>
      </w:r>
      <w:r w:rsidR="00F94791" w:rsidRPr="00B52F99">
        <w:rPr>
          <w:rFonts w:cstheme="minorHAnsi"/>
          <w:color w:val="000000" w:themeColor="text1"/>
        </w:rPr>
        <w:t>4</w:t>
      </w:r>
      <w:r w:rsidR="00E52964" w:rsidRPr="00B52F99">
        <w:rPr>
          <w:color w:val="000000" w:themeColor="text1"/>
        </w:rPr>
        <w:t>)</w:t>
      </w:r>
      <w:r w:rsidRPr="00B52F99">
        <w:rPr>
          <w:color w:val="000000" w:themeColor="text1"/>
        </w:rPr>
        <w:t>.</w:t>
      </w:r>
      <w:r w:rsidR="00AB0743" w:rsidRPr="00B52F99">
        <w:rPr>
          <w:color w:val="000000" w:themeColor="text1"/>
        </w:rPr>
        <w:t xml:space="preserve"> </w:t>
      </w:r>
      <w:r w:rsidR="00B256C8" w:rsidRPr="00B52F99">
        <w:rPr>
          <w:color w:val="000000" w:themeColor="text1"/>
        </w:rPr>
        <w:t xml:space="preserve"> </w:t>
      </w:r>
      <w:r w:rsidR="00AB0743" w:rsidRPr="00B52F99">
        <w:rPr>
          <w:color w:val="000000" w:themeColor="text1"/>
        </w:rPr>
        <w:t xml:space="preserve">Females </w:t>
      </w:r>
      <w:r w:rsidRPr="00B52F99">
        <w:rPr>
          <w:rFonts w:cstheme="minorHAnsi"/>
          <w:color w:val="000000" w:themeColor="text1"/>
        </w:rPr>
        <w:t>with a</w:t>
      </w:r>
      <w:r w:rsidR="00F94791" w:rsidRPr="00B52F99">
        <w:rPr>
          <w:rFonts w:cstheme="minorHAnsi"/>
          <w:color w:val="000000" w:themeColor="text1"/>
        </w:rPr>
        <w:t xml:space="preserve"> log transformed</w:t>
      </w:r>
      <w:r w:rsidRPr="00B52F99">
        <w:rPr>
          <w:rFonts w:cstheme="minorHAnsi"/>
          <w:color w:val="000000" w:themeColor="text1"/>
        </w:rPr>
        <w:t xml:space="preserve"> RP of six days gained significantly less weight over 14 months (KW</w:t>
      </w:r>
      <w:r w:rsidR="00C91C2A" w:rsidRPr="00B52F99">
        <w:rPr>
          <w:rFonts w:cstheme="minorHAnsi"/>
          <w:color w:val="000000" w:themeColor="text1"/>
        </w:rPr>
        <w:t>=8</w:t>
      </w:r>
      <w:r w:rsidR="00664B6D" w:rsidRPr="00B52F99">
        <w:rPr>
          <w:rFonts w:cstheme="minorHAnsi"/>
          <w:color w:val="000000" w:themeColor="text1"/>
        </w:rPr>
        <w:t>772</w:t>
      </w:r>
      <w:r w:rsidRPr="00B52F99">
        <w:rPr>
          <w:rFonts w:cstheme="minorHAnsi"/>
          <w:color w:val="000000" w:themeColor="text1"/>
        </w:rPr>
        <w:t xml:space="preserve">, df=3, </w:t>
      </w:r>
      <w:r w:rsidRPr="00B52F99">
        <w:rPr>
          <w:rFonts w:cstheme="minorHAnsi"/>
          <w:i/>
          <w:iCs/>
          <w:color w:val="000000" w:themeColor="text1"/>
        </w:rPr>
        <w:t>p</w:t>
      </w:r>
      <w:r w:rsidRPr="00B52F99">
        <w:rPr>
          <w:rFonts w:cstheme="minorHAnsi"/>
          <w:color w:val="000000" w:themeColor="text1"/>
        </w:rPr>
        <w:t>=0.0</w:t>
      </w:r>
      <w:r w:rsidR="00C91C2A" w:rsidRPr="00B52F99">
        <w:rPr>
          <w:rFonts w:cstheme="minorHAnsi"/>
          <w:color w:val="000000" w:themeColor="text1"/>
        </w:rPr>
        <w:t>3</w:t>
      </w:r>
      <w:r w:rsidR="00664B6D" w:rsidRPr="00B52F99">
        <w:rPr>
          <w:rFonts w:cstheme="minorHAnsi"/>
          <w:color w:val="000000" w:themeColor="text1"/>
        </w:rPr>
        <w:t>2</w:t>
      </w:r>
      <w:r w:rsidRPr="00B52F99">
        <w:rPr>
          <w:rFonts w:cstheme="minorHAnsi"/>
          <w:color w:val="000000" w:themeColor="text1"/>
        </w:rPr>
        <w:t xml:space="preserve">; </w:t>
      </w:r>
      <w:r w:rsidRPr="00B52F99">
        <w:rPr>
          <w:rFonts w:cstheme="minorHAnsi"/>
          <w:b/>
          <w:bCs/>
          <w:color w:val="000000" w:themeColor="text1"/>
        </w:rPr>
        <w:t xml:space="preserve">Fig. </w:t>
      </w:r>
      <w:r w:rsidR="00504B09" w:rsidRPr="00B52F99">
        <w:rPr>
          <w:rFonts w:cstheme="minorHAnsi"/>
          <w:b/>
          <w:bCs/>
          <w:color w:val="000000" w:themeColor="text1"/>
        </w:rPr>
        <w:t>5</w:t>
      </w:r>
      <w:r w:rsidR="00136001" w:rsidRPr="00B52F99">
        <w:rPr>
          <w:rFonts w:cstheme="minorHAnsi"/>
          <w:b/>
          <w:bCs/>
          <w:color w:val="000000" w:themeColor="text1"/>
        </w:rPr>
        <w:t>b-</w:t>
      </w:r>
      <w:r w:rsidR="00504B09" w:rsidRPr="00B52F99">
        <w:rPr>
          <w:rFonts w:cstheme="minorHAnsi"/>
          <w:b/>
          <w:bCs/>
          <w:color w:val="000000" w:themeColor="text1"/>
        </w:rPr>
        <w:t>c</w:t>
      </w:r>
      <w:r w:rsidR="00E660A0" w:rsidRPr="00B52F99">
        <w:rPr>
          <w:rFonts w:cstheme="minorHAnsi"/>
          <w:color w:val="000000" w:themeColor="text1"/>
        </w:rPr>
        <w:t>;</w:t>
      </w:r>
      <w:r w:rsidR="00E660A0" w:rsidRPr="00B52F99">
        <w:rPr>
          <w:rFonts w:cstheme="minorHAnsi"/>
          <w:b/>
          <w:bCs/>
          <w:color w:val="000000" w:themeColor="text1"/>
        </w:rPr>
        <w:t xml:space="preserve"> </w:t>
      </w:r>
      <w:r w:rsidR="00E660A0" w:rsidRPr="00B52F99">
        <w:rPr>
          <w:rFonts w:cstheme="minorHAnsi"/>
          <w:color w:val="000000" w:themeColor="text1"/>
        </w:rPr>
        <w:t>Supplementary Data 4</w:t>
      </w:r>
      <w:r w:rsidRPr="00B52F99">
        <w:rPr>
          <w:rFonts w:cstheme="minorHAnsi"/>
          <w:color w:val="000000" w:themeColor="text1"/>
        </w:rPr>
        <w:t>) and less BMI</w:t>
      </w:r>
      <w:r w:rsidR="00C91C2A" w:rsidRPr="00B52F99">
        <w:rPr>
          <w:rFonts w:cstheme="minorHAnsi"/>
          <w:color w:val="000000" w:themeColor="text1"/>
        </w:rPr>
        <w:t xml:space="preserve"> </w:t>
      </w:r>
      <w:r w:rsidR="002447CE" w:rsidRPr="00B52F99">
        <w:rPr>
          <w:rFonts w:cstheme="minorHAnsi"/>
          <w:color w:val="000000" w:themeColor="text1"/>
        </w:rPr>
        <w:t xml:space="preserve">(KW=8.829, df=3, </w:t>
      </w:r>
      <w:r w:rsidR="002447CE" w:rsidRPr="00B52F99">
        <w:rPr>
          <w:rFonts w:cstheme="minorHAnsi"/>
          <w:i/>
          <w:iCs/>
          <w:color w:val="000000" w:themeColor="text1"/>
        </w:rPr>
        <w:t>p</w:t>
      </w:r>
      <w:r w:rsidR="002447CE" w:rsidRPr="00B52F99">
        <w:rPr>
          <w:rFonts w:cstheme="minorHAnsi"/>
          <w:color w:val="000000" w:themeColor="text1"/>
        </w:rPr>
        <w:t>=0.03</w:t>
      </w:r>
      <w:r w:rsidR="00664B6D" w:rsidRPr="00B52F99">
        <w:rPr>
          <w:rFonts w:cstheme="minorHAnsi"/>
          <w:color w:val="000000" w:themeColor="text1"/>
        </w:rPr>
        <w:t>2</w:t>
      </w:r>
      <w:r w:rsidR="002447CE" w:rsidRPr="00B52F99">
        <w:rPr>
          <w:rFonts w:cstheme="minorHAnsi"/>
          <w:color w:val="000000" w:themeColor="text1"/>
        </w:rPr>
        <w:t>;</w:t>
      </w:r>
      <w:r w:rsidR="00C91C2A" w:rsidRPr="00B52F99">
        <w:rPr>
          <w:rFonts w:cstheme="minorHAnsi"/>
          <w:color w:val="000000" w:themeColor="text1"/>
        </w:rPr>
        <w:t xml:space="preserve"> </w:t>
      </w:r>
      <w:r w:rsidRPr="00B52F99">
        <w:rPr>
          <w:rFonts w:cstheme="minorHAnsi"/>
          <w:b/>
          <w:bCs/>
          <w:color w:val="000000" w:themeColor="text1"/>
        </w:rPr>
        <w:t xml:space="preserve">Fig. </w:t>
      </w:r>
      <w:r w:rsidR="00504B09" w:rsidRPr="00B52F99">
        <w:rPr>
          <w:rFonts w:cstheme="minorHAnsi"/>
          <w:b/>
          <w:bCs/>
          <w:color w:val="000000" w:themeColor="text1"/>
        </w:rPr>
        <w:t>5e</w:t>
      </w:r>
      <w:r w:rsidRPr="00B52F99">
        <w:rPr>
          <w:rFonts w:cstheme="minorHAnsi"/>
          <w:color w:val="000000" w:themeColor="text1"/>
        </w:rPr>
        <w:t xml:space="preserve">) compared to females with higher </w:t>
      </w:r>
      <w:r w:rsidR="00625789" w:rsidRPr="00B52F99">
        <w:rPr>
          <w:rFonts w:cstheme="minorHAnsi"/>
          <w:color w:val="000000" w:themeColor="text1"/>
        </w:rPr>
        <w:t>RPs</w:t>
      </w:r>
      <w:r w:rsidR="00053D38" w:rsidRPr="00B52F99">
        <w:rPr>
          <w:rFonts w:cstheme="minorHAnsi"/>
          <w:color w:val="000000" w:themeColor="text1"/>
        </w:rPr>
        <w:t xml:space="preserve"> of seven to nine days</w:t>
      </w:r>
      <w:r w:rsidR="00440EB1" w:rsidRPr="00B52F99">
        <w:rPr>
          <w:rFonts w:cstheme="minorHAnsi"/>
          <w:color w:val="000000" w:themeColor="text1"/>
        </w:rPr>
        <w:t xml:space="preserve">. </w:t>
      </w:r>
      <w:r w:rsidR="00B51B62" w:rsidRPr="00B52F99">
        <w:rPr>
          <w:rFonts w:cstheme="minorHAnsi"/>
          <w:color w:val="000000" w:themeColor="text1"/>
        </w:rPr>
        <w:t>For males, t</w:t>
      </w:r>
      <w:r w:rsidRPr="00B52F99">
        <w:rPr>
          <w:rFonts w:cstheme="minorHAnsi"/>
          <w:color w:val="000000" w:themeColor="text1"/>
        </w:rPr>
        <w:t>he greatest average</w:t>
      </w:r>
      <w:r w:rsidR="00B51B62" w:rsidRPr="00B52F99">
        <w:rPr>
          <w:rFonts w:cstheme="minorHAnsi"/>
          <w:color w:val="000000" w:themeColor="text1"/>
        </w:rPr>
        <w:t xml:space="preserve"> </w:t>
      </w:r>
      <w:r w:rsidRPr="00B52F99">
        <w:rPr>
          <w:rFonts w:cstheme="minorHAnsi"/>
          <w:color w:val="000000" w:themeColor="text1"/>
        </w:rPr>
        <w:t>weight gain occurred with a seven-day periodicity</w:t>
      </w:r>
      <w:r w:rsidR="00625789" w:rsidRPr="00B52F99">
        <w:rPr>
          <w:rFonts w:cstheme="minorHAnsi"/>
          <w:color w:val="000000" w:themeColor="text1"/>
        </w:rPr>
        <w:t xml:space="preserve">, unlike the greatest </w:t>
      </w:r>
      <w:r w:rsidR="002036DE" w:rsidRPr="00B52F99">
        <w:rPr>
          <w:rFonts w:cstheme="minorHAnsi"/>
          <w:color w:val="000000" w:themeColor="text1"/>
        </w:rPr>
        <w:t xml:space="preserve">average </w:t>
      </w:r>
      <w:r w:rsidR="00625789" w:rsidRPr="00B52F99">
        <w:rPr>
          <w:rFonts w:cstheme="minorHAnsi"/>
          <w:color w:val="000000" w:themeColor="text1"/>
        </w:rPr>
        <w:t>gain for females that occurred with an eight-day periodicity</w:t>
      </w:r>
      <w:r w:rsidR="00B514BD" w:rsidRPr="00B52F99">
        <w:rPr>
          <w:rFonts w:cstheme="minorHAnsi"/>
          <w:color w:val="000000" w:themeColor="text1"/>
        </w:rPr>
        <w:t xml:space="preserve"> (</w:t>
      </w:r>
      <w:r w:rsidR="00B514BD" w:rsidRPr="00B52F99">
        <w:rPr>
          <w:rFonts w:cstheme="minorHAnsi"/>
          <w:b/>
          <w:bCs/>
          <w:color w:val="000000" w:themeColor="text1"/>
        </w:rPr>
        <w:t>Fig</w:t>
      </w:r>
      <w:r w:rsidR="00611B30" w:rsidRPr="00B52F99">
        <w:rPr>
          <w:rFonts w:cstheme="minorHAnsi"/>
          <w:b/>
          <w:bCs/>
          <w:color w:val="000000" w:themeColor="text1"/>
        </w:rPr>
        <w:t>.</w:t>
      </w:r>
      <w:r w:rsidR="00B514BD" w:rsidRPr="00B52F99">
        <w:rPr>
          <w:rFonts w:cstheme="minorHAnsi"/>
          <w:b/>
          <w:bCs/>
          <w:color w:val="000000" w:themeColor="text1"/>
        </w:rPr>
        <w:t xml:space="preserve"> </w:t>
      </w:r>
      <w:r w:rsidR="00504B09" w:rsidRPr="00B52F99">
        <w:rPr>
          <w:rFonts w:cstheme="minorHAnsi"/>
          <w:b/>
          <w:bCs/>
          <w:color w:val="000000" w:themeColor="text1"/>
        </w:rPr>
        <w:t>5b</w:t>
      </w:r>
      <w:r w:rsidR="00E52964" w:rsidRPr="00B52F99">
        <w:rPr>
          <w:rFonts w:cstheme="minorHAnsi"/>
          <w:color w:val="000000" w:themeColor="text1"/>
        </w:rPr>
        <w:t>;</w:t>
      </w:r>
      <w:r w:rsidR="00187182" w:rsidRPr="00B52F99">
        <w:rPr>
          <w:rFonts w:cstheme="minorHAnsi"/>
          <w:color w:val="000000" w:themeColor="text1"/>
        </w:rPr>
        <w:t xml:space="preserve"> </w:t>
      </w:r>
      <w:r w:rsidR="006E4F13" w:rsidRPr="00B52F99">
        <w:rPr>
          <w:rFonts w:cstheme="minorHAnsi"/>
          <w:color w:val="000000" w:themeColor="text1"/>
        </w:rPr>
        <w:t>Supplementary Data 4</w:t>
      </w:r>
      <w:r w:rsidR="00E52964" w:rsidRPr="00B52F99">
        <w:rPr>
          <w:rFonts w:cstheme="minorHAnsi"/>
          <w:color w:val="000000" w:themeColor="text1"/>
        </w:rPr>
        <w:t>)</w:t>
      </w:r>
      <w:r w:rsidR="00835546" w:rsidRPr="00B52F99">
        <w:rPr>
          <w:rFonts w:cstheme="minorHAnsi"/>
          <w:color w:val="000000" w:themeColor="text1"/>
        </w:rPr>
        <w:t>.</w:t>
      </w:r>
      <w:r w:rsidR="00B514BD" w:rsidRPr="00B52F99">
        <w:rPr>
          <w:rFonts w:cstheme="minorHAnsi"/>
          <w:color w:val="000000" w:themeColor="text1"/>
        </w:rPr>
        <w:t xml:space="preserve"> </w:t>
      </w:r>
      <w:r w:rsidRPr="00B52F99">
        <w:rPr>
          <w:rFonts w:cstheme="minorHAnsi"/>
          <w:color w:val="000000" w:themeColor="text1"/>
        </w:rPr>
        <w:t>Males with RPs of six days gained least weight</w:t>
      </w:r>
      <w:r w:rsidR="00625789" w:rsidRPr="00B52F99">
        <w:rPr>
          <w:rFonts w:cstheme="minorHAnsi"/>
          <w:color w:val="000000" w:themeColor="text1"/>
        </w:rPr>
        <w:t xml:space="preserve">, but </w:t>
      </w:r>
      <w:r w:rsidRPr="00B52F99">
        <w:rPr>
          <w:rFonts w:cstheme="minorHAnsi"/>
          <w:color w:val="000000" w:themeColor="text1"/>
        </w:rPr>
        <w:t xml:space="preserve">the step-up in periodicity from six days did not lead to significantly greater </w:t>
      </w:r>
      <w:r w:rsidR="00625789" w:rsidRPr="00B52F99">
        <w:rPr>
          <w:rFonts w:cstheme="minorHAnsi"/>
          <w:color w:val="000000" w:themeColor="text1"/>
        </w:rPr>
        <w:t xml:space="preserve">gains in </w:t>
      </w:r>
      <w:r w:rsidR="00440EB1" w:rsidRPr="00B52F99">
        <w:rPr>
          <w:rFonts w:cstheme="minorHAnsi"/>
          <w:color w:val="000000" w:themeColor="text1"/>
        </w:rPr>
        <w:t xml:space="preserve">male </w:t>
      </w:r>
      <w:r w:rsidRPr="00B52F99">
        <w:rPr>
          <w:rFonts w:cstheme="minorHAnsi"/>
          <w:color w:val="000000" w:themeColor="text1"/>
        </w:rPr>
        <w:t>weigh</w:t>
      </w:r>
      <w:r w:rsidR="00625789" w:rsidRPr="00B52F99">
        <w:rPr>
          <w:rFonts w:cstheme="minorHAnsi"/>
          <w:color w:val="000000" w:themeColor="text1"/>
        </w:rPr>
        <w:t>t</w:t>
      </w:r>
      <w:r w:rsidRPr="00B52F99">
        <w:rPr>
          <w:rFonts w:cstheme="minorHAnsi"/>
          <w:color w:val="000000" w:themeColor="text1"/>
        </w:rPr>
        <w:t xml:space="preserve"> </w:t>
      </w:r>
      <w:r w:rsidR="006E4F13" w:rsidRPr="00B52F99">
        <w:rPr>
          <w:rFonts w:cstheme="minorHAnsi"/>
          <w:color w:val="000000" w:themeColor="text1"/>
        </w:rPr>
        <w:t>(</w:t>
      </w:r>
      <w:r w:rsidR="00B514BD" w:rsidRPr="00B52F99">
        <w:rPr>
          <w:rFonts w:cstheme="minorHAnsi"/>
          <w:b/>
          <w:bCs/>
          <w:color w:val="000000" w:themeColor="text1"/>
        </w:rPr>
        <w:t xml:space="preserve">Fig </w:t>
      </w:r>
      <w:r w:rsidR="00504B09" w:rsidRPr="00B52F99">
        <w:rPr>
          <w:rFonts w:cstheme="minorHAnsi"/>
          <w:b/>
          <w:bCs/>
          <w:color w:val="000000" w:themeColor="text1"/>
        </w:rPr>
        <w:t>5d</w:t>
      </w:r>
      <w:r w:rsidR="006E4F13" w:rsidRPr="00B52F99">
        <w:rPr>
          <w:rFonts w:cstheme="minorHAnsi"/>
          <w:b/>
          <w:bCs/>
          <w:color w:val="000000" w:themeColor="text1"/>
        </w:rPr>
        <w:t xml:space="preserve">; </w:t>
      </w:r>
      <w:r w:rsidR="006E4F13" w:rsidRPr="00B52F99">
        <w:rPr>
          <w:rFonts w:cstheme="minorHAnsi"/>
          <w:color w:val="000000" w:themeColor="text1"/>
        </w:rPr>
        <w:t>Supplementary Data 4</w:t>
      </w:r>
      <w:r w:rsidRPr="00B52F99">
        <w:rPr>
          <w:rFonts w:cstheme="minorHAnsi"/>
          <w:color w:val="000000" w:themeColor="text1"/>
        </w:rPr>
        <w:t xml:space="preserve">) or BMI </w:t>
      </w:r>
      <w:r w:rsidR="00187182" w:rsidRPr="00B52F99">
        <w:rPr>
          <w:rFonts w:cstheme="minorHAnsi"/>
          <w:color w:val="000000" w:themeColor="text1"/>
        </w:rPr>
        <w:t>(</w:t>
      </w:r>
      <w:r w:rsidR="00B514BD" w:rsidRPr="00B52F99">
        <w:rPr>
          <w:rFonts w:cstheme="minorHAnsi"/>
          <w:b/>
          <w:bCs/>
          <w:color w:val="000000" w:themeColor="text1"/>
        </w:rPr>
        <w:t>Fig</w:t>
      </w:r>
      <w:r w:rsidR="00611B30" w:rsidRPr="00B52F99">
        <w:rPr>
          <w:rFonts w:cstheme="minorHAnsi"/>
          <w:b/>
          <w:bCs/>
          <w:color w:val="000000" w:themeColor="text1"/>
        </w:rPr>
        <w:t>.</w:t>
      </w:r>
      <w:r w:rsidR="00B514BD" w:rsidRPr="00B52F99">
        <w:rPr>
          <w:rFonts w:cstheme="minorHAnsi"/>
          <w:b/>
          <w:bCs/>
          <w:color w:val="000000" w:themeColor="text1"/>
        </w:rPr>
        <w:t xml:space="preserve"> </w:t>
      </w:r>
      <w:r w:rsidR="00504B09" w:rsidRPr="00B52F99">
        <w:rPr>
          <w:rFonts w:cstheme="minorHAnsi"/>
          <w:b/>
          <w:bCs/>
          <w:color w:val="000000" w:themeColor="text1"/>
        </w:rPr>
        <w:t>5</w:t>
      </w:r>
      <w:r w:rsidR="00E52964" w:rsidRPr="00B52F99">
        <w:rPr>
          <w:rFonts w:cstheme="minorHAnsi"/>
          <w:b/>
          <w:bCs/>
          <w:color w:val="000000" w:themeColor="text1"/>
        </w:rPr>
        <w:t>f</w:t>
      </w:r>
      <w:r w:rsidR="006E4F13" w:rsidRPr="00B52F99">
        <w:rPr>
          <w:rFonts w:cstheme="minorHAnsi"/>
          <w:b/>
          <w:bCs/>
          <w:color w:val="000000" w:themeColor="text1"/>
        </w:rPr>
        <w:t xml:space="preserve">; </w:t>
      </w:r>
      <w:r w:rsidR="006E4F13" w:rsidRPr="00B52F99">
        <w:rPr>
          <w:rFonts w:cstheme="minorHAnsi"/>
          <w:color w:val="000000" w:themeColor="text1"/>
        </w:rPr>
        <w:t>Supplementary Data 4</w:t>
      </w:r>
      <w:r w:rsidRPr="00B52F99">
        <w:rPr>
          <w:rFonts w:cstheme="minorHAnsi"/>
          <w:color w:val="000000" w:themeColor="text1"/>
        </w:rPr>
        <w:t xml:space="preserve">), though the </w:t>
      </w:r>
      <w:r w:rsidRPr="00B52F99">
        <w:rPr>
          <w:color w:val="000000" w:themeColor="text1"/>
        </w:rPr>
        <w:t xml:space="preserve">relationships were in the expected direction. </w:t>
      </w:r>
      <w:r w:rsidR="003B6A75" w:rsidRPr="00B52F99">
        <w:rPr>
          <w:rFonts w:eastAsiaTheme="minorEastAsia"/>
          <w:color w:val="000000" w:themeColor="text1"/>
          <w:lang w:eastAsia="zh-CN"/>
        </w:rPr>
        <w:t xml:space="preserve">Thus, the </w:t>
      </w:r>
      <w:r w:rsidR="003B6A75" w:rsidRPr="00B52F99">
        <w:rPr>
          <w:color w:val="000000" w:themeColor="text1"/>
        </w:rPr>
        <w:t>link between RP and weight gain</w:t>
      </w:r>
      <w:r w:rsidR="006E4F13" w:rsidRPr="00B52F99">
        <w:rPr>
          <w:color w:val="000000" w:themeColor="text1"/>
        </w:rPr>
        <w:t>, and BMI gain,</w:t>
      </w:r>
      <w:r w:rsidR="003B6A75" w:rsidRPr="00B52F99">
        <w:rPr>
          <w:color w:val="000000" w:themeColor="text1"/>
        </w:rPr>
        <w:t xml:space="preserve"> is much stronger for females than males which </w:t>
      </w:r>
      <w:r w:rsidR="00C02BF4" w:rsidRPr="00B52F99">
        <w:rPr>
          <w:color w:val="000000" w:themeColor="text1"/>
        </w:rPr>
        <w:t xml:space="preserve">we interpret here as </w:t>
      </w:r>
      <w:r w:rsidR="003B6A75" w:rsidRPr="00B52F99">
        <w:rPr>
          <w:color w:val="000000" w:themeColor="text1"/>
        </w:rPr>
        <w:t>equivalent to sex differences in the link between enamel formation processes and RP</w:t>
      </w:r>
      <w:r w:rsidR="006F02F3" w:rsidRPr="00B52F99">
        <w:rPr>
          <w:color w:val="000000" w:themeColor="text1"/>
          <w:vertAlign w:val="superscript"/>
        </w:rPr>
        <w:t>39</w:t>
      </w:r>
      <w:r w:rsidR="003B6A75" w:rsidRPr="00B52F99">
        <w:rPr>
          <w:color w:val="000000" w:themeColor="text1"/>
        </w:rPr>
        <w:t>.</w:t>
      </w:r>
    </w:p>
    <w:p w14:paraId="79DEFB25" w14:textId="77777777" w:rsidR="002447CE" w:rsidRPr="00B52F99" w:rsidRDefault="002447CE" w:rsidP="005D0197">
      <w:pPr>
        <w:spacing w:line="360" w:lineRule="auto"/>
        <w:jc w:val="both"/>
        <w:rPr>
          <w:color w:val="000000" w:themeColor="text1"/>
        </w:rPr>
      </w:pPr>
    </w:p>
    <w:p w14:paraId="36708E40" w14:textId="0C00C822" w:rsidR="003B6A75" w:rsidRPr="00B52F99" w:rsidRDefault="006F3344" w:rsidP="005D0197">
      <w:pPr>
        <w:spacing w:line="360" w:lineRule="auto"/>
        <w:jc w:val="both"/>
        <w:rPr>
          <w:rFonts w:cstheme="minorHAnsi"/>
          <w:color w:val="000000" w:themeColor="text1"/>
        </w:rPr>
      </w:pPr>
      <w:r w:rsidRPr="00B52F99">
        <w:rPr>
          <w:rFonts w:cstheme="minorHAnsi"/>
          <w:color w:val="000000" w:themeColor="text1"/>
        </w:rPr>
        <w:t xml:space="preserve">Females with an RP of six days were, on average, lighter </w:t>
      </w:r>
      <w:r w:rsidR="008E28E4" w:rsidRPr="00B52F99">
        <w:rPr>
          <w:color w:val="000000" w:themeColor="text1"/>
        </w:rPr>
        <w:t xml:space="preserve">over 14-months </w:t>
      </w:r>
      <w:r w:rsidRPr="00B52F99">
        <w:rPr>
          <w:color w:val="000000" w:themeColor="text1"/>
        </w:rPr>
        <w:t xml:space="preserve">compared to females with RPs of seven, eight or nine days but the difference was not significant </w:t>
      </w:r>
      <w:r w:rsidR="00481212" w:rsidRPr="00B52F99">
        <w:rPr>
          <w:rFonts w:cstheme="minorHAnsi"/>
          <w:color w:val="000000" w:themeColor="text1"/>
        </w:rPr>
        <w:t>(</w:t>
      </w:r>
      <w:r w:rsidR="00481212" w:rsidRPr="00B52F99">
        <w:rPr>
          <w:rFonts w:cstheme="minorHAnsi"/>
          <w:b/>
          <w:bCs/>
          <w:color w:val="000000" w:themeColor="text1"/>
        </w:rPr>
        <w:t xml:space="preserve">Fig </w:t>
      </w:r>
      <w:r w:rsidR="006F02F3" w:rsidRPr="00B52F99">
        <w:rPr>
          <w:rFonts w:cstheme="minorHAnsi"/>
          <w:b/>
          <w:bCs/>
          <w:color w:val="000000" w:themeColor="text1"/>
        </w:rPr>
        <w:t>5</w:t>
      </w:r>
      <w:r w:rsidR="00481212" w:rsidRPr="00B52F99">
        <w:rPr>
          <w:rFonts w:cstheme="minorHAnsi"/>
          <w:b/>
          <w:bCs/>
          <w:color w:val="000000" w:themeColor="text1"/>
        </w:rPr>
        <w:t>g</w:t>
      </w:r>
      <w:r w:rsidR="006E4F13" w:rsidRPr="00B52F99">
        <w:rPr>
          <w:rFonts w:cstheme="minorHAnsi"/>
          <w:b/>
          <w:bCs/>
          <w:color w:val="000000" w:themeColor="text1"/>
        </w:rPr>
        <w:t xml:space="preserve">; </w:t>
      </w:r>
      <w:r w:rsidR="006E4F13" w:rsidRPr="00B52F99">
        <w:rPr>
          <w:rFonts w:cstheme="minorHAnsi"/>
          <w:color w:val="000000" w:themeColor="text1"/>
        </w:rPr>
        <w:t>Supplementary Data 4</w:t>
      </w:r>
      <w:r w:rsidR="00481212" w:rsidRPr="00B52F99">
        <w:rPr>
          <w:rFonts w:cstheme="minorHAnsi"/>
          <w:color w:val="000000" w:themeColor="text1"/>
        </w:rPr>
        <w:t>)</w:t>
      </w:r>
      <w:r w:rsidR="00376E34" w:rsidRPr="00B52F99">
        <w:rPr>
          <w:rFonts w:cstheme="minorHAnsi"/>
          <w:color w:val="000000" w:themeColor="text1"/>
        </w:rPr>
        <w:t>.</w:t>
      </w:r>
      <w:r w:rsidR="003119D9" w:rsidRPr="00B52F99">
        <w:rPr>
          <w:rFonts w:cstheme="minorHAnsi"/>
          <w:color w:val="000000" w:themeColor="text1"/>
        </w:rPr>
        <w:t xml:space="preserve"> </w:t>
      </w:r>
      <w:r w:rsidR="0005739F" w:rsidRPr="00B52F99">
        <w:rPr>
          <w:rFonts w:cstheme="minorHAnsi"/>
          <w:color w:val="000000" w:themeColor="text1"/>
        </w:rPr>
        <w:t xml:space="preserve"> There w</w:t>
      </w:r>
      <w:r w:rsidR="00E3278C" w:rsidRPr="00B52F99">
        <w:rPr>
          <w:rFonts w:cstheme="minorHAnsi"/>
          <w:color w:val="000000" w:themeColor="text1"/>
        </w:rPr>
        <w:t>as</w:t>
      </w:r>
      <w:r w:rsidR="0005739F" w:rsidRPr="00B52F99">
        <w:rPr>
          <w:rFonts w:cstheme="minorHAnsi"/>
          <w:color w:val="000000" w:themeColor="text1"/>
        </w:rPr>
        <w:t xml:space="preserve"> no significant difference </w:t>
      </w:r>
      <w:r w:rsidR="00E3278C" w:rsidRPr="00B52F99">
        <w:rPr>
          <w:rFonts w:cstheme="minorHAnsi"/>
          <w:color w:val="000000" w:themeColor="text1"/>
        </w:rPr>
        <w:t xml:space="preserve">in the average weight of males over 14 months when they were </w:t>
      </w:r>
      <w:r w:rsidR="003119D9" w:rsidRPr="00B52F99">
        <w:rPr>
          <w:rFonts w:cstheme="minorHAnsi"/>
          <w:color w:val="000000" w:themeColor="text1"/>
        </w:rPr>
        <w:t xml:space="preserve">grouped </w:t>
      </w:r>
      <w:r w:rsidR="00E3278C" w:rsidRPr="00B52F99">
        <w:rPr>
          <w:rFonts w:cstheme="minorHAnsi"/>
          <w:color w:val="000000" w:themeColor="text1"/>
        </w:rPr>
        <w:t xml:space="preserve">and compared </w:t>
      </w:r>
      <w:r w:rsidR="003119D9" w:rsidRPr="00B52F99">
        <w:rPr>
          <w:rFonts w:cstheme="minorHAnsi"/>
          <w:color w:val="000000" w:themeColor="text1"/>
        </w:rPr>
        <w:t xml:space="preserve">by their RP values </w:t>
      </w:r>
      <w:r w:rsidRPr="00B52F99">
        <w:rPr>
          <w:color w:val="000000" w:themeColor="text1"/>
        </w:rPr>
        <w:t>(</w:t>
      </w:r>
      <w:r w:rsidR="003119D9" w:rsidRPr="00B52F99">
        <w:rPr>
          <w:rFonts w:cstheme="minorHAnsi"/>
          <w:b/>
          <w:bCs/>
          <w:color w:val="000000" w:themeColor="text1"/>
        </w:rPr>
        <w:t xml:space="preserve">Fig. </w:t>
      </w:r>
      <w:r w:rsidR="006F02F3" w:rsidRPr="00B52F99">
        <w:rPr>
          <w:rFonts w:cstheme="minorHAnsi"/>
          <w:b/>
          <w:bCs/>
          <w:color w:val="000000" w:themeColor="text1"/>
        </w:rPr>
        <w:t>5</w:t>
      </w:r>
      <w:r w:rsidR="003119D9" w:rsidRPr="00B52F99">
        <w:rPr>
          <w:rFonts w:cstheme="minorHAnsi"/>
          <w:b/>
          <w:bCs/>
          <w:color w:val="000000" w:themeColor="text1"/>
        </w:rPr>
        <w:t>h</w:t>
      </w:r>
      <w:r w:rsidR="006E4F13" w:rsidRPr="00B52F99">
        <w:rPr>
          <w:rFonts w:cstheme="minorHAnsi"/>
          <w:b/>
          <w:bCs/>
          <w:color w:val="000000" w:themeColor="text1"/>
        </w:rPr>
        <w:t xml:space="preserve">; </w:t>
      </w:r>
      <w:r w:rsidR="006E4F13" w:rsidRPr="00B52F99">
        <w:rPr>
          <w:rFonts w:cstheme="minorHAnsi"/>
          <w:color w:val="000000" w:themeColor="text1"/>
        </w:rPr>
        <w:t>Supplementary Data 4</w:t>
      </w:r>
      <w:r w:rsidR="003119D9" w:rsidRPr="00B52F99">
        <w:rPr>
          <w:rFonts w:cstheme="minorHAnsi"/>
          <w:color w:val="000000" w:themeColor="text1"/>
        </w:rPr>
        <w:t>)</w:t>
      </w:r>
      <w:r w:rsidR="0005739F" w:rsidRPr="00B52F99">
        <w:rPr>
          <w:rFonts w:cstheme="minorHAnsi"/>
          <w:color w:val="000000" w:themeColor="text1"/>
        </w:rPr>
        <w:t xml:space="preserve"> though the mean values trended in the expected direction.</w:t>
      </w:r>
    </w:p>
    <w:p w14:paraId="127F4563" w14:textId="07ABA43A" w:rsidR="005D0197" w:rsidRPr="00B52F99" w:rsidRDefault="005D0197" w:rsidP="003B6A75">
      <w:pPr>
        <w:jc w:val="both"/>
        <w:rPr>
          <w:rFonts w:cstheme="minorHAnsi"/>
          <w:b/>
          <w:bCs/>
          <w:color w:val="000000" w:themeColor="text1"/>
          <w:sz w:val="22"/>
          <w:szCs w:val="22"/>
        </w:rPr>
      </w:pPr>
    </w:p>
    <w:p w14:paraId="31E489B9" w14:textId="44A9C5D9" w:rsidR="007D1AC6" w:rsidRPr="00B52F99" w:rsidRDefault="007D1AC6" w:rsidP="007D1AC6">
      <w:pPr>
        <w:spacing w:line="360" w:lineRule="auto"/>
        <w:jc w:val="both"/>
        <w:rPr>
          <w:color w:val="000000" w:themeColor="text1"/>
        </w:rPr>
      </w:pPr>
      <w:r w:rsidRPr="00B52F99">
        <w:rPr>
          <w:color w:val="000000" w:themeColor="text1"/>
        </w:rPr>
        <w:t xml:space="preserve">We conducted additional analyses to identify the potential effect of covariates on the relationship of RP to gains in weight/BMI. </w:t>
      </w:r>
    </w:p>
    <w:p w14:paraId="06BBE747" w14:textId="77777777" w:rsidR="00111E6E" w:rsidRPr="00B52F99" w:rsidRDefault="00111E6E" w:rsidP="007D1AC6">
      <w:pPr>
        <w:spacing w:line="360" w:lineRule="auto"/>
        <w:jc w:val="both"/>
        <w:rPr>
          <w:rFonts w:cstheme="minorHAnsi"/>
          <w:color w:val="000000" w:themeColor="text1"/>
          <w:sz w:val="28"/>
          <w:szCs w:val="28"/>
        </w:rPr>
      </w:pPr>
    </w:p>
    <w:p w14:paraId="56EDBA80" w14:textId="3DA8907D" w:rsidR="007D1AC6" w:rsidRPr="00B52F99" w:rsidRDefault="007D1AC6" w:rsidP="007D1AC6">
      <w:pPr>
        <w:spacing w:line="360" w:lineRule="auto"/>
        <w:jc w:val="both"/>
        <w:rPr>
          <w:rFonts w:cstheme="minorHAnsi"/>
          <w:color w:val="000000" w:themeColor="text1"/>
          <w:sz w:val="28"/>
          <w:szCs w:val="28"/>
        </w:rPr>
      </w:pPr>
      <w:r w:rsidRPr="00B52F99">
        <w:rPr>
          <w:rFonts w:cstheme="minorHAnsi"/>
          <w:color w:val="000000" w:themeColor="text1"/>
          <w:sz w:val="28"/>
          <w:szCs w:val="28"/>
        </w:rPr>
        <w:t>RP-biorhythm is</w:t>
      </w:r>
      <w:r w:rsidR="00156802" w:rsidRPr="00B52F99">
        <w:rPr>
          <w:rFonts w:cstheme="minorHAnsi"/>
          <w:color w:val="000000" w:themeColor="text1"/>
          <w:sz w:val="28"/>
          <w:szCs w:val="28"/>
        </w:rPr>
        <w:t xml:space="preserve"> </w:t>
      </w:r>
      <w:r w:rsidRPr="00B52F99">
        <w:rPr>
          <w:rFonts w:cstheme="minorHAnsi"/>
          <w:color w:val="000000" w:themeColor="text1"/>
          <w:sz w:val="28"/>
          <w:szCs w:val="28"/>
        </w:rPr>
        <w:t xml:space="preserve">related to </w:t>
      </w:r>
      <w:r w:rsidR="00156802" w:rsidRPr="00B52F99">
        <w:rPr>
          <w:rFonts w:cstheme="minorHAnsi"/>
          <w:color w:val="000000" w:themeColor="text1"/>
          <w:sz w:val="28"/>
          <w:szCs w:val="28"/>
        </w:rPr>
        <w:t xml:space="preserve">weight but not </w:t>
      </w:r>
      <w:r w:rsidRPr="00B52F99">
        <w:rPr>
          <w:rFonts w:cstheme="minorHAnsi"/>
          <w:color w:val="000000" w:themeColor="text1"/>
          <w:sz w:val="28"/>
          <w:szCs w:val="28"/>
        </w:rPr>
        <w:t>height and lower leg length</w:t>
      </w:r>
    </w:p>
    <w:p w14:paraId="7918B77C" w14:textId="1395E842" w:rsidR="007D1AC6" w:rsidRPr="00B52F99" w:rsidRDefault="007D1AC6" w:rsidP="007D1AC6">
      <w:pPr>
        <w:spacing w:line="360" w:lineRule="auto"/>
        <w:jc w:val="both"/>
        <w:rPr>
          <w:rFonts w:cstheme="minorHAnsi"/>
          <w:color w:val="000000" w:themeColor="text1"/>
        </w:rPr>
      </w:pPr>
      <w:r w:rsidRPr="00B52F99">
        <w:rPr>
          <w:rFonts w:cstheme="minorHAnsi"/>
          <w:color w:val="000000" w:themeColor="text1"/>
        </w:rPr>
        <w:t>Regression analyses revealed log-transformed RP was not significantly related to total gains in height (p=0.</w:t>
      </w:r>
      <w:r w:rsidR="00653061" w:rsidRPr="00B52F99">
        <w:rPr>
          <w:rFonts w:cstheme="minorHAnsi"/>
          <w:color w:val="000000" w:themeColor="text1"/>
        </w:rPr>
        <w:t>225</w:t>
      </w:r>
      <w:r w:rsidRPr="00B52F99">
        <w:rPr>
          <w:rFonts w:cstheme="minorHAnsi"/>
          <w:color w:val="000000" w:themeColor="text1"/>
        </w:rPr>
        <w:t>) or lower leg length (p=0.16</w:t>
      </w:r>
      <w:r w:rsidR="00653061" w:rsidRPr="00B52F99">
        <w:rPr>
          <w:rFonts w:cstheme="minorHAnsi"/>
          <w:color w:val="000000" w:themeColor="text1"/>
        </w:rPr>
        <w:t>5</w:t>
      </w:r>
      <w:r w:rsidRPr="00B52F99">
        <w:rPr>
          <w:rFonts w:cstheme="minorHAnsi"/>
          <w:color w:val="000000" w:themeColor="text1"/>
        </w:rPr>
        <w:t>)</w:t>
      </w:r>
      <w:r w:rsidR="00653061" w:rsidRPr="00B52F99">
        <w:rPr>
          <w:rFonts w:cstheme="minorHAnsi"/>
          <w:color w:val="000000" w:themeColor="text1"/>
        </w:rPr>
        <w:t xml:space="preserve"> </w:t>
      </w:r>
      <w:r w:rsidRPr="00B52F99">
        <w:rPr>
          <w:rFonts w:cstheme="minorHAnsi"/>
          <w:color w:val="000000" w:themeColor="text1"/>
        </w:rPr>
        <w:t>though</w:t>
      </w:r>
      <w:r w:rsidRPr="00B52F99">
        <w:rPr>
          <w:color w:val="000000" w:themeColor="text1"/>
        </w:rPr>
        <w:t xml:space="preserve"> the relationships were in the expected direction</w:t>
      </w:r>
      <w:r w:rsidR="00156802" w:rsidRPr="00B52F99">
        <w:rPr>
          <w:color w:val="000000" w:themeColor="text1"/>
        </w:rPr>
        <w:t>.</w:t>
      </w:r>
    </w:p>
    <w:p w14:paraId="4443FAF8" w14:textId="77777777" w:rsidR="007D1AC6" w:rsidRPr="00B52F99" w:rsidRDefault="007D1AC6" w:rsidP="007D1AC6">
      <w:pPr>
        <w:spacing w:line="360" w:lineRule="auto"/>
        <w:jc w:val="both"/>
        <w:rPr>
          <w:rFonts w:cstheme="minorHAnsi"/>
          <w:color w:val="000000" w:themeColor="text1"/>
          <w:sz w:val="12"/>
          <w:szCs w:val="12"/>
        </w:rPr>
      </w:pPr>
    </w:p>
    <w:p w14:paraId="7EFFDDB9" w14:textId="65B7D13E" w:rsidR="007D1AC6" w:rsidRPr="00B52F99" w:rsidRDefault="007D1AC6" w:rsidP="007D1AC6">
      <w:pPr>
        <w:spacing w:line="360" w:lineRule="auto"/>
        <w:jc w:val="both"/>
        <w:rPr>
          <w:rFonts w:cstheme="minorHAnsi"/>
          <w:color w:val="000000" w:themeColor="text1"/>
        </w:rPr>
      </w:pPr>
      <w:r w:rsidRPr="00B52F99">
        <w:rPr>
          <w:rFonts w:cstheme="minorHAnsi"/>
          <w:color w:val="000000" w:themeColor="text1"/>
        </w:rPr>
        <w:t xml:space="preserve">Multivariate regression was undertaken to assess the relative strength of the predictor (RP) on each independent variable (log transformed </w:t>
      </w:r>
      <w:r w:rsidR="009B7F9A" w:rsidRPr="00B52F99">
        <w:rPr>
          <w:rFonts w:cstheme="minorHAnsi"/>
          <w:color w:val="000000" w:themeColor="text1"/>
        </w:rPr>
        <w:t xml:space="preserve">gains in </w:t>
      </w:r>
      <w:r w:rsidRPr="00B52F99">
        <w:rPr>
          <w:rFonts w:cstheme="minorHAnsi"/>
          <w:color w:val="000000" w:themeColor="text1"/>
        </w:rPr>
        <w:t>weight, leg length, height). Examination of standardized beta coefficients indicated that RP had the strongest effect on weight</w:t>
      </w:r>
      <w:r w:rsidR="00653061" w:rsidRPr="00B52F99">
        <w:rPr>
          <w:rFonts w:cstheme="minorHAnsi"/>
          <w:color w:val="000000" w:themeColor="text1"/>
        </w:rPr>
        <w:t xml:space="preserve"> gained</w:t>
      </w:r>
      <w:r w:rsidRPr="00B52F99">
        <w:rPr>
          <w:rFonts w:cstheme="minorHAnsi"/>
          <w:color w:val="000000" w:themeColor="text1"/>
        </w:rPr>
        <w:t xml:space="preserve"> (</w:t>
      </w:r>
      <w:r w:rsidRPr="00B52F99">
        <w:rPr>
          <w:color w:val="000000" w:themeColor="text1"/>
          <w:shd w:val="clear" w:color="auto" w:fill="FFFFFF"/>
        </w:rPr>
        <w:t xml:space="preserve">weight β=0.315, </w:t>
      </w:r>
      <w:r w:rsidRPr="00B52F99">
        <w:rPr>
          <w:i/>
          <w:iCs/>
          <w:color w:val="000000" w:themeColor="text1"/>
          <w:shd w:val="clear" w:color="auto" w:fill="FFFFFF"/>
        </w:rPr>
        <w:t>p</w:t>
      </w:r>
      <w:r w:rsidRPr="00B52F99">
        <w:rPr>
          <w:color w:val="000000" w:themeColor="text1"/>
          <w:shd w:val="clear" w:color="auto" w:fill="FFFFFF"/>
        </w:rPr>
        <w:t xml:space="preserve">=0.027; height β=0.005, </w:t>
      </w:r>
      <w:r w:rsidRPr="00B52F99">
        <w:rPr>
          <w:i/>
          <w:iCs/>
          <w:color w:val="000000" w:themeColor="text1"/>
          <w:shd w:val="clear" w:color="auto" w:fill="FFFFFF"/>
        </w:rPr>
        <w:t>p</w:t>
      </w:r>
      <w:r w:rsidRPr="00B52F99">
        <w:rPr>
          <w:color w:val="000000" w:themeColor="text1"/>
          <w:shd w:val="clear" w:color="auto" w:fill="FFFFFF"/>
        </w:rPr>
        <w:t>=0.972; lower-leg length β=0.131,</w:t>
      </w:r>
      <w:r w:rsidRPr="00B52F99">
        <w:rPr>
          <w:i/>
          <w:iCs/>
          <w:color w:val="000000" w:themeColor="text1"/>
          <w:shd w:val="clear" w:color="auto" w:fill="FFFFFF"/>
        </w:rPr>
        <w:t xml:space="preserve"> p</w:t>
      </w:r>
      <w:r w:rsidRPr="00B52F99">
        <w:rPr>
          <w:color w:val="000000" w:themeColor="text1"/>
          <w:shd w:val="clear" w:color="auto" w:fill="FFFFFF"/>
        </w:rPr>
        <w:t>=0.400)</w:t>
      </w:r>
      <w:r w:rsidRPr="00B52F99">
        <w:rPr>
          <w:rFonts w:cstheme="minorHAnsi"/>
          <w:color w:val="000000" w:themeColor="text1"/>
        </w:rPr>
        <w:t xml:space="preserve">, and only weight </w:t>
      </w:r>
      <w:r w:rsidR="00653061" w:rsidRPr="00B52F99">
        <w:rPr>
          <w:rFonts w:cstheme="minorHAnsi"/>
          <w:color w:val="000000" w:themeColor="text1"/>
        </w:rPr>
        <w:t xml:space="preserve">gain </w:t>
      </w:r>
      <w:r w:rsidRPr="00B52F99">
        <w:rPr>
          <w:rFonts w:cstheme="minorHAnsi"/>
          <w:color w:val="000000" w:themeColor="text1"/>
        </w:rPr>
        <w:t>significantly predicted RP.</w:t>
      </w:r>
    </w:p>
    <w:p w14:paraId="38E9F60C" w14:textId="77777777" w:rsidR="007D1AC6" w:rsidRPr="00B52F99" w:rsidRDefault="007D1AC6" w:rsidP="007D1AC6">
      <w:pPr>
        <w:spacing w:line="360" w:lineRule="auto"/>
        <w:jc w:val="both"/>
        <w:rPr>
          <w:rFonts w:cstheme="minorHAnsi"/>
          <w:color w:val="000000" w:themeColor="text1"/>
          <w:sz w:val="12"/>
          <w:szCs w:val="12"/>
        </w:rPr>
      </w:pPr>
    </w:p>
    <w:p w14:paraId="0290FD4F" w14:textId="00784D7B" w:rsidR="007D1AC6" w:rsidRPr="00B52F99" w:rsidRDefault="007D1AC6" w:rsidP="007D1AC6">
      <w:pPr>
        <w:spacing w:line="360" w:lineRule="auto"/>
        <w:jc w:val="both"/>
        <w:rPr>
          <w:rFonts w:cstheme="minorHAnsi"/>
          <w:color w:val="000000" w:themeColor="text1"/>
          <w:sz w:val="28"/>
          <w:szCs w:val="28"/>
        </w:rPr>
      </w:pPr>
      <w:r w:rsidRPr="00B52F99">
        <w:rPr>
          <w:rFonts w:cstheme="minorHAnsi"/>
          <w:color w:val="000000" w:themeColor="text1"/>
          <w:sz w:val="28"/>
          <w:szCs w:val="28"/>
        </w:rPr>
        <w:t>The effect of matur</w:t>
      </w:r>
      <w:r w:rsidR="00ED0D52" w:rsidRPr="00B52F99">
        <w:rPr>
          <w:rFonts w:cstheme="minorHAnsi"/>
          <w:color w:val="000000" w:themeColor="text1"/>
          <w:sz w:val="28"/>
          <w:szCs w:val="28"/>
        </w:rPr>
        <w:t>ation stage</w:t>
      </w:r>
    </w:p>
    <w:p w14:paraId="0F52761A" w14:textId="48208BAB" w:rsidR="007D1AC6" w:rsidRPr="00B52F99" w:rsidRDefault="00C02BF4" w:rsidP="007D1AC6">
      <w:pPr>
        <w:spacing w:line="360" w:lineRule="auto"/>
        <w:jc w:val="both"/>
        <w:rPr>
          <w:rFonts w:cstheme="minorHAnsi"/>
          <w:color w:val="000000" w:themeColor="text1"/>
        </w:rPr>
      </w:pPr>
      <w:r w:rsidRPr="00B52F99">
        <w:rPr>
          <w:color w:val="000000" w:themeColor="text1"/>
        </w:rPr>
        <w:t>Females tended to have a higher RP in this sample and were more mature compared to males.</w:t>
      </w:r>
      <w:r w:rsidRPr="00B52F99">
        <w:rPr>
          <w:rFonts w:cstheme="minorHAnsi"/>
          <w:color w:val="000000" w:themeColor="text1"/>
        </w:rPr>
        <w:t xml:space="preserve"> </w:t>
      </w:r>
      <w:r w:rsidR="007D1AC6" w:rsidRPr="00B52F99">
        <w:rPr>
          <w:rFonts w:cstheme="minorHAnsi"/>
          <w:color w:val="000000" w:themeColor="text1"/>
        </w:rPr>
        <w:t>We separated females with a maturity score of three, the largest sample size (</w:t>
      </w:r>
      <w:r w:rsidR="007D1AC6" w:rsidRPr="00B52F99">
        <w:rPr>
          <w:rFonts w:cstheme="minorHAnsi"/>
          <w:i/>
          <w:iCs/>
          <w:color w:val="000000" w:themeColor="text1"/>
        </w:rPr>
        <w:t>n</w:t>
      </w:r>
      <w:r w:rsidR="007D1AC6" w:rsidRPr="00B52F99">
        <w:rPr>
          <w:rFonts w:cstheme="minorHAnsi"/>
          <w:color w:val="000000" w:themeColor="text1"/>
        </w:rPr>
        <w:t>=2</w:t>
      </w:r>
      <w:r w:rsidR="00F82833" w:rsidRPr="00B52F99">
        <w:rPr>
          <w:rFonts w:cstheme="minorHAnsi"/>
          <w:color w:val="000000" w:themeColor="text1"/>
        </w:rPr>
        <w:t>6</w:t>
      </w:r>
      <w:r w:rsidR="007D1AC6" w:rsidRPr="00B52F99">
        <w:rPr>
          <w:rFonts w:cstheme="minorHAnsi"/>
          <w:color w:val="000000" w:themeColor="text1"/>
        </w:rPr>
        <w:t xml:space="preserve">), to determine if the relationship between RP and weight </w:t>
      </w:r>
      <w:r w:rsidR="00C2286E" w:rsidRPr="00B52F99">
        <w:rPr>
          <w:rFonts w:cstheme="minorHAnsi"/>
          <w:color w:val="000000" w:themeColor="text1"/>
        </w:rPr>
        <w:t xml:space="preserve">gain </w:t>
      </w:r>
      <w:r w:rsidR="007D1AC6" w:rsidRPr="00B52F99">
        <w:rPr>
          <w:rFonts w:cstheme="minorHAnsi"/>
          <w:color w:val="000000" w:themeColor="text1"/>
        </w:rPr>
        <w:t xml:space="preserve">persisted after the effect of maturation stage was held constant. </w:t>
      </w:r>
      <w:r w:rsidR="007D1AC6" w:rsidRPr="00B52F99">
        <w:rPr>
          <w:rFonts w:cstheme="minorHAnsi"/>
          <w:color w:val="000000" w:themeColor="text1"/>
        </w:rPr>
        <w:lastRenderedPageBreak/>
        <w:t>Regression analyses revealed the significant relationship between log-RP and log-weight gained was still present (</w:t>
      </w:r>
      <w:r w:rsidR="007D1AC6" w:rsidRPr="00B52F99">
        <w:rPr>
          <w:color w:val="000000" w:themeColor="text1"/>
        </w:rPr>
        <w:t>Supplementary Fig</w:t>
      </w:r>
      <w:r w:rsidR="00E660A0" w:rsidRPr="00B52F99">
        <w:rPr>
          <w:color w:val="000000" w:themeColor="text1"/>
        </w:rPr>
        <w:t>ure</w:t>
      </w:r>
      <w:r w:rsidR="00A43D2C" w:rsidRPr="00B52F99">
        <w:rPr>
          <w:color w:val="000000" w:themeColor="text1"/>
        </w:rPr>
        <w:t>.</w:t>
      </w:r>
      <w:r w:rsidR="007D1AC6" w:rsidRPr="00B52F99">
        <w:rPr>
          <w:color w:val="000000" w:themeColor="text1"/>
        </w:rPr>
        <w:t xml:space="preserve"> 4</w:t>
      </w:r>
      <w:r w:rsidR="007D1AC6" w:rsidRPr="00B52F99">
        <w:rPr>
          <w:rFonts w:cstheme="minorHAnsi"/>
          <w:color w:val="000000" w:themeColor="text1"/>
        </w:rPr>
        <w:t xml:space="preserve">). </w:t>
      </w:r>
    </w:p>
    <w:p w14:paraId="698971FA" w14:textId="77777777" w:rsidR="007D1AC6" w:rsidRPr="00B52F99" w:rsidRDefault="007D1AC6" w:rsidP="007D1AC6">
      <w:pPr>
        <w:spacing w:line="360" w:lineRule="auto"/>
        <w:jc w:val="both"/>
        <w:rPr>
          <w:rFonts w:cstheme="minorHAnsi"/>
          <w:color w:val="000000" w:themeColor="text1"/>
          <w:sz w:val="12"/>
          <w:szCs w:val="12"/>
        </w:rPr>
      </w:pPr>
    </w:p>
    <w:p w14:paraId="58E66CF2" w14:textId="77777777" w:rsidR="007D1AC6" w:rsidRPr="00B52F99" w:rsidRDefault="007D1AC6" w:rsidP="007D1AC6">
      <w:pPr>
        <w:spacing w:line="360" w:lineRule="auto"/>
        <w:jc w:val="both"/>
        <w:rPr>
          <w:rFonts w:cstheme="minorHAnsi"/>
          <w:color w:val="000000" w:themeColor="text1"/>
        </w:rPr>
      </w:pPr>
      <w:r w:rsidRPr="00B52F99">
        <w:rPr>
          <w:rFonts w:cstheme="minorHAnsi"/>
          <w:color w:val="000000" w:themeColor="text1"/>
        </w:rPr>
        <w:t xml:space="preserve">Multivariate regression was undertaken to examine the relative relationship of RP to total gains in log-transformed weight, height, and leg length for just these females with maturation scores of three. Examination of standardized beta coefficients indicated </w:t>
      </w:r>
      <w:r w:rsidRPr="00B52F99">
        <w:rPr>
          <w:color w:val="000000" w:themeColor="text1"/>
        </w:rPr>
        <w:t xml:space="preserve">that </w:t>
      </w:r>
      <w:r w:rsidRPr="00B52F99">
        <w:rPr>
          <w:rFonts w:cstheme="minorHAnsi"/>
          <w:color w:val="000000" w:themeColor="text1"/>
        </w:rPr>
        <w:t>weight had the strongest relationship to RP (</w:t>
      </w:r>
      <w:r w:rsidRPr="00B52F99">
        <w:rPr>
          <w:color w:val="000000" w:themeColor="text1"/>
          <w:shd w:val="clear" w:color="auto" w:fill="FFFFFF"/>
        </w:rPr>
        <w:t>weight β=0.425, height β=-0.178, lower-leg length β=0.230)</w:t>
      </w:r>
      <w:r w:rsidRPr="00B52F99">
        <w:rPr>
          <w:rFonts w:cstheme="minorHAnsi"/>
          <w:color w:val="000000" w:themeColor="text1"/>
        </w:rPr>
        <w:t>.</w:t>
      </w:r>
    </w:p>
    <w:p w14:paraId="1AEE53B0" w14:textId="77777777" w:rsidR="007D1AC6" w:rsidRPr="00B52F99" w:rsidRDefault="007D1AC6" w:rsidP="007D1AC6">
      <w:pPr>
        <w:spacing w:line="360" w:lineRule="auto"/>
        <w:jc w:val="both"/>
        <w:rPr>
          <w:rFonts w:cstheme="minorHAnsi"/>
          <w:color w:val="000000" w:themeColor="text1"/>
          <w:sz w:val="12"/>
          <w:szCs w:val="12"/>
        </w:rPr>
      </w:pPr>
    </w:p>
    <w:p w14:paraId="440D3D43" w14:textId="77777777" w:rsidR="007D1AC6" w:rsidRPr="00B52F99" w:rsidRDefault="007D1AC6" w:rsidP="007D1AC6">
      <w:pPr>
        <w:spacing w:line="360" w:lineRule="auto"/>
        <w:jc w:val="both"/>
        <w:rPr>
          <w:color w:val="000000" w:themeColor="text1"/>
          <w:sz w:val="28"/>
          <w:szCs w:val="28"/>
        </w:rPr>
      </w:pPr>
      <w:r w:rsidRPr="00B52F99">
        <w:rPr>
          <w:color w:val="000000" w:themeColor="text1"/>
          <w:sz w:val="28"/>
          <w:szCs w:val="28"/>
        </w:rPr>
        <w:t>The effect of Covid-19 lockdown and seasons</w:t>
      </w:r>
    </w:p>
    <w:p w14:paraId="4AF40144" w14:textId="6173077E" w:rsidR="007D1AC6" w:rsidRPr="00B52F99" w:rsidRDefault="007D1AC6" w:rsidP="00A035AC">
      <w:pPr>
        <w:spacing w:line="360" w:lineRule="auto"/>
        <w:jc w:val="both"/>
        <w:rPr>
          <w:color w:val="000000" w:themeColor="text1"/>
        </w:rPr>
      </w:pPr>
      <w:r w:rsidRPr="00B52F99">
        <w:rPr>
          <w:color w:val="000000" w:themeColor="text1"/>
        </w:rPr>
        <w:t xml:space="preserve">There were substantial differences in the amount of weight gained </w:t>
      </w:r>
      <w:r w:rsidR="006720F6" w:rsidRPr="00B52F99">
        <w:rPr>
          <w:color w:val="000000" w:themeColor="text1"/>
        </w:rPr>
        <w:t>over</w:t>
      </w:r>
      <w:r w:rsidRPr="00B52F99">
        <w:rPr>
          <w:color w:val="000000" w:themeColor="text1"/>
        </w:rPr>
        <w:t xml:space="preserve"> lockdown when participants were grouped and compared by their periodicities (Supplementary Table 3). </w:t>
      </w:r>
      <w:r w:rsidR="00A035AC" w:rsidRPr="00B52F99">
        <w:rPr>
          <w:color w:val="000000" w:themeColor="text1"/>
        </w:rPr>
        <w:t>Those with an RP of 6 maintained a relatively consistent trajectory of weight gain throughout the entire 14-month period (</w:t>
      </w:r>
      <w:r w:rsidR="00A035AC" w:rsidRPr="00B52F99">
        <w:rPr>
          <w:b/>
          <w:bCs/>
          <w:color w:val="000000" w:themeColor="text1"/>
        </w:rPr>
        <w:t xml:space="preserve">Fig. </w:t>
      </w:r>
      <w:r w:rsidR="00B274C6" w:rsidRPr="00B52F99">
        <w:rPr>
          <w:b/>
          <w:bCs/>
          <w:color w:val="000000" w:themeColor="text1"/>
        </w:rPr>
        <w:t>4b-c</w:t>
      </w:r>
      <w:r w:rsidR="00A035AC" w:rsidRPr="00B52F99">
        <w:rPr>
          <w:color w:val="000000" w:themeColor="text1"/>
        </w:rPr>
        <w:t>). They gained an average of 1.</w:t>
      </w:r>
      <w:r w:rsidR="001269C5" w:rsidRPr="00B52F99">
        <w:rPr>
          <w:color w:val="000000" w:themeColor="text1"/>
        </w:rPr>
        <w:t>0</w:t>
      </w:r>
      <w:r w:rsidR="000C6476" w:rsidRPr="00B52F99">
        <w:rPr>
          <w:color w:val="000000" w:themeColor="text1"/>
        </w:rPr>
        <w:t>0</w:t>
      </w:r>
      <w:r w:rsidR="00A035AC" w:rsidRPr="00B52F99">
        <w:rPr>
          <w:color w:val="000000" w:themeColor="text1"/>
        </w:rPr>
        <w:t xml:space="preserve"> kg during lockdown, which was </w:t>
      </w:r>
      <w:proofErr w:type="gramStart"/>
      <w:r w:rsidR="00A035AC" w:rsidRPr="00B52F99">
        <w:rPr>
          <w:color w:val="000000" w:themeColor="text1"/>
        </w:rPr>
        <w:t>similar to</w:t>
      </w:r>
      <w:proofErr w:type="gramEnd"/>
      <w:r w:rsidR="00A035AC" w:rsidRPr="00B52F99">
        <w:rPr>
          <w:color w:val="000000" w:themeColor="text1"/>
        </w:rPr>
        <w:t xml:space="preserve"> the 1 kg gained during the preceding summer period (Supplementary Table 3). However, participants with an RP of 7 gained an average of </w:t>
      </w:r>
      <w:r w:rsidR="001269C5" w:rsidRPr="00B52F99">
        <w:rPr>
          <w:color w:val="000000" w:themeColor="text1"/>
        </w:rPr>
        <w:t>3.50</w:t>
      </w:r>
      <w:r w:rsidR="00A035AC" w:rsidRPr="00B52F99">
        <w:rPr>
          <w:color w:val="000000" w:themeColor="text1"/>
        </w:rPr>
        <w:t xml:space="preserve"> kg during lockdown which was at least twice that compared to any other season of the year. Participants with </w:t>
      </w:r>
      <w:proofErr w:type="gramStart"/>
      <w:r w:rsidR="00A035AC" w:rsidRPr="00B52F99">
        <w:rPr>
          <w:color w:val="000000" w:themeColor="text1"/>
        </w:rPr>
        <w:t>RP</w:t>
      </w:r>
      <w:r w:rsidR="000C6476" w:rsidRPr="00B52F99">
        <w:rPr>
          <w:color w:val="000000" w:themeColor="text1"/>
        </w:rPr>
        <w:t>’</w:t>
      </w:r>
      <w:r w:rsidR="00A035AC" w:rsidRPr="00B52F99">
        <w:rPr>
          <w:color w:val="000000" w:themeColor="text1"/>
        </w:rPr>
        <w:t>s</w:t>
      </w:r>
      <w:proofErr w:type="gramEnd"/>
      <w:r w:rsidR="00A035AC" w:rsidRPr="00B52F99">
        <w:rPr>
          <w:color w:val="000000" w:themeColor="text1"/>
        </w:rPr>
        <w:t xml:space="preserve"> of 8 gained 3.</w:t>
      </w:r>
      <w:r w:rsidR="001269C5" w:rsidRPr="00B52F99">
        <w:rPr>
          <w:color w:val="000000" w:themeColor="text1"/>
        </w:rPr>
        <w:t>0</w:t>
      </w:r>
      <w:r w:rsidR="00A035AC" w:rsidRPr="00B52F99">
        <w:rPr>
          <w:color w:val="000000" w:themeColor="text1"/>
        </w:rPr>
        <w:t xml:space="preserve">3 kg during lockdown. </w:t>
      </w:r>
      <w:r w:rsidRPr="00B52F99">
        <w:rPr>
          <w:color w:val="000000" w:themeColor="text1"/>
        </w:rPr>
        <w:t xml:space="preserve">These findings suggest pandemic stressors may have been more impactful for adolescents with slower </w:t>
      </w:r>
      <w:r w:rsidR="000C6476" w:rsidRPr="00B52F99">
        <w:rPr>
          <w:color w:val="000000" w:themeColor="text1"/>
        </w:rPr>
        <w:t>RP-</w:t>
      </w:r>
      <w:r w:rsidRPr="00B52F99">
        <w:rPr>
          <w:color w:val="000000" w:themeColor="text1"/>
        </w:rPr>
        <w:t xml:space="preserve">biorhythms. </w:t>
      </w:r>
    </w:p>
    <w:p w14:paraId="2F2AF8BB" w14:textId="77777777" w:rsidR="008A7045" w:rsidRPr="00B52F99" w:rsidRDefault="008A7045" w:rsidP="007D1AC6">
      <w:pPr>
        <w:spacing w:line="360" w:lineRule="auto"/>
        <w:jc w:val="both"/>
        <w:rPr>
          <w:color w:val="000000" w:themeColor="text1"/>
          <w:sz w:val="12"/>
          <w:szCs w:val="12"/>
        </w:rPr>
      </w:pPr>
    </w:p>
    <w:p w14:paraId="344C2CD1" w14:textId="3050252C" w:rsidR="00AE028E" w:rsidRPr="00B52F99" w:rsidRDefault="007D1AC6" w:rsidP="00E27B82">
      <w:pPr>
        <w:spacing w:line="360" w:lineRule="auto"/>
        <w:jc w:val="both"/>
        <w:rPr>
          <w:color w:val="000000" w:themeColor="text1"/>
        </w:rPr>
      </w:pPr>
      <w:r w:rsidRPr="00B52F99">
        <w:rPr>
          <w:color w:val="000000" w:themeColor="text1"/>
        </w:rPr>
        <w:t xml:space="preserve">The summer vacation period coincided with a period of </w:t>
      </w:r>
      <w:r w:rsidR="002B383B" w:rsidRPr="00B52F99">
        <w:rPr>
          <w:color w:val="000000" w:themeColor="text1"/>
        </w:rPr>
        <w:t xml:space="preserve">slight </w:t>
      </w:r>
      <w:r w:rsidRPr="00B52F99">
        <w:rPr>
          <w:color w:val="000000" w:themeColor="text1"/>
        </w:rPr>
        <w:t>weight loss for those with RPs of seven and eight days (</w:t>
      </w:r>
      <w:r w:rsidRPr="00B52F99">
        <w:rPr>
          <w:b/>
          <w:bCs/>
          <w:color w:val="000000" w:themeColor="text1"/>
        </w:rPr>
        <w:t xml:space="preserve">Fig. </w:t>
      </w:r>
      <w:r w:rsidR="00B274C6" w:rsidRPr="00B52F99">
        <w:rPr>
          <w:b/>
          <w:bCs/>
          <w:color w:val="000000" w:themeColor="text1"/>
        </w:rPr>
        <w:t>4b-c</w:t>
      </w:r>
      <w:r w:rsidRPr="00B52F99">
        <w:rPr>
          <w:color w:val="000000" w:themeColor="text1"/>
        </w:rPr>
        <w:t xml:space="preserve">). On average, those with a seven and eight-day periodicity gained more weight in the Spring and Winter seasons compared to those with RPs of six-days (Supplementary Table </w:t>
      </w:r>
      <w:r w:rsidR="000C6476" w:rsidRPr="00B52F99">
        <w:rPr>
          <w:color w:val="000000" w:themeColor="text1"/>
        </w:rPr>
        <w:t>3</w:t>
      </w:r>
      <w:r w:rsidRPr="00B52F99">
        <w:rPr>
          <w:color w:val="000000" w:themeColor="text1"/>
        </w:rPr>
        <w:t>).</w:t>
      </w:r>
    </w:p>
    <w:p w14:paraId="20B45C06" w14:textId="77777777" w:rsidR="00DB74CD" w:rsidRPr="00B52F99" w:rsidRDefault="00DB74CD" w:rsidP="00E81012">
      <w:pPr>
        <w:spacing w:after="120" w:line="360" w:lineRule="exact"/>
        <w:rPr>
          <w:b/>
          <w:bCs/>
          <w:color w:val="000000" w:themeColor="text1"/>
          <w:sz w:val="28"/>
          <w:szCs w:val="28"/>
        </w:rPr>
      </w:pPr>
    </w:p>
    <w:p w14:paraId="0202BF1B" w14:textId="77777777" w:rsidR="00DB74CD" w:rsidRPr="00B52F99" w:rsidRDefault="00DB74CD" w:rsidP="00E81012">
      <w:pPr>
        <w:spacing w:after="120" w:line="360" w:lineRule="exact"/>
        <w:rPr>
          <w:b/>
          <w:bCs/>
          <w:color w:val="000000" w:themeColor="text1"/>
          <w:sz w:val="28"/>
          <w:szCs w:val="28"/>
        </w:rPr>
      </w:pPr>
    </w:p>
    <w:p w14:paraId="4CF35FBF" w14:textId="77777777" w:rsidR="00DB74CD" w:rsidRPr="00B52F99" w:rsidRDefault="00DB74CD" w:rsidP="00E81012">
      <w:pPr>
        <w:spacing w:after="120" w:line="360" w:lineRule="exact"/>
        <w:rPr>
          <w:b/>
          <w:bCs/>
          <w:color w:val="000000" w:themeColor="text1"/>
          <w:sz w:val="28"/>
          <w:szCs w:val="28"/>
        </w:rPr>
      </w:pPr>
    </w:p>
    <w:p w14:paraId="1332B421" w14:textId="77777777" w:rsidR="00DB74CD" w:rsidRPr="00B52F99" w:rsidRDefault="00DB74CD" w:rsidP="00E81012">
      <w:pPr>
        <w:spacing w:after="120" w:line="360" w:lineRule="exact"/>
        <w:rPr>
          <w:b/>
          <w:bCs/>
          <w:color w:val="000000" w:themeColor="text1"/>
          <w:sz w:val="28"/>
          <w:szCs w:val="28"/>
        </w:rPr>
      </w:pPr>
    </w:p>
    <w:p w14:paraId="2DEA77D2" w14:textId="77777777" w:rsidR="00DB74CD" w:rsidRPr="00B52F99" w:rsidRDefault="00DB74CD" w:rsidP="00E81012">
      <w:pPr>
        <w:spacing w:after="120" w:line="360" w:lineRule="exact"/>
        <w:rPr>
          <w:b/>
          <w:bCs/>
          <w:color w:val="000000" w:themeColor="text1"/>
          <w:sz w:val="28"/>
          <w:szCs w:val="28"/>
        </w:rPr>
      </w:pPr>
    </w:p>
    <w:p w14:paraId="1BE2F12B" w14:textId="77777777" w:rsidR="00DB74CD" w:rsidRPr="00B52F99" w:rsidRDefault="00DB74CD" w:rsidP="00E81012">
      <w:pPr>
        <w:spacing w:after="120" w:line="360" w:lineRule="exact"/>
        <w:rPr>
          <w:b/>
          <w:bCs/>
          <w:color w:val="000000" w:themeColor="text1"/>
          <w:sz w:val="28"/>
          <w:szCs w:val="28"/>
        </w:rPr>
      </w:pPr>
    </w:p>
    <w:p w14:paraId="4535BF4C" w14:textId="77777777" w:rsidR="00DB74CD" w:rsidRPr="00B52F99" w:rsidRDefault="00DB74CD" w:rsidP="00E81012">
      <w:pPr>
        <w:spacing w:after="120" w:line="360" w:lineRule="exact"/>
        <w:rPr>
          <w:b/>
          <w:bCs/>
          <w:color w:val="000000" w:themeColor="text1"/>
          <w:sz w:val="28"/>
          <w:szCs w:val="28"/>
        </w:rPr>
      </w:pPr>
    </w:p>
    <w:p w14:paraId="33DC145B" w14:textId="77777777" w:rsidR="00DB74CD" w:rsidRPr="00B52F99" w:rsidRDefault="00DB74CD" w:rsidP="00E81012">
      <w:pPr>
        <w:spacing w:after="120" w:line="360" w:lineRule="exact"/>
        <w:rPr>
          <w:b/>
          <w:bCs/>
          <w:color w:val="000000" w:themeColor="text1"/>
          <w:sz w:val="28"/>
          <w:szCs w:val="28"/>
        </w:rPr>
      </w:pPr>
    </w:p>
    <w:p w14:paraId="392672BF" w14:textId="77777777" w:rsidR="00DB74CD" w:rsidRPr="00B52F99" w:rsidRDefault="00DB74CD" w:rsidP="00E81012">
      <w:pPr>
        <w:spacing w:after="120" w:line="360" w:lineRule="exact"/>
        <w:rPr>
          <w:b/>
          <w:bCs/>
          <w:color w:val="000000" w:themeColor="text1"/>
          <w:sz w:val="28"/>
          <w:szCs w:val="28"/>
        </w:rPr>
      </w:pPr>
    </w:p>
    <w:p w14:paraId="5D4F25F7" w14:textId="77777777" w:rsidR="00DB74CD" w:rsidRPr="00B52F99" w:rsidRDefault="00DB74CD" w:rsidP="00E81012">
      <w:pPr>
        <w:spacing w:after="120" w:line="360" w:lineRule="exact"/>
        <w:rPr>
          <w:b/>
          <w:bCs/>
          <w:color w:val="000000" w:themeColor="text1"/>
          <w:sz w:val="28"/>
          <w:szCs w:val="28"/>
        </w:rPr>
      </w:pPr>
    </w:p>
    <w:p w14:paraId="07240FD6" w14:textId="77777777" w:rsidR="00DB74CD" w:rsidRPr="00B52F99" w:rsidRDefault="00DB74CD" w:rsidP="00E81012">
      <w:pPr>
        <w:spacing w:after="120" w:line="360" w:lineRule="exact"/>
        <w:rPr>
          <w:b/>
          <w:bCs/>
          <w:color w:val="000000" w:themeColor="text1"/>
          <w:sz w:val="28"/>
          <w:szCs w:val="28"/>
        </w:rPr>
      </w:pPr>
    </w:p>
    <w:p w14:paraId="2E1B859A" w14:textId="77777777" w:rsidR="00DB74CD" w:rsidRPr="00B52F99" w:rsidRDefault="00DB74CD" w:rsidP="00E81012">
      <w:pPr>
        <w:spacing w:after="120" w:line="360" w:lineRule="exact"/>
        <w:rPr>
          <w:b/>
          <w:bCs/>
          <w:color w:val="000000" w:themeColor="text1"/>
          <w:sz w:val="28"/>
          <w:szCs w:val="28"/>
        </w:rPr>
      </w:pPr>
    </w:p>
    <w:p w14:paraId="3869844E" w14:textId="653200CC" w:rsidR="00DB74CD" w:rsidRPr="00B52F99" w:rsidRDefault="00DB74CD" w:rsidP="00E81012">
      <w:pPr>
        <w:spacing w:after="120" w:line="360" w:lineRule="exact"/>
        <w:rPr>
          <w:b/>
          <w:bCs/>
          <w:color w:val="000000" w:themeColor="text1"/>
          <w:sz w:val="28"/>
          <w:szCs w:val="28"/>
        </w:rPr>
      </w:pPr>
    </w:p>
    <w:p w14:paraId="4A558ABE" w14:textId="77777777" w:rsidR="00017A2E" w:rsidRPr="00B52F99" w:rsidRDefault="00017A2E" w:rsidP="00E81012">
      <w:pPr>
        <w:spacing w:after="120" w:line="360" w:lineRule="exact"/>
        <w:rPr>
          <w:b/>
          <w:bCs/>
          <w:color w:val="000000" w:themeColor="text1"/>
          <w:sz w:val="28"/>
          <w:szCs w:val="28"/>
        </w:rPr>
      </w:pPr>
    </w:p>
    <w:p w14:paraId="22F989EC" w14:textId="54AFC188" w:rsidR="000B3EB1" w:rsidRPr="00B52F99" w:rsidRDefault="001A40DB" w:rsidP="00E81012">
      <w:pPr>
        <w:spacing w:after="120" w:line="360" w:lineRule="exact"/>
        <w:rPr>
          <w:b/>
          <w:bCs/>
          <w:color w:val="000000" w:themeColor="text1"/>
          <w:sz w:val="28"/>
          <w:szCs w:val="28"/>
        </w:rPr>
      </w:pPr>
      <w:r w:rsidRPr="00B52F99">
        <w:rPr>
          <w:b/>
          <w:bCs/>
          <w:color w:val="000000" w:themeColor="text1"/>
          <w:sz w:val="28"/>
          <w:szCs w:val="28"/>
        </w:rPr>
        <w:lastRenderedPageBreak/>
        <w:t>D</w:t>
      </w:r>
      <w:r w:rsidR="007C6AD9" w:rsidRPr="00B52F99">
        <w:rPr>
          <w:b/>
          <w:bCs/>
          <w:color w:val="000000" w:themeColor="text1"/>
          <w:sz w:val="28"/>
          <w:szCs w:val="28"/>
        </w:rPr>
        <w:t>iscussion</w:t>
      </w:r>
    </w:p>
    <w:p w14:paraId="25F0D28C" w14:textId="7CD9DCD6" w:rsidR="008E64EC" w:rsidRPr="00B52F99" w:rsidRDefault="00427F6C" w:rsidP="00212985">
      <w:pPr>
        <w:spacing w:line="360" w:lineRule="auto"/>
        <w:jc w:val="both"/>
        <w:rPr>
          <w:color w:val="000000" w:themeColor="text1"/>
        </w:rPr>
      </w:pPr>
      <w:r w:rsidRPr="00B52F99">
        <w:rPr>
          <w:color w:val="000000" w:themeColor="text1"/>
        </w:rPr>
        <w:t xml:space="preserve">Understanding of the relationship between </w:t>
      </w:r>
      <w:r w:rsidR="00F24AFD" w:rsidRPr="00B52F99">
        <w:rPr>
          <w:color w:val="000000" w:themeColor="text1"/>
        </w:rPr>
        <w:t>RP-</w:t>
      </w:r>
      <w:r w:rsidRPr="00B52F99">
        <w:rPr>
          <w:color w:val="000000" w:themeColor="text1"/>
        </w:rPr>
        <w:t xml:space="preserve">biorhythm and body mass has focused </w:t>
      </w:r>
      <w:r w:rsidR="00D6059C" w:rsidRPr="00B52F99">
        <w:rPr>
          <w:color w:val="000000" w:themeColor="text1"/>
        </w:rPr>
        <w:t>mainly up</w:t>
      </w:r>
      <w:r w:rsidRPr="00B52F99">
        <w:rPr>
          <w:color w:val="000000" w:themeColor="text1"/>
        </w:rPr>
        <w:t>on interspecific analyses of mammalian species. Although humans retain evidence of this rhythm in hard tissues</w:t>
      </w:r>
      <w:r w:rsidR="00361164" w:rsidRPr="00B52F99">
        <w:rPr>
          <w:color w:val="000000" w:themeColor="text1"/>
        </w:rPr>
        <w:t xml:space="preserve">, the relevance </w:t>
      </w:r>
      <w:r w:rsidR="00943859" w:rsidRPr="00B52F99">
        <w:rPr>
          <w:color w:val="000000" w:themeColor="text1"/>
        </w:rPr>
        <w:t>for</w:t>
      </w:r>
      <w:r w:rsidR="00361164" w:rsidRPr="00B52F99">
        <w:rPr>
          <w:color w:val="000000" w:themeColor="text1"/>
        </w:rPr>
        <w:t xml:space="preserve"> childhood growth remains underdefined. In this study we related the timing of the rhythm to mass and weight gained by a cohort of adolescents followed longitudinally. </w:t>
      </w:r>
      <w:r w:rsidR="00D6059C" w:rsidRPr="00B52F99">
        <w:rPr>
          <w:color w:val="000000" w:themeColor="text1"/>
        </w:rPr>
        <w:t xml:space="preserve">We observed participants with a faster </w:t>
      </w:r>
      <w:r w:rsidR="00631B29" w:rsidRPr="00B52F99">
        <w:rPr>
          <w:color w:val="000000" w:themeColor="text1"/>
        </w:rPr>
        <w:t>RP-</w:t>
      </w:r>
      <w:r w:rsidR="00D6059C" w:rsidRPr="00B52F99">
        <w:rPr>
          <w:color w:val="000000" w:themeColor="text1"/>
        </w:rPr>
        <w:t xml:space="preserve">biorhythm </w:t>
      </w:r>
      <w:r w:rsidR="00E74886" w:rsidRPr="00B52F99">
        <w:rPr>
          <w:color w:val="000000" w:themeColor="text1"/>
        </w:rPr>
        <w:t>(five or six</w:t>
      </w:r>
      <w:r w:rsidR="00611B30" w:rsidRPr="00B52F99">
        <w:rPr>
          <w:color w:val="000000" w:themeColor="text1"/>
        </w:rPr>
        <w:t>-</w:t>
      </w:r>
      <w:r w:rsidR="00E74886" w:rsidRPr="00B52F99">
        <w:rPr>
          <w:color w:val="000000" w:themeColor="text1"/>
        </w:rPr>
        <w:t xml:space="preserve">day periodicity) </w:t>
      </w:r>
      <w:r w:rsidR="00E601B5" w:rsidRPr="00B52F99">
        <w:rPr>
          <w:color w:val="000000" w:themeColor="text1"/>
        </w:rPr>
        <w:t xml:space="preserve">typically </w:t>
      </w:r>
      <w:r w:rsidR="00872E0E" w:rsidRPr="00B52F99">
        <w:rPr>
          <w:color w:val="000000" w:themeColor="text1"/>
        </w:rPr>
        <w:t xml:space="preserve">weighed less, </w:t>
      </w:r>
      <w:r w:rsidR="00D6059C" w:rsidRPr="00B52F99">
        <w:rPr>
          <w:color w:val="000000" w:themeColor="text1"/>
        </w:rPr>
        <w:t xml:space="preserve">gained </w:t>
      </w:r>
      <w:r w:rsidR="00872E0E" w:rsidRPr="00B52F99">
        <w:rPr>
          <w:color w:val="000000" w:themeColor="text1"/>
        </w:rPr>
        <w:t xml:space="preserve">the </w:t>
      </w:r>
      <w:r w:rsidR="00D6059C" w:rsidRPr="00B52F99">
        <w:rPr>
          <w:color w:val="000000" w:themeColor="text1"/>
        </w:rPr>
        <w:t xml:space="preserve">least </w:t>
      </w:r>
      <w:r w:rsidR="002A706B" w:rsidRPr="00B52F99">
        <w:rPr>
          <w:color w:val="000000" w:themeColor="text1"/>
        </w:rPr>
        <w:t>weight,</w:t>
      </w:r>
      <w:r w:rsidR="00D6059C" w:rsidRPr="00B52F99">
        <w:rPr>
          <w:color w:val="000000" w:themeColor="text1"/>
        </w:rPr>
        <w:t xml:space="preserve"> and had the smallest change in their BMI compared to those with a slower</w:t>
      </w:r>
      <w:r w:rsidR="00631B29" w:rsidRPr="00B52F99">
        <w:rPr>
          <w:color w:val="000000" w:themeColor="text1"/>
        </w:rPr>
        <w:t xml:space="preserve"> </w:t>
      </w:r>
      <w:r w:rsidR="00672617" w:rsidRPr="00B52F99">
        <w:rPr>
          <w:color w:val="000000" w:themeColor="text1"/>
        </w:rPr>
        <w:t>biorhythm</w:t>
      </w:r>
      <w:r w:rsidR="00E74886" w:rsidRPr="00B52F99">
        <w:rPr>
          <w:color w:val="000000" w:themeColor="text1"/>
        </w:rPr>
        <w:t xml:space="preserve"> (seven or eight</w:t>
      </w:r>
      <w:r w:rsidR="00611B30" w:rsidRPr="00B52F99">
        <w:rPr>
          <w:color w:val="000000" w:themeColor="text1"/>
        </w:rPr>
        <w:t>-</w:t>
      </w:r>
      <w:r w:rsidR="00E74886" w:rsidRPr="00B52F99">
        <w:rPr>
          <w:color w:val="000000" w:themeColor="text1"/>
        </w:rPr>
        <w:t>day periodicity)</w:t>
      </w:r>
      <w:r w:rsidR="00D6059C" w:rsidRPr="00B52F99">
        <w:rPr>
          <w:color w:val="000000" w:themeColor="text1"/>
        </w:rPr>
        <w:t xml:space="preserve">. </w:t>
      </w:r>
      <w:r w:rsidR="008E64EC" w:rsidRPr="00B52F99">
        <w:rPr>
          <w:color w:val="000000" w:themeColor="text1"/>
        </w:rPr>
        <w:t>To our knowledge, o</w:t>
      </w:r>
      <w:r w:rsidR="00361164" w:rsidRPr="00B52F99">
        <w:rPr>
          <w:color w:val="000000" w:themeColor="text1"/>
        </w:rPr>
        <w:t>ur finding</w:t>
      </w:r>
      <w:r w:rsidR="00904477" w:rsidRPr="00B52F99">
        <w:rPr>
          <w:color w:val="000000" w:themeColor="text1"/>
        </w:rPr>
        <w:t xml:space="preserve"> provide</w:t>
      </w:r>
      <w:r w:rsidR="008E64EC" w:rsidRPr="00B52F99">
        <w:rPr>
          <w:color w:val="000000" w:themeColor="text1"/>
        </w:rPr>
        <w:t>s</w:t>
      </w:r>
      <w:r w:rsidR="00904477" w:rsidRPr="00B52F99">
        <w:rPr>
          <w:color w:val="000000" w:themeColor="text1"/>
        </w:rPr>
        <w:t xml:space="preserve"> </w:t>
      </w:r>
      <w:r w:rsidR="008E64EC" w:rsidRPr="00B52F99">
        <w:rPr>
          <w:color w:val="000000" w:themeColor="text1"/>
        </w:rPr>
        <w:t xml:space="preserve">first </w:t>
      </w:r>
      <w:r w:rsidR="00904477" w:rsidRPr="00B52F99">
        <w:rPr>
          <w:color w:val="000000" w:themeColor="text1"/>
        </w:rPr>
        <w:t>evidence</w:t>
      </w:r>
      <w:r w:rsidR="00F83602" w:rsidRPr="00B52F99">
        <w:rPr>
          <w:color w:val="000000" w:themeColor="text1"/>
        </w:rPr>
        <w:t xml:space="preserve"> </w:t>
      </w:r>
      <w:r w:rsidR="00812786" w:rsidRPr="00B52F99">
        <w:rPr>
          <w:color w:val="000000" w:themeColor="text1"/>
        </w:rPr>
        <w:t xml:space="preserve">that </w:t>
      </w:r>
      <w:r w:rsidR="00F83602" w:rsidRPr="00B52F99">
        <w:rPr>
          <w:color w:val="000000" w:themeColor="text1"/>
        </w:rPr>
        <w:t>a</w:t>
      </w:r>
      <w:r w:rsidR="00904477" w:rsidRPr="00B52F99">
        <w:rPr>
          <w:color w:val="000000" w:themeColor="text1"/>
          <w:shd w:val="clear" w:color="auto" w:fill="FFFFFF"/>
        </w:rPr>
        <w:t xml:space="preserve"> </w:t>
      </w:r>
      <w:r w:rsidR="00D00F96" w:rsidRPr="00B52F99">
        <w:rPr>
          <w:color w:val="000000" w:themeColor="text1"/>
          <w:shd w:val="clear" w:color="auto" w:fill="FFFFFF"/>
        </w:rPr>
        <w:t xml:space="preserve">long-period </w:t>
      </w:r>
      <w:r w:rsidR="00904477" w:rsidRPr="00B52F99">
        <w:rPr>
          <w:color w:val="000000" w:themeColor="text1"/>
          <w:shd w:val="clear" w:color="auto" w:fill="FFFFFF"/>
        </w:rPr>
        <w:t>biorhythm</w:t>
      </w:r>
      <w:r w:rsidR="00904477" w:rsidRPr="00B52F99">
        <w:rPr>
          <w:color w:val="000000" w:themeColor="text1"/>
        </w:rPr>
        <w:t xml:space="preserve"> </w:t>
      </w:r>
      <w:r w:rsidR="00812786" w:rsidRPr="00B52F99">
        <w:rPr>
          <w:color w:val="000000" w:themeColor="text1"/>
        </w:rPr>
        <w:t xml:space="preserve">relates to </w:t>
      </w:r>
      <w:r w:rsidR="00904477" w:rsidRPr="00B52F99">
        <w:rPr>
          <w:color w:val="000000" w:themeColor="text1"/>
          <w:shd w:val="clear" w:color="auto" w:fill="FFFFFF"/>
        </w:rPr>
        <w:t xml:space="preserve">the </w:t>
      </w:r>
      <w:r w:rsidR="00904477" w:rsidRPr="00B52F99">
        <w:rPr>
          <w:color w:val="000000" w:themeColor="text1"/>
        </w:rPr>
        <w:t xml:space="preserve">rapid change in body size that </w:t>
      </w:r>
      <w:r w:rsidR="005038F6" w:rsidRPr="00B52F99">
        <w:rPr>
          <w:color w:val="000000" w:themeColor="text1"/>
        </w:rPr>
        <w:t>occurs during puberty</w:t>
      </w:r>
      <w:r w:rsidR="00A457F8" w:rsidRPr="00B52F99">
        <w:rPr>
          <w:color w:val="000000" w:themeColor="text1"/>
          <w:shd w:val="clear" w:color="auto" w:fill="FFFFFF"/>
        </w:rPr>
        <w:t>. </w:t>
      </w:r>
      <w:r w:rsidR="004D0EEF" w:rsidRPr="00B52F99">
        <w:rPr>
          <w:color w:val="000000" w:themeColor="text1"/>
        </w:rPr>
        <w:t xml:space="preserve"> </w:t>
      </w:r>
    </w:p>
    <w:p w14:paraId="4CF9EE5C" w14:textId="6A75D74C" w:rsidR="00D20BAF" w:rsidRPr="00B52F99" w:rsidRDefault="00D20BAF" w:rsidP="00212985">
      <w:pPr>
        <w:spacing w:line="360" w:lineRule="auto"/>
        <w:jc w:val="both"/>
        <w:rPr>
          <w:color w:val="000000" w:themeColor="text1"/>
        </w:rPr>
      </w:pPr>
    </w:p>
    <w:p w14:paraId="387EB02B" w14:textId="08A13428" w:rsidR="002F2B20" w:rsidRPr="00B52F99" w:rsidRDefault="0080521A" w:rsidP="002F2B20">
      <w:pPr>
        <w:autoSpaceDE w:val="0"/>
        <w:autoSpaceDN w:val="0"/>
        <w:adjustRightInd w:val="0"/>
        <w:spacing w:line="360" w:lineRule="auto"/>
        <w:jc w:val="both"/>
        <w:rPr>
          <w:color w:val="000000" w:themeColor="text1"/>
        </w:rPr>
      </w:pPr>
      <w:r w:rsidRPr="00B52F99">
        <w:rPr>
          <w:color w:val="000000" w:themeColor="text1"/>
        </w:rPr>
        <w:t>Our data co</w:t>
      </w:r>
      <w:r w:rsidR="0025625A" w:rsidRPr="00B52F99">
        <w:rPr>
          <w:color w:val="000000" w:themeColor="text1"/>
        </w:rPr>
        <w:t>nform</w:t>
      </w:r>
      <w:r w:rsidRPr="00B52F99">
        <w:rPr>
          <w:color w:val="000000" w:themeColor="text1"/>
        </w:rPr>
        <w:t xml:space="preserve"> </w:t>
      </w:r>
      <w:r w:rsidR="00FA4560" w:rsidRPr="00B52F99">
        <w:rPr>
          <w:color w:val="000000" w:themeColor="text1"/>
        </w:rPr>
        <w:t xml:space="preserve">partly </w:t>
      </w:r>
      <w:r w:rsidR="004A6BC4" w:rsidRPr="00B52F99">
        <w:rPr>
          <w:color w:val="000000" w:themeColor="text1"/>
        </w:rPr>
        <w:t xml:space="preserve">with the hypothesized interspecific biological pathway that </w:t>
      </w:r>
      <w:r w:rsidR="0025625A" w:rsidRPr="00B52F99">
        <w:rPr>
          <w:color w:val="000000" w:themeColor="text1"/>
        </w:rPr>
        <w:t xml:space="preserve">relates </w:t>
      </w:r>
      <w:r w:rsidR="004A6BC4" w:rsidRPr="00B52F99">
        <w:rPr>
          <w:color w:val="000000" w:themeColor="text1"/>
        </w:rPr>
        <w:t xml:space="preserve">RP </w:t>
      </w:r>
      <w:r w:rsidR="005D2A9F" w:rsidRPr="00B52F99">
        <w:rPr>
          <w:color w:val="000000" w:themeColor="text1"/>
        </w:rPr>
        <w:t>to</w:t>
      </w:r>
      <w:r w:rsidR="004A6BC4" w:rsidRPr="00B52F99">
        <w:rPr>
          <w:color w:val="000000" w:themeColor="text1"/>
        </w:rPr>
        <w:t xml:space="preserve"> growth</w:t>
      </w:r>
      <w:r w:rsidR="000216FD" w:rsidRPr="00B52F99">
        <w:rPr>
          <w:color w:val="000000" w:themeColor="text1"/>
          <w:vertAlign w:val="superscript"/>
        </w:rPr>
        <w:t>31</w:t>
      </w:r>
      <w:r w:rsidR="00EA36B2" w:rsidRPr="00B52F99">
        <w:rPr>
          <w:color w:val="000000" w:themeColor="text1"/>
        </w:rPr>
        <w:t>. G</w:t>
      </w:r>
      <w:r w:rsidR="00FA4560" w:rsidRPr="00B52F99">
        <w:rPr>
          <w:color w:val="000000" w:themeColor="text1"/>
        </w:rPr>
        <w:t>reater gains in mass relate</w:t>
      </w:r>
      <w:r w:rsidR="00BF1FE4" w:rsidRPr="00B52F99">
        <w:rPr>
          <w:color w:val="000000" w:themeColor="text1"/>
        </w:rPr>
        <w:t>d</w:t>
      </w:r>
      <w:r w:rsidR="00FA4560" w:rsidRPr="00B52F99">
        <w:rPr>
          <w:color w:val="000000" w:themeColor="text1"/>
        </w:rPr>
        <w:t xml:space="preserve"> to higher (‘slower’) RPs</w:t>
      </w:r>
      <w:r w:rsidR="0046514A" w:rsidRPr="00B52F99">
        <w:rPr>
          <w:color w:val="000000" w:themeColor="text1"/>
        </w:rPr>
        <w:t xml:space="preserve">, not </w:t>
      </w:r>
      <w:r w:rsidR="00BF1FE4" w:rsidRPr="00B52F99">
        <w:rPr>
          <w:color w:val="000000" w:themeColor="text1"/>
        </w:rPr>
        <w:t xml:space="preserve">the </w:t>
      </w:r>
      <w:r w:rsidR="0046514A" w:rsidRPr="00B52F99">
        <w:rPr>
          <w:color w:val="000000" w:themeColor="text1"/>
        </w:rPr>
        <w:t>lowe</w:t>
      </w:r>
      <w:r w:rsidR="00BF1FE4" w:rsidRPr="00B52F99">
        <w:rPr>
          <w:color w:val="000000" w:themeColor="text1"/>
        </w:rPr>
        <w:t>r</w:t>
      </w:r>
      <w:r w:rsidR="0046514A" w:rsidRPr="00B52F99">
        <w:rPr>
          <w:color w:val="000000" w:themeColor="text1"/>
        </w:rPr>
        <w:t xml:space="preserve"> (‘faste</w:t>
      </w:r>
      <w:r w:rsidR="00BF1FE4" w:rsidRPr="00B52F99">
        <w:rPr>
          <w:color w:val="000000" w:themeColor="text1"/>
        </w:rPr>
        <w:t>r</w:t>
      </w:r>
      <w:r w:rsidR="0046514A" w:rsidRPr="00B52F99">
        <w:rPr>
          <w:color w:val="000000" w:themeColor="text1"/>
        </w:rPr>
        <w:t>’) RPs predicted for humans</w:t>
      </w:r>
      <w:r w:rsidR="0046514A" w:rsidRPr="00B52F99">
        <w:rPr>
          <w:color w:val="000000" w:themeColor="text1"/>
          <w:vertAlign w:val="superscript"/>
        </w:rPr>
        <w:t>30</w:t>
      </w:r>
      <w:r w:rsidR="0046514A" w:rsidRPr="00B52F99">
        <w:rPr>
          <w:color w:val="000000" w:themeColor="text1"/>
        </w:rPr>
        <w:t xml:space="preserve">. </w:t>
      </w:r>
      <w:r w:rsidR="00855DCE" w:rsidRPr="00B52F99">
        <w:rPr>
          <w:color w:val="000000" w:themeColor="text1"/>
          <w:shd w:val="clear" w:color="auto" w:fill="FFFFFF"/>
        </w:rPr>
        <w:t>Participants</w:t>
      </w:r>
      <w:r w:rsidR="00452DA0" w:rsidRPr="00B52F99">
        <w:rPr>
          <w:color w:val="000000" w:themeColor="text1"/>
          <w:shd w:val="clear" w:color="auto" w:fill="FFFFFF"/>
        </w:rPr>
        <w:t xml:space="preserve"> with lower RPs</w:t>
      </w:r>
      <w:r w:rsidR="00581BDC" w:rsidRPr="00B52F99">
        <w:rPr>
          <w:color w:val="000000" w:themeColor="text1"/>
          <w:shd w:val="clear" w:color="auto" w:fill="FFFFFF"/>
        </w:rPr>
        <w:t xml:space="preserve"> gain</w:t>
      </w:r>
      <w:r w:rsidR="00452DA0" w:rsidRPr="00B52F99">
        <w:rPr>
          <w:color w:val="000000" w:themeColor="text1"/>
          <w:shd w:val="clear" w:color="auto" w:fill="FFFFFF"/>
        </w:rPr>
        <w:t>ed</w:t>
      </w:r>
      <w:r w:rsidR="00581BDC" w:rsidRPr="00B52F99">
        <w:rPr>
          <w:color w:val="000000" w:themeColor="text1"/>
          <w:shd w:val="clear" w:color="auto" w:fill="FFFFFF"/>
        </w:rPr>
        <w:t xml:space="preserve"> less weight</w:t>
      </w:r>
      <w:r w:rsidR="00C903E4" w:rsidRPr="00B52F99">
        <w:rPr>
          <w:color w:val="000000" w:themeColor="text1"/>
          <w:shd w:val="clear" w:color="auto" w:fill="FFFFFF"/>
        </w:rPr>
        <w:t xml:space="preserve"> </w:t>
      </w:r>
      <w:r w:rsidR="006A3E34" w:rsidRPr="00B52F99">
        <w:rPr>
          <w:color w:val="000000" w:themeColor="text1"/>
          <w:shd w:val="clear" w:color="auto" w:fill="FFFFFF"/>
        </w:rPr>
        <w:t xml:space="preserve">and mass </w:t>
      </w:r>
      <w:r w:rsidR="00452DA0" w:rsidRPr="00B52F99">
        <w:rPr>
          <w:color w:val="000000" w:themeColor="text1"/>
          <w:shd w:val="clear" w:color="auto" w:fill="FFFFFF"/>
        </w:rPr>
        <w:t>over the course of the projec</w:t>
      </w:r>
      <w:r w:rsidR="00B274C6" w:rsidRPr="00B52F99">
        <w:rPr>
          <w:color w:val="000000" w:themeColor="text1"/>
          <w:shd w:val="clear" w:color="auto" w:fill="FFFFFF"/>
        </w:rPr>
        <w:t>t</w:t>
      </w:r>
      <w:r w:rsidR="00E00271" w:rsidRPr="00B52F99">
        <w:rPr>
          <w:color w:val="000000" w:themeColor="text1"/>
          <w:shd w:val="clear" w:color="auto" w:fill="FFFFFF"/>
        </w:rPr>
        <w:t xml:space="preserve">, when comparisons were undertaken </w:t>
      </w:r>
      <w:r w:rsidR="005D2A9F" w:rsidRPr="00B52F99">
        <w:rPr>
          <w:color w:val="000000" w:themeColor="text1"/>
          <w:shd w:val="clear" w:color="auto" w:fill="FFFFFF"/>
        </w:rPr>
        <w:t>between</w:t>
      </w:r>
      <w:r w:rsidR="00E00271" w:rsidRPr="00B52F99">
        <w:rPr>
          <w:color w:val="000000" w:themeColor="text1"/>
          <w:shd w:val="clear" w:color="auto" w:fill="FFFFFF"/>
        </w:rPr>
        <w:t xml:space="preserve"> those with periodicities that lay between five and eight days.</w:t>
      </w:r>
      <w:r w:rsidR="007D3A33" w:rsidRPr="00B52F99">
        <w:rPr>
          <w:color w:val="000000" w:themeColor="text1"/>
          <w:shd w:val="clear" w:color="auto" w:fill="FFFFFF"/>
        </w:rPr>
        <w:t xml:space="preserve"> Limited weight gain suggests </w:t>
      </w:r>
      <w:r w:rsidR="006A3E34" w:rsidRPr="00B52F99">
        <w:rPr>
          <w:color w:val="000000" w:themeColor="text1"/>
          <w:shd w:val="clear" w:color="auto" w:fill="FFFFFF"/>
        </w:rPr>
        <w:t>a</w:t>
      </w:r>
      <w:r w:rsidR="007D3A33" w:rsidRPr="00B52F99">
        <w:rPr>
          <w:color w:val="000000" w:themeColor="text1"/>
          <w:shd w:val="clear" w:color="auto" w:fill="FFFFFF"/>
        </w:rPr>
        <w:t xml:space="preserve"> </w:t>
      </w:r>
      <w:r w:rsidR="00351D17" w:rsidRPr="00B52F99">
        <w:rPr>
          <w:color w:val="000000" w:themeColor="text1"/>
          <w:shd w:val="clear" w:color="auto" w:fill="FFFFFF"/>
        </w:rPr>
        <w:t>low</w:t>
      </w:r>
      <w:r w:rsidR="00EA36B2" w:rsidRPr="00B52F99">
        <w:rPr>
          <w:color w:val="000000" w:themeColor="text1"/>
          <w:shd w:val="clear" w:color="auto" w:fill="FFFFFF"/>
        </w:rPr>
        <w:t>er</w:t>
      </w:r>
      <w:r w:rsidR="00351D17" w:rsidRPr="00B52F99">
        <w:rPr>
          <w:color w:val="000000" w:themeColor="text1"/>
          <w:shd w:val="clear" w:color="auto" w:fill="FFFFFF"/>
        </w:rPr>
        <w:t xml:space="preserve"> RP-</w:t>
      </w:r>
      <w:r w:rsidR="007D3A33" w:rsidRPr="00B52F99">
        <w:rPr>
          <w:color w:val="000000" w:themeColor="text1"/>
          <w:shd w:val="clear" w:color="auto" w:fill="FFFFFF"/>
        </w:rPr>
        <w:t>biorhythm associate</w:t>
      </w:r>
      <w:r w:rsidR="006A3E34" w:rsidRPr="00B52F99">
        <w:rPr>
          <w:color w:val="000000" w:themeColor="text1"/>
          <w:shd w:val="clear" w:color="auto" w:fill="FFFFFF"/>
        </w:rPr>
        <w:t xml:space="preserve">s </w:t>
      </w:r>
      <w:r w:rsidR="007D3A33" w:rsidRPr="00B52F99">
        <w:rPr>
          <w:color w:val="000000" w:themeColor="text1"/>
          <w:shd w:val="clear" w:color="auto" w:fill="FFFFFF"/>
        </w:rPr>
        <w:t xml:space="preserve">with a less intense growth spurt. </w:t>
      </w:r>
      <w:r w:rsidR="002C4BCE" w:rsidRPr="00B52F99">
        <w:rPr>
          <w:color w:val="000000" w:themeColor="text1"/>
        </w:rPr>
        <w:t xml:space="preserve">Our data </w:t>
      </w:r>
      <w:r w:rsidR="00043BCC" w:rsidRPr="00B52F99">
        <w:rPr>
          <w:color w:val="000000" w:themeColor="text1"/>
        </w:rPr>
        <w:t xml:space="preserve">differ to the interspecific pathway in that </w:t>
      </w:r>
      <w:r w:rsidR="002C4BCE" w:rsidRPr="00B52F99">
        <w:rPr>
          <w:color w:val="000000" w:themeColor="text1"/>
        </w:rPr>
        <w:t xml:space="preserve">the biorhythm </w:t>
      </w:r>
      <w:r w:rsidR="00915441" w:rsidRPr="00B52F99">
        <w:rPr>
          <w:color w:val="000000" w:themeColor="text1"/>
        </w:rPr>
        <w:t>ha</w:t>
      </w:r>
      <w:r w:rsidR="00BF1FE4" w:rsidRPr="00B52F99">
        <w:rPr>
          <w:color w:val="000000" w:themeColor="text1"/>
        </w:rPr>
        <w:t>d</w:t>
      </w:r>
      <w:r w:rsidR="00043BCC" w:rsidRPr="00B52F99">
        <w:rPr>
          <w:color w:val="000000" w:themeColor="text1"/>
        </w:rPr>
        <w:t xml:space="preserve"> </w:t>
      </w:r>
      <w:r w:rsidR="002C4BCE" w:rsidRPr="00B52F99">
        <w:rPr>
          <w:color w:val="000000" w:themeColor="text1"/>
        </w:rPr>
        <w:t xml:space="preserve">an optimal periodicity in terms of </w:t>
      </w:r>
      <w:r w:rsidR="000216FD" w:rsidRPr="00B52F99">
        <w:rPr>
          <w:color w:val="000000" w:themeColor="text1"/>
        </w:rPr>
        <w:t xml:space="preserve">maximum </w:t>
      </w:r>
      <w:r w:rsidR="002C4BCE" w:rsidRPr="00B52F99">
        <w:rPr>
          <w:color w:val="000000" w:themeColor="text1"/>
        </w:rPr>
        <w:t>weight gain</w:t>
      </w:r>
      <w:r w:rsidR="002025EE" w:rsidRPr="00B52F99">
        <w:rPr>
          <w:color w:val="000000" w:themeColor="text1"/>
        </w:rPr>
        <w:t xml:space="preserve"> </w:t>
      </w:r>
      <w:r w:rsidR="002A1040" w:rsidRPr="00B52F99">
        <w:rPr>
          <w:color w:val="000000" w:themeColor="text1"/>
        </w:rPr>
        <w:t>during puberty</w:t>
      </w:r>
      <w:r w:rsidR="00BF1FE4" w:rsidRPr="00B52F99">
        <w:rPr>
          <w:color w:val="000000" w:themeColor="text1"/>
        </w:rPr>
        <w:t>, and this</w:t>
      </w:r>
      <w:r w:rsidR="002A1040" w:rsidRPr="00B52F99">
        <w:rPr>
          <w:color w:val="000000" w:themeColor="text1"/>
        </w:rPr>
        <w:t xml:space="preserve"> </w:t>
      </w:r>
      <w:r w:rsidR="00BF1FE4" w:rsidRPr="00B52F99">
        <w:rPr>
          <w:color w:val="000000" w:themeColor="text1"/>
        </w:rPr>
        <w:t>did</w:t>
      </w:r>
      <w:r w:rsidR="00620B77" w:rsidRPr="00B52F99">
        <w:rPr>
          <w:color w:val="000000" w:themeColor="text1"/>
        </w:rPr>
        <w:t xml:space="preserve"> not relate to the </w:t>
      </w:r>
      <w:r w:rsidR="00043BCC" w:rsidRPr="00B52F99">
        <w:rPr>
          <w:color w:val="000000" w:themeColor="text1"/>
        </w:rPr>
        <w:t>highest RP value. T</w:t>
      </w:r>
      <w:r w:rsidR="002025EE" w:rsidRPr="00B52F99">
        <w:rPr>
          <w:color w:val="000000" w:themeColor="text1"/>
        </w:rPr>
        <w:t>ypically</w:t>
      </w:r>
      <w:r w:rsidR="00620B77" w:rsidRPr="00B52F99">
        <w:rPr>
          <w:color w:val="000000" w:themeColor="text1"/>
        </w:rPr>
        <w:t>,</w:t>
      </w:r>
      <w:r w:rsidR="002025EE" w:rsidRPr="00B52F99">
        <w:rPr>
          <w:color w:val="000000" w:themeColor="text1"/>
        </w:rPr>
        <w:t xml:space="preserve"> seven or eight day</w:t>
      </w:r>
      <w:r w:rsidR="00043BCC" w:rsidRPr="00B52F99">
        <w:rPr>
          <w:color w:val="000000" w:themeColor="text1"/>
        </w:rPr>
        <w:t>-RPs produced the greatest weight gain</w:t>
      </w:r>
      <w:r w:rsidR="00BF1FE4" w:rsidRPr="00B52F99">
        <w:rPr>
          <w:color w:val="000000" w:themeColor="text1"/>
        </w:rPr>
        <w:t xml:space="preserve">. </w:t>
      </w:r>
      <w:r w:rsidR="002A7CD8" w:rsidRPr="00B52F99">
        <w:rPr>
          <w:color w:val="000000" w:themeColor="text1"/>
        </w:rPr>
        <w:t>We described this</w:t>
      </w:r>
      <w:r w:rsidR="00043BCC" w:rsidRPr="00B52F99">
        <w:rPr>
          <w:color w:val="000000" w:themeColor="text1"/>
        </w:rPr>
        <w:t xml:space="preserve"> relationship</w:t>
      </w:r>
      <w:r w:rsidR="00BF1FE4" w:rsidRPr="00B52F99">
        <w:rPr>
          <w:color w:val="000000" w:themeColor="text1"/>
        </w:rPr>
        <w:t xml:space="preserve"> </w:t>
      </w:r>
      <w:r w:rsidR="002A7CD8" w:rsidRPr="00B52F99">
        <w:rPr>
          <w:color w:val="000000" w:themeColor="text1"/>
        </w:rPr>
        <w:t xml:space="preserve">though </w:t>
      </w:r>
      <w:r w:rsidR="00B6163A" w:rsidRPr="00B52F99">
        <w:rPr>
          <w:color w:val="000000" w:themeColor="text1"/>
        </w:rPr>
        <w:t>a</w:t>
      </w:r>
      <w:r w:rsidR="00043BCC" w:rsidRPr="00B52F99">
        <w:rPr>
          <w:color w:val="000000" w:themeColor="text1"/>
        </w:rPr>
        <w:t xml:space="preserve"> curve </w:t>
      </w:r>
      <w:r w:rsidR="00BF1FE4" w:rsidRPr="00B52F99">
        <w:rPr>
          <w:color w:val="000000" w:themeColor="text1"/>
        </w:rPr>
        <w:t>not</w:t>
      </w:r>
      <w:r w:rsidR="00043BCC" w:rsidRPr="00B52F99">
        <w:rPr>
          <w:color w:val="000000" w:themeColor="text1"/>
        </w:rPr>
        <w:t xml:space="preserve"> a straight line. </w:t>
      </w:r>
    </w:p>
    <w:p w14:paraId="7751F481" w14:textId="77777777" w:rsidR="0010294F" w:rsidRPr="00B52F99" w:rsidRDefault="0010294F" w:rsidP="00E54F4D">
      <w:pPr>
        <w:spacing w:line="360" w:lineRule="auto"/>
        <w:jc w:val="both"/>
        <w:rPr>
          <w:color w:val="000000" w:themeColor="text1"/>
          <w:shd w:val="clear" w:color="auto" w:fill="FFFFFF"/>
        </w:rPr>
      </w:pPr>
    </w:p>
    <w:p w14:paraId="622BB6F2" w14:textId="5466C79E" w:rsidR="00F33BF9" w:rsidRPr="00B52F99" w:rsidRDefault="00915441" w:rsidP="0010294F">
      <w:pPr>
        <w:autoSpaceDE w:val="0"/>
        <w:autoSpaceDN w:val="0"/>
        <w:adjustRightInd w:val="0"/>
        <w:spacing w:line="360" w:lineRule="auto"/>
        <w:jc w:val="both"/>
        <w:rPr>
          <w:rFonts w:eastAsiaTheme="minorHAnsi"/>
          <w:color w:val="000000" w:themeColor="text1"/>
          <w:lang w:eastAsia="en-US"/>
        </w:rPr>
      </w:pPr>
      <w:r w:rsidRPr="00B52F99">
        <w:rPr>
          <w:color w:val="000000" w:themeColor="text1"/>
          <w:shd w:val="clear" w:color="auto" w:fill="FFFFFF"/>
        </w:rPr>
        <w:t xml:space="preserve">We </w:t>
      </w:r>
      <w:r w:rsidR="0037054F" w:rsidRPr="00B52F99">
        <w:rPr>
          <w:color w:val="000000" w:themeColor="text1"/>
          <w:shd w:val="clear" w:color="auto" w:fill="FFFFFF"/>
        </w:rPr>
        <w:t>report</w:t>
      </w:r>
      <w:r w:rsidRPr="00B52F99">
        <w:rPr>
          <w:color w:val="000000" w:themeColor="text1"/>
          <w:shd w:val="clear" w:color="auto" w:fill="FFFFFF"/>
        </w:rPr>
        <w:t xml:space="preserve"> an association between a dental biorhythm and weight gain during puberty</w:t>
      </w:r>
      <w:r w:rsidR="00AE0284" w:rsidRPr="00B52F99">
        <w:rPr>
          <w:color w:val="000000" w:themeColor="text1"/>
          <w:shd w:val="clear" w:color="auto" w:fill="FFFFFF"/>
        </w:rPr>
        <w:t>,</w:t>
      </w:r>
      <w:r w:rsidRPr="00B52F99">
        <w:rPr>
          <w:color w:val="000000" w:themeColor="text1"/>
          <w:shd w:val="clear" w:color="auto" w:fill="FFFFFF"/>
        </w:rPr>
        <w:t xml:space="preserve"> but we have not determined how this association relates to the duration of adolescence. </w:t>
      </w:r>
      <w:r w:rsidR="00573E75" w:rsidRPr="00B52F99">
        <w:rPr>
          <w:color w:val="000000" w:themeColor="text1"/>
        </w:rPr>
        <w:t>S</w:t>
      </w:r>
      <w:r w:rsidRPr="00B52F99">
        <w:rPr>
          <w:color w:val="000000" w:themeColor="text1"/>
        </w:rPr>
        <w:t xml:space="preserve">horter growth periods </w:t>
      </w:r>
      <w:r w:rsidR="006C1A8D" w:rsidRPr="00B52F99">
        <w:rPr>
          <w:color w:val="000000" w:themeColor="text1"/>
        </w:rPr>
        <w:t xml:space="preserve">can </w:t>
      </w:r>
      <w:r w:rsidRPr="00B52F99">
        <w:rPr>
          <w:color w:val="000000" w:themeColor="text1"/>
        </w:rPr>
        <w:t>combine with more intense growth spurt</w:t>
      </w:r>
      <w:r w:rsidR="00573E75" w:rsidRPr="00B52F99">
        <w:rPr>
          <w:color w:val="000000" w:themeColor="text1"/>
        </w:rPr>
        <w:t>s</w:t>
      </w:r>
      <w:r w:rsidRPr="00B52F99">
        <w:rPr>
          <w:color w:val="000000" w:themeColor="text1"/>
        </w:rPr>
        <w:t xml:space="preserve"> to allow relatively early maturation</w:t>
      </w:r>
      <w:r w:rsidR="00A61035" w:rsidRPr="00B52F99">
        <w:rPr>
          <w:color w:val="000000" w:themeColor="text1"/>
          <w:shd w:val="clear" w:color="auto" w:fill="FFFFFF"/>
          <w:vertAlign w:val="superscript"/>
        </w:rPr>
        <w:t>6</w:t>
      </w:r>
      <w:r w:rsidR="0061444A" w:rsidRPr="00B52F99">
        <w:rPr>
          <w:color w:val="000000" w:themeColor="text1"/>
          <w:shd w:val="clear" w:color="auto" w:fill="FFFFFF"/>
          <w:vertAlign w:val="superscript"/>
        </w:rPr>
        <w:t>0</w:t>
      </w:r>
      <w:r w:rsidR="006C1A8D" w:rsidRPr="00B52F99">
        <w:rPr>
          <w:color w:val="000000" w:themeColor="text1"/>
          <w:shd w:val="clear" w:color="auto" w:fill="FFFFFF"/>
        </w:rPr>
        <w:t xml:space="preserve">.  </w:t>
      </w:r>
      <w:r w:rsidR="0034552A" w:rsidRPr="00B52F99">
        <w:rPr>
          <w:color w:val="000000" w:themeColor="text1"/>
          <w:shd w:val="clear" w:color="auto" w:fill="FFFFFF"/>
        </w:rPr>
        <w:t xml:space="preserve">Differences in </w:t>
      </w:r>
      <w:r w:rsidR="0034552A" w:rsidRPr="00B52F99">
        <w:rPr>
          <w:rFonts w:cstheme="minorHAnsi"/>
          <w:color w:val="000000" w:themeColor="text1"/>
          <w:shd w:val="clear" w:color="auto" w:fill="FFFFFF"/>
        </w:rPr>
        <w:t xml:space="preserve">growth tempo </w:t>
      </w:r>
      <w:r w:rsidR="006C1A8D" w:rsidRPr="00B52F99">
        <w:rPr>
          <w:rFonts w:cstheme="minorHAnsi"/>
          <w:color w:val="000000" w:themeColor="text1"/>
          <w:shd w:val="clear" w:color="auto" w:fill="FFFFFF"/>
        </w:rPr>
        <w:t>were</w:t>
      </w:r>
      <w:r w:rsidR="0037054F" w:rsidRPr="00B52F99">
        <w:rPr>
          <w:rFonts w:cstheme="minorHAnsi"/>
          <w:color w:val="000000" w:themeColor="text1"/>
          <w:shd w:val="clear" w:color="auto" w:fill="FFFFFF"/>
        </w:rPr>
        <w:t xml:space="preserve"> </w:t>
      </w:r>
      <w:r w:rsidR="006C1A8D" w:rsidRPr="00B52F99">
        <w:rPr>
          <w:rFonts w:cstheme="minorHAnsi"/>
          <w:color w:val="000000" w:themeColor="text1"/>
          <w:shd w:val="clear" w:color="auto" w:fill="FFFFFF"/>
        </w:rPr>
        <w:t>evident in our sample</w:t>
      </w:r>
      <w:r w:rsidR="0010294F" w:rsidRPr="00B52F99">
        <w:rPr>
          <w:rFonts w:cstheme="minorHAnsi"/>
          <w:color w:val="000000" w:themeColor="text1"/>
          <w:shd w:val="clear" w:color="auto" w:fill="FFFFFF"/>
        </w:rPr>
        <w:t xml:space="preserve"> b</w:t>
      </w:r>
      <w:r w:rsidR="0010294F" w:rsidRPr="00B52F99">
        <w:rPr>
          <w:color w:val="000000" w:themeColor="text1"/>
          <w:shd w:val="clear" w:color="auto" w:fill="FFFFFF"/>
        </w:rPr>
        <w:t>ut our observations were confined to a 14-month ‘window’</w:t>
      </w:r>
      <w:r w:rsidR="0080553C" w:rsidRPr="00B52F99">
        <w:rPr>
          <w:color w:val="000000" w:themeColor="text1"/>
          <w:shd w:val="clear" w:color="auto" w:fill="FFFFFF"/>
        </w:rPr>
        <w:t xml:space="preserve">. </w:t>
      </w:r>
      <w:r w:rsidR="008F1DBF" w:rsidRPr="00B52F99">
        <w:rPr>
          <w:color w:val="000000" w:themeColor="text1"/>
          <w:shd w:val="clear" w:color="auto" w:fill="FFFFFF"/>
        </w:rPr>
        <w:t>I</w:t>
      </w:r>
      <w:r w:rsidR="0034552A" w:rsidRPr="00B52F99">
        <w:rPr>
          <w:color w:val="000000" w:themeColor="text1"/>
          <w:shd w:val="clear" w:color="auto" w:fill="FFFFFF"/>
        </w:rPr>
        <w:t>t is likely man</w:t>
      </w:r>
      <w:r w:rsidR="006C1A8D" w:rsidRPr="00B52F99">
        <w:rPr>
          <w:color w:val="000000" w:themeColor="text1"/>
          <w:shd w:val="clear" w:color="auto" w:fill="FFFFFF"/>
        </w:rPr>
        <w:t xml:space="preserve">y </w:t>
      </w:r>
      <w:r w:rsidR="0034552A" w:rsidRPr="00B52F99">
        <w:rPr>
          <w:color w:val="000000" w:themeColor="text1"/>
          <w:shd w:val="clear" w:color="auto" w:fill="FFFFFF"/>
        </w:rPr>
        <w:t xml:space="preserve">females entered their growth spurt (pre-spurt minimum velocity) and eventually exited late adolescence at different times, leading to variation in the total duration of their growth periods. </w:t>
      </w:r>
      <w:r w:rsidR="008F1DBF" w:rsidRPr="00B52F99">
        <w:rPr>
          <w:rFonts w:eastAsiaTheme="minorHAnsi"/>
          <w:color w:val="000000" w:themeColor="text1"/>
          <w:lang w:eastAsia="en-US"/>
        </w:rPr>
        <w:t xml:space="preserve">Thus, </w:t>
      </w:r>
      <w:r w:rsidR="00C91BB7" w:rsidRPr="00B52F99">
        <w:rPr>
          <w:rFonts w:eastAsiaTheme="minorHAnsi"/>
          <w:color w:val="000000" w:themeColor="text1"/>
          <w:lang w:eastAsia="en-US"/>
        </w:rPr>
        <w:t xml:space="preserve">females </w:t>
      </w:r>
      <w:r w:rsidR="00C91BB7" w:rsidRPr="00B52F99">
        <w:rPr>
          <w:color w:val="000000" w:themeColor="text1"/>
          <w:shd w:val="clear" w:color="auto" w:fill="FFFFFF"/>
        </w:rPr>
        <w:t xml:space="preserve">with 8-day </w:t>
      </w:r>
      <w:r w:rsidR="00C91BB7" w:rsidRPr="00B52F99">
        <w:rPr>
          <w:color w:val="000000" w:themeColor="text1"/>
        </w:rPr>
        <w:t xml:space="preserve">RPs and more intense growth gained </w:t>
      </w:r>
      <w:r w:rsidR="00C91BB7" w:rsidRPr="00B52F99">
        <w:rPr>
          <w:rFonts w:eastAsiaTheme="minorHAnsi"/>
          <w:color w:val="000000" w:themeColor="text1"/>
          <w:lang w:eastAsia="en-US"/>
        </w:rPr>
        <w:t>more weight over 14-month</w:t>
      </w:r>
      <w:r w:rsidR="006B6EF7" w:rsidRPr="00B52F99">
        <w:rPr>
          <w:rFonts w:eastAsiaTheme="minorHAnsi"/>
          <w:color w:val="000000" w:themeColor="text1"/>
          <w:lang w:eastAsia="en-US"/>
        </w:rPr>
        <w:t>s</w:t>
      </w:r>
      <w:r w:rsidR="00C91BB7" w:rsidRPr="00B52F99">
        <w:rPr>
          <w:rFonts w:eastAsiaTheme="minorHAnsi"/>
          <w:color w:val="000000" w:themeColor="text1"/>
          <w:lang w:eastAsia="en-US"/>
        </w:rPr>
        <w:t>, but they</w:t>
      </w:r>
      <w:r w:rsidR="006C1A8D" w:rsidRPr="00B52F99">
        <w:rPr>
          <w:rFonts w:eastAsiaTheme="minorHAnsi"/>
          <w:color w:val="000000" w:themeColor="text1"/>
          <w:lang w:eastAsia="en-US"/>
        </w:rPr>
        <w:t xml:space="preserve"> </w:t>
      </w:r>
      <w:r w:rsidR="00573E75" w:rsidRPr="00B52F99">
        <w:rPr>
          <w:rFonts w:eastAsiaTheme="minorHAnsi"/>
          <w:color w:val="000000" w:themeColor="text1"/>
          <w:lang w:eastAsia="en-US"/>
        </w:rPr>
        <w:t>might</w:t>
      </w:r>
      <w:r w:rsidR="00C91BB7" w:rsidRPr="00B52F99">
        <w:rPr>
          <w:rFonts w:eastAsiaTheme="minorHAnsi"/>
          <w:color w:val="000000" w:themeColor="text1"/>
          <w:lang w:eastAsia="en-US"/>
        </w:rPr>
        <w:t xml:space="preserve"> have a shorter </w:t>
      </w:r>
      <w:r w:rsidR="00734001" w:rsidRPr="00B52F99">
        <w:rPr>
          <w:rFonts w:eastAsiaTheme="minorHAnsi"/>
          <w:color w:val="000000" w:themeColor="text1"/>
          <w:lang w:eastAsia="en-US"/>
        </w:rPr>
        <w:t xml:space="preserve">adolescent </w:t>
      </w:r>
      <w:r w:rsidR="00C91BB7" w:rsidRPr="00B52F99">
        <w:rPr>
          <w:rFonts w:eastAsiaTheme="minorHAnsi"/>
          <w:color w:val="000000" w:themeColor="text1"/>
          <w:lang w:eastAsia="en-US"/>
        </w:rPr>
        <w:t>growth</w:t>
      </w:r>
      <w:r w:rsidR="00975D60" w:rsidRPr="00B52F99">
        <w:rPr>
          <w:rFonts w:eastAsiaTheme="minorHAnsi"/>
          <w:color w:val="000000" w:themeColor="text1"/>
          <w:lang w:eastAsia="en-US"/>
        </w:rPr>
        <w:t xml:space="preserve"> period</w:t>
      </w:r>
      <w:r w:rsidR="00C91BB7" w:rsidRPr="00B52F99">
        <w:rPr>
          <w:rFonts w:eastAsiaTheme="minorHAnsi"/>
          <w:color w:val="000000" w:themeColor="text1"/>
          <w:lang w:eastAsia="en-US"/>
        </w:rPr>
        <w:t xml:space="preserve">. Conversely, those </w:t>
      </w:r>
      <w:r w:rsidR="008F08CB" w:rsidRPr="00B52F99">
        <w:rPr>
          <w:rFonts w:eastAsiaTheme="minorHAnsi"/>
          <w:color w:val="000000" w:themeColor="text1"/>
          <w:lang w:eastAsia="en-US"/>
        </w:rPr>
        <w:t xml:space="preserve">with </w:t>
      </w:r>
      <w:r w:rsidR="00DC2BF5" w:rsidRPr="00B52F99">
        <w:rPr>
          <w:rFonts w:eastAsiaTheme="minorHAnsi"/>
          <w:color w:val="000000" w:themeColor="text1"/>
          <w:lang w:eastAsia="en-US"/>
        </w:rPr>
        <w:t xml:space="preserve">a low </w:t>
      </w:r>
      <w:r w:rsidR="006340D2" w:rsidRPr="00B52F99">
        <w:rPr>
          <w:rFonts w:eastAsiaTheme="minorHAnsi"/>
          <w:color w:val="000000" w:themeColor="text1"/>
          <w:lang w:eastAsia="en-US"/>
        </w:rPr>
        <w:t xml:space="preserve">6-day </w:t>
      </w:r>
      <w:r w:rsidR="008F08CB" w:rsidRPr="00B52F99">
        <w:rPr>
          <w:rFonts w:eastAsiaTheme="minorHAnsi"/>
          <w:color w:val="000000" w:themeColor="text1"/>
          <w:lang w:eastAsia="en-US"/>
        </w:rPr>
        <w:t>RP and a moderate growth rat</w:t>
      </w:r>
      <w:r w:rsidR="002E1E57" w:rsidRPr="00B52F99">
        <w:rPr>
          <w:rFonts w:eastAsiaTheme="minorHAnsi"/>
          <w:color w:val="000000" w:themeColor="text1"/>
          <w:lang w:eastAsia="en-US"/>
        </w:rPr>
        <w:t>e</w:t>
      </w:r>
      <w:r w:rsidR="008F08CB" w:rsidRPr="00B52F99">
        <w:rPr>
          <w:rFonts w:eastAsiaTheme="minorHAnsi"/>
          <w:color w:val="000000" w:themeColor="text1"/>
          <w:lang w:eastAsia="en-US"/>
        </w:rPr>
        <w:t xml:space="preserve"> gain</w:t>
      </w:r>
      <w:r w:rsidR="00494679" w:rsidRPr="00B52F99">
        <w:rPr>
          <w:rFonts w:eastAsiaTheme="minorHAnsi"/>
          <w:color w:val="000000" w:themeColor="text1"/>
          <w:lang w:eastAsia="en-US"/>
        </w:rPr>
        <w:t>ed</w:t>
      </w:r>
      <w:r w:rsidR="008F08CB" w:rsidRPr="00B52F99">
        <w:rPr>
          <w:rFonts w:eastAsiaTheme="minorHAnsi"/>
          <w:color w:val="000000" w:themeColor="text1"/>
          <w:lang w:eastAsia="en-US"/>
        </w:rPr>
        <w:t xml:space="preserve"> less weight, but they </w:t>
      </w:r>
      <w:r w:rsidR="002E1E57" w:rsidRPr="00B52F99">
        <w:rPr>
          <w:rFonts w:eastAsiaTheme="minorHAnsi"/>
          <w:color w:val="000000" w:themeColor="text1"/>
          <w:lang w:eastAsia="en-US"/>
        </w:rPr>
        <w:t xml:space="preserve">might </w:t>
      </w:r>
      <w:r w:rsidR="008F08CB" w:rsidRPr="00B52F99">
        <w:rPr>
          <w:rFonts w:eastAsiaTheme="minorHAnsi"/>
          <w:color w:val="000000" w:themeColor="text1"/>
          <w:lang w:eastAsia="en-US"/>
        </w:rPr>
        <w:t xml:space="preserve">compensate for this by exiting puberty when they are older. </w:t>
      </w:r>
      <w:r w:rsidR="00B55FAE" w:rsidRPr="00B52F99">
        <w:rPr>
          <w:rFonts w:eastAsiaTheme="minorHAnsi"/>
          <w:color w:val="000000" w:themeColor="text1"/>
          <w:lang w:eastAsia="en-US"/>
        </w:rPr>
        <w:t xml:space="preserve">Under this scenario the biorhythm may have tracked weight via accelerated or decelerated maturation. </w:t>
      </w:r>
      <w:r w:rsidR="00685D48" w:rsidRPr="00B52F99">
        <w:rPr>
          <w:rFonts w:eastAsiaTheme="minorHAnsi"/>
          <w:color w:val="000000" w:themeColor="text1"/>
          <w:lang w:eastAsia="en-US"/>
        </w:rPr>
        <w:t>Th</w:t>
      </w:r>
      <w:r w:rsidR="00E048E1" w:rsidRPr="00B52F99">
        <w:rPr>
          <w:rFonts w:eastAsiaTheme="minorHAnsi"/>
          <w:color w:val="000000" w:themeColor="text1"/>
          <w:lang w:eastAsia="en-US"/>
        </w:rPr>
        <w:t xml:space="preserve">is </w:t>
      </w:r>
      <w:r w:rsidR="00B6163A" w:rsidRPr="00B52F99">
        <w:rPr>
          <w:rFonts w:eastAsiaTheme="minorHAnsi"/>
          <w:color w:val="000000" w:themeColor="text1"/>
          <w:lang w:eastAsia="en-US"/>
        </w:rPr>
        <w:t xml:space="preserve">would </w:t>
      </w:r>
      <w:r w:rsidR="00E048E1" w:rsidRPr="00B52F99">
        <w:rPr>
          <w:rFonts w:eastAsiaTheme="minorHAnsi"/>
          <w:color w:val="000000" w:themeColor="text1"/>
          <w:lang w:eastAsia="en-US"/>
        </w:rPr>
        <w:t xml:space="preserve">make sense in terms of the </w:t>
      </w:r>
      <w:r w:rsidR="00D52EE7" w:rsidRPr="00B52F99">
        <w:rPr>
          <w:rFonts w:eastAsiaTheme="minorHAnsi"/>
          <w:color w:val="000000" w:themeColor="text1"/>
          <w:lang w:eastAsia="en-US"/>
        </w:rPr>
        <w:t xml:space="preserve">reported </w:t>
      </w:r>
      <w:r w:rsidR="00E048E1" w:rsidRPr="00B52F99">
        <w:rPr>
          <w:rFonts w:eastAsiaTheme="minorHAnsi"/>
          <w:color w:val="000000" w:themeColor="text1"/>
          <w:lang w:eastAsia="en-US"/>
        </w:rPr>
        <w:t>correlation between RP and adult stature</w:t>
      </w:r>
      <w:r w:rsidR="00E048E1" w:rsidRPr="00B52F99">
        <w:rPr>
          <w:color w:val="000000" w:themeColor="text1"/>
          <w:vertAlign w:val="superscript"/>
        </w:rPr>
        <w:t>5</w:t>
      </w:r>
      <w:r w:rsidR="00632173" w:rsidRPr="00B52F99">
        <w:rPr>
          <w:color w:val="000000" w:themeColor="text1"/>
          <w:vertAlign w:val="superscript"/>
        </w:rPr>
        <w:t>3-55</w:t>
      </w:r>
      <w:r w:rsidR="00E048E1" w:rsidRPr="00B52F99">
        <w:rPr>
          <w:rFonts w:eastAsiaTheme="minorHAnsi"/>
          <w:color w:val="000000" w:themeColor="text1"/>
          <w:lang w:eastAsia="en-US"/>
        </w:rPr>
        <w:t xml:space="preserve">. </w:t>
      </w:r>
      <w:r w:rsidR="0093459F" w:rsidRPr="00B52F99">
        <w:rPr>
          <w:rFonts w:eastAsiaTheme="minorHAnsi"/>
          <w:color w:val="000000" w:themeColor="text1"/>
          <w:lang w:eastAsia="en-US"/>
        </w:rPr>
        <w:t>W</w:t>
      </w:r>
      <w:r w:rsidR="00494679" w:rsidRPr="00B52F99">
        <w:rPr>
          <w:rFonts w:eastAsiaTheme="minorHAnsi"/>
          <w:color w:val="000000" w:themeColor="text1"/>
          <w:lang w:eastAsia="en-US"/>
        </w:rPr>
        <w:t>ithin the sexes</w:t>
      </w:r>
      <w:r w:rsidR="00B6163A" w:rsidRPr="00B52F99">
        <w:rPr>
          <w:rFonts w:eastAsiaTheme="minorHAnsi"/>
          <w:color w:val="000000" w:themeColor="text1"/>
          <w:lang w:eastAsia="en-US"/>
        </w:rPr>
        <w:t>,</w:t>
      </w:r>
      <w:r w:rsidR="0093459F" w:rsidRPr="00B52F99">
        <w:rPr>
          <w:rFonts w:eastAsiaTheme="minorHAnsi"/>
          <w:color w:val="000000" w:themeColor="text1"/>
          <w:vertAlign w:val="superscript"/>
          <w:lang w:eastAsia="en-US"/>
        </w:rPr>
        <w:t xml:space="preserve"> </w:t>
      </w:r>
      <w:r w:rsidR="006C1A8D" w:rsidRPr="00B52F99">
        <w:rPr>
          <w:rFonts w:eastAsiaTheme="minorHAnsi"/>
          <w:color w:val="000000" w:themeColor="text1"/>
          <w:lang w:eastAsia="en-US"/>
        </w:rPr>
        <w:t xml:space="preserve">if females with </w:t>
      </w:r>
      <w:r w:rsidR="00685D48" w:rsidRPr="00B52F99">
        <w:rPr>
          <w:rFonts w:eastAsiaTheme="minorHAnsi"/>
          <w:color w:val="000000" w:themeColor="text1"/>
          <w:lang w:eastAsia="en-US"/>
        </w:rPr>
        <w:t xml:space="preserve">a </w:t>
      </w:r>
      <w:r w:rsidR="006C1A8D" w:rsidRPr="00B52F99">
        <w:rPr>
          <w:rFonts w:eastAsiaTheme="minorHAnsi"/>
          <w:color w:val="000000" w:themeColor="text1"/>
          <w:lang w:eastAsia="en-US"/>
        </w:rPr>
        <w:t>6-day RP</w:t>
      </w:r>
      <w:r w:rsidR="00685D48" w:rsidRPr="00B52F99">
        <w:rPr>
          <w:rFonts w:eastAsiaTheme="minorHAnsi"/>
          <w:color w:val="000000" w:themeColor="text1"/>
          <w:lang w:eastAsia="en-US"/>
        </w:rPr>
        <w:t>-biorhythm</w:t>
      </w:r>
      <w:r w:rsidR="00494679" w:rsidRPr="00B52F99">
        <w:rPr>
          <w:rFonts w:eastAsiaTheme="minorHAnsi"/>
          <w:color w:val="000000" w:themeColor="text1"/>
          <w:lang w:eastAsia="en-US"/>
        </w:rPr>
        <w:t xml:space="preserve"> mature later</w:t>
      </w:r>
      <w:r w:rsidR="004C2FFF" w:rsidRPr="00B52F99">
        <w:rPr>
          <w:rFonts w:eastAsiaTheme="minorHAnsi"/>
          <w:color w:val="000000" w:themeColor="text1"/>
          <w:lang w:eastAsia="en-US"/>
        </w:rPr>
        <w:t>,</w:t>
      </w:r>
      <w:r w:rsidR="00494679" w:rsidRPr="00B52F99">
        <w:rPr>
          <w:rFonts w:eastAsiaTheme="minorHAnsi"/>
          <w:color w:val="000000" w:themeColor="text1"/>
          <w:lang w:eastAsia="en-US"/>
        </w:rPr>
        <w:t xml:space="preserve"> </w:t>
      </w:r>
      <w:r w:rsidR="007D490D" w:rsidRPr="00B52F99">
        <w:rPr>
          <w:rFonts w:eastAsiaTheme="minorHAnsi"/>
          <w:color w:val="000000" w:themeColor="text1"/>
          <w:lang w:eastAsia="en-US"/>
        </w:rPr>
        <w:t xml:space="preserve">then </w:t>
      </w:r>
      <w:r w:rsidR="006C1A8D" w:rsidRPr="00B52F99">
        <w:rPr>
          <w:rFonts w:eastAsiaTheme="minorHAnsi"/>
          <w:color w:val="000000" w:themeColor="text1"/>
          <w:lang w:eastAsia="en-US"/>
        </w:rPr>
        <w:t xml:space="preserve">they should </w:t>
      </w:r>
      <w:r w:rsidR="00494679" w:rsidRPr="00B52F99">
        <w:rPr>
          <w:rFonts w:eastAsiaTheme="minorHAnsi"/>
          <w:color w:val="000000" w:themeColor="text1"/>
          <w:lang w:eastAsia="en-US"/>
        </w:rPr>
        <w:t xml:space="preserve">attain greater adult </w:t>
      </w:r>
      <w:r w:rsidR="00E048E1" w:rsidRPr="00B52F99">
        <w:rPr>
          <w:rFonts w:eastAsiaTheme="minorHAnsi"/>
          <w:color w:val="000000" w:themeColor="text1"/>
          <w:lang w:eastAsia="en-US"/>
        </w:rPr>
        <w:t>stature</w:t>
      </w:r>
      <w:r w:rsidR="004C2FFF" w:rsidRPr="00B52F99">
        <w:rPr>
          <w:rFonts w:eastAsiaTheme="minorHAnsi"/>
          <w:color w:val="000000" w:themeColor="text1"/>
          <w:vertAlign w:val="superscript"/>
          <w:lang w:eastAsia="en-US"/>
        </w:rPr>
        <w:t>6</w:t>
      </w:r>
      <w:r w:rsidR="0061444A" w:rsidRPr="00B52F99">
        <w:rPr>
          <w:rFonts w:eastAsiaTheme="minorHAnsi"/>
          <w:color w:val="000000" w:themeColor="text1"/>
          <w:vertAlign w:val="superscript"/>
          <w:lang w:eastAsia="en-US"/>
        </w:rPr>
        <w:t>1</w:t>
      </w:r>
      <w:r w:rsidR="004C2FFF" w:rsidRPr="00B52F99">
        <w:rPr>
          <w:rFonts w:eastAsiaTheme="minorHAnsi"/>
          <w:color w:val="000000" w:themeColor="text1"/>
          <w:vertAlign w:val="superscript"/>
          <w:lang w:eastAsia="en-US"/>
        </w:rPr>
        <w:t>,6</w:t>
      </w:r>
      <w:r w:rsidR="0061444A" w:rsidRPr="00B52F99">
        <w:rPr>
          <w:rFonts w:eastAsiaTheme="minorHAnsi"/>
          <w:color w:val="000000" w:themeColor="text1"/>
          <w:vertAlign w:val="superscript"/>
          <w:lang w:eastAsia="en-US"/>
        </w:rPr>
        <w:t>2</w:t>
      </w:r>
      <w:r w:rsidR="00573E75" w:rsidRPr="00B52F99">
        <w:rPr>
          <w:rFonts w:eastAsiaTheme="minorHAnsi"/>
          <w:color w:val="000000" w:themeColor="text1"/>
          <w:lang w:eastAsia="en-US"/>
        </w:rPr>
        <w:t>.</w:t>
      </w:r>
      <w:r w:rsidR="00E048E1" w:rsidRPr="00B52F99">
        <w:rPr>
          <w:rFonts w:eastAsiaTheme="minorHAnsi"/>
          <w:color w:val="000000" w:themeColor="text1"/>
          <w:lang w:eastAsia="en-US"/>
        </w:rPr>
        <w:t xml:space="preserve"> </w:t>
      </w:r>
    </w:p>
    <w:p w14:paraId="0C250D34" w14:textId="77777777" w:rsidR="00522B4E" w:rsidRPr="00B52F99" w:rsidRDefault="00522B4E" w:rsidP="0010294F">
      <w:pPr>
        <w:autoSpaceDE w:val="0"/>
        <w:autoSpaceDN w:val="0"/>
        <w:adjustRightInd w:val="0"/>
        <w:spacing w:line="360" w:lineRule="auto"/>
        <w:jc w:val="both"/>
        <w:rPr>
          <w:color w:val="000000" w:themeColor="text1"/>
        </w:rPr>
      </w:pPr>
    </w:p>
    <w:p w14:paraId="5CD1CCD0" w14:textId="4F706C99" w:rsidR="00B85A17" w:rsidRPr="00B52F99" w:rsidRDefault="001A2628" w:rsidP="001A2628">
      <w:pPr>
        <w:autoSpaceDE w:val="0"/>
        <w:autoSpaceDN w:val="0"/>
        <w:adjustRightInd w:val="0"/>
        <w:spacing w:line="360" w:lineRule="auto"/>
        <w:jc w:val="both"/>
        <w:rPr>
          <w:color w:val="000000" w:themeColor="text1"/>
        </w:rPr>
      </w:pPr>
      <w:r w:rsidRPr="00B52F99">
        <w:rPr>
          <w:rFonts w:eastAsiaTheme="minorEastAsia"/>
          <w:color w:val="000000" w:themeColor="text1"/>
          <w:lang w:eastAsia="zh-CN"/>
        </w:rPr>
        <w:t>We investigated sex differences in the biorhythm as some</w:t>
      </w:r>
      <w:r w:rsidRPr="00B52F99">
        <w:rPr>
          <w:rFonts w:eastAsiaTheme="minorEastAsia"/>
          <w:color w:val="000000" w:themeColor="text1"/>
          <w:vertAlign w:val="superscript"/>
          <w:lang w:eastAsia="zh-CN"/>
        </w:rPr>
        <w:t>39,6</w:t>
      </w:r>
      <w:r w:rsidR="009B4DA8" w:rsidRPr="00B52F99">
        <w:rPr>
          <w:rFonts w:eastAsiaTheme="minorEastAsia"/>
          <w:color w:val="000000" w:themeColor="text1"/>
          <w:vertAlign w:val="superscript"/>
          <w:lang w:eastAsia="zh-CN"/>
        </w:rPr>
        <w:t>3</w:t>
      </w:r>
      <w:r w:rsidRPr="00B52F99">
        <w:rPr>
          <w:rFonts w:eastAsiaTheme="minorEastAsia"/>
          <w:color w:val="000000" w:themeColor="text1"/>
          <w:lang w:eastAsia="zh-CN"/>
        </w:rPr>
        <w:t xml:space="preserve"> but not all research</w:t>
      </w:r>
      <w:r w:rsidRPr="00B52F99">
        <w:rPr>
          <w:rFonts w:eastAsiaTheme="minorEastAsia"/>
          <w:color w:val="000000" w:themeColor="text1"/>
          <w:vertAlign w:val="superscript"/>
          <w:lang w:eastAsia="zh-CN"/>
        </w:rPr>
        <w:t>6</w:t>
      </w:r>
      <w:r w:rsidR="009B4DA8" w:rsidRPr="00B52F99">
        <w:rPr>
          <w:rFonts w:eastAsiaTheme="minorEastAsia"/>
          <w:color w:val="000000" w:themeColor="text1"/>
          <w:vertAlign w:val="superscript"/>
          <w:lang w:eastAsia="zh-CN"/>
        </w:rPr>
        <w:t>4</w:t>
      </w:r>
      <w:r w:rsidRPr="00B52F99">
        <w:rPr>
          <w:rFonts w:eastAsiaTheme="minorEastAsia"/>
          <w:color w:val="000000" w:themeColor="text1"/>
          <w:lang w:eastAsia="zh-CN"/>
        </w:rPr>
        <w:t xml:space="preserve">, reports females tend to have higher RP’s than males. In compliance with studies that report sex differences in RP, female </w:t>
      </w:r>
      <w:r w:rsidRPr="00B52F99">
        <w:rPr>
          <w:rFonts w:eastAsiaTheme="minorEastAsia"/>
          <w:color w:val="000000" w:themeColor="text1"/>
          <w:lang w:eastAsia="zh-CN"/>
        </w:rPr>
        <w:lastRenderedPageBreak/>
        <w:t>participants in our study had a higher 8-day modal RP compared to the 6-day modal RP of males</w:t>
      </w:r>
      <w:r w:rsidR="0091646C" w:rsidRPr="00B52F99">
        <w:rPr>
          <w:rFonts w:eastAsiaTheme="minorEastAsia"/>
          <w:color w:val="000000" w:themeColor="text1"/>
          <w:lang w:eastAsia="zh-CN"/>
        </w:rPr>
        <w:t xml:space="preserve"> (Table 1; </w:t>
      </w:r>
      <w:r w:rsidR="00E660A0" w:rsidRPr="00B52F99">
        <w:rPr>
          <w:rFonts w:eastAsiaTheme="minorEastAsia"/>
          <w:color w:val="000000" w:themeColor="text1"/>
          <w:lang w:eastAsia="zh-CN"/>
        </w:rPr>
        <w:t xml:space="preserve">Supplementary figure </w:t>
      </w:r>
      <w:r w:rsidR="0091646C" w:rsidRPr="00B52F99">
        <w:rPr>
          <w:rFonts w:eastAsiaTheme="minorEastAsia"/>
          <w:color w:val="000000" w:themeColor="text1"/>
          <w:lang w:eastAsia="zh-CN"/>
        </w:rPr>
        <w:t>3)</w:t>
      </w:r>
      <w:r w:rsidRPr="00B52F99">
        <w:rPr>
          <w:rFonts w:eastAsiaTheme="minorEastAsia"/>
          <w:color w:val="000000" w:themeColor="text1"/>
          <w:lang w:eastAsia="zh-CN"/>
        </w:rPr>
        <w:t xml:space="preserve">. </w:t>
      </w:r>
      <w:r w:rsidR="00363A8F" w:rsidRPr="00B52F99">
        <w:rPr>
          <w:rFonts w:eastAsiaTheme="minorEastAsia"/>
          <w:color w:val="000000" w:themeColor="text1"/>
          <w:lang w:eastAsia="zh-CN"/>
        </w:rPr>
        <w:t>Our</w:t>
      </w:r>
      <w:r w:rsidRPr="00B52F99">
        <w:rPr>
          <w:rFonts w:eastAsiaTheme="minorEastAsia"/>
          <w:color w:val="000000" w:themeColor="text1"/>
          <w:lang w:eastAsia="zh-CN"/>
        </w:rPr>
        <w:t xml:space="preserve"> finding </w:t>
      </w:r>
      <w:r w:rsidR="00363A8F" w:rsidRPr="00B52F99">
        <w:rPr>
          <w:rFonts w:eastAsiaTheme="minorEastAsia"/>
          <w:color w:val="000000" w:themeColor="text1"/>
          <w:lang w:eastAsia="zh-CN"/>
        </w:rPr>
        <w:t>aligns</w:t>
      </w:r>
      <w:r w:rsidR="00DC2BF5" w:rsidRPr="00B52F99">
        <w:rPr>
          <w:rFonts w:eastAsiaTheme="minorEastAsia"/>
          <w:color w:val="000000" w:themeColor="text1"/>
          <w:lang w:eastAsia="zh-CN"/>
        </w:rPr>
        <w:t xml:space="preserve"> with </w:t>
      </w:r>
      <w:r w:rsidR="0093459F" w:rsidRPr="00B52F99">
        <w:rPr>
          <w:rFonts w:eastAsiaTheme="minorEastAsia"/>
          <w:color w:val="000000" w:themeColor="text1"/>
          <w:lang w:eastAsia="zh-CN"/>
        </w:rPr>
        <w:t xml:space="preserve">expectations for </w:t>
      </w:r>
      <w:r w:rsidR="00BE0DB7" w:rsidRPr="00B52F99">
        <w:rPr>
          <w:rFonts w:eastAsiaTheme="minorEastAsia"/>
          <w:color w:val="000000" w:themeColor="text1"/>
          <w:lang w:eastAsia="zh-CN"/>
        </w:rPr>
        <w:t xml:space="preserve">sex differences in </w:t>
      </w:r>
      <w:r w:rsidR="003C2B23" w:rsidRPr="00B52F99">
        <w:rPr>
          <w:color w:val="000000" w:themeColor="text1"/>
        </w:rPr>
        <w:t xml:space="preserve">final attained </w:t>
      </w:r>
      <w:r w:rsidRPr="00B52F99">
        <w:rPr>
          <w:color w:val="000000" w:themeColor="text1"/>
        </w:rPr>
        <w:t>adult human stature</w:t>
      </w:r>
      <w:r w:rsidR="00BE0DB7" w:rsidRPr="00B52F99">
        <w:rPr>
          <w:color w:val="000000" w:themeColor="text1"/>
          <w:vertAlign w:val="superscript"/>
        </w:rPr>
        <w:t>53-55</w:t>
      </w:r>
      <w:r w:rsidRPr="00B52F99">
        <w:rPr>
          <w:color w:val="000000" w:themeColor="text1"/>
        </w:rPr>
        <w:t>. It is interesting to note th</w:t>
      </w:r>
      <w:r w:rsidR="0093459F" w:rsidRPr="00B52F99">
        <w:rPr>
          <w:color w:val="000000" w:themeColor="text1"/>
        </w:rPr>
        <w:t>e</w:t>
      </w:r>
      <w:r w:rsidR="00B85A17" w:rsidRPr="00B52F99">
        <w:rPr>
          <w:color w:val="000000" w:themeColor="text1"/>
        </w:rPr>
        <w:t xml:space="preserve"> delayed maturation of males</w:t>
      </w:r>
      <w:r w:rsidR="002A2AAD" w:rsidRPr="00B52F99">
        <w:rPr>
          <w:color w:val="000000" w:themeColor="text1"/>
        </w:rPr>
        <w:t xml:space="preserve">, compared to females, </w:t>
      </w:r>
      <w:r w:rsidR="00363A8F" w:rsidRPr="00B52F99">
        <w:rPr>
          <w:color w:val="000000" w:themeColor="text1"/>
        </w:rPr>
        <w:t xml:space="preserve">also </w:t>
      </w:r>
      <w:r w:rsidR="002A2AAD" w:rsidRPr="00B52F99">
        <w:rPr>
          <w:color w:val="000000" w:themeColor="text1"/>
        </w:rPr>
        <w:t xml:space="preserve">aligns with </w:t>
      </w:r>
      <w:r w:rsidR="00D430B3" w:rsidRPr="00B52F99">
        <w:rPr>
          <w:color w:val="000000" w:themeColor="text1"/>
        </w:rPr>
        <w:t>their</w:t>
      </w:r>
      <w:r w:rsidR="002A2AAD" w:rsidRPr="00B52F99">
        <w:rPr>
          <w:color w:val="000000" w:themeColor="text1"/>
        </w:rPr>
        <w:t xml:space="preserve"> low</w:t>
      </w:r>
      <w:r w:rsidR="00BE0DB7" w:rsidRPr="00B52F99">
        <w:rPr>
          <w:color w:val="000000" w:themeColor="text1"/>
        </w:rPr>
        <w:t>er</w:t>
      </w:r>
      <w:r w:rsidR="002A2AAD" w:rsidRPr="00B52F99">
        <w:rPr>
          <w:color w:val="000000" w:themeColor="text1"/>
        </w:rPr>
        <w:t xml:space="preserve"> </w:t>
      </w:r>
      <w:r w:rsidR="00691807" w:rsidRPr="00B52F99">
        <w:rPr>
          <w:color w:val="000000" w:themeColor="text1"/>
        </w:rPr>
        <w:t xml:space="preserve">modal </w:t>
      </w:r>
      <w:r w:rsidR="002A2AAD" w:rsidRPr="00B52F99">
        <w:rPr>
          <w:color w:val="000000" w:themeColor="text1"/>
        </w:rPr>
        <w:t>6-day RP</w:t>
      </w:r>
      <w:r w:rsidR="00B85A17" w:rsidRPr="00B52F99">
        <w:rPr>
          <w:color w:val="000000" w:themeColor="text1"/>
        </w:rPr>
        <w:t>.</w:t>
      </w:r>
      <w:r w:rsidR="00DC2BF5" w:rsidRPr="00B52F99">
        <w:rPr>
          <w:color w:val="000000" w:themeColor="text1"/>
        </w:rPr>
        <w:t xml:space="preserve"> </w:t>
      </w:r>
    </w:p>
    <w:p w14:paraId="505229D1" w14:textId="77777777" w:rsidR="00033708" w:rsidRPr="00B52F99" w:rsidRDefault="00033708" w:rsidP="00E54F4D">
      <w:pPr>
        <w:spacing w:line="360" w:lineRule="auto"/>
        <w:jc w:val="both"/>
        <w:rPr>
          <w:color w:val="000000" w:themeColor="text1"/>
        </w:rPr>
      </w:pPr>
    </w:p>
    <w:p w14:paraId="0804BF58" w14:textId="1F886E09" w:rsidR="00DF105C" w:rsidRPr="00B52F99" w:rsidRDefault="0063066C" w:rsidP="00996746">
      <w:pPr>
        <w:spacing w:line="360" w:lineRule="auto"/>
        <w:jc w:val="both"/>
        <w:rPr>
          <w:color w:val="000000" w:themeColor="text1"/>
        </w:rPr>
      </w:pPr>
      <w:r w:rsidRPr="00B52F99">
        <w:rPr>
          <w:color w:val="000000" w:themeColor="text1"/>
        </w:rPr>
        <w:t xml:space="preserve">We sought an integrated view of </w:t>
      </w:r>
      <w:r w:rsidR="00DF105C" w:rsidRPr="00B52F99">
        <w:rPr>
          <w:color w:val="000000" w:themeColor="text1"/>
        </w:rPr>
        <w:t xml:space="preserve">the </w:t>
      </w:r>
      <w:r w:rsidRPr="00B52F99">
        <w:rPr>
          <w:color w:val="000000" w:themeColor="text1"/>
        </w:rPr>
        <w:t>biorhythm by exami</w:t>
      </w:r>
      <w:r w:rsidR="00DF105C" w:rsidRPr="00B52F99">
        <w:rPr>
          <w:color w:val="000000" w:themeColor="text1"/>
        </w:rPr>
        <w:t>ning</w:t>
      </w:r>
      <w:r w:rsidRPr="00B52F99">
        <w:rPr>
          <w:color w:val="000000" w:themeColor="text1"/>
        </w:rPr>
        <w:t xml:space="preserve"> other related measures of growth. While RP was linked to height, as in studies of adult humans</w:t>
      </w:r>
      <w:r w:rsidR="00DD5F5D" w:rsidRPr="00B52F99">
        <w:rPr>
          <w:color w:val="000000" w:themeColor="text1"/>
          <w:vertAlign w:val="superscript"/>
        </w:rPr>
        <w:t>53-55</w:t>
      </w:r>
      <w:r w:rsidRPr="00B52F99">
        <w:rPr>
          <w:color w:val="000000" w:themeColor="text1"/>
        </w:rPr>
        <w:t xml:space="preserve">, this link was weak in our data.  </w:t>
      </w:r>
      <w:r w:rsidR="002614B7" w:rsidRPr="00B52F99">
        <w:rPr>
          <w:color w:val="000000" w:themeColor="text1"/>
        </w:rPr>
        <w:t>Peak gains in weight typically follow peaks in height by approximately one year</w:t>
      </w:r>
      <w:r w:rsidR="002614B7" w:rsidRPr="00B52F99">
        <w:rPr>
          <w:color w:val="000000" w:themeColor="text1"/>
          <w:vertAlign w:val="superscript"/>
        </w:rPr>
        <w:t>5</w:t>
      </w:r>
      <w:r w:rsidR="002614B7" w:rsidRPr="00B52F99">
        <w:rPr>
          <w:color w:val="000000" w:themeColor="text1"/>
        </w:rPr>
        <w:t xml:space="preserve">. </w:t>
      </w:r>
      <w:r w:rsidR="00F1086B" w:rsidRPr="00B52F99">
        <w:rPr>
          <w:color w:val="000000" w:themeColor="text1"/>
        </w:rPr>
        <w:t>Many</w:t>
      </w:r>
      <w:r w:rsidR="002614B7" w:rsidRPr="00B52F99">
        <w:rPr>
          <w:color w:val="000000" w:themeColor="text1"/>
        </w:rPr>
        <w:t xml:space="preserve"> individuals in this study had probably not reached peak weight velocity, but a substantial number of females probably had reached peak height velocity. These relationships might have blunted the influence of RP on height when males and females are considered together.</w:t>
      </w:r>
      <w:r w:rsidR="00875863" w:rsidRPr="00B52F99">
        <w:rPr>
          <w:color w:val="000000" w:themeColor="text1"/>
        </w:rPr>
        <w:t xml:space="preserve"> </w:t>
      </w:r>
    </w:p>
    <w:p w14:paraId="23134758" w14:textId="77777777" w:rsidR="00DF105C" w:rsidRPr="00B52F99" w:rsidRDefault="00DF105C" w:rsidP="00996746">
      <w:pPr>
        <w:spacing w:line="360" w:lineRule="auto"/>
        <w:jc w:val="both"/>
        <w:rPr>
          <w:color w:val="000000" w:themeColor="text1"/>
        </w:rPr>
      </w:pPr>
    </w:p>
    <w:p w14:paraId="6EA22234" w14:textId="0F792C34" w:rsidR="007840AB" w:rsidRPr="00B52F99" w:rsidRDefault="00363A8F" w:rsidP="003409DD">
      <w:pPr>
        <w:spacing w:line="360" w:lineRule="auto"/>
        <w:jc w:val="both"/>
        <w:rPr>
          <w:color w:val="000000" w:themeColor="text1"/>
        </w:rPr>
      </w:pPr>
      <w:r w:rsidRPr="00B52F99">
        <w:rPr>
          <w:color w:val="000000" w:themeColor="text1"/>
        </w:rPr>
        <w:t>E</w:t>
      </w:r>
      <w:r w:rsidR="003409DD" w:rsidRPr="00B52F99">
        <w:rPr>
          <w:color w:val="000000" w:themeColor="text1"/>
        </w:rPr>
        <w:t xml:space="preserve">nvironmental influences had modest or temporary effects on our central finding. The weight of many participants decreased over the summer period but the underlying relationship with the biorhythm returned afterwards. Lockdown </w:t>
      </w:r>
      <w:r w:rsidR="00832B4F" w:rsidRPr="00B52F99">
        <w:rPr>
          <w:color w:val="000000" w:themeColor="text1"/>
        </w:rPr>
        <w:t xml:space="preserve">led to a period of </w:t>
      </w:r>
      <w:r w:rsidR="003409DD" w:rsidRPr="00B52F99">
        <w:rPr>
          <w:color w:val="000000" w:themeColor="text1"/>
        </w:rPr>
        <w:t xml:space="preserve">increased weight gain for those with higher RP’s but the relationship between the biorhythm and weight gain was apparent before, during and after lockdown for these participants. </w:t>
      </w:r>
    </w:p>
    <w:p w14:paraId="0C6F2ACA" w14:textId="77777777" w:rsidR="00D930F9" w:rsidRPr="00B52F99" w:rsidRDefault="00D930F9" w:rsidP="003409DD">
      <w:pPr>
        <w:spacing w:line="360" w:lineRule="auto"/>
        <w:jc w:val="both"/>
        <w:rPr>
          <w:color w:val="000000" w:themeColor="text1"/>
        </w:rPr>
      </w:pPr>
    </w:p>
    <w:p w14:paraId="773AEBA5" w14:textId="73D5B350" w:rsidR="00BB601C" w:rsidRPr="00B52F99" w:rsidRDefault="00A04E44" w:rsidP="00075627">
      <w:pPr>
        <w:spacing w:line="360" w:lineRule="auto"/>
        <w:jc w:val="both"/>
        <w:rPr>
          <w:color w:val="000000" w:themeColor="text1"/>
        </w:rPr>
      </w:pPr>
      <w:r w:rsidRPr="00B52F99">
        <w:rPr>
          <w:color w:val="000000" w:themeColor="text1"/>
        </w:rPr>
        <w:t>Excessive weight gain during adolescence can have consequences for adult health</w:t>
      </w:r>
      <w:r w:rsidRPr="00B52F99">
        <w:rPr>
          <w:color w:val="000000" w:themeColor="text1"/>
          <w:vertAlign w:val="superscript"/>
        </w:rPr>
        <w:t>4,</w:t>
      </w:r>
      <w:r w:rsidR="002405FD" w:rsidRPr="00B52F99">
        <w:rPr>
          <w:color w:val="000000" w:themeColor="text1"/>
          <w:vertAlign w:val="superscript"/>
        </w:rPr>
        <w:t>6</w:t>
      </w:r>
      <w:r w:rsidR="009B4DA8" w:rsidRPr="00B52F99">
        <w:rPr>
          <w:color w:val="000000" w:themeColor="text1"/>
          <w:vertAlign w:val="superscript"/>
        </w:rPr>
        <w:t>5</w:t>
      </w:r>
      <w:r w:rsidR="002405FD" w:rsidRPr="00B52F99">
        <w:rPr>
          <w:color w:val="000000" w:themeColor="text1"/>
          <w:vertAlign w:val="superscript"/>
        </w:rPr>
        <w:t>-6</w:t>
      </w:r>
      <w:r w:rsidR="009B4DA8" w:rsidRPr="00B52F99">
        <w:rPr>
          <w:color w:val="000000" w:themeColor="text1"/>
          <w:vertAlign w:val="superscript"/>
        </w:rPr>
        <w:t>7</w:t>
      </w:r>
      <w:r w:rsidRPr="00B52F99">
        <w:rPr>
          <w:color w:val="000000" w:themeColor="text1"/>
        </w:rPr>
        <w:t xml:space="preserve">. </w:t>
      </w:r>
      <w:r w:rsidR="00B668B7" w:rsidRPr="00B52F99">
        <w:rPr>
          <w:color w:val="000000" w:themeColor="text1"/>
          <w:shd w:val="clear" w:color="auto" w:fill="FFFFFF"/>
        </w:rPr>
        <w:t>Excess weight gain during a</w:t>
      </w:r>
      <w:r w:rsidR="00075627" w:rsidRPr="00B52F99">
        <w:rPr>
          <w:color w:val="000000" w:themeColor="text1"/>
          <w:shd w:val="clear" w:color="auto" w:fill="FFFFFF"/>
        </w:rPr>
        <w:t>dolescen</w:t>
      </w:r>
      <w:r w:rsidR="00B668B7" w:rsidRPr="00B52F99">
        <w:rPr>
          <w:color w:val="000000" w:themeColor="text1"/>
          <w:shd w:val="clear" w:color="auto" w:fill="FFFFFF"/>
        </w:rPr>
        <w:t xml:space="preserve">ce is more likely to lead to </w:t>
      </w:r>
      <w:r w:rsidR="00075627" w:rsidRPr="00B52F99">
        <w:rPr>
          <w:color w:val="000000" w:themeColor="text1"/>
          <w:shd w:val="clear" w:color="auto" w:fill="FFFFFF"/>
        </w:rPr>
        <w:t>obes</w:t>
      </w:r>
      <w:r w:rsidR="00B668B7" w:rsidRPr="00B52F99">
        <w:rPr>
          <w:color w:val="000000" w:themeColor="text1"/>
          <w:shd w:val="clear" w:color="auto" w:fill="FFFFFF"/>
        </w:rPr>
        <w:t>ity</w:t>
      </w:r>
      <w:r w:rsidR="00075627" w:rsidRPr="00B52F99">
        <w:rPr>
          <w:color w:val="000000" w:themeColor="text1"/>
          <w:shd w:val="clear" w:color="auto" w:fill="FFFFFF"/>
        </w:rPr>
        <w:t xml:space="preserve"> in adulthood</w:t>
      </w:r>
      <w:r w:rsidR="002405FD" w:rsidRPr="00B52F99">
        <w:rPr>
          <w:color w:val="000000" w:themeColor="text1"/>
          <w:shd w:val="clear" w:color="auto" w:fill="FFFFFF"/>
          <w:vertAlign w:val="superscript"/>
        </w:rPr>
        <w:t>6</w:t>
      </w:r>
      <w:r w:rsidR="009B4DA8" w:rsidRPr="00B52F99">
        <w:rPr>
          <w:color w:val="000000" w:themeColor="text1"/>
          <w:shd w:val="clear" w:color="auto" w:fill="FFFFFF"/>
          <w:vertAlign w:val="superscript"/>
        </w:rPr>
        <w:t>8</w:t>
      </w:r>
      <w:r w:rsidR="00075627" w:rsidRPr="00B52F99">
        <w:rPr>
          <w:color w:val="000000" w:themeColor="text1"/>
          <w:shd w:val="clear" w:color="auto" w:fill="FFFFFF"/>
        </w:rPr>
        <w:t>.</w:t>
      </w:r>
      <w:r w:rsidR="00075627" w:rsidRPr="00B52F99">
        <w:rPr>
          <w:color w:val="000000" w:themeColor="text1"/>
        </w:rPr>
        <w:t xml:space="preserve"> </w:t>
      </w:r>
      <w:r w:rsidRPr="00B52F99">
        <w:rPr>
          <w:rFonts w:eastAsiaTheme="minorEastAsia"/>
          <w:color w:val="000000" w:themeColor="text1"/>
          <w:lang w:eastAsia="zh-CN"/>
        </w:rPr>
        <w:t>We observed children with higher RPs were six times more likely to be overweight (have a BMI greater than the 95</w:t>
      </w:r>
      <w:r w:rsidRPr="00B52F99">
        <w:rPr>
          <w:rFonts w:eastAsiaTheme="minorEastAsia"/>
          <w:color w:val="000000" w:themeColor="text1"/>
          <w:vertAlign w:val="superscript"/>
          <w:lang w:eastAsia="zh-CN"/>
        </w:rPr>
        <w:t>th</w:t>
      </w:r>
      <w:r w:rsidRPr="00B52F99">
        <w:rPr>
          <w:rFonts w:eastAsiaTheme="minorEastAsia"/>
          <w:color w:val="000000" w:themeColor="text1"/>
          <w:lang w:eastAsia="zh-CN"/>
        </w:rPr>
        <w:t xml:space="preserve"> percentile) after 14 months compared to those with lower RPs. BMI is not a perfect measure of body composition as it can be</w:t>
      </w:r>
      <w:r w:rsidRPr="00B52F99">
        <w:rPr>
          <w:color w:val="000000" w:themeColor="text1"/>
        </w:rPr>
        <w:t xml:space="preserve"> influenced by body proportions. However, it is related to the </w:t>
      </w:r>
      <w:r w:rsidRPr="00B52F99">
        <w:rPr>
          <w:rFonts w:eastAsiaTheme="minorEastAsia"/>
          <w:color w:val="000000" w:themeColor="text1"/>
          <w:lang w:eastAsia="zh-CN"/>
        </w:rPr>
        <w:t>percentage of body fat for Dunedin children</w:t>
      </w:r>
      <w:r w:rsidRPr="00B52F99">
        <w:rPr>
          <w:rFonts w:eastAsiaTheme="minorEastAsia"/>
          <w:color w:val="000000" w:themeColor="text1"/>
          <w:vertAlign w:val="superscript"/>
          <w:lang w:eastAsia="zh-CN"/>
        </w:rPr>
        <w:t>3</w:t>
      </w:r>
      <w:r w:rsidRPr="00B52F99">
        <w:rPr>
          <w:color w:val="000000" w:themeColor="text1"/>
        </w:rPr>
        <w:t>, and</w:t>
      </w:r>
      <w:r w:rsidRPr="00B52F99">
        <w:rPr>
          <w:rFonts w:eastAsiaTheme="minorEastAsia"/>
          <w:color w:val="000000" w:themeColor="text1"/>
          <w:lang w:eastAsia="zh-CN"/>
        </w:rPr>
        <w:t xml:space="preserve"> BMI is a useful indicator of the way adipose tissue can change during puberty</w:t>
      </w:r>
      <w:r w:rsidR="009B4DA8" w:rsidRPr="00B52F99">
        <w:rPr>
          <w:rFonts w:eastAsiaTheme="minorEastAsia"/>
          <w:color w:val="000000" w:themeColor="text1"/>
          <w:vertAlign w:val="superscript"/>
          <w:lang w:eastAsia="zh-CN"/>
        </w:rPr>
        <w:t>69,70</w:t>
      </w:r>
      <w:r w:rsidRPr="00B52F99">
        <w:rPr>
          <w:rFonts w:eastAsiaTheme="minorEastAsia"/>
          <w:color w:val="000000" w:themeColor="text1"/>
          <w:lang w:eastAsia="zh-CN"/>
        </w:rPr>
        <w:t>. Obesity occurs when energy intake consistently exceeds expenditure</w:t>
      </w:r>
      <w:r w:rsidR="002E6372" w:rsidRPr="00B52F99">
        <w:rPr>
          <w:rFonts w:eastAsiaTheme="minorEastAsia"/>
          <w:color w:val="000000" w:themeColor="text1"/>
          <w:vertAlign w:val="superscript"/>
          <w:lang w:eastAsia="zh-CN"/>
        </w:rPr>
        <w:t>7</w:t>
      </w:r>
      <w:r w:rsidR="009B4DA8" w:rsidRPr="00B52F99">
        <w:rPr>
          <w:rFonts w:eastAsiaTheme="minorEastAsia"/>
          <w:color w:val="000000" w:themeColor="text1"/>
          <w:vertAlign w:val="superscript"/>
          <w:lang w:eastAsia="zh-CN"/>
        </w:rPr>
        <w:t>1</w:t>
      </w:r>
      <w:r w:rsidRPr="00B52F99">
        <w:rPr>
          <w:rFonts w:eastAsiaTheme="minorEastAsia"/>
          <w:color w:val="000000" w:themeColor="text1"/>
          <w:lang w:eastAsia="zh-CN"/>
        </w:rPr>
        <w:t>, which is determined by a complex interaction between genetic and environmental factors</w:t>
      </w:r>
      <w:r w:rsidRPr="00B52F99">
        <w:rPr>
          <w:rFonts w:eastAsiaTheme="minorEastAsia"/>
          <w:color w:val="000000" w:themeColor="text1"/>
          <w:vertAlign w:val="superscript"/>
          <w:lang w:eastAsia="zh-CN"/>
        </w:rPr>
        <w:t>6,13,15,16,</w:t>
      </w:r>
      <w:r w:rsidR="002E6372" w:rsidRPr="00B52F99">
        <w:rPr>
          <w:rFonts w:eastAsiaTheme="minorEastAsia"/>
          <w:color w:val="000000" w:themeColor="text1"/>
          <w:vertAlign w:val="superscript"/>
          <w:lang w:eastAsia="zh-CN"/>
        </w:rPr>
        <w:t>7</w:t>
      </w:r>
      <w:r w:rsidR="00A361DB" w:rsidRPr="00B52F99">
        <w:rPr>
          <w:rFonts w:eastAsiaTheme="minorEastAsia"/>
          <w:color w:val="000000" w:themeColor="text1"/>
          <w:vertAlign w:val="superscript"/>
          <w:lang w:eastAsia="zh-CN"/>
        </w:rPr>
        <w:t>2</w:t>
      </w:r>
      <w:r w:rsidRPr="00B52F99">
        <w:rPr>
          <w:rFonts w:eastAsiaTheme="minorEastAsia"/>
          <w:color w:val="000000" w:themeColor="text1"/>
          <w:lang w:eastAsia="zh-CN"/>
        </w:rPr>
        <w:t xml:space="preserve">. It is unsurprising that a hypothalamic mediated biorhythm is linked to this process. The hypothalamic </w:t>
      </w:r>
      <w:r w:rsidRPr="00B52F99">
        <w:rPr>
          <w:color w:val="000000" w:themeColor="text1"/>
          <w:shd w:val="clear" w:color="auto" w:fill="FFFFFF"/>
        </w:rPr>
        <w:t>central melanocortin system responds to hormonal signals from the digestive tract and adipose tissue by regulating food intake and energy expenditure, ultimately impacting body weight</w:t>
      </w:r>
      <w:r w:rsidR="00F1065F" w:rsidRPr="00B52F99">
        <w:rPr>
          <w:color w:val="000000" w:themeColor="text1"/>
          <w:shd w:val="clear" w:color="auto" w:fill="FFFFFF"/>
          <w:vertAlign w:val="superscript"/>
        </w:rPr>
        <w:t>7</w:t>
      </w:r>
      <w:r w:rsidR="00A361DB" w:rsidRPr="00B52F99">
        <w:rPr>
          <w:color w:val="000000" w:themeColor="text1"/>
          <w:shd w:val="clear" w:color="auto" w:fill="FFFFFF"/>
          <w:vertAlign w:val="superscript"/>
        </w:rPr>
        <w:t>3</w:t>
      </w:r>
      <w:r w:rsidRPr="00B52F99">
        <w:rPr>
          <w:color w:val="000000" w:themeColor="text1"/>
          <w:shd w:val="clear" w:color="auto" w:fill="FFFFFF"/>
        </w:rPr>
        <w:t>. Abnormalities in the melanocortin system, or hormone imbalances, have been linked to early onset human obesity</w:t>
      </w:r>
      <w:r w:rsidR="00F1065F" w:rsidRPr="00B52F99">
        <w:rPr>
          <w:color w:val="000000" w:themeColor="text1"/>
          <w:shd w:val="clear" w:color="auto" w:fill="FFFFFF"/>
          <w:vertAlign w:val="superscript"/>
        </w:rPr>
        <w:t>7</w:t>
      </w:r>
      <w:r w:rsidR="00A361DB" w:rsidRPr="00B52F99">
        <w:rPr>
          <w:color w:val="000000" w:themeColor="text1"/>
          <w:shd w:val="clear" w:color="auto" w:fill="FFFFFF"/>
          <w:vertAlign w:val="superscript"/>
        </w:rPr>
        <w:t>4</w:t>
      </w:r>
      <w:r w:rsidR="00736A95" w:rsidRPr="00B52F99">
        <w:rPr>
          <w:color w:val="000000" w:themeColor="text1"/>
          <w:shd w:val="clear" w:color="auto" w:fill="FFFFFF"/>
          <w:vertAlign w:val="superscript"/>
        </w:rPr>
        <w:t>,7</w:t>
      </w:r>
      <w:r w:rsidR="00A361DB" w:rsidRPr="00B52F99">
        <w:rPr>
          <w:color w:val="000000" w:themeColor="text1"/>
          <w:shd w:val="clear" w:color="auto" w:fill="FFFFFF"/>
          <w:vertAlign w:val="superscript"/>
        </w:rPr>
        <w:t>5</w:t>
      </w:r>
      <w:r w:rsidRPr="00B52F99">
        <w:rPr>
          <w:color w:val="000000" w:themeColor="text1"/>
          <w:shd w:val="clear" w:color="auto" w:fill="FFFFFF"/>
        </w:rPr>
        <w:t xml:space="preserve">. Detailed interrogation of </w:t>
      </w:r>
      <w:r w:rsidRPr="00B52F99">
        <w:rPr>
          <w:rFonts w:eastAsiaTheme="minorEastAsia"/>
          <w:color w:val="000000" w:themeColor="text1"/>
          <w:lang w:eastAsia="zh-CN"/>
        </w:rPr>
        <w:t xml:space="preserve">how the RP-biorhythm relates to </w:t>
      </w:r>
      <w:r w:rsidRPr="00B52F99">
        <w:rPr>
          <w:color w:val="000000" w:themeColor="text1"/>
          <w:shd w:val="clear" w:color="auto" w:fill="FFFFFF"/>
        </w:rPr>
        <w:t xml:space="preserve">this system, and </w:t>
      </w:r>
      <w:r w:rsidRPr="00B52F99">
        <w:rPr>
          <w:rFonts w:eastAsiaTheme="minorEastAsia"/>
          <w:color w:val="000000" w:themeColor="text1"/>
          <w:lang w:eastAsia="zh-CN"/>
        </w:rPr>
        <w:t>to genes that are known to associate with obesity and thinness</w:t>
      </w:r>
      <w:r w:rsidRPr="00B52F99">
        <w:rPr>
          <w:rFonts w:eastAsiaTheme="minorEastAsia"/>
          <w:color w:val="000000" w:themeColor="text1"/>
          <w:vertAlign w:val="superscript"/>
          <w:lang w:eastAsia="zh-CN"/>
        </w:rPr>
        <w:t>7</w:t>
      </w:r>
      <w:r w:rsidR="00C12328" w:rsidRPr="00B52F99">
        <w:rPr>
          <w:rFonts w:eastAsiaTheme="minorEastAsia"/>
          <w:color w:val="000000" w:themeColor="text1"/>
          <w:vertAlign w:val="superscript"/>
          <w:lang w:eastAsia="zh-CN"/>
        </w:rPr>
        <w:t>6</w:t>
      </w:r>
      <w:r w:rsidR="00736A95" w:rsidRPr="00B52F99">
        <w:rPr>
          <w:rFonts w:eastAsiaTheme="minorEastAsia"/>
          <w:color w:val="000000" w:themeColor="text1"/>
          <w:vertAlign w:val="superscript"/>
          <w:lang w:eastAsia="zh-CN"/>
        </w:rPr>
        <w:t>,7</w:t>
      </w:r>
      <w:r w:rsidR="00C12328" w:rsidRPr="00B52F99">
        <w:rPr>
          <w:rFonts w:eastAsiaTheme="minorEastAsia"/>
          <w:color w:val="000000" w:themeColor="text1"/>
          <w:vertAlign w:val="superscript"/>
          <w:lang w:eastAsia="zh-CN"/>
        </w:rPr>
        <w:t>7</w:t>
      </w:r>
      <w:r w:rsidRPr="00B52F99">
        <w:rPr>
          <w:rFonts w:eastAsiaTheme="minorEastAsia"/>
          <w:color w:val="000000" w:themeColor="text1"/>
          <w:lang w:eastAsia="zh-CN"/>
        </w:rPr>
        <w:t>, should be pursued in future studies.</w:t>
      </w:r>
    </w:p>
    <w:p w14:paraId="0E28CAE0" w14:textId="77777777" w:rsidR="0028497A" w:rsidRPr="00B52F99" w:rsidRDefault="0028497A" w:rsidP="00816547">
      <w:pPr>
        <w:autoSpaceDE w:val="0"/>
        <w:autoSpaceDN w:val="0"/>
        <w:adjustRightInd w:val="0"/>
        <w:spacing w:line="360" w:lineRule="auto"/>
        <w:jc w:val="both"/>
        <w:rPr>
          <w:rFonts w:eastAsiaTheme="minorEastAsia"/>
          <w:color w:val="000000" w:themeColor="text1"/>
          <w:lang w:eastAsia="zh-CN"/>
        </w:rPr>
      </w:pPr>
    </w:p>
    <w:p w14:paraId="4EAF5A65" w14:textId="79C0E30D" w:rsidR="004273C9" w:rsidRPr="00B52F99" w:rsidRDefault="0025245A" w:rsidP="00816547">
      <w:pPr>
        <w:autoSpaceDE w:val="0"/>
        <w:autoSpaceDN w:val="0"/>
        <w:adjustRightInd w:val="0"/>
        <w:spacing w:line="360" w:lineRule="auto"/>
        <w:jc w:val="both"/>
        <w:rPr>
          <w:color w:val="000000" w:themeColor="text1"/>
          <w:shd w:val="clear" w:color="auto" w:fill="FFFFFF"/>
        </w:rPr>
      </w:pPr>
      <w:r w:rsidRPr="00B52F99">
        <w:rPr>
          <w:rFonts w:eastAsiaTheme="minorEastAsia"/>
          <w:color w:val="000000" w:themeColor="text1"/>
          <w:lang w:eastAsia="zh-CN"/>
        </w:rPr>
        <w:t xml:space="preserve">The </w:t>
      </w:r>
      <w:r w:rsidR="00592B60" w:rsidRPr="00B52F99">
        <w:rPr>
          <w:color w:val="000000" w:themeColor="text1"/>
        </w:rPr>
        <w:t xml:space="preserve">biorhythm related to adolescent weight gain, but </w:t>
      </w:r>
      <w:r w:rsidRPr="00B52F99">
        <w:rPr>
          <w:color w:val="000000" w:themeColor="text1"/>
        </w:rPr>
        <w:t>the nature of</w:t>
      </w:r>
      <w:r w:rsidR="003526D3" w:rsidRPr="00B52F99">
        <w:rPr>
          <w:color w:val="000000" w:themeColor="text1"/>
        </w:rPr>
        <w:t xml:space="preserve"> the</w:t>
      </w:r>
      <w:r w:rsidRPr="00B52F99">
        <w:rPr>
          <w:color w:val="000000" w:themeColor="text1"/>
        </w:rPr>
        <w:t xml:space="preserve"> growing tissue, whether adipose tissue, muscle mass or bone mineral content, </w:t>
      </w:r>
      <w:r w:rsidR="003526D3" w:rsidRPr="00B52F99">
        <w:rPr>
          <w:color w:val="000000" w:themeColor="text1"/>
        </w:rPr>
        <w:t>has not been established</w:t>
      </w:r>
      <w:r w:rsidRPr="00B52F99">
        <w:rPr>
          <w:color w:val="000000" w:themeColor="text1"/>
        </w:rPr>
        <w:t xml:space="preserve">. </w:t>
      </w:r>
      <w:r w:rsidR="003526D3" w:rsidRPr="00B52F99">
        <w:rPr>
          <w:color w:val="000000" w:themeColor="text1"/>
        </w:rPr>
        <w:t xml:space="preserve">This is important because </w:t>
      </w:r>
      <w:r w:rsidRPr="00B52F99">
        <w:rPr>
          <w:color w:val="000000" w:themeColor="text1"/>
        </w:rPr>
        <w:t xml:space="preserve">body composition during puberty </w:t>
      </w:r>
      <w:r w:rsidR="00847AA0" w:rsidRPr="00B52F99">
        <w:rPr>
          <w:color w:val="000000" w:themeColor="text1"/>
        </w:rPr>
        <w:t>can</w:t>
      </w:r>
      <w:r w:rsidR="003526D3" w:rsidRPr="00B52F99">
        <w:rPr>
          <w:color w:val="000000" w:themeColor="text1"/>
        </w:rPr>
        <w:t xml:space="preserve"> </w:t>
      </w:r>
      <w:r w:rsidRPr="00B52F99">
        <w:rPr>
          <w:color w:val="000000" w:themeColor="text1"/>
        </w:rPr>
        <w:t>relate to adult disease</w:t>
      </w:r>
      <w:r w:rsidRPr="00B52F99">
        <w:rPr>
          <w:color w:val="000000" w:themeColor="text1"/>
          <w:vertAlign w:val="superscript"/>
        </w:rPr>
        <w:t>7</w:t>
      </w:r>
      <w:r w:rsidR="00E37A98" w:rsidRPr="00B52F99">
        <w:rPr>
          <w:color w:val="000000" w:themeColor="text1"/>
          <w:vertAlign w:val="superscript"/>
        </w:rPr>
        <w:t>8</w:t>
      </w:r>
      <w:r w:rsidRPr="00B52F99">
        <w:rPr>
          <w:color w:val="000000" w:themeColor="text1"/>
        </w:rPr>
        <w:t>.</w:t>
      </w:r>
      <w:r w:rsidRPr="00B52F99">
        <w:rPr>
          <w:b/>
          <w:bCs/>
          <w:color w:val="000000" w:themeColor="text1"/>
        </w:rPr>
        <w:t xml:space="preserve"> </w:t>
      </w:r>
      <w:r w:rsidRPr="00B52F99">
        <w:rPr>
          <w:color w:val="000000" w:themeColor="text1"/>
        </w:rPr>
        <w:t>If t</w:t>
      </w:r>
      <w:r w:rsidR="003526D3" w:rsidRPr="00B52F99">
        <w:rPr>
          <w:color w:val="000000" w:themeColor="text1"/>
        </w:rPr>
        <w:t xml:space="preserve">he type and rate of </w:t>
      </w:r>
      <w:r w:rsidRPr="00B52F99">
        <w:rPr>
          <w:color w:val="000000" w:themeColor="text1"/>
        </w:rPr>
        <w:t xml:space="preserve">growth </w:t>
      </w:r>
      <w:r w:rsidR="003526D3" w:rsidRPr="00B52F99">
        <w:rPr>
          <w:color w:val="000000" w:themeColor="text1"/>
        </w:rPr>
        <w:t xml:space="preserve">for </w:t>
      </w:r>
      <w:r w:rsidRPr="00B52F99">
        <w:rPr>
          <w:color w:val="000000" w:themeColor="text1"/>
        </w:rPr>
        <w:t xml:space="preserve">different </w:t>
      </w:r>
      <w:r w:rsidRPr="00B52F99">
        <w:rPr>
          <w:color w:val="000000" w:themeColor="text1"/>
        </w:rPr>
        <w:lastRenderedPageBreak/>
        <w:t xml:space="preserve">tissues </w:t>
      </w:r>
      <w:r w:rsidR="00847AA0" w:rsidRPr="00B52F99">
        <w:rPr>
          <w:color w:val="000000" w:themeColor="text1"/>
        </w:rPr>
        <w:t>correspond with the</w:t>
      </w:r>
      <w:r w:rsidRPr="00B52F99">
        <w:rPr>
          <w:color w:val="000000" w:themeColor="text1"/>
        </w:rPr>
        <w:t xml:space="preserve"> biorhythm, then new pathways in </w:t>
      </w:r>
      <w:r w:rsidRPr="00B52F99">
        <w:rPr>
          <w:rFonts w:eastAsiaTheme="minorEastAsia"/>
          <w:color w:val="000000" w:themeColor="text1"/>
          <w:lang w:eastAsia="zh-CN"/>
        </w:rPr>
        <w:t>preventive medicine may be opened, and new approaches developed further to explore th</w:t>
      </w:r>
      <w:r w:rsidR="00592B60" w:rsidRPr="00B52F99">
        <w:rPr>
          <w:rFonts w:eastAsiaTheme="minorEastAsia"/>
          <w:color w:val="000000" w:themeColor="text1"/>
          <w:lang w:eastAsia="zh-CN"/>
        </w:rPr>
        <w:t>is</w:t>
      </w:r>
      <w:r w:rsidRPr="00B52F99">
        <w:rPr>
          <w:rFonts w:eastAsiaTheme="minorEastAsia"/>
          <w:color w:val="000000" w:themeColor="text1"/>
          <w:lang w:eastAsia="zh-CN"/>
        </w:rPr>
        <w:t xml:space="preserve"> long-period rhythm. </w:t>
      </w:r>
      <w:r w:rsidR="003526D3" w:rsidRPr="00B52F99">
        <w:rPr>
          <w:rFonts w:eastAsiaTheme="minorEastAsia"/>
          <w:color w:val="000000" w:themeColor="text1"/>
          <w:lang w:eastAsia="zh-CN"/>
        </w:rPr>
        <w:t xml:space="preserve">Studies </w:t>
      </w:r>
      <w:r w:rsidR="00592B60" w:rsidRPr="00B52F99">
        <w:rPr>
          <w:rFonts w:eastAsiaTheme="minorEastAsia"/>
          <w:color w:val="000000" w:themeColor="text1"/>
          <w:lang w:eastAsia="zh-CN"/>
        </w:rPr>
        <w:t xml:space="preserve">should </w:t>
      </w:r>
      <w:r w:rsidR="003526D3" w:rsidRPr="00B52F99">
        <w:rPr>
          <w:rFonts w:eastAsiaTheme="minorEastAsia"/>
          <w:color w:val="000000" w:themeColor="text1"/>
          <w:lang w:eastAsia="zh-CN"/>
        </w:rPr>
        <w:t xml:space="preserve">also </w:t>
      </w:r>
      <w:r w:rsidR="00592B60" w:rsidRPr="00B52F99">
        <w:rPr>
          <w:rFonts w:eastAsiaTheme="minorEastAsia"/>
          <w:color w:val="000000" w:themeColor="text1"/>
          <w:lang w:eastAsia="zh-CN"/>
        </w:rPr>
        <w:t xml:space="preserve">determine </w:t>
      </w:r>
      <w:r w:rsidR="00B46664" w:rsidRPr="00B52F99">
        <w:rPr>
          <w:rFonts w:eastAsiaTheme="minorEastAsia"/>
          <w:color w:val="000000" w:themeColor="text1"/>
          <w:lang w:eastAsia="zh-CN"/>
        </w:rPr>
        <w:t xml:space="preserve">if those with </w:t>
      </w:r>
      <w:r w:rsidR="00B46664" w:rsidRPr="00B52F99">
        <w:rPr>
          <w:color w:val="000000" w:themeColor="text1"/>
        </w:rPr>
        <w:t>histories of early life adversity exposure</w:t>
      </w:r>
      <w:r w:rsidR="00E37A98" w:rsidRPr="00B52F99">
        <w:rPr>
          <w:color w:val="000000" w:themeColor="text1"/>
          <w:vertAlign w:val="superscript"/>
        </w:rPr>
        <w:t>79</w:t>
      </w:r>
      <w:r w:rsidR="00B46664" w:rsidRPr="00B52F99">
        <w:rPr>
          <w:color w:val="000000" w:themeColor="text1"/>
        </w:rPr>
        <w:t>, have fluctuations in RP-biorhythm between early (primary molars) and latter forming teeth (</w:t>
      </w:r>
      <w:r w:rsidR="00B11C33" w:rsidRPr="00B52F99">
        <w:rPr>
          <w:color w:val="000000" w:themeColor="text1"/>
        </w:rPr>
        <w:t xml:space="preserve">third </w:t>
      </w:r>
      <w:r w:rsidR="00B46664" w:rsidRPr="00B52F99">
        <w:rPr>
          <w:color w:val="000000" w:themeColor="text1"/>
        </w:rPr>
        <w:t>molars</w:t>
      </w:r>
      <w:r w:rsidR="00B11C33" w:rsidRPr="00B52F99">
        <w:rPr>
          <w:color w:val="000000" w:themeColor="text1"/>
        </w:rPr>
        <w:t xml:space="preserve"> or wisdom teeth</w:t>
      </w:r>
      <w:r w:rsidR="00B46664" w:rsidRPr="00B52F99">
        <w:rPr>
          <w:color w:val="000000" w:themeColor="text1"/>
        </w:rPr>
        <w:t>) relating to periods of adversity.</w:t>
      </w:r>
      <w:r w:rsidR="004273C9" w:rsidRPr="00B52F99">
        <w:rPr>
          <w:rFonts w:eastAsiaTheme="minorEastAsia"/>
          <w:color w:val="000000" w:themeColor="text1"/>
          <w:lang w:eastAsia="zh-CN"/>
        </w:rPr>
        <w:t xml:space="preserve"> </w:t>
      </w:r>
    </w:p>
    <w:p w14:paraId="50A65ED9" w14:textId="77777777" w:rsidR="00BF14D7" w:rsidRPr="00B52F99" w:rsidRDefault="00BF14D7" w:rsidP="00D82C1C">
      <w:pPr>
        <w:autoSpaceDE w:val="0"/>
        <w:autoSpaceDN w:val="0"/>
        <w:adjustRightInd w:val="0"/>
        <w:spacing w:line="360" w:lineRule="auto"/>
        <w:jc w:val="both"/>
        <w:rPr>
          <w:rFonts w:eastAsiaTheme="minorEastAsia"/>
          <w:color w:val="000000" w:themeColor="text1"/>
          <w:lang w:eastAsia="zh-CN"/>
        </w:rPr>
      </w:pPr>
    </w:p>
    <w:p w14:paraId="78C6849B" w14:textId="26E37EA8" w:rsidR="009C4BBC" w:rsidRPr="00B52F99" w:rsidRDefault="00702DCD" w:rsidP="00717FED">
      <w:pPr>
        <w:tabs>
          <w:tab w:val="left" w:pos="4678"/>
        </w:tabs>
        <w:spacing w:line="360" w:lineRule="auto"/>
        <w:jc w:val="both"/>
        <w:rPr>
          <w:color w:val="000000" w:themeColor="text1"/>
          <w:shd w:val="clear" w:color="auto" w:fill="FFFFFF"/>
        </w:rPr>
      </w:pPr>
      <w:r w:rsidRPr="00B52F99">
        <w:rPr>
          <w:color w:val="000000" w:themeColor="text1"/>
        </w:rPr>
        <w:t xml:space="preserve">The strength of our study lies in the use of direct measures of </w:t>
      </w:r>
      <w:r w:rsidR="00DA67EA" w:rsidRPr="00B52F99">
        <w:rPr>
          <w:color w:val="000000" w:themeColor="text1"/>
        </w:rPr>
        <w:t>RP-</w:t>
      </w:r>
      <w:r w:rsidRPr="00B52F99">
        <w:rPr>
          <w:color w:val="000000" w:themeColor="text1"/>
        </w:rPr>
        <w:t>biorhythm calculated from naturally exfoliated primary molars</w:t>
      </w:r>
      <w:r w:rsidR="007349DC" w:rsidRPr="00B52F99">
        <w:rPr>
          <w:color w:val="000000" w:themeColor="text1"/>
        </w:rPr>
        <w:t xml:space="preserve"> for </w:t>
      </w:r>
      <w:proofErr w:type="gramStart"/>
      <w:r w:rsidR="007349DC" w:rsidRPr="00B52F99">
        <w:rPr>
          <w:color w:val="000000" w:themeColor="text1"/>
        </w:rPr>
        <w:t>each individual</w:t>
      </w:r>
      <w:proofErr w:type="gramEnd"/>
      <w:r w:rsidRPr="00B52F99">
        <w:rPr>
          <w:color w:val="000000" w:themeColor="text1"/>
        </w:rPr>
        <w:t xml:space="preserve"> which w</w:t>
      </w:r>
      <w:r w:rsidR="00B21155" w:rsidRPr="00B52F99">
        <w:rPr>
          <w:color w:val="000000" w:themeColor="text1"/>
        </w:rPr>
        <w:t xml:space="preserve">e </w:t>
      </w:r>
      <w:r w:rsidRPr="00B52F99">
        <w:rPr>
          <w:color w:val="000000" w:themeColor="text1"/>
        </w:rPr>
        <w:t>compared to measures of the same individual’s weight and BMI.</w:t>
      </w:r>
      <w:r w:rsidR="003A4253" w:rsidRPr="00B52F99">
        <w:rPr>
          <w:color w:val="000000" w:themeColor="text1"/>
        </w:rPr>
        <w:t xml:space="preserve">  </w:t>
      </w:r>
      <w:r w:rsidR="00B21155" w:rsidRPr="00B52F99">
        <w:rPr>
          <w:color w:val="000000" w:themeColor="text1"/>
        </w:rPr>
        <w:t>A</w:t>
      </w:r>
      <w:r w:rsidR="003A4253" w:rsidRPr="00B52F99">
        <w:rPr>
          <w:color w:val="000000" w:themeColor="text1"/>
        </w:rPr>
        <w:t xml:space="preserve"> suite of statistical tests </w:t>
      </w:r>
      <w:r w:rsidR="00A5124C" w:rsidRPr="00B52F99">
        <w:rPr>
          <w:color w:val="000000" w:themeColor="text1"/>
        </w:rPr>
        <w:t>allowed us</w:t>
      </w:r>
      <w:r w:rsidR="00B21155" w:rsidRPr="00B52F99">
        <w:rPr>
          <w:color w:val="000000" w:themeColor="text1"/>
        </w:rPr>
        <w:t xml:space="preserve"> </w:t>
      </w:r>
      <w:r w:rsidR="003A4253" w:rsidRPr="00B52F99">
        <w:rPr>
          <w:color w:val="000000" w:themeColor="text1"/>
        </w:rPr>
        <w:t>to i</w:t>
      </w:r>
      <w:r w:rsidR="00A5124C" w:rsidRPr="00B52F99">
        <w:rPr>
          <w:color w:val="000000" w:themeColor="text1"/>
        </w:rPr>
        <w:t>solate and i</w:t>
      </w:r>
      <w:r w:rsidR="003A4253" w:rsidRPr="00B52F99">
        <w:rPr>
          <w:color w:val="000000" w:themeColor="text1"/>
        </w:rPr>
        <w:t xml:space="preserve">dentify </w:t>
      </w:r>
      <w:r w:rsidR="00DA67EA" w:rsidRPr="00B52F99">
        <w:rPr>
          <w:color w:val="000000" w:themeColor="text1"/>
        </w:rPr>
        <w:t>relationship</w:t>
      </w:r>
      <w:r w:rsidR="00A5124C" w:rsidRPr="00B52F99">
        <w:rPr>
          <w:color w:val="000000" w:themeColor="text1"/>
        </w:rPr>
        <w:t xml:space="preserve">s with the </w:t>
      </w:r>
      <w:proofErr w:type="gramStart"/>
      <w:r w:rsidR="00A5124C" w:rsidRPr="00B52F99">
        <w:rPr>
          <w:color w:val="000000" w:themeColor="text1"/>
        </w:rPr>
        <w:t>biorhythm</w:t>
      </w:r>
      <w:r w:rsidR="00DA67EA" w:rsidRPr="00B52F99">
        <w:rPr>
          <w:color w:val="000000" w:themeColor="text1"/>
        </w:rPr>
        <w:t>, and</w:t>
      </w:r>
      <w:proofErr w:type="gramEnd"/>
      <w:r w:rsidR="00DA67EA" w:rsidRPr="00B52F99">
        <w:rPr>
          <w:color w:val="000000" w:themeColor="text1"/>
        </w:rPr>
        <w:t xml:space="preserve"> </w:t>
      </w:r>
      <w:r w:rsidR="00EB2FB7" w:rsidRPr="00B52F99">
        <w:rPr>
          <w:color w:val="000000" w:themeColor="text1"/>
        </w:rPr>
        <w:t xml:space="preserve">assess </w:t>
      </w:r>
      <w:r w:rsidR="00DA67EA" w:rsidRPr="00B52F99">
        <w:rPr>
          <w:color w:val="000000" w:themeColor="text1"/>
        </w:rPr>
        <w:t xml:space="preserve">potential </w:t>
      </w:r>
      <w:r w:rsidR="003A4253" w:rsidRPr="00B52F99">
        <w:rPr>
          <w:color w:val="000000" w:themeColor="text1"/>
        </w:rPr>
        <w:t>effect</w:t>
      </w:r>
      <w:r w:rsidR="006442AF" w:rsidRPr="00B52F99">
        <w:rPr>
          <w:color w:val="000000" w:themeColor="text1"/>
        </w:rPr>
        <w:t>s</w:t>
      </w:r>
      <w:r w:rsidR="003A4253" w:rsidRPr="00B52F99">
        <w:rPr>
          <w:color w:val="000000" w:themeColor="text1"/>
        </w:rPr>
        <w:t xml:space="preserve"> of covariates on our central finding. Limitations in our study include</w:t>
      </w:r>
      <w:r w:rsidR="002B4ABD" w:rsidRPr="00B52F99">
        <w:rPr>
          <w:color w:val="000000" w:themeColor="text1"/>
        </w:rPr>
        <w:t>:</w:t>
      </w:r>
      <w:r w:rsidR="003A4253" w:rsidRPr="00B52F99">
        <w:rPr>
          <w:color w:val="000000" w:themeColor="text1"/>
        </w:rPr>
        <w:t xml:space="preserve"> (</w:t>
      </w:r>
      <w:proofErr w:type="spellStart"/>
      <w:r w:rsidR="003A4253" w:rsidRPr="00B52F99">
        <w:rPr>
          <w:color w:val="000000" w:themeColor="text1"/>
        </w:rPr>
        <w:t>i</w:t>
      </w:r>
      <w:proofErr w:type="spellEnd"/>
      <w:r w:rsidR="003A4253" w:rsidRPr="00B52F99">
        <w:rPr>
          <w:color w:val="000000" w:themeColor="text1"/>
        </w:rPr>
        <w:t>)</w:t>
      </w:r>
      <w:r w:rsidR="00416F5D" w:rsidRPr="00B52F99">
        <w:rPr>
          <w:color w:val="000000" w:themeColor="text1"/>
        </w:rPr>
        <w:t xml:space="preserve"> growth measurements are descriptive and lack the information and precision of a whole</w:t>
      </w:r>
      <w:r w:rsidR="00A5124C" w:rsidRPr="00B52F99">
        <w:rPr>
          <w:color w:val="000000" w:themeColor="text1"/>
        </w:rPr>
        <w:t>-</w:t>
      </w:r>
      <w:r w:rsidR="00416F5D" w:rsidRPr="00B52F99">
        <w:rPr>
          <w:color w:val="000000" w:themeColor="text1"/>
        </w:rPr>
        <w:t xml:space="preserve">body scan </w:t>
      </w:r>
      <w:r w:rsidR="00B21155" w:rsidRPr="00B52F99">
        <w:rPr>
          <w:color w:val="000000" w:themeColor="text1"/>
        </w:rPr>
        <w:t xml:space="preserve">which would </w:t>
      </w:r>
      <w:r w:rsidR="00A5124C" w:rsidRPr="00B52F99">
        <w:rPr>
          <w:color w:val="000000" w:themeColor="text1"/>
        </w:rPr>
        <w:t xml:space="preserve">have </w:t>
      </w:r>
      <w:r w:rsidR="00B21155" w:rsidRPr="00B52F99">
        <w:rPr>
          <w:color w:val="000000" w:themeColor="text1"/>
        </w:rPr>
        <w:t xml:space="preserve">enabled us to </w:t>
      </w:r>
      <w:r w:rsidR="00741014" w:rsidRPr="00B52F99">
        <w:rPr>
          <w:color w:val="000000" w:themeColor="text1"/>
        </w:rPr>
        <w:t xml:space="preserve">determine which </w:t>
      </w:r>
      <w:r w:rsidR="00A5124C" w:rsidRPr="00B52F99">
        <w:rPr>
          <w:color w:val="000000" w:themeColor="text1"/>
        </w:rPr>
        <w:t xml:space="preserve">tissue types were responsible for the link between RP and </w:t>
      </w:r>
      <w:r w:rsidR="00741014" w:rsidRPr="00B52F99">
        <w:rPr>
          <w:color w:val="000000" w:themeColor="text1"/>
        </w:rPr>
        <w:t>weight</w:t>
      </w:r>
      <w:r w:rsidR="00B21155" w:rsidRPr="00B52F99">
        <w:rPr>
          <w:color w:val="000000" w:themeColor="text1"/>
        </w:rPr>
        <w:t>-</w:t>
      </w:r>
      <w:r w:rsidR="00741014" w:rsidRPr="00B52F99">
        <w:rPr>
          <w:color w:val="000000" w:themeColor="text1"/>
        </w:rPr>
        <w:t>gain. (ii)</w:t>
      </w:r>
      <w:r w:rsidR="00CC3AB0" w:rsidRPr="00B52F99">
        <w:rPr>
          <w:color w:val="000000" w:themeColor="text1"/>
        </w:rPr>
        <w:t xml:space="preserve"> </w:t>
      </w:r>
      <w:r w:rsidR="00A5124C" w:rsidRPr="00B52F99">
        <w:rPr>
          <w:color w:val="000000" w:themeColor="text1"/>
        </w:rPr>
        <w:t>M</w:t>
      </w:r>
      <w:r w:rsidR="00EB2FB7" w:rsidRPr="00B52F99">
        <w:rPr>
          <w:color w:val="000000" w:themeColor="text1"/>
        </w:rPr>
        <w:t>ost m</w:t>
      </w:r>
      <w:r w:rsidR="00CC3AB0" w:rsidRPr="00B52F99">
        <w:rPr>
          <w:color w:val="000000" w:themeColor="text1"/>
        </w:rPr>
        <w:t>ale participants were in early stages of puberty</w:t>
      </w:r>
      <w:r w:rsidR="00681387" w:rsidRPr="00B52F99">
        <w:rPr>
          <w:color w:val="000000" w:themeColor="text1"/>
        </w:rPr>
        <w:t xml:space="preserve">. We </w:t>
      </w:r>
      <w:r w:rsidR="00CC3AB0" w:rsidRPr="00B52F99">
        <w:rPr>
          <w:color w:val="000000" w:themeColor="text1"/>
        </w:rPr>
        <w:t xml:space="preserve">could not </w:t>
      </w:r>
      <w:r w:rsidR="00681387" w:rsidRPr="00B52F99">
        <w:rPr>
          <w:color w:val="000000" w:themeColor="text1"/>
        </w:rPr>
        <w:t>assess</w:t>
      </w:r>
      <w:r w:rsidR="00CC3AB0" w:rsidRPr="00B52F99">
        <w:rPr>
          <w:color w:val="000000" w:themeColor="text1"/>
        </w:rPr>
        <w:t xml:space="preserve"> if th</w:t>
      </w:r>
      <w:r w:rsidR="00681387" w:rsidRPr="00B52F99">
        <w:rPr>
          <w:color w:val="000000" w:themeColor="text1"/>
        </w:rPr>
        <w:t>is determined their</w:t>
      </w:r>
      <w:r w:rsidR="00CC3AB0" w:rsidRPr="00B52F99">
        <w:rPr>
          <w:color w:val="000000" w:themeColor="text1"/>
        </w:rPr>
        <w:t xml:space="preserve"> </w:t>
      </w:r>
      <w:r w:rsidR="00681387" w:rsidRPr="00B52F99">
        <w:rPr>
          <w:color w:val="000000" w:themeColor="text1"/>
        </w:rPr>
        <w:t xml:space="preserve">weaker </w:t>
      </w:r>
      <w:r w:rsidR="00A5124C" w:rsidRPr="00B52F99">
        <w:rPr>
          <w:color w:val="000000" w:themeColor="text1"/>
        </w:rPr>
        <w:t>associations wit</w:t>
      </w:r>
      <w:r w:rsidR="00EB2FB7" w:rsidRPr="00B52F99">
        <w:rPr>
          <w:color w:val="000000" w:themeColor="text1"/>
        </w:rPr>
        <w:t>h</w:t>
      </w:r>
      <w:r w:rsidR="00681387" w:rsidRPr="00B52F99">
        <w:rPr>
          <w:color w:val="000000" w:themeColor="text1"/>
        </w:rPr>
        <w:t xml:space="preserve"> RP-biorhythm, relative to </w:t>
      </w:r>
      <w:r w:rsidR="002B4ABD" w:rsidRPr="00B52F99">
        <w:rPr>
          <w:color w:val="000000" w:themeColor="text1"/>
        </w:rPr>
        <w:t>most</w:t>
      </w:r>
      <w:r w:rsidR="00681387" w:rsidRPr="00B52F99">
        <w:rPr>
          <w:color w:val="000000" w:themeColor="text1"/>
        </w:rPr>
        <w:t xml:space="preserve"> females that were at a more advanced stage of puberty. (iii) A practical limitation of our study arose due to </w:t>
      </w:r>
      <w:r w:rsidR="00A5124C" w:rsidRPr="00B52F99">
        <w:rPr>
          <w:color w:val="000000" w:themeColor="text1"/>
        </w:rPr>
        <w:t>the</w:t>
      </w:r>
      <w:r w:rsidR="00B21155" w:rsidRPr="00B52F99">
        <w:rPr>
          <w:color w:val="000000" w:themeColor="text1"/>
        </w:rPr>
        <w:t xml:space="preserve"> histology methodology</w:t>
      </w:r>
      <w:r w:rsidR="00681387" w:rsidRPr="00B52F99">
        <w:rPr>
          <w:color w:val="000000" w:themeColor="text1"/>
        </w:rPr>
        <w:t xml:space="preserve">. </w:t>
      </w:r>
      <w:r w:rsidR="00B21155" w:rsidRPr="00B52F99">
        <w:rPr>
          <w:color w:val="000000" w:themeColor="text1"/>
        </w:rPr>
        <w:t xml:space="preserve">Potentially, </w:t>
      </w:r>
      <w:r w:rsidR="00B21155" w:rsidRPr="00B52F99">
        <w:rPr>
          <w:i/>
          <w:iCs/>
          <w:color w:val="000000" w:themeColor="text1"/>
        </w:rPr>
        <w:t>n</w:t>
      </w:r>
      <w:r w:rsidR="00B21155" w:rsidRPr="00B52F99">
        <w:rPr>
          <w:color w:val="000000" w:themeColor="text1"/>
        </w:rPr>
        <w:t xml:space="preserve">=125 </w:t>
      </w:r>
      <w:r w:rsidR="00681387" w:rsidRPr="00B52F99">
        <w:rPr>
          <w:color w:val="000000" w:themeColor="text1"/>
        </w:rPr>
        <w:t xml:space="preserve">participants </w:t>
      </w:r>
      <w:r w:rsidR="00B21155" w:rsidRPr="00B52F99">
        <w:rPr>
          <w:color w:val="000000" w:themeColor="text1"/>
        </w:rPr>
        <w:t xml:space="preserve">were available for the current study (taken from the BCG project) which would have been desirable. However, to ensure an accurate measure of the biorhythm we required </w:t>
      </w:r>
      <w:proofErr w:type="gramStart"/>
      <w:r w:rsidR="00EB2FB7" w:rsidRPr="00B52F99">
        <w:rPr>
          <w:color w:val="000000" w:themeColor="text1"/>
        </w:rPr>
        <w:t>each</w:t>
      </w:r>
      <w:r w:rsidR="00B21155" w:rsidRPr="00B52F99">
        <w:rPr>
          <w:color w:val="000000" w:themeColor="text1"/>
        </w:rPr>
        <w:t xml:space="preserve"> individual</w:t>
      </w:r>
      <w:proofErr w:type="gramEnd"/>
      <w:r w:rsidR="00B21155" w:rsidRPr="00B52F99">
        <w:rPr>
          <w:color w:val="000000" w:themeColor="text1"/>
        </w:rPr>
        <w:t xml:space="preserve"> to have two matching RP’s, which greatly reduced the sample size. </w:t>
      </w:r>
      <w:r w:rsidR="00594DFF" w:rsidRPr="00B52F99">
        <w:rPr>
          <w:color w:val="000000" w:themeColor="text1"/>
        </w:rPr>
        <w:t xml:space="preserve">Given that we have </w:t>
      </w:r>
      <w:r w:rsidR="006D5FAD" w:rsidRPr="00B52F99">
        <w:rPr>
          <w:color w:val="000000" w:themeColor="text1"/>
        </w:rPr>
        <w:t xml:space="preserve">now </w:t>
      </w:r>
      <w:r w:rsidR="00594DFF" w:rsidRPr="00B52F99">
        <w:rPr>
          <w:color w:val="000000" w:themeColor="text1"/>
        </w:rPr>
        <w:t xml:space="preserve">shown RP does not vary between </w:t>
      </w:r>
      <w:r w:rsidR="00451948" w:rsidRPr="00B52F99">
        <w:rPr>
          <w:color w:val="000000" w:themeColor="text1"/>
        </w:rPr>
        <w:t>primary</w:t>
      </w:r>
      <w:r w:rsidR="00594DFF" w:rsidRPr="00B52F99">
        <w:rPr>
          <w:color w:val="000000" w:themeColor="text1"/>
        </w:rPr>
        <w:t xml:space="preserve"> molars, as in permanent molars</w:t>
      </w:r>
      <w:r w:rsidR="00594DFF" w:rsidRPr="00B52F99">
        <w:rPr>
          <w:color w:val="000000" w:themeColor="text1"/>
          <w:vertAlign w:val="superscript"/>
        </w:rPr>
        <w:t>3</w:t>
      </w:r>
      <w:r w:rsidR="00815ED4" w:rsidRPr="00B52F99">
        <w:rPr>
          <w:color w:val="000000" w:themeColor="text1"/>
          <w:vertAlign w:val="superscript"/>
        </w:rPr>
        <w:t>3</w:t>
      </w:r>
      <w:r w:rsidR="00594DFF" w:rsidRPr="00B52F99">
        <w:rPr>
          <w:color w:val="000000" w:themeColor="text1"/>
        </w:rPr>
        <w:t xml:space="preserve">, future studies </w:t>
      </w:r>
      <w:r w:rsidR="005004FA" w:rsidRPr="00B52F99">
        <w:rPr>
          <w:color w:val="000000" w:themeColor="text1"/>
        </w:rPr>
        <w:t>may</w:t>
      </w:r>
      <w:r w:rsidR="00594DFF" w:rsidRPr="00B52F99">
        <w:rPr>
          <w:color w:val="000000" w:themeColor="text1"/>
        </w:rPr>
        <w:t xml:space="preserve"> be able to increase sample sizes by calculating one </w:t>
      </w:r>
      <w:r w:rsidR="00A86274" w:rsidRPr="00B52F99">
        <w:rPr>
          <w:color w:val="000000" w:themeColor="text1"/>
        </w:rPr>
        <w:t>molar-</w:t>
      </w:r>
      <w:r w:rsidR="00594DFF" w:rsidRPr="00B52F99">
        <w:rPr>
          <w:color w:val="000000" w:themeColor="text1"/>
        </w:rPr>
        <w:t xml:space="preserve">RP for </w:t>
      </w:r>
      <w:proofErr w:type="gramStart"/>
      <w:r w:rsidR="00594DFF" w:rsidRPr="00B52F99">
        <w:rPr>
          <w:color w:val="000000" w:themeColor="text1"/>
        </w:rPr>
        <w:t>each</w:t>
      </w:r>
      <w:r w:rsidR="00A86274" w:rsidRPr="00B52F99">
        <w:rPr>
          <w:color w:val="000000" w:themeColor="text1"/>
        </w:rPr>
        <w:t xml:space="preserve"> </w:t>
      </w:r>
      <w:r w:rsidR="00594DFF" w:rsidRPr="00B52F99">
        <w:rPr>
          <w:color w:val="000000" w:themeColor="text1"/>
        </w:rPr>
        <w:t>individual</w:t>
      </w:r>
      <w:proofErr w:type="gramEnd"/>
      <w:r w:rsidR="00594DFF" w:rsidRPr="00B52F99">
        <w:rPr>
          <w:color w:val="000000" w:themeColor="text1"/>
        </w:rPr>
        <w:t xml:space="preserve">. </w:t>
      </w:r>
      <w:r w:rsidR="00DE6797" w:rsidRPr="00B52F99">
        <w:rPr>
          <w:color w:val="000000" w:themeColor="text1"/>
        </w:rPr>
        <w:t xml:space="preserve">(iv) </w:t>
      </w:r>
      <w:r w:rsidR="00DE6797" w:rsidRPr="00B52F99">
        <w:rPr>
          <w:color w:val="000000" w:themeColor="text1"/>
          <w:shd w:val="clear" w:color="auto" w:fill="FFFFFF"/>
        </w:rPr>
        <w:t xml:space="preserve">Finally, lockdown increased weight gain for participants with higher </w:t>
      </w:r>
      <w:proofErr w:type="gramStart"/>
      <w:r w:rsidR="00DE6797" w:rsidRPr="00B52F99">
        <w:rPr>
          <w:color w:val="000000" w:themeColor="text1"/>
          <w:shd w:val="clear" w:color="auto" w:fill="FFFFFF"/>
        </w:rPr>
        <w:t>RP</w:t>
      </w:r>
      <w:r w:rsidR="00A5124C" w:rsidRPr="00B52F99">
        <w:rPr>
          <w:color w:val="000000" w:themeColor="text1"/>
          <w:shd w:val="clear" w:color="auto" w:fill="FFFFFF"/>
        </w:rPr>
        <w:t>’s</w:t>
      </w:r>
      <w:proofErr w:type="gramEnd"/>
      <w:r w:rsidR="00DE6797" w:rsidRPr="00B52F99">
        <w:rPr>
          <w:color w:val="000000" w:themeColor="text1"/>
          <w:shd w:val="clear" w:color="auto" w:fill="FFFFFF"/>
        </w:rPr>
        <w:t xml:space="preserve">, but not for those with lower RPs. It was unclear whether this was behavioural for the higher RP children or an influence of the </w:t>
      </w:r>
      <w:r w:rsidR="00F40A06" w:rsidRPr="00B52F99">
        <w:rPr>
          <w:color w:val="000000" w:themeColor="text1"/>
          <w:shd w:val="clear" w:color="auto" w:fill="FFFFFF"/>
        </w:rPr>
        <w:t>biorhythm</w:t>
      </w:r>
      <w:r w:rsidR="00DE6797" w:rsidRPr="00B52F99">
        <w:rPr>
          <w:color w:val="000000" w:themeColor="text1"/>
          <w:shd w:val="clear" w:color="auto" w:fill="FFFFFF"/>
        </w:rPr>
        <w:t xml:space="preserve"> for those with lower RPs. A follow</w:t>
      </w:r>
      <w:r w:rsidR="00EB2FB7" w:rsidRPr="00B52F99">
        <w:rPr>
          <w:color w:val="000000" w:themeColor="text1"/>
          <w:shd w:val="clear" w:color="auto" w:fill="FFFFFF"/>
        </w:rPr>
        <w:t>-</w:t>
      </w:r>
      <w:r w:rsidR="00DE6797" w:rsidRPr="00B52F99">
        <w:rPr>
          <w:color w:val="000000" w:themeColor="text1"/>
          <w:shd w:val="clear" w:color="auto" w:fill="FFFFFF"/>
        </w:rPr>
        <w:t xml:space="preserve">up study of </w:t>
      </w:r>
      <w:r w:rsidR="00F40A06" w:rsidRPr="00B52F99">
        <w:rPr>
          <w:color w:val="000000" w:themeColor="text1"/>
          <w:shd w:val="clear" w:color="auto" w:fill="FFFFFF"/>
        </w:rPr>
        <w:t>l</w:t>
      </w:r>
      <w:r w:rsidR="00DE6797" w:rsidRPr="00B52F99">
        <w:rPr>
          <w:color w:val="000000" w:themeColor="text1"/>
          <w:shd w:val="clear" w:color="auto" w:fill="FFFFFF"/>
        </w:rPr>
        <w:t xml:space="preserve">ockdown </w:t>
      </w:r>
      <w:r w:rsidR="00F40A06" w:rsidRPr="00B52F99">
        <w:rPr>
          <w:color w:val="000000" w:themeColor="text1"/>
          <w:shd w:val="clear" w:color="auto" w:fill="FFFFFF"/>
        </w:rPr>
        <w:t xml:space="preserve">behaviour </w:t>
      </w:r>
      <w:r w:rsidR="00DE6797" w:rsidRPr="00B52F99">
        <w:rPr>
          <w:color w:val="000000" w:themeColor="text1"/>
          <w:shd w:val="clear" w:color="auto" w:fill="FFFFFF"/>
        </w:rPr>
        <w:t>would have help</w:t>
      </w:r>
      <w:r w:rsidR="00A5124C" w:rsidRPr="00B52F99">
        <w:rPr>
          <w:color w:val="000000" w:themeColor="text1"/>
          <w:shd w:val="clear" w:color="auto" w:fill="FFFFFF"/>
        </w:rPr>
        <w:t>ed</w:t>
      </w:r>
      <w:r w:rsidR="00DE6797" w:rsidRPr="00B52F99">
        <w:rPr>
          <w:color w:val="000000" w:themeColor="text1"/>
          <w:shd w:val="clear" w:color="auto" w:fill="FFFFFF"/>
        </w:rPr>
        <w:t xml:space="preserve"> elucidate this finding.</w:t>
      </w:r>
    </w:p>
    <w:p w14:paraId="007EB054" w14:textId="534F0A38" w:rsidR="00041DA2" w:rsidRPr="00B52F99" w:rsidRDefault="00041DA2" w:rsidP="00717FED">
      <w:pPr>
        <w:tabs>
          <w:tab w:val="left" w:pos="4678"/>
        </w:tabs>
        <w:spacing w:line="360" w:lineRule="auto"/>
        <w:jc w:val="both"/>
        <w:rPr>
          <w:color w:val="000000" w:themeColor="text1"/>
          <w:shd w:val="clear" w:color="auto" w:fill="FFFFFF"/>
        </w:rPr>
      </w:pPr>
    </w:p>
    <w:p w14:paraId="3E1E12B1" w14:textId="77777777" w:rsidR="00041DA2" w:rsidRPr="00B52F99" w:rsidRDefault="00041DA2" w:rsidP="00041DA2">
      <w:pPr>
        <w:autoSpaceDE w:val="0"/>
        <w:autoSpaceDN w:val="0"/>
        <w:adjustRightInd w:val="0"/>
        <w:spacing w:line="360" w:lineRule="auto"/>
        <w:jc w:val="both"/>
        <w:rPr>
          <w:color w:val="000000" w:themeColor="text1"/>
        </w:rPr>
      </w:pPr>
      <w:r w:rsidRPr="00B52F99">
        <w:rPr>
          <w:rFonts w:eastAsiaTheme="minorEastAsia"/>
          <w:color w:val="000000" w:themeColor="text1"/>
          <w:lang w:eastAsia="zh-CN"/>
        </w:rPr>
        <w:t>Our findings raise the possibility that at least for some individuals, RP-biorhythm</w:t>
      </w:r>
      <w:r w:rsidRPr="00B52F99">
        <w:rPr>
          <w:color w:val="000000" w:themeColor="text1"/>
        </w:rPr>
        <w:t xml:space="preserve"> may maintain a consistent relationship with aspects of physiology across development</w:t>
      </w:r>
      <w:r w:rsidRPr="00B52F99">
        <w:rPr>
          <w:rFonts w:eastAsiaTheme="minorEastAsia"/>
          <w:color w:val="000000" w:themeColor="text1"/>
          <w:lang w:eastAsia="zh-CN"/>
        </w:rPr>
        <w:t xml:space="preserve"> (</w:t>
      </w:r>
      <w:r w:rsidRPr="00B52F99">
        <w:rPr>
          <w:rFonts w:eastAsiaTheme="minorEastAsia"/>
          <w:b/>
          <w:bCs/>
          <w:color w:val="000000" w:themeColor="text1"/>
          <w:lang w:eastAsia="zh-CN"/>
        </w:rPr>
        <w:t>Fig. 6</w:t>
      </w:r>
      <w:r w:rsidRPr="00B52F99">
        <w:rPr>
          <w:rFonts w:eastAsiaTheme="minorEastAsia"/>
          <w:color w:val="000000" w:themeColor="text1"/>
          <w:lang w:eastAsia="zh-CN"/>
        </w:rPr>
        <w:t xml:space="preserve">). </w:t>
      </w:r>
      <w:r w:rsidRPr="00B52F99">
        <w:rPr>
          <w:color w:val="000000" w:themeColor="text1"/>
        </w:rPr>
        <w:t>RP in human primary molars is recorded in enamel within two years following birth</w:t>
      </w:r>
      <w:r w:rsidRPr="00B52F99">
        <w:rPr>
          <w:color w:val="000000" w:themeColor="text1"/>
          <w:vertAlign w:val="superscript"/>
        </w:rPr>
        <w:t>36</w:t>
      </w:r>
      <w:r w:rsidRPr="00B52F99">
        <w:rPr>
          <w:color w:val="000000" w:themeColor="text1"/>
        </w:rPr>
        <w:t xml:space="preserve"> and thus reflects processes of development early in life. We observed primary molar RP related to aspects of physical development during early adolescence, which was around 10 years after primary molar enamel had formed. This suggests continuity in the effect of the biorhythm from early life through to adolescence. The sex-differences we observed in RP-biorhythm provide further support for this idea, pointing towards biologically based differences that persist across the life course into adulthood, or are confined to a given developmental stage where sex differences may be more likely to emerge.</w:t>
      </w:r>
    </w:p>
    <w:p w14:paraId="22BFE7AB" w14:textId="77777777" w:rsidR="00041DA2" w:rsidRPr="00B52F99" w:rsidRDefault="00041DA2" w:rsidP="00041DA2">
      <w:pPr>
        <w:autoSpaceDE w:val="0"/>
        <w:autoSpaceDN w:val="0"/>
        <w:adjustRightInd w:val="0"/>
        <w:spacing w:line="360" w:lineRule="auto"/>
        <w:jc w:val="both"/>
        <w:rPr>
          <w:color w:val="000000" w:themeColor="text1"/>
        </w:rPr>
      </w:pPr>
    </w:p>
    <w:p w14:paraId="37275D05" w14:textId="77777777" w:rsidR="00041DA2" w:rsidRPr="00B52F99" w:rsidRDefault="00041DA2" w:rsidP="00041DA2">
      <w:pPr>
        <w:autoSpaceDE w:val="0"/>
        <w:autoSpaceDN w:val="0"/>
        <w:adjustRightInd w:val="0"/>
        <w:spacing w:line="360" w:lineRule="auto"/>
        <w:jc w:val="both"/>
        <w:rPr>
          <w:color w:val="000000" w:themeColor="text1"/>
          <w:shd w:val="clear" w:color="auto" w:fill="FFFFFF"/>
        </w:rPr>
      </w:pPr>
      <w:r w:rsidRPr="00B52F99">
        <w:rPr>
          <w:color w:val="000000" w:themeColor="text1"/>
          <w:shd w:val="clear" w:color="auto" w:fill="FFFFFF"/>
        </w:rPr>
        <w:t xml:space="preserve">Given the strong association between weight gain and the biorhythm during puberty, it would seem likely that this association could be present during other periods of rapid human growth. Infants gain </w:t>
      </w:r>
      <w:r w:rsidRPr="00B52F99">
        <w:rPr>
          <w:color w:val="000000" w:themeColor="text1"/>
          <w:shd w:val="clear" w:color="auto" w:fill="FFFFFF"/>
        </w:rPr>
        <w:lastRenderedPageBreak/>
        <w:t xml:space="preserve">weight rapidly in the first six months after birth. The amount of weight gained during infancy influences the tempo of growth and onset of </w:t>
      </w:r>
      <w:proofErr w:type="gramStart"/>
      <w:r w:rsidRPr="00B52F99">
        <w:rPr>
          <w:color w:val="000000" w:themeColor="text1"/>
          <w:shd w:val="clear" w:color="auto" w:fill="FFFFFF"/>
        </w:rPr>
        <w:t>puberty</w:t>
      </w:r>
      <w:r w:rsidRPr="00B52F99">
        <w:rPr>
          <w:color w:val="000000" w:themeColor="text1"/>
          <w:shd w:val="clear" w:color="auto" w:fill="FFFFFF"/>
          <w:vertAlign w:val="superscript"/>
        </w:rPr>
        <w:t>80</w:t>
      </w:r>
      <w:r w:rsidRPr="00B52F99">
        <w:rPr>
          <w:color w:val="000000" w:themeColor="text1"/>
          <w:shd w:val="clear" w:color="auto" w:fill="FFFFFF"/>
        </w:rPr>
        <w:t>, and</w:t>
      </w:r>
      <w:proofErr w:type="gramEnd"/>
      <w:r w:rsidRPr="00B52F99">
        <w:rPr>
          <w:color w:val="000000" w:themeColor="text1"/>
          <w:shd w:val="clear" w:color="auto" w:fill="FFFFFF"/>
        </w:rPr>
        <w:t xml:space="preserve"> is a determinant of obesity in later life</w:t>
      </w:r>
      <w:r w:rsidRPr="00B52F99">
        <w:rPr>
          <w:color w:val="000000" w:themeColor="text1"/>
          <w:shd w:val="clear" w:color="auto" w:fill="FFFFFF"/>
          <w:vertAlign w:val="superscript"/>
        </w:rPr>
        <w:t>81-84</w:t>
      </w:r>
      <w:r w:rsidRPr="00B52F99">
        <w:rPr>
          <w:color w:val="000000" w:themeColor="text1"/>
          <w:shd w:val="clear" w:color="auto" w:fill="FFFFFF"/>
        </w:rPr>
        <w:t xml:space="preserve">. The presence of </w:t>
      </w:r>
      <w:r w:rsidRPr="00B52F99">
        <w:rPr>
          <w:rFonts w:eastAsiaTheme="minorEastAsia"/>
          <w:color w:val="000000" w:themeColor="text1"/>
          <w:lang w:eastAsia="zh-CN"/>
        </w:rPr>
        <w:t>an interspecific association between RP and infant weight</w:t>
      </w:r>
      <w:r w:rsidRPr="00B52F99">
        <w:rPr>
          <w:rFonts w:eastAsiaTheme="minorEastAsia"/>
          <w:color w:val="000000" w:themeColor="text1"/>
          <w:vertAlign w:val="superscript"/>
          <w:lang w:eastAsia="zh-CN"/>
        </w:rPr>
        <w:t xml:space="preserve">31 </w:t>
      </w:r>
      <w:r w:rsidRPr="00B52F99">
        <w:rPr>
          <w:rFonts w:eastAsiaTheme="minorEastAsia"/>
          <w:color w:val="000000" w:themeColor="text1"/>
          <w:lang w:eastAsia="zh-CN"/>
        </w:rPr>
        <w:t xml:space="preserve">points to a biorhythm that might exert an influence on body size from birth. </w:t>
      </w:r>
      <w:r w:rsidRPr="00B52F99">
        <w:rPr>
          <w:color w:val="000000" w:themeColor="text1"/>
          <w:shd w:val="clear" w:color="auto" w:fill="FFFFFF"/>
        </w:rPr>
        <w:t xml:space="preserve">It remains unknown whether this is the case for humans. </w:t>
      </w:r>
    </w:p>
    <w:p w14:paraId="7C2850BF" w14:textId="77777777" w:rsidR="00041DA2" w:rsidRPr="00B52F99" w:rsidRDefault="00041DA2" w:rsidP="00041DA2">
      <w:pPr>
        <w:autoSpaceDE w:val="0"/>
        <w:autoSpaceDN w:val="0"/>
        <w:adjustRightInd w:val="0"/>
        <w:spacing w:line="360" w:lineRule="auto"/>
        <w:jc w:val="both"/>
        <w:rPr>
          <w:color w:val="000000" w:themeColor="text1"/>
          <w:shd w:val="clear" w:color="auto" w:fill="FFFFFF"/>
        </w:rPr>
      </w:pPr>
      <w:r w:rsidRPr="00B52F99">
        <w:rPr>
          <w:color w:val="000000" w:themeColor="text1"/>
          <w:shd w:val="clear" w:color="auto" w:fill="FFFFFF"/>
        </w:rPr>
        <w:t xml:space="preserve"> </w:t>
      </w:r>
    </w:p>
    <w:p w14:paraId="31AE979D" w14:textId="77777777" w:rsidR="00041DA2" w:rsidRPr="00B52F99" w:rsidRDefault="00041DA2" w:rsidP="00041DA2">
      <w:pPr>
        <w:autoSpaceDE w:val="0"/>
        <w:autoSpaceDN w:val="0"/>
        <w:adjustRightInd w:val="0"/>
        <w:spacing w:line="360" w:lineRule="auto"/>
        <w:jc w:val="both"/>
        <w:rPr>
          <w:rFonts w:eastAsiaTheme="minorEastAsia"/>
          <w:color w:val="000000" w:themeColor="text1"/>
          <w:lang w:eastAsia="zh-CN"/>
        </w:rPr>
      </w:pPr>
      <w:r w:rsidRPr="00B52F99">
        <w:rPr>
          <w:color w:val="000000" w:themeColor="text1"/>
        </w:rPr>
        <w:t xml:space="preserve">Our findings provide researchers with a new avenue from which to explore links between </w:t>
      </w:r>
      <w:r w:rsidRPr="00B52F99">
        <w:rPr>
          <w:color w:val="000000" w:themeColor="text1"/>
          <w:shd w:val="clear" w:color="auto" w:fill="FFFFFF"/>
        </w:rPr>
        <w:t xml:space="preserve">overweight and obese children and adult health risks, as well as an </w:t>
      </w:r>
      <w:r w:rsidRPr="00B52F99">
        <w:rPr>
          <w:color w:val="000000" w:themeColor="text1"/>
        </w:rPr>
        <w:t>accelerated or decelerated pace of maturation. Naturally exfoliated primary (deciduous or ‘milk’) teeth</w:t>
      </w:r>
      <w:r w:rsidRPr="00B52F99">
        <w:rPr>
          <w:color w:val="000000" w:themeColor="text1"/>
          <w:shd w:val="clear" w:color="auto" w:fill="FFFFFF"/>
        </w:rPr>
        <w:t xml:space="preserve"> from children </w:t>
      </w:r>
      <w:r w:rsidRPr="00B52F99">
        <w:rPr>
          <w:color w:val="000000" w:themeColor="text1"/>
        </w:rPr>
        <w:t xml:space="preserve">may prove to be a </w:t>
      </w:r>
      <w:r w:rsidRPr="00B52F99">
        <w:rPr>
          <w:rFonts w:eastAsiaTheme="minorEastAsia"/>
          <w:color w:val="000000" w:themeColor="text1"/>
          <w:lang w:eastAsia="zh-CN"/>
        </w:rPr>
        <w:t>novel marker of weight related health risks, and thus be an actionable target for intervention many years before adverse health outcomes manifest in adulthood. T</w:t>
      </w:r>
      <w:r w:rsidRPr="00B52F99">
        <w:rPr>
          <w:color w:val="000000" w:themeColor="text1"/>
          <w:shd w:val="clear" w:color="auto" w:fill="FFFFFF"/>
        </w:rPr>
        <w:t>he aim of developing a novel predictor of human weight and health is clearly worth pursuing.</w:t>
      </w:r>
      <w:r w:rsidRPr="00B52F99">
        <w:rPr>
          <w:rFonts w:eastAsiaTheme="minorEastAsia"/>
          <w:color w:val="000000" w:themeColor="text1"/>
          <w:lang w:eastAsia="zh-CN"/>
        </w:rPr>
        <w:t xml:space="preserve"> </w:t>
      </w:r>
    </w:p>
    <w:p w14:paraId="11FB2EFD" w14:textId="77777777" w:rsidR="00041DA2" w:rsidRPr="00B52F99" w:rsidRDefault="00041DA2" w:rsidP="00041DA2">
      <w:pPr>
        <w:autoSpaceDE w:val="0"/>
        <w:autoSpaceDN w:val="0"/>
        <w:adjustRightInd w:val="0"/>
        <w:spacing w:line="360" w:lineRule="auto"/>
        <w:jc w:val="both"/>
        <w:rPr>
          <w:rFonts w:eastAsiaTheme="minorEastAsia"/>
          <w:color w:val="000000" w:themeColor="text1"/>
          <w:lang w:eastAsia="zh-CN"/>
        </w:rPr>
      </w:pPr>
    </w:p>
    <w:p w14:paraId="6C46684A" w14:textId="3308727E" w:rsidR="00041DA2" w:rsidRPr="00B52F99" w:rsidRDefault="00041DA2" w:rsidP="00041DA2">
      <w:pPr>
        <w:spacing w:line="360" w:lineRule="auto"/>
        <w:jc w:val="both"/>
        <w:rPr>
          <w:b/>
          <w:bCs/>
          <w:color w:val="000000" w:themeColor="text1"/>
          <w:sz w:val="32"/>
          <w:szCs w:val="32"/>
        </w:rPr>
      </w:pPr>
      <w:r w:rsidRPr="00B52F99">
        <w:rPr>
          <w:color w:val="000000" w:themeColor="text1"/>
        </w:rPr>
        <w:t>To summarise, we calculated the timing of a biorhythm in primary molars and compared these values to the weight and mass gained by a cohort of adolescents over 14-months. Those with a faster biorhythm of five and six days</w:t>
      </w:r>
      <w:r w:rsidR="00832B4F" w:rsidRPr="00B52F99">
        <w:rPr>
          <w:color w:val="000000" w:themeColor="text1"/>
        </w:rPr>
        <w:t xml:space="preserve"> </w:t>
      </w:r>
      <w:r w:rsidRPr="00B52F99">
        <w:rPr>
          <w:color w:val="000000" w:themeColor="text1"/>
        </w:rPr>
        <w:t xml:space="preserve">gained the least weight and mass. Those with a slower seven and eight-day biorhythm were more likely to have a </w:t>
      </w:r>
      <w:r w:rsidRPr="00B52F99">
        <w:rPr>
          <w:rFonts w:eastAsiaTheme="minorEastAsia"/>
          <w:color w:val="000000" w:themeColor="text1"/>
          <w:lang w:eastAsia="zh-CN"/>
        </w:rPr>
        <w:t>BMI above the 95</w:t>
      </w:r>
      <w:r w:rsidRPr="00B52F99">
        <w:rPr>
          <w:rFonts w:eastAsiaTheme="minorEastAsia"/>
          <w:color w:val="000000" w:themeColor="text1"/>
          <w:vertAlign w:val="superscript"/>
          <w:lang w:eastAsia="zh-CN"/>
        </w:rPr>
        <w:t>th</w:t>
      </w:r>
      <w:r w:rsidRPr="00B52F99">
        <w:rPr>
          <w:rFonts w:eastAsiaTheme="minorEastAsia"/>
          <w:color w:val="000000" w:themeColor="text1"/>
          <w:lang w:eastAsia="zh-CN"/>
        </w:rPr>
        <w:t xml:space="preserve"> percentile.</w:t>
      </w:r>
      <w:r w:rsidRPr="00B52F99">
        <w:rPr>
          <w:color w:val="000000" w:themeColor="text1"/>
        </w:rPr>
        <w:t xml:space="preserve"> These results provide first evidence that a long-period biorhythm associates with adolescent weight gain. </w:t>
      </w:r>
      <w:r w:rsidRPr="00B52F99">
        <w:rPr>
          <w:color w:val="000000" w:themeColor="text1"/>
          <w:shd w:val="clear" w:color="auto" w:fill="FFFFFF"/>
        </w:rPr>
        <w:t>Our study points towards a hypothalamic mediated biorhythm that is active during a key period of human growth.</w:t>
      </w:r>
    </w:p>
    <w:p w14:paraId="16729696" w14:textId="77777777" w:rsidR="00041DA2" w:rsidRPr="00B52F99" w:rsidRDefault="00041DA2" w:rsidP="00717FED">
      <w:pPr>
        <w:tabs>
          <w:tab w:val="left" w:pos="4678"/>
        </w:tabs>
        <w:spacing w:line="360" w:lineRule="auto"/>
        <w:jc w:val="both"/>
        <w:rPr>
          <w:color w:val="000000" w:themeColor="text1"/>
        </w:rPr>
      </w:pPr>
    </w:p>
    <w:p w14:paraId="3251A3B6" w14:textId="77777777" w:rsidR="008258F6" w:rsidRPr="00B52F99" w:rsidRDefault="008258F6" w:rsidP="005D0197">
      <w:pPr>
        <w:spacing w:line="276" w:lineRule="auto"/>
        <w:rPr>
          <w:b/>
          <w:bCs/>
          <w:color w:val="000000" w:themeColor="text1"/>
        </w:rPr>
      </w:pPr>
    </w:p>
    <w:p w14:paraId="532408CC" w14:textId="7094B3B9" w:rsidR="00A77B59" w:rsidRPr="00B52F99" w:rsidRDefault="00A77B59" w:rsidP="005D0197">
      <w:pPr>
        <w:spacing w:line="276" w:lineRule="auto"/>
        <w:rPr>
          <w:b/>
          <w:bCs/>
          <w:color w:val="000000" w:themeColor="text1"/>
          <w:sz w:val="28"/>
          <w:szCs w:val="28"/>
        </w:rPr>
      </w:pPr>
      <w:r w:rsidRPr="00B52F99">
        <w:rPr>
          <w:b/>
          <w:bCs/>
          <w:color w:val="000000" w:themeColor="text1"/>
          <w:sz w:val="28"/>
          <w:szCs w:val="28"/>
        </w:rPr>
        <w:t>Data availability</w:t>
      </w:r>
    </w:p>
    <w:p w14:paraId="6B6E8E95" w14:textId="1B37BBA1" w:rsidR="003C2B1F" w:rsidRPr="00B52F99" w:rsidRDefault="009675FC" w:rsidP="003C2B1F">
      <w:pPr>
        <w:rPr>
          <w:color w:val="000000" w:themeColor="text1"/>
        </w:rPr>
      </w:pPr>
      <w:r w:rsidRPr="00B52F99">
        <w:rPr>
          <w:color w:val="000000" w:themeColor="text1"/>
          <w:shd w:val="clear" w:color="auto" w:fill="FFFFFF"/>
        </w:rPr>
        <w:t>D</w:t>
      </w:r>
      <w:r w:rsidR="00CC646E" w:rsidRPr="00B52F99">
        <w:rPr>
          <w:color w:val="000000" w:themeColor="text1"/>
          <w:shd w:val="clear" w:color="auto" w:fill="FFFFFF"/>
        </w:rPr>
        <w:t>ata underlying Figs. 2</w:t>
      </w:r>
      <w:r w:rsidRPr="00B52F99">
        <w:rPr>
          <w:color w:val="000000" w:themeColor="text1"/>
          <w:shd w:val="clear" w:color="auto" w:fill="FFFFFF"/>
        </w:rPr>
        <w:t xml:space="preserve"> - </w:t>
      </w:r>
      <w:r w:rsidR="00617160" w:rsidRPr="00B52F99">
        <w:rPr>
          <w:color w:val="000000" w:themeColor="text1"/>
          <w:shd w:val="clear" w:color="auto" w:fill="FFFFFF"/>
        </w:rPr>
        <w:t>5</w:t>
      </w:r>
      <w:r w:rsidR="00CC646E" w:rsidRPr="00B52F99">
        <w:rPr>
          <w:color w:val="000000" w:themeColor="text1"/>
        </w:rPr>
        <w:t xml:space="preserve"> </w:t>
      </w:r>
      <w:r w:rsidR="00CC646E" w:rsidRPr="00B52F99">
        <w:rPr>
          <w:color w:val="000000" w:themeColor="text1"/>
          <w:shd w:val="clear" w:color="auto" w:fill="FFFFFF"/>
        </w:rPr>
        <w:t xml:space="preserve">is </w:t>
      </w:r>
      <w:r w:rsidR="00617160" w:rsidRPr="00B52F99">
        <w:rPr>
          <w:color w:val="000000" w:themeColor="text1"/>
          <w:shd w:val="clear" w:color="auto" w:fill="FFFFFF"/>
        </w:rPr>
        <w:t>pr</w:t>
      </w:r>
      <w:r w:rsidRPr="00B52F99">
        <w:rPr>
          <w:color w:val="000000" w:themeColor="text1"/>
          <w:shd w:val="clear" w:color="auto" w:fill="FFFFFF"/>
        </w:rPr>
        <w:t xml:space="preserve">esent </w:t>
      </w:r>
      <w:r w:rsidR="00CC646E" w:rsidRPr="00B52F99">
        <w:rPr>
          <w:color w:val="000000" w:themeColor="text1"/>
          <w:shd w:val="clear" w:color="auto" w:fill="FFFFFF"/>
        </w:rPr>
        <w:t xml:space="preserve">in Supplementary Data </w:t>
      </w:r>
      <w:r w:rsidR="00486A18" w:rsidRPr="00B52F99">
        <w:rPr>
          <w:color w:val="000000" w:themeColor="text1"/>
          <w:shd w:val="clear" w:color="auto" w:fill="FFFFFF"/>
        </w:rPr>
        <w:t xml:space="preserve">files </w:t>
      </w:r>
      <w:r w:rsidR="00CC646E" w:rsidRPr="00B52F99">
        <w:rPr>
          <w:color w:val="000000" w:themeColor="text1"/>
          <w:shd w:val="clear" w:color="auto" w:fill="FFFFFF"/>
        </w:rPr>
        <w:t>1</w:t>
      </w:r>
      <w:r w:rsidRPr="00B52F99">
        <w:rPr>
          <w:color w:val="000000" w:themeColor="text1"/>
          <w:shd w:val="clear" w:color="auto" w:fill="FFFFFF"/>
        </w:rPr>
        <w:t xml:space="preserve"> - 4</w:t>
      </w:r>
      <w:r w:rsidR="00CC646E" w:rsidRPr="00B52F99">
        <w:rPr>
          <w:color w:val="000000" w:themeColor="text1"/>
          <w:shd w:val="clear" w:color="auto" w:fill="FFFFFF"/>
        </w:rPr>
        <w:t>.</w:t>
      </w:r>
      <w:r w:rsidR="00A43D2C" w:rsidRPr="00B52F99">
        <w:rPr>
          <w:color w:val="000000" w:themeColor="text1"/>
        </w:rPr>
        <w:t xml:space="preserve">  </w:t>
      </w:r>
      <w:r w:rsidR="00F03F8D" w:rsidRPr="00B52F99">
        <w:rPr>
          <w:color w:val="000000" w:themeColor="text1"/>
          <w:shd w:val="clear" w:color="auto" w:fill="FFFFFF"/>
        </w:rPr>
        <w:t xml:space="preserve">All data supporting this study </w:t>
      </w:r>
      <w:r w:rsidRPr="00B52F99">
        <w:rPr>
          <w:color w:val="000000" w:themeColor="text1"/>
          <w:shd w:val="clear" w:color="auto" w:fill="FFFFFF"/>
        </w:rPr>
        <w:t xml:space="preserve">and </w:t>
      </w:r>
      <w:r w:rsidR="00F03F8D" w:rsidRPr="00B52F99">
        <w:rPr>
          <w:color w:val="000000" w:themeColor="text1"/>
          <w:shd w:val="clear" w:color="auto" w:fill="FFFFFF"/>
        </w:rPr>
        <w:t xml:space="preserve">described in this manuscript are available </w:t>
      </w:r>
      <w:r w:rsidR="00C57DD6" w:rsidRPr="00B52F99">
        <w:rPr>
          <w:color w:val="000000" w:themeColor="text1"/>
          <w:shd w:val="clear" w:color="auto" w:fill="FFFFFF"/>
        </w:rPr>
        <w:t>a</w:t>
      </w:r>
      <w:r w:rsidR="00013631" w:rsidRPr="00B52F99">
        <w:rPr>
          <w:color w:val="000000" w:themeColor="text1"/>
          <w:shd w:val="clear" w:color="auto" w:fill="FFFFFF"/>
        </w:rPr>
        <w:t>t</w:t>
      </w:r>
      <w:r w:rsidR="003C2B1F" w:rsidRPr="00B52F99">
        <w:rPr>
          <w:color w:val="000000" w:themeColor="text1"/>
          <w:shd w:val="clear" w:color="auto" w:fill="FFFFFF"/>
        </w:rPr>
        <w:t xml:space="preserve"> the University of Kent data repository through the following url: </w:t>
      </w:r>
      <w:hyperlink r:id="rId8" w:history="1">
        <w:r w:rsidR="005D052F" w:rsidRPr="003C2B1F">
          <w:rPr>
            <w:rStyle w:val="Hyperlink"/>
            <w:color w:val="002060"/>
            <w:bdr w:val="none" w:sz="0" w:space="0" w:color="auto" w:frame="1"/>
            <w:shd w:val="clear" w:color="auto" w:fill="FFFFFF"/>
          </w:rPr>
          <w:t>https://data.kent.ac.uk/id/eprint/411</w:t>
        </w:r>
      </w:hyperlink>
    </w:p>
    <w:p w14:paraId="11AD97BA" w14:textId="77777777" w:rsidR="008D22C7" w:rsidRPr="00B52F99" w:rsidRDefault="008D22C7" w:rsidP="005D0197">
      <w:pPr>
        <w:spacing w:line="276" w:lineRule="auto"/>
        <w:rPr>
          <w:color w:val="000000" w:themeColor="text1"/>
        </w:rPr>
      </w:pPr>
    </w:p>
    <w:p w14:paraId="58BC5769" w14:textId="103B9AF7" w:rsidR="009547AC" w:rsidRPr="00B52F99" w:rsidRDefault="009547AC" w:rsidP="005D0197">
      <w:pPr>
        <w:spacing w:line="276" w:lineRule="auto"/>
        <w:rPr>
          <w:b/>
          <w:bCs/>
          <w:color w:val="000000" w:themeColor="text1"/>
          <w:sz w:val="28"/>
          <w:szCs w:val="28"/>
        </w:rPr>
      </w:pPr>
      <w:r w:rsidRPr="00B52F99">
        <w:rPr>
          <w:b/>
          <w:bCs/>
          <w:color w:val="000000" w:themeColor="text1"/>
          <w:sz w:val="28"/>
          <w:szCs w:val="28"/>
        </w:rPr>
        <w:t>Supplementary information</w:t>
      </w:r>
    </w:p>
    <w:p w14:paraId="59B4A310" w14:textId="7C6502C1" w:rsidR="009547AC" w:rsidRPr="00B52F99" w:rsidRDefault="00462A3E" w:rsidP="005D0197">
      <w:pPr>
        <w:spacing w:line="276" w:lineRule="auto"/>
        <w:rPr>
          <w:color w:val="000000" w:themeColor="text1"/>
        </w:rPr>
      </w:pPr>
      <w:r w:rsidRPr="00B52F99">
        <w:rPr>
          <w:color w:val="000000" w:themeColor="text1"/>
        </w:rPr>
        <w:t xml:space="preserve">Supplementary tables and figures are available in a single </w:t>
      </w:r>
      <w:r w:rsidR="00572216" w:rsidRPr="00B52F99">
        <w:rPr>
          <w:color w:val="000000" w:themeColor="text1"/>
        </w:rPr>
        <w:t xml:space="preserve">Supplementary </w:t>
      </w:r>
      <w:r w:rsidRPr="00B52F99">
        <w:rPr>
          <w:color w:val="000000" w:themeColor="text1"/>
        </w:rPr>
        <w:t>pdf</w:t>
      </w:r>
      <w:r w:rsidR="00572216" w:rsidRPr="00B52F99">
        <w:rPr>
          <w:color w:val="000000" w:themeColor="text1"/>
        </w:rPr>
        <w:t xml:space="preserve"> file</w:t>
      </w:r>
      <w:r w:rsidRPr="00B52F99">
        <w:rPr>
          <w:color w:val="000000" w:themeColor="text1"/>
        </w:rPr>
        <w:t>.</w:t>
      </w:r>
    </w:p>
    <w:p w14:paraId="4A279395" w14:textId="556AFF99" w:rsidR="008E6A52" w:rsidRPr="00B52F99" w:rsidRDefault="008E6A52" w:rsidP="005D0197">
      <w:pPr>
        <w:spacing w:line="276" w:lineRule="auto"/>
        <w:rPr>
          <w:color w:val="000000" w:themeColor="text1"/>
        </w:rPr>
      </w:pPr>
      <w:r w:rsidRPr="00B52F99">
        <w:rPr>
          <w:color w:val="000000" w:themeColor="text1"/>
        </w:rPr>
        <w:t>Reporting summary is available as a single Supplementary pdf file</w:t>
      </w:r>
    </w:p>
    <w:p w14:paraId="7FFA8DB1" w14:textId="77777777" w:rsidR="00C912D7" w:rsidRPr="00B52F99" w:rsidRDefault="00C912D7" w:rsidP="005D0197">
      <w:pPr>
        <w:spacing w:line="276" w:lineRule="auto"/>
        <w:rPr>
          <w:b/>
          <w:bCs/>
          <w:color w:val="000000" w:themeColor="text1"/>
        </w:rPr>
      </w:pPr>
    </w:p>
    <w:p w14:paraId="655EBB06" w14:textId="50C71196" w:rsidR="005D46F4" w:rsidRPr="00B52F99" w:rsidRDefault="005D46F4" w:rsidP="005D0197">
      <w:pPr>
        <w:spacing w:line="276" w:lineRule="auto"/>
        <w:rPr>
          <w:b/>
          <w:bCs/>
          <w:color w:val="000000" w:themeColor="text1"/>
          <w:sz w:val="28"/>
          <w:szCs w:val="28"/>
        </w:rPr>
      </w:pPr>
      <w:r w:rsidRPr="00B52F99">
        <w:rPr>
          <w:b/>
          <w:bCs/>
          <w:color w:val="000000" w:themeColor="text1"/>
          <w:sz w:val="28"/>
          <w:szCs w:val="28"/>
        </w:rPr>
        <w:t>Acknowledgments</w:t>
      </w:r>
    </w:p>
    <w:p w14:paraId="794CAA28" w14:textId="00ED18A7" w:rsidR="005D46F4" w:rsidRPr="00B52F99" w:rsidRDefault="005D46F4" w:rsidP="008F6A1F">
      <w:pPr>
        <w:pStyle w:val="CommentText"/>
        <w:spacing w:line="276" w:lineRule="auto"/>
        <w:jc w:val="both"/>
        <w:rPr>
          <w:color w:val="000000" w:themeColor="text1"/>
          <w:sz w:val="24"/>
          <w:szCs w:val="24"/>
        </w:rPr>
      </w:pPr>
      <w:r w:rsidRPr="00B52F99">
        <w:rPr>
          <w:color w:val="000000" w:themeColor="text1"/>
          <w:sz w:val="24"/>
          <w:szCs w:val="24"/>
        </w:rPr>
        <w:t>This study was undertaken as part of the Biorhythm of Childhood Growth project funded by The Leverhulme Trust (grant number RPG-2018-226</w:t>
      </w:r>
      <w:r w:rsidR="000B047A" w:rsidRPr="00B52F99">
        <w:rPr>
          <w:color w:val="000000" w:themeColor="text1"/>
          <w:sz w:val="24"/>
          <w:szCs w:val="24"/>
        </w:rPr>
        <w:t xml:space="preserve"> awarded to PM</w:t>
      </w:r>
      <w:r w:rsidRPr="00B52F99">
        <w:rPr>
          <w:color w:val="000000" w:themeColor="text1"/>
          <w:sz w:val="24"/>
          <w:szCs w:val="24"/>
        </w:rPr>
        <w:t xml:space="preserve">). </w:t>
      </w:r>
      <w:r w:rsidR="000B047A" w:rsidRPr="00B52F99">
        <w:rPr>
          <w:color w:val="000000" w:themeColor="text1"/>
          <w:sz w:val="24"/>
          <w:szCs w:val="24"/>
          <w:shd w:val="clear" w:color="auto" w:fill="FFFFFF"/>
        </w:rPr>
        <w:t xml:space="preserve">We acknowledge the European Union's Horizon 2020 research and innovation programme under the Marie </w:t>
      </w:r>
      <w:proofErr w:type="spellStart"/>
      <w:r w:rsidR="000B047A" w:rsidRPr="00B52F99">
        <w:rPr>
          <w:color w:val="000000" w:themeColor="text1"/>
          <w:sz w:val="24"/>
          <w:szCs w:val="24"/>
          <w:shd w:val="clear" w:color="auto" w:fill="FFFFFF"/>
        </w:rPr>
        <w:t>Skłodowska</w:t>
      </w:r>
      <w:proofErr w:type="spellEnd"/>
      <w:r w:rsidR="000B047A" w:rsidRPr="00B52F99">
        <w:rPr>
          <w:color w:val="000000" w:themeColor="text1"/>
          <w:sz w:val="24"/>
          <w:szCs w:val="24"/>
          <w:shd w:val="clear" w:color="auto" w:fill="FFFFFF"/>
        </w:rPr>
        <w:t>-Curie (Grant H2020-MSCA-IF-2018-842812 awarded to AN).</w:t>
      </w:r>
      <w:r w:rsidRPr="00B52F99">
        <w:rPr>
          <w:color w:val="000000" w:themeColor="text1"/>
          <w:sz w:val="24"/>
          <w:szCs w:val="24"/>
          <w:bdr w:val="none" w:sz="0" w:space="0" w:color="auto" w:frame="1"/>
        </w:rPr>
        <w:t>We thank participants</w:t>
      </w:r>
      <w:r w:rsidR="005619B2" w:rsidRPr="00B52F99">
        <w:rPr>
          <w:color w:val="000000" w:themeColor="text1"/>
          <w:sz w:val="24"/>
          <w:szCs w:val="24"/>
          <w:bdr w:val="none" w:sz="0" w:space="0" w:color="auto" w:frame="1"/>
        </w:rPr>
        <w:t xml:space="preserve"> and their families</w:t>
      </w:r>
      <w:r w:rsidR="00D501B0" w:rsidRPr="00B52F99">
        <w:rPr>
          <w:color w:val="000000" w:themeColor="text1"/>
          <w:sz w:val="24"/>
          <w:szCs w:val="24"/>
          <w:bdr w:val="none" w:sz="0" w:space="0" w:color="auto" w:frame="1"/>
        </w:rPr>
        <w:t xml:space="preserve">, </w:t>
      </w:r>
      <w:r w:rsidRPr="00B52F99">
        <w:rPr>
          <w:color w:val="000000" w:themeColor="text1"/>
          <w:sz w:val="24"/>
          <w:szCs w:val="24"/>
          <w:bdr w:val="none" w:sz="0" w:space="0" w:color="auto" w:frame="1"/>
        </w:rPr>
        <w:t xml:space="preserve">teachers </w:t>
      </w:r>
      <w:r w:rsidR="00D501B0" w:rsidRPr="00B52F99">
        <w:rPr>
          <w:color w:val="000000" w:themeColor="text1"/>
          <w:sz w:val="24"/>
          <w:szCs w:val="24"/>
          <w:bdr w:val="none" w:sz="0" w:space="0" w:color="auto" w:frame="1"/>
        </w:rPr>
        <w:t xml:space="preserve">and principals </w:t>
      </w:r>
      <w:r w:rsidRPr="00B52F99">
        <w:rPr>
          <w:color w:val="000000" w:themeColor="text1"/>
          <w:sz w:val="24"/>
          <w:szCs w:val="24"/>
          <w:bdr w:val="none" w:sz="0" w:space="0" w:color="auto" w:frame="1"/>
        </w:rPr>
        <w:t xml:space="preserve">of the participating Dunedin Schools: Tainui School, Carisbrook School, </w:t>
      </w:r>
      <w:proofErr w:type="spellStart"/>
      <w:r w:rsidRPr="00B52F99">
        <w:rPr>
          <w:color w:val="000000" w:themeColor="text1"/>
          <w:sz w:val="24"/>
          <w:szCs w:val="24"/>
          <w:bdr w:val="none" w:sz="0" w:space="0" w:color="auto" w:frame="1"/>
        </w:rPr>
        <w:t>Tahuna</w:t>
      </w:r>
      <w:proofErr w:type="spellEnd"/>
      <w:r w:rsidRPr="00B52F99">
        <w:rPr>
          <w:color w:val="000000" w:themeColor="text1"/>
          <w:sz w:val="24"/>
          <w:szCs w:val="24"/>
          <w:bdr w:val="none" w:sz="0" w:space="0" w:color="auto" w:frame="1"/>
        </w:rPr>
        <w:t xml:space="preserve"> Intermediate, St Bernadette's School, Kavanagh </w:t>
      </w:r>
      <w:r w:rsidR="005619B2" w:rsidRPr="00B52F99">
        <w:rPr>
          <w:color w:val="000000" w:themeColor="text1"/>
          <w:sz w:val="24"/>
          <w:szCs w:val="24"/>
          <w:bdr w:val="none" w:sz="0" w:space="0" w:color="auto" w:frame="1"/>
        </w:rPr>
        <w:t>C</w:t>
      </w:r>
      <w:r w:rsidRPr="00B52F99">
        <w:rPr>
          <w:color w:val="000000" w:themeColor="text1"/>
          <w:sz w:val="24"/>
          <w:szCs w:val="24"/>
          <w:bdr w:val="none" w:sz="0" w:space="0" w:color="auto" w:frame="1"/>
        </w:rPr>
        <w:t xml:space="preserve">ollege, George St Normal School, Dunedin North Intermediate, </w:t>
      </w:r>
      <w:proofErr w:type="spellStart"/>
      <w:r w:rsidRPr="00B52F99">
        <w:rPr>
          <w:color w:val="000000" w:themeColor="text1"/>
          <w:sz w:val="24"/>
          <w:szCs w:val="24"/>
          <w:bdr w:val="none" w:sz="0" w:space="0" w:color="auto" w:frame="1"/>
        </w:rPr>
        <w:t>Balmacewen</w:t>
      </w:r>
      <w:proofErr w:type="spellEnd"/>
      <w:r w:rsidRPr="00B52F99">
        <w:rPr>
          <w:color w:val="000000" w:themeColor="text1"/>
          <w:sz w:val="24"/>
          <w:szCs w:val="24"/>
          <w:bdr w:val="none" w:sz="0" w:space="0" w:color="auto" w:frame="1"/>
        </w:rPr>
        <w:t xml:space="preserve"> </w:t>
      </w:r>
      <w:r w:rsidR="005619B2" w:rsidRPr="00B52F99">
        <w:rPr>
          <w:color w:val="000000" w:themeColor="text1"/>
          <w:sz w:val="24"/>
          <w:szCs w:val="24"/>
          <w:bdr w:val="none" w:sz="0" w:space="0" w:color="auto" w:frame="1"/>
        </w:rPr>
        <w:t>S</w:t>
      </w:r>
      <w:r w:rsidRPr="00B52F99">
        <w:rPr>
          <w:color w:val="000000" w:themeColor="text1"/>
          <w:sz w:val="24"/>
          <w:szCs w:val="24"/>
          <w:bdr w:val="none" w:sz="0" w:space="0" w:color="auto" w:frame="1"/>
        </w:rPr>
        <w:t xml:space="preserve">chool, Columba </w:t>
      </w:r>
      <w:r w:rsidR="00D501B0" w:rsidRPr="00B52F99">
        <w:rPr>
          <w:color w:val="000000" w:themeColor="text1"/>
          <w:sz w:val="24"/>
          <w:szCs w:val="24"/>
          <w:bdr w:val="none" w:sz="0" w:space="0" w:color="auto" w:frame="1"/>
        </w:rPr>
        <w:t>C</w:t>
      </w:r>
      <w:r w:rsidRPr="00B52F99">
        <w:rPr>
          <w:color w:val="000000" w:themeColor="text1"/>
          <w:sz w:val="24"/>
          <w:szCs w:val="24"/>
          <w:bdr w:val="none" w:sz="0" w:space="0" w:color="auto" w:frame="1"/>
        </w:rPr>
        <w:t xml:space="preserve">ollege, John McGlashen </w:t>
      </w:r>
      <w:r w:rsidR="00D501B0" w:rsidRPr="00B52F99">
        <w:rPr>
          <w:color w:val="000000" w:themeColor="text1"/>
          <w:sz w:val="24"/>
          <w:szCs w:val="24"/>
          <w:bdr w:val="none" w:sz="0" w:space="0" w:color="auto" w:frame="1"/>
        </w:rPr>
        <w:t>C</w:t>
      </w:r>
      <w:r w:rsidRPr="00B52F99">
        <w:rPr>
          <w:color w:val="000000" w:themeColor="text1"/>
          <w:sz w:val="24"/>
          <w:szCs w:val="24"/>
          <w:bdr w:val="none" w:sz="0" w:space="0" w:color="auto" w:frame="1"/>
        </w:rPr>
        <w:t>ollege, St Clair</w:t>
      </w:r>
      <w:r w:rsidR="00DB4F84" w:rsidRPr="00B52F99">
        <w:rPr>
          <w:color w:val="000000" w:themeColor="text1"/>
          <w:sz w:val="24"/>
          <w:szCs w:val="24"/>
          <w:bdr w:val="none" w:sz="0" w:space="0" w:color="auto" w:frame="1"/>
        </w:rPr>
        <w:t>e</w:t>
      </w:r>
      <w:r w:rsidRPr="00B52F99">
        <w:rPr>
          <w:color w:val="000000" w:themeColor="text1"/>
          <w:sz w:val="24"/>
          <w:szCs w:val="24"/>
          <w:bdr w:val="none" w:sz="0" w:space="0" w:color="auto" w:frame="1"/>
        </w:rPr>
        <w:t xml:space="preserve"> Primary </w:t>
      </w:r>
      <w:r w:rsidR="005619B2" w:rsidRPr="00B52F99">
        <w:rPr>
          <w:color w:val="000000" w:themeColor="text1"/>
          <w:sz w:val="24"/>
          <w:szCs w:val="24"/>
          <w:bdr w:val="none" w:sz="0" w:space="0" w:color="auto" w:frame="1"/>
        </w:rPr>
        <w:t>S</w:t>
      </w:r>
      <w:r w:rsidRPr="00B52F99">
        <w:rPr>
          <w:color w:val="000000" w:themeColor="text1"/>
          <w:sz w:val="24"/>
          <w:szCs w:val="24"/>
          <w:bdr w:val="none" w:sz="0" w:space="0" w:color="auto" w:frame="1"/>
        </w:rPr>
        <w:t xml:space="preserve">chool, </w:t>
      </w:r>
      <w:proofErr w:type="spellStart"/>
      <w:r w:rsidRPr="00B52F99">
        <w:rPr>
          <w:color w:val="000000" w:themeColor="text1"/>
          <w:sz w:val="24"/>
          <w:szCs w:val="24"/>
          <w:bdr w:val="none" w:sz="0" w:space="0" w:color="auto" w:frame="1"/>
        </w:rPr>
        <w:t>Wakari</w:t>
      </w:r>
      <w:proofErr w:type="spellEnd"/>
      <w:r w:rsidRPr="00B52F99">
        <w:rPr>
          <w:color w:val="000000" w:themeColor="text1"/>
          <w:sz w:val="24"/>
          <w:szCs w:val="24"/>
          <w:bdr w:val="none" w:sz="0" w:space="0" w:color="auto" w:frame="1"/>
        </w:rPr>
        <w:t xml:space="preserve"> School, Bathgate Park School, </w:t>
      </w:r>
      <w:proofErr w:type="spellStart"/>
      <w:r w:rsidRPr="00B52F99">
        <w:rPr>
          <w:color w:val="000000" w:themeColor="text1"/>
          <w:sz w:val="24"/>
          <w:szCs w:val="24"/>
          <w:bdr w:val="none" w:sz="0" w:space="0" w:color="auto" w:frame="1"/>
        </w:rPr>
        <w:t>Elmgrove</w:t>
      </w:r>
      <w:proofErr w:type="spellEnd"/>
      <w:r w:rsidRPr="00B52F99">
        <w:rPr>
          <w:color w:val="000000" w:themeColor="text1"/>
          <w:sz w:val="24"/>
          <w:szCs w:val="24"/>
          <w:bdr w:val="none" w:sz="0" w:space="0" w:color="auto" w:frame="1"/>
        </w:rPr>
        <w:t xml:space="preserve"> School, Taieri College, Fairfield School, East Taieri School, Arthur St School, </w:t>
      </w:r>
      <w:r w:rsidR="00D501B0" w:rsidRPr="00B52F99">
        <w:rPr>
          <w:color w:val="000000" w:themeColor="text1"/>
          <w:sz w:val="24"/>
          <w:szCs w:val="24"/>
          <w:bdr w:val="none" w:sz="0" w:space="0" w:color="auto" w:frame="1"/>
        </w:rPr>
        <w:t xml:space="preserve">and </w:t>
      </w:r>
      <w:r w:rsidRPr="00B52F99">
        <w:rPr>
          <w:color w:val="000000" w:themeColor="text1"/>
          <w:sz w:val="24"/>
          <w:szCs w:val="24"/>
          <w:bdr w:val="none" w:sz="0" w:space="0" w:color="auto" w:frame="1"/>
        </w:rPr>
        <w:t xml:space="preserve">Grant's Braes School. </w:t>
      </w:r>
    </w:p>
    <w:p w14:paraId="0BA4E350" w14:textId="666DF5C4" w:rsidR="005D46F4" w:rsidRPr="00B52F99" w:rsidRDefault="005D46F4" w:rsidP="008F6A1F">
      <w:pPr>
        <w:shd w:val="clear" w:color="auto" w:fill="FFFFFF"/>
        <w:spacing w:line="276" w:lineRule="auto"/>
        <w:jc w:val="both"/>
        <w:rPr>
          <w:i/>
          <w:iCs/>
          <w:color w:val="000000" w:themeColor="text1"/>
          <w:bdr w:val="none" w:sz="0" w:space="0" w:color="auto" w:frame="1"/>
        </w:rPr>
      </w:pPr>
      <w:r w:rsidRPr="00B52F99">
        <w:rPr>
          <w:i/>
          <w:iCs/>
          <w:color w:val="000000" w:themeColor="text1"/>
          <w:bdr w:val="none" w:sz="0" w:space="0" w:color="auto" w:frame="1"/>
        </w:rPr>
        <w:t> </w:t>
      </w:r>
    </w:p>
    <w:p w14:paraId="237A4A87" w14:textId="77777777" w:rsidR="003D357B" w:rsidRPr="00B52F99" w:rsidRDefault="003D357B" w:rsidP="008F6A1F">
      <w:pPr>
        <w:shd w:val="clear" w:color="auto" w:fill="FFFFFF"/>
        <w:spacing w:line="276" w:lineRule="auto"/>
        <w:jc w:val="both"/>
        <w:rPr>
          <w:color w:val="000000" w:themeColor="text1"/>
        </w:rPr>
      </w:pPr>
    </w:p>
    <w:p w14:paraId="4D6CDF3C" w14:textId="77777777" w:rsidR="0040524A" w:rsidRPr="00B52F99" w:rsidRDefault="0040524A" w:rsidP="008F6A1F">
      <w:pPr>
        <w:spacing w:line="276" w:lineRule="auto"/>
        <w:rPr>
          <w:b/>
          <w:bCs/>
          <w:color w:val="000000" w:themeColor="text1"/>
          <w:sz w:val="28"/>
          <w:szCs w:val="28"/>
        </w:rPr>
      </w:pPr>
      <w:r w:rsidRPr="00B52F99">
        <w:rPr>
          <w:b/>
          <w:bCs/>
          <w:color w:val="000000" w:themeColor="text1"/>
          <w:sz w:val="28"/>
          <w:szCs w:val="28"/>
        </w:rPr>
        <w:lastRenderedPageBreak/>
        <w:t xml:space="preserve">Author contributions  </w:t>
      </w:r>
    </w:p>
    <w:p w14:paraId="22C4B0D8" w14:textId="22AB047A" w:rsidR="0040524A" w:rsidRPr="00B52F99" w:rsidRDefault="00DB4F84" w:rsidP="008F6A1F">
      <w:pPr>
        <w:spacing w:line="276" w:lineRule="auto"/>
        <w:rPr>
          <w:color w:val="000000" w:themeColor="text1"/>
        </w:rPr>
      </w:pPr>
      <w:r w:rsidRPr="00B52F99">
        <w:rPr>
          <w:color w:val="000000" w:themeColor="text1"/>
        </w:rPr>
        <w:t xml:space="preserve">PM, CL, and DGS conceptualised the project. </w:t>
      </w:r>
      <w:r w:rsidR="00B53649" w:rsidRPr="00B52F99">
        <w:rPr>
          <w:color w:val="000000" w:themeColor="text1"/>
        </w:rPr>
        <w:t>GM, SW, CL, BF</w:t>
      </w:r>
      <w:r w:rsidR="00572216" w:rsidRPr="00B52F99">
        <w:rPr>
          <w:color w:val="000000" w:themeColor="text1"/>
        </w:rPr>
        <w:t xml:space="preserve">, </w:t>
      </w:r>
      <w:r w:rsidR="00FD3021" w:rsidRPr="00B52F99">
        <w:rPr>
          <w:color w:val="000000" w:themeColor="text1"/>
        </w:rPr>
        <w:t xml:space="preserve">RP, </w:t>
      </w:r>
      <w:r w:rsidR="00572216" w:rsidRPr="00B52F99">
        <w:rPr>
          <w:color w:val="000000" w:themeColor="text1"/>
        </w:rPr>
        <w:t>and PM</w:t>
      </w:r>
      <w:r w:rsidR="00B53649" w:rsidRPr="00B52F99">
        <w:rPr>
          <w:color w:val="000000" w:themeColor="text1"/>
        </w:rPr>
        <w:t xml:space="preserve"> p</w:t>
      </w:r>
      <w:r w:rsidR="0040524A" w:rsidRPr="00B52F99">
        <w:rPr>
          <w:color w:val="000000" w:themeColor="text1"/>
        </w:rPr>
        <w:t xml:space="preserve">articipated in data generation. </w:t>
      </w:r>
      <w:r w:rsidR="00B53649" w:rsidRPr="00B52F99">
        <w:rPr>
          <w:color w:val="000000" w:themeColor="text1"/>
        </w:rPr>
        <w:t>PM</w:t>
      </w:r>
      <w:r w:rsidR="00024542" w:rsidRPr="00B52F99">
        <w:rPr>
          <w:color w:val="000000" w:themeColor="text1"/>
        </w:rPr>
        <w:t xml:space="preserve"> </w:t>
      </w:r>
      <w:r w:rsidRPr="00B52F99">
        <w:rPr>
          <w:color w:val="000000" w:themeColor="text1"/>
        </w:rPr>
        <w:t>and BF</w:t>
      </w:r>
      <w:r w:rsidR="00B53649" w:rsidRPr="00B52F99">
        <w:rPr>
          <w:color w:val="000000" w:themeColor="text1"/>
        </w:rPr>
        <w:t xml:space="preserve"> </w:t>
      </w:r>
      <w:r w:rsidR="00024542" w:rsidRPr="00B52F99">
        <w:rPr>
          <w:color w:val="000000" w:themeColor="text1"/>
        </w:rPr>
        <w:t>conducted</w:t>
      </w:r>
      <w:r w:rsidR="0040524A" w:rsidRPr="00B52F99">
        <w:rPr>
          <w:color w:val="000000" w:themeColor="text1"/>
        </w:rPr>
        <w:t xml:space="preserve"> data analysis</w:t>
      </w:r>
      <w:r w:rsidR="00B53649" w:rsidRPr="00B52F99">
        <w:rPr>
          <w:color w:val="000000" w:themeColor="text1"/>
        </w:rPr>
        <w:t>. PM</w:t>
      </w:r>
      <w:r w:rsidR="0040524A" w:rsidRPr="00B52F99">
        <w:rPr>
          <w:color w:val="000000" w:themeColor="text1"/>
        </w:rPr>
        <w:t>,</w:t>
      </w:r>
      <w:r w:rsidR="00B53649" w:rsidRPr="00B52F99">
        <w:rPr>
          <w:color w:val="000000" w:themeColor="text1"/>
        </w:rPr>
        <w:t xml:space="preserve"> ED, </w:t>
      </w:r>
      <w:r w:rsidR="00560140" w:rsidRPr="00B52F99">
        <w:rPr>
          <w:color w:val="000000" w:themeColor="text1"/>
        </w:rPr>
        <w:t xml:space="preserve">AN, </w:t>
      </w:r>
      <w:r w:rsidR="00B53649" w:rsidRPr="00B52F99">
        <w:rPr>
          <w:color w:val="000000" w:themeColor="text1"/>
        </w:rPr>
        <w:t xml:space="preserve">and DGS wrote the manuscript. All contributed to </w:t>
      </w:r>
      <w:r w:rsidR="0040524A" w:rsidRPr="00B52F99">
        <w:rPr>
          <w:color w:val="000000" w:themeColor="text1"/>
        </w:rPr>
        <w:t>interpretation</w:t>
      </w:r>
      <w:r w:rsidR="00B53649" w:rsidRPr="00B52F99">
        <w:rPr>
          <w:color w:val="000000" w:themeColor="text1"/>
        </w:rPr>
        <w:t xml:space="preserve">. </w:t>
      </w:r>
    </w:p>
    <w:p w14:paraId="5A421EE0" w14:textId="77777777" w:rsidR="0040524A" w:rsidRPr="00B52F99" w:rsidRDefault="0040524A" w:rsidP="008F6A1F">
      <w:pPr>
        <w:spacing w:line="276" w:lineRule="auto"/>
        <w:rPr>
          <w:color w:val="000000" w:themeColor="text1"/>
        </w:rPr>
      </w:pPr>
    </w:p>
    <w:p w14:paraId="2EF89E47" w14:textId="35A758A2" w:rsidR="0040524A" w:rsidRPr="00B52F99" w:rsidRDefault="0040524A" w:rsidP="008F6A1F">
      <w:pPr>
        <w:spacing w:line="276" w:lineRule="auto"/>
        <w:rPr>
          <w:b/>
          <w:bCs/>
          <w:color w:val="000000" w:themeColor="text1"/>
          <w:sz w:val="28"/>
          <w:szCs w:val="28"/>
        </w:rPr>
      </w:pPr>
      <w:r w:rsidRPr="00B52F99">
        <w:rPr>
          <w:b/>
          <w:bCs/>
          <w:color w:val="000000" w:themeColor="text1"/>
          <w:sz w:val="28"/>
          <w:szCs w:val="28"/>
        </w:rPr>
        <w:t>Competing interests</w:t>
      </w:r>
    </w:p>
    <w:p w14:paraId="0CAAC417" w14:textId="04B7FB22" w:rsidR="00A15F4A" w:rsidRPr="00B52F99" w:rsidRDefault="0040524A" w:rsidP="008F6A1F">
      <w:pPr>
        <w:spacing w:line="276" w:lineRule="auto"/>
        <w:jc w:val="both"/>
        <w:rPr>
          <w:rFonts w:eastAsiaTheme="minorEastAsia"/>
          <w:color w:val="000000" w:themeColor="text1"/>
          <w:lang w:eastAsia="zh-CN"/>
        </w:rPr>
      </w:pPr>
      <w:r w:rsidRPr="00B52F99">
        <w:rPr>
          <w:rFonts w:eastAsiaTheme="minorEastAsia"/>
          <w:color w:val="000000" w:themeColor="text1"/>
          <w:lang w:eastAsia="zh-CN"/>
        </w:rPr>
        <w:t>The authors declare no competing interes</w:t>
      </w:r>
      <w:r w:rsidR="00572216" w:rsidRPr="00B52F99">
        <w:rPr>
          <w:rFonts w:eastAsiaTheme="minorEastAsia"/>
          <w:color w:val="000000" w:themeColor="text1"/>
          <w:lang w:eastAsia="zh-CN"/>
        </w:rPr>
        <w:t>ts.</w:t>
      </w:r>
    </w:p>
    <w:p w14:paraId="46911DBA" w14:textId="77777777" w:rsidR="00494679" w:rsidRPr="00B52F99" w:rsidRDefault="00494679" w:rsidP="006A06B6">
      <w:pPr>
        <w:spacing w:line="360" w:lineRule="auto"/>
        <w:jc w:val="both"/>
        <w:rPr>
          <w:rFonts w:eastAsiaTheme="minorEastAsia"/>
          <w:color w:val="000000" w:themeColor="text1"/>
          <w:sz w:val="22"/>
          <w:szCs w:val="22"/>
          <w:lang w:eastAsia="zh-CN"/>
        </w:rPr>
      </w:pPr>
    </w:p>
    <w:p w14:paraId="4F85A48B" w14:textId="77777777" w:rsidR="00C23D11" w:rsidRPr="00B52F99" w:rsidRDefault="00C23D11" w:rsidP="00C23D11">
      <w:pPr>
        <w:spacing w:line="276" w:lineRule="auto"/>
        <w:jc w:val="both"/>
        <w:rPr>
          <w:rFonts w:eastAsia="SimSun"/>
          <w:color w:val="000000" w:themeColor="text1"/>
          <w:sz w:val="28"/>
          <w:szCs w:val="28"/>
          <w:lang w:val="en-US" w:eastAsia="en-US"/>
        </w:rPr>
      </w:pPr>
      <w:r w:rsidRPr="00B52F99">
        <w:rPr>
          <w:rFonts w:eastAsiaTheme="minorEastAsia"/>
          <w:b/>
          <w:bCs/>
          <w:color w:val="000000" w:themeColor="text1"/>
          <w:sz w:val="28"/>
          <w:szCs w:val="28"/>
          <w:lang w:eastAsia="zh-CN"/>
        </w:rPr>
        <w:t>References</w:t>
      </w:r>
    </w:p>
    <w:p w14:paraId="550650DF" w14:textId="77777777" w:rsidR="00C23D11" w:rsidRPr="00B256C8" w:rsidRDefault="00C23D11" w:rsidP="00C23D11">
      <w:pPr>
        <w:pStyle w:val="ListParagraph"/>
        <w:numPr>
          <w:ilvl w:val="0"/>
          <w:numId w:val="28"/>
        </w:numPr>
        <w:spacing w:line="276" w:lineRule="auto"/>
        <w:ind w:left="644"/>
        <w:jc w:val="both"/>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rPr>
        <w:t>Bogin</w:t>
      </w:r>
      <w:proofErr w:type="spellEnd"/>
      <w:r w:rsidRPr="00B256C8">
        <w:rPr>
          <w:rFonts w:ascii="Times New Roman" w:hAnsi="Times New Roman" w:cs="Times New Roman"/>
          <w:color w:val="000000" w:themeColor="text1"/>
        </w:rPr>
        <w:t xml:space="preserve">, B. Evolutionary perspective on human growth. </w:t>
      </w:r>
      <w:r w:rsidRPr="00B256C8">
        <w:rPr>
          <w:rFonts w:ascii="Times New Roman" w:hAnsi="Times New Roman" w:cs="Times New Roman"/>
          <w:i/>
          <w:iCs/>
          <w:color w:val="000000" w:themeColor="text1"/>
        </w:rPr>
        <w:t xml:space="preserve">An. Rev. </w:t>
      </w:r>
      <w:proofErr w:type="spellStart"/>
      <w:r w:rsidRPr="00B256C8">
        <w:rPr>
          <w:rFonts w:ascii="Times New Roman" w:hAnsi="Times New Roman" w:cs="Times New Roman"/>
          <w:i/>
          <w:iCs/>
          <w:color w:val="000000" w:themeColor="text1"/>
        </w:rPr>
        <w:t>Anthropol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28</w:t>
      </w:r>
      <w:r w:rsidRPr="00B256C8">
        <w:rPr>
          <w:rFonts w:ascii="Times New Roman" w:hAnsi="Times New Roman" w:cs="Times New Roman"/>
          <w:color w:val="000000" w:themeColor="text1"/>
        </w:rPr>
        <w:t>, 109-53 (1999).</w:t>
      </w:r>
    </w:p>
    <w:p w14:paraId="6E5955D3" w14:textId="77777777" w:rsidR="00C23D11" w:rsidRPr="00B256C8" w:rsidRDefault="00C23D11" w:rsidP="00C23D11">
      <w:pPr>
        <w:pStyle w:val="ListParagraph"/>
        <w:numPr>
          <w:ilvl w:val="0"/>
          <w:numId w:val="28"/>
        </w:numPr>
        <w:spacing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Tanner, J. M. </w:t>
      </w:r>
      <w:proofErr w:type="spellStart"/>
      <w:r w:rsidRPr="00B256C8">
        <w:rPr>
          <w:rFonts w:ascii="Times New Roman" w:hAnsi="Times New Roman" w:cs="Times New Roman"/>
          <w:i/>
          <w:iCs/>
          <w:color w:val="000000" w:themeColor="text1"/>
        </w:rPr>
        <w:t>Fetus</w:t>
      </w:r>
      <w:proofErr w:type="spellEnd"/>
      <w:r w:rsidRPr="00B256C8">
        <w:rPr>
          <w:rFonts w:ascii="Times New Roman" w:hAnsi="Times New Roman" w:cs="Times New Roman"/>
          <w:i/>
          <w:iCs/>
          <w:color w:val="000000" w:themeColor="text1"/>
        </w:rPr>
        <w:t xml:space="preserve"> into man: physical growth from conception into maturity</w:t>
      </w:r>
      <w:r w:rsidRPr="00B256C8">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B256C8">
        <w:rPr>
          <w:rFonts w:ascii="Times New Roman" w:hAnsi="Times New Roman" w:cs="Times New Roman"/>
          <w:color w:val="000000" w:themeColor="text1"/>
        </w:rPr>
        <w:t>Harvard Univ. Press, Cambridge MA</w:t>
      </w:r>
      <w:r>
        <w:rPr>
          <w:rFonts w:ascii="Times New Roman" w:hAnsi="Times New Roman" w:cs="Times New Roman"/>
          <w:color w:val="000000" w:themeColor="text1"/>
        </w:rPr>
        <w:t xml:space="preserve">, </w:t>
      </w:r>
      <w:r w:rsidRPr="00B256C8">
        <w:rPr>
          <w:rFonts w:ascii="Times New Roman" w:hAnsi="Times New Roman" w:cs="Times New Roman"/>
          <w:color w:val="000000" w:themeColor="text1"/>
        </w:rPr>
        <w:t>1989).</w:t>
      </w:r>
    </w:p>
    <w:p w14:paraId="743E5F2F"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Taylor, R.W., </w:t>
      </w:r>
      <w:proofErr w:type="spellStart"/>
      <w:r w:rsidRPr="00B256C8">
        <w:rPr>
          <w:rFonts w:ascii="Times New Roman" w:hAnsi="Times New Roman" w:cs="Times New Roman"/>
          <w:color w:val="000000" w:themeColor="text1"/>
        </w:rPr>
        <w:t>Falorni</w:t>
      </w:r>
      <w:proofErr w:type="spellEnd"/>
      <w:r w:rsidRPr="00B256C8">
        <w:rPr>
          <w:rFonts w:ascii="Times New Roman" w:hAnsi="Times New Roman" w:cs="Times New Roman"/>
          <w:color w:val="000000" w:themeColor="text1"/>
        </w:rPr>
        <w:t xml:space="preserve">, A., Jones, I. E. &amp; Goulding, A. Identifying adolescents with high percentage body fat: a comparison of BMI cut-offs using age and stage of pubertal development compared with BMI cut-offs using age alone. </w:t>
      </w:r>
      <w:r w:rsidRPr="00B256C8">
        <w:rPr>
          <w:rFonts w:ascii="Times New Roman" w:hAnsi="Times New Roman" w:cs="Times New Roman"/>
          <w:i/>
          <w:iCs/>
          <w:color w:val="000000" w:themeColor="text1"/>
        </w:rPr>
        <w:t>Eur. J. Clin. Nutrition</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57</w:t>
      </w:r>
      <w:r w:rsidRPr="00B256C8">
        <w:rPr>
          <w:rFonts w:ascii="Times New Roman" w:hAnsi="Times New Roman" w:cs="Times New Roman"/>
          <w:color w:val="000000" w:themeColor="text1"/>
        </w:rPr>
        <w:t>, 764-769 (2003).</w:t>
      </w:r>
    </w:p>
    <w:p w14:paraId="17D67EB2" w14:textId="77777777" w:rsidR="00C23D11" w:rsidRPr="00B256C8" w:rsidRDefault="00C23D11" w:rsidP="00C23D11">
      <w:pPr>
        <w:pStyle w:val="ListParagraph"/>
        <w:numPr>
          <w:ilvl w:val="0"/>
          <w:numId w:val="28"/>
        </w:numPr>
        <w:spacing w:line="276" w:lineRule="auto"/>
        <w:ind w:left="644"/>
        <w:rPr>
          <w:rFonts w:ascii="Times New Roman" w:hAnsi="Times New Roman" w:cs="Times New Roman"/>
          <w:color w:val="000000" w:themeColor="text1"/>
        </w:rPr>
      </w:pPr>
      <w:r w:rsidRPr="00B256C8">
        <w:rPr>
          <w:rFonts w:ascii="Times New Roman" w:hAnsi="Times New Roman" w:cs="Times New Roman"/>
          <w:color w:val="000000" w:themeColor="text1"/>
          <w:shd w:val="clear" w:color="auto" w:fill="FFFFFF"/>
        </w:rPr>
        <w:t xml:space="preserve">Ellis, K.J., </w:t>
      </w:r>
      <w:proofErr w:type="spellStart"/>
      <w:r w:rsidRPr="00B256C8">
        <w:rPr>
          <w:rFonts w:ascii="Times New Roman" w:hAnsi="Times New Roman" w:cs="Times New Roman"/>
          <w:color w:val="000000" w:themeColor="text1"/>
          <w:shd w:val="clear" w:color="auto" w:fill="FFFFFF"/>
        </w:rPr>
        <w:t>Shypailo</w:t>
      </w:r>
      <w:proofErr w:type="spellEnd"/>
      <w:r w:rsidRPr="00B256C8">
        <w:rPr>
          <w:rFonts w:ascii="Times New Roman" w:hAnsi="Times New Roman" w:cs="Times New Roman"/>
          <w:color w:val="000000" w:themeColor="text1"/>
          <w:shd w:val="clear" w:color="auto" w:fill="FFFFFF"/>
        </w:rPr>
        <w:t xml:space="preserve">, R. J., Abrams, S.A. </w:t>
      </w:r>
      <w:r w:rsidRPr="00B256C8">
        <w:rPr>
          <w:rFonts w:ascii="Times New Roman" w:hAnsi="Times New Roman" w:cs="Times New Roman"/>
          <w:color w:val="000000" w:themeColor="text1"/>
        </w:rPr>
        <w:t xml:space="preserve">&amp; </w:t>
      </w:r>
      <w:r w:rsidRPr="00B256C8">
        <w:rPr>
          <w:rFonts w:ascii="Times New Roman" w:hAnsi="Times New Roman" w:cs="Times New Roman"/>
          <w:color w:val="000000" w:themeColor="text1"/>
          <w:shd w:val="clear" w:color="auto" w:fill="FFFFFF"/>
        </w:rPr>
        <w:t xml:space="preserve">Wong, W.W. The reference child and adolescent models of body composition. A contemporary comparison. </w:t>
      </w:r>
      <w:r w:rsidRPr="00B256C8">
        <w:rPr>
          <w:rFonts w:ascii="Times New Roman" w:hAnsi="Times New Roman" w:cs="Times New Roman"/>
          <w:i/>
          <w:iCs/>
          <w:color w:val="000000" w:themeColor="text1"/>
          <w:shd w:val="clear" w:color="auto" w:fill="FFFFFF"/>
        </w:rPr>
        <w:t>Ann. NY. Acad. Sci</w:t>
      </w:r>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904</w:t>
      </w:r>
      <w:r w:rsidRPr="00B256C8">
        <w:rPr>
          <w:rFonts w:ascii="Times New Roman" w:hAnsi="Times New Roman" w:cs="Times New Roman"/>
          <w:color w:val="000000" w:themeColor="text1"/>
          <w:shd w:val="clear" w:color="auto" w:fill="FFFFFF"/>
        </w:rPr>
        <w:t>, 374-82 (2000).</w:t>
      </w:r>
    </w:p>
    <w:p w14:paraId="1AC72671" w14:textId="77777777" w:rsidR="00C23D11" w:rsidRPr="00B256C8" w:rsidRDefault="00C23D11" w:rsidP="00C23D11">
      <w:pPr>
        <w:pStyle w:val="ListParagraph"/>
        <w:numPr>
          <w:ilvl w:val="0"/>
          <w:numId w:val="28"/>
        </w:numPr>
        <w:spacing w:after="0" w:line="276" w:lineRule="auto"/>
        <w:ind w:left="644"/>
        <w:jc w:val="both"/>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rPr>
        <w:t>Bogin</w:t>
      </w:r>
      <w:proofErr w:type="spellEnd"/>
      <w:r w:rsidRPr="00B256C8">
        <w:rPr>
          <w:rFonts w:ascii="Times New Roman" w:hAnsi="Times New Roman" w:cs="Times New Roman"/>
          <w:color w:val="000000" w:themeColor="text1"/>
        </w:rPr>
        <w:t xml:space="preserve">, B. </w:t>
      </w:r>
      <w:r w:rsidRPr="00B256C8">
        <w:rPr>
          <w:rFonts w:ascii="Times New Roman" w:hAnsi="Times New Roman" w:cs="Times New Roman"/>
          <w:i/>
          <w:iCs/>
          <w:color w:val="000000" w:themeColor="text1"/>
        </w:rPr>
        <w:t>Patterns of human growth</w:t>
      </w:r>
      <w:r w:rsidRPr="00B256C8">
        <w:rPr>
          <w:rFonts w:ascii="Times New Roman" w:hAnsi="Times New Roman" w:cs="Times New Roman"/>
          <w:color w:val="000000" w:themeColor="text1"/>
        </w:rPr>
        <w:t>. Cambridge University. Press, Cambridge UK</w:t>
      </w:r>
      <w:r>
        <w:rPr>
          <w:rFonts w:ascii="Times New Roman" w:hAnsi="Times New Roman" w:cs="Times New Roman"/>
          <w:color w:val="000000" w:themeColor="text1"/>
        </w:rPr>
        <w:t xml:space="preserve"> (2020</w:t>
      </w:r>
      <w:r w:rsidRPr="00B256C8">
        <w:rPr>
          <w:rFonts w:ascii="Times New Roman" w:hAnsi="Times New Roman" w:cs="Times New Roman"/>
          <w:color w:val="000000" w:themeColor="text1"/>
        </w:rPr>
        <w:t>).</w:t>
      </w:r>
    </w:p>
    <w:p w14:paraId="651A843B"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rPr>
        <w:t>Rogol</w:t>
      </w:r>
      <w:proofErr w:type="spellEnd"/>
      <w:r w:rsidRPr="00B256C8">
        <w:rPr>
          <w:rFonts w:ascii="Times New Roman" w:hAnsi="Times New Roman" w:cs="Times New Roman"/>
          <w:color w:val="000000" w:themeColor="text1"/>
        </w:rPr>
        <w:t xml:space="preserve">, A.D., Clark, P.A., &amp; </w:t>
      </w:r>
      <w:proofErr w:type="spellStart"/>
      <w:r w:rsidRPr="00B256C8">
        <w:rPr>
          <w:rFonts w:ascii="Times New Roman" w:hAnsi="Times New Roman" w:cs="Times New Roman"/>
          <w:color w:val="000000" w:themeColor="text1"/>
        </w:rPr>
        <w:t>Roemmich</w:t>
      </w:r>
      <w:proofErr w:type="spellEnd"/>
      <w:r w:rsidRPr="00B256C8">
        <w:rPr>
          <w:rFonts w:ascii="Times New Roman" w:hAnsi="Times New Roman" w:cs="Times New Roman"/>
          <w:color w:val="000000" w:themeColor="text1"/>
        </w:rPr>
        <w:t xml:space="preserve">, J. N. Growth and pubertal development in children and adolescents: effects of diet and physical activity. </w:t>
      </w:r>
      <w:r w:rsidRPr="00B256C8">
        <w:rPr>
          <w:rFonts w:ascii="Times New Roman" w:hAnsi="Times New Roman" w:cs="Times New Roman"/>
          <w:i/>
          <w:iCs/>
          <w:color w:val="000000" w:themeColor="text1"/>
        </w:rPr>
        <w:t xml:space="preserve">Am. J. Clin. </w:t>
      </w:r>
      <w:proofErr w:type="spellStart"/>
      <w:r w:rsidRPr="00B256C8">
        <w:rPr>
          <w:rFonts w:ascii="Times New Roman" w:hAnsi="Times New Roman" w:cs="Times New Roman"/>
          <w:i/>
          <w:iCs/>
          <w:color w:val="000000" w:themeColor="text1"/>
        </w:rPr>
        <w:t>Nutr</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72</w:t>
      </w:r>
      <w:r w:rsidRPr="00B256C8">
        <w:rPr>
          <w:rFonts w:ascii="Times New Roman" w:hAnsi="Times New Roman" w:cs="Times New Roman"/>
          <w:color w:val="000000" w:themeColor="text1"/>
        </w:rPr>
        <w:t>, 521-528 (2000).</w:t>
      </w:r>
    </w:p>
    <w:p w14:paraId="454FBAB4" w14:textId="77777777" w:rsidR="00C23D11" w:rsidRPr="00B256C8" w:rsidRDefault="00C23D11" w:rsidP="00C23D11">
      <w:pPr>
        <w:pStyle w:val="ListParagraph"/>
        <w:numPr>
          <w:ilvl w:val="0"/>
          <w:numId w:val="28"/>
        </w:numPr>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Maynard. L. M. et al. Childhood body composition in relation to body mass index.</w:t>
      </w:r>
      <w:r w:rsidRPr="00B256C8">
        <w:rPr>
          <w:rFonts w:ascii="Times New Roman" w:hAnsi="Times New Roman" w:cs="Times New Roman"/>
          <w:i/>
          <w:iCs/>
          <w:color w:val="000000" w:themeColor="text1"/>
        </w:rPr>
        <w:t xml:space="preserve"> </w:t>
      </w:r>
      <w:proofErr w:type="spellStart"/>
      <w:r w:rsidRPr="00B256C8">
        <w:rPr>
          <w:rFonts w:ascii="Times New Roman" w:hAnsi="Times New Roman" w:cs="Times New Roman"/>
          <w:i/>
          <w:iCs/>
          <w:color w:val="000000" w:themeColor="text1"/>
        </w:rPr>
        <w:t>Pediatrics</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107</w:t>
      </w:r>
      <w:r w:rsidRPr="00B256C8">
        <w:rPr>
          <w:rFonts w:ascii="Times New Roman" w:hAnsi="Times New Roman" w:cs="Times New Roman"/>
          <w:color w:val="000000" w:themeColor="text1"/>
        </w:rPr>
        <w:t>, 344–350 (2001).</w:t>
      </w:r>
    </w:p>
    <w:p w14:paraId="1EBA5B1E" w14:textId="77777777" w:rsidR="00C23D11" w:rsidRPr="00B256C8" w:rsidRDefault="00C23D11" w:rsidP="00C23D11">
      <w:pPr>
        <w:pStyle w:val="ListParagraph"/>
        <w:numPr>
          <w:ilvl w:val="0"/>
          <w:numId w:val="28"/>
        </w:numPr>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Nguyen, T. V. et al. Sex differences in bone mass acquisition during growth: the Fels Longitudinal Study. </w:t>
      </w:r>
      <w:r w:rsidRPr="00B256C8">
        <w:rPr>
          <w:rFonts w:ascii="Times New Roman" w:hAnsi="Times New Roman" w:cs="Times New Roman"/>
          <w:i/>
          <w:iCs/>
          <w:color w:val="000000" w:themeColor="text1"/>
        </w:rPr>
        <w:t xml:space="preserve">J. Clin. </w:t>
      </w:r>
      <w:proofErr w:type="spellStart"/>
      <w:r w:rsidRPr="00B256C8">
        <w:rPr>
          <w:rFonts w:ascii="Times New Roman" w:hAnsi="Times New Roman" w:cs="Times New Roman"/>
          <w:i/>
          <w:iCs/>
          <w:color w:val="000000" w:themeColor="text1"/>
        </w:rPr>
        <w:t>Densitom</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4</w:t>
      </w:r>
      <w:r w:rsidRPr="00B256C8">
        <w:rPr>
          <w:rFonts w:ascii="Times New Roman" w:hAnsi="Times New Roman" w:cs="Times New Roman"/>
          <w:color w:val="000000" w:themeColor="text1"/>
        </w:rPr>
        <w:t>, 147-157 (2001).</w:t>
      </w:r>
    </w:p>
    <w:p w14:paraId="6E464B90"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Guo, S.S., </w:t>
      </w:r>
      <w:proofErr w:type="spellStart"/>
      <w:r w:rsidRPr="00B256C8">
        <w:rPr>
          <w:rFonts w:ascii="Times New Roman" w:hAnsi="Times New Roman" w:cs="Times New Roman"/>
          <w:color w:val="000000" w:themeColor="text1"/>
        </w:rPr>
        <w:t>Chumlea</w:t>
      </w:r>
      <w:proofErr w:type="spellEnd"/>
      <w:r w:rsidRPr="00B256C8">
        <w:rPr>
          <w:rFonts w:ascii="Times New Roman" w:hAnsi="Times New Roman" w:cs="Times New Roman"/>
          <w:color w:val="000000" w:themeColor="text1"/>
        </w:rPr>
        <w:t xml:space="preserve">, W.C., Roche, A.F. &amp; </w:t>
      </w:r>
      <w:proofErr w:type="spellStart"/>
      <w:r w:rsidRPr="00B256C8">
        <w:rPr>
          <w:rFonts w:ascii="Times New Roman" w:hAnsi="Times New Roman" w:cs="Times New Roman"/>
          <w:color w:val="000000" w:themeColor="text1"/>
        </w:rPr>
        <w:t>Siervogel</w:t>
      </w:r>
      <w:proofErr w:type="spellEnd"/>
      <w:r w:rsidRPr="00B256C8">
        <w:rPr>
          <w:rFonts w:ascii="Times New Roman" w:hAnsi="Times New Roman" w:cs="Times New Roman"/>
          <w:color w:val="000000" w:themeColor="text1"/>
        </w:rPr>
        <w:t xml:space="preserve">, R.M. Age and maturity-related changes in body composition during adolescence into adulthood: the Fels Longitudinal Study. </w:t>
      </w:r>
      <w:r w:rsidRPr="00B256C8">
        <w:rPr>
          <w:rFonts w:ascii="Times New Roman" w:hAnsi="Times New Roman" w:cs="Times New Roman"/>
          <w:i/>
          <w:iCs/>
          <w:color w:val="000000" w:themeColor="text1"/>
        </w:rPr>
        <w:t xml:space="preserve">Int. J. </w:t>
      </w:r>
      <w:proofErr w:type="spellStart"/>
      <w:r w:rsidRPr="00B256C8">
        <w:rPr>
          <w:rFonts w:ascii="Times New Roman" w:hAnsi="Times New Roman" w:cs="Times New Roman"/>
          <w:i/>
          <w:iCs/>
          <w:color w:val="000000" w:themeColor="text1"/>
        </w:rPr>
        <w:t>Obes</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21</w:t>
      </w:r>
      <w:r w:rsidRPr="00B256C8">
        <w:rPr>
          <w:rFonts w:ascii="Times New Roman" w:hAnsi="Times New Roman" w:cs="Times New Roman"/>
          <w:color w:val="000000" w:themeColor="text1"/>
        </w:rPr>
        <w:t>, 1167-1175 (1997).</w:t>
      </w:r>
    </w:p>
    <w:p w14:paraId="19CDBFF6"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Bini, V. et al. Body mass index in children and adolescents according to age and pubertal stage. </w:t>
      </w:r>
      <w:r w:rsidRPr="00B256C8">
        <w:rPr>
          <w:rFonts w:ascii="Times New Roman" w:hAnsi="Times New Roman" w:cs="Times New Roman"/>
          <w:i/>
          <w:iCs/>
          <w:color w:val="000000" w:themeColor="text1"/>
        </w:rPr>
        <w:t xml:space="preserve">Eur. J. Clin. </w:t>
      </w:r>
      <w:proofErr w:type="spellStart"/>
      <w:r w:rsidRPr="00B256C8">
        <w:rPr>
          <w:rFonts w:ascii="Times New Roman" w:hAnsi="Times New Roman" w:cs="Times New Roman"/>
          <w:i/>
          <w:iCs/>
          <w:color w:val="000000" w:themeColor="text1"/>
        </w:rPr>
        <w:t>Nutr</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54</w:t>
      </w:r>
      <w:r w:rsidRPr="00B256C8">
        <w:rPr>
          <w:rFonts w:ascii="Times New Roman" w:hAnsi="Times New Roman" w:cs="Times New Roman"/>
          <w:color w:val="000000" w:themeColor="text1"/>
        </w:rPr>
        <w:t>, 214-218 (2000).</w:t>
      </w:r>
    </w:p>
    <w:p w14:paraId="054A0288" w14:textId="77777777" w:rsidR="00C23D11" w:rsidRPr="00B256C8" w:rsidRDefault="00C23D11" w:rsidP="00C23D11">
      <w:pPr>
        <w:pStyle w:val="ListParagraph"/>
        <w:numPr>
          <w:ilvl w:val="0"/>
          <w:numId w:val="28"/>
        </w:numPr>
        <w:spacing w:line="276" w:lineRule="auto"/>
        <w:ind w:left="644"/>
        <w:rPr>
          <w:rFonts w:ascii="Times New Roman" w:hAnsi="Times New Roman" w:cs="Times New Roman"/>
          <w:color w:val="000000" w:themeColor="text1"/>
        </w:rPr>
      </w:pPr>
      <w:proofErr w:type="spellStart"/>
      <w:r w:rsidRPr="00B256C8">
        <w:rPr>
          <w:rFonts w:ascii="Times New Roman" w:eastAsia="SimSun" w:hAnsi="Times New Roman" w:cs="Times New Roman"/>
          <w:color w:val="000000" w:themeColor="text1"/>
          <w:lang w:val="en-US" w:eastAsia="en-US"/>
        </w:rPr>
        <w:t>Yengo</w:t>
      </w:r>
      <w:proofErr w:type="spellEnd"/>
      <w:r w:rsidRPr="00B256C8">
        <w:rPr>
          <w:rFonts w:ascii="Times New Roman" w:eastAsia="SimSun" w:hAnsi="Times New Roman" w:cs="Times New Roman"/>
          <w:color w:val="000000" w:themeColor="text1"/>
          <w:lang w:val="en-US" w:eastAsia="en-US"/>
        </w:rPr>
        <w:t xml:space="preserve">, L. et al. </w:t>
      </w:r>
      <w:r w:rsidRPr="00B256C8">
        <w:rPr>
          <w:rFonts w:ascii="Times New Roman" w:eastAsia="SimSun" w:hAnsi="Times New Roman" w:cs="Times New Roman"/>
          <w:color w:val="000000" w:themeColor="text1"/>
          <w:lang w:eastAsia="en-US"/>
        </w:rPr>
        <w:t xml:space="preserve">Meta-analysis of genome-wide association studies for height and body mass index in </w:t>
      </w:r>
      <w:r w:rsidRPr="00B256C8">
        <w:rPr>
          <w:rFonts w:ascii="Cambria Math" w:eastAsia="SimSun" w:hAnsi="Cambria Math" w:cs="Cambria Math"/>
          <w:color w:val="000000" w:themeColor="text1"/>
          <w:lang w:eastAsia="en-US"/>
        </w:rPr>
        <w:t>∼</w:t>
      </w:r>
      <w:r w:rsidRPr="00B256C8">
        <w:rPr>
          <w:rFonts w:ascii="Times New Roman" w:eastAsia="SimSun" w:hAnsi="Times New Roman" w:cs="Times New Roman"/>
          <w:color w:val="000000" w:themeColor="text1"/>
          <w:lang w:eastAsia="en-US"/>
        </w:rPr>
        <w:t xml:space="preserve">700000 individuals of European ancestry. </w:t>
      </w:r>
      <w:r w:rsidRPr="00B256C8">
        <w:rPr>
          <w:rFonts w:ascii="Times New Roman" w:eastAsia="Times New Roman" w:hAnsi="Times New Roman" w:cs="Times New Roman"/>
          <w:i/>
          <w:iCs/>
          <w:color w:val="000000" w:themeColor="text1"/>
          <w:lang w:eastAsia="en-GB"/>
        </w:rPr>
        <w:t>Hum. Mol. Genet</w:t>
      </w:r>
      <w:r w:rsidRPr="00B256C8">
        <w:rPr>
          <w:rFonts w:ascii="Times New Roman" w:eastAsia="Times New Roman" w:hAnsi="Times New Roman" w:cs="Times New Roman"/>
          <w:color w:val="000000" w:themeColor="text1"/>
          <w:lang w:eastAsia="en-GB"/>
        </w:rPr>
        <w:t xml:space="preserve">, </w:t>
      </w:r>
      <w:r w:rsidRPr="00B256C8">
        <w:rPr>
          <w:rFonts w:ascii="Times New Roman" w:eastAsia="Times New Roman" w:hAnsi="Times New Roman" w:cs="Times New Roman"/>
          <w:b/>
          <w:bCs/>
          <w:color w:val="000000" w:themeColor="text1"/>
          <w:lang w:eastAsia="en-GB"/>
        </w:rPr>
        <w:t>27</w:t>
      </w:r>
      <w:r w:rsidRPr="00B256C8">
        <w:rPr>
          <w:rFonts w:ascii="Times New Roman" w:eastAsia="Times New Roman" w:hAnsi="Times New Roman" w:cs="Times New Roman"/>
          <w:color w:val="000000" w:themeColor="text1"/>
          <w:lang w:eastAsia="en-GB"/>
        </w:rPr>
        <w:t xml:space="preserve"> (20), 3641-3649 (2018).</w:t>
      </w:r>
    </w:p>
    <w:p w14:paraId="034FDDCC"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eastAsia="en-US"/>
        </w:rPr>
      </w:pPr>
      <w:r w:rsidRPr="00B256C8">
        <w:rPr>
          <w:rFonts w:ascii="Times New Roman" w:eastAsia="SimSun" w:hAnsi="Times New Roman" w:cs="Times New Roman"/>
          <w:color w:val="000000" w:themeColor="text1"/>
          <w:lang w:val="en-US" w:eastAsia="en-US"/>
        </w:rPr>
        <w:t xml:space="preserve">Bradfield, J. P. et al. </w:t>
      </w:r>
      <w:r w:rsidRPr="00B256C8">
        <w:rPr>
          <w:rFonts w:ascii="Times New Roman" w:eastAsia="SimSun" w:hAnsi="Times New Roman" w:cs="Times New Roman"/>
          <w:color w:val="000000" w:themeColor="text1"/>
          <w:lang w:eastAsia="en-US"/>
        </w:rPr>
        <w:t xml:space="preserve">A genome-wide association meta-analysis identifies new childhood obesity loci. </w:t>
      </w:r>
      <w:r w:rsidRPr="00B256C8">
        <w:rPr>
          <w:rFonts w:ascii="Times New Roman" w:eastAsia="SimSun" w:hAnsi="Times New Roman" w:cs="Times New Roman"/>
          <w:i/>
          <w:iCs/>
          <w:color w:val="000000" w:themeColor="text1"/>
          <w:lang w:val="en-US" w:eastAsia="en-US"/>
        </w:rPr>
        <w:t>Nat. Genet</w:t>
      </w:r>
      <w:r w:rsidRPr="00B256C8">
        <w:rPr>
          <w:rFonts w:ascii="Times New Roman" w:eastAsia="SimSun" w:hAnsi="Times New Roman" w:cs="Times New Roman"/>
          <w:color w:val="000000" w:themeColor="text1"/>
          <w:lang w:val="en-US" w:eastAsia="en-US"/>
        </w:rPr>
        <w:t xml:space="preserve">, </w:t>
      </w:r>
      <w:r w:rsidRPr="00B256C8">
        <w:rPr>
          <w:rFonts w:ascii="Times New Roman" w:eastAsia="SimSun" w:hAnsi="Times New Roman" w:cs="Times New Roman"/>
          <w:b/>
          <w:bCs/>
          <w:color w:val="000000" w:themeColor="text1"/>
          <w:lang w:val="en-US" w:eastAsia="en-US"/>
        </w:rPr>
        <w:t xml:space="preserve">44 </w:t>
      </w:r>
      <w:r w:rsidRPr="00B256C8">
        <w:rPr>
          <w:rFonts w:ascii="Times New Roman" w:eastAsia="SimSun" w:hAnsi="Times New Roman" w:cs="Times New Roman"/>
          <w:color w:val="000000" w:themeColor="text1"/>
          <w:lang w:val="en-US" w:eastAsia="en-US"/>
        </w:rPr>
        <w:t>(5), 526-531 (2012).</w:t>
      </w:r>
    </w:p>
    <w:p w14:paraId="29FC8C0A"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eastAsia="en-US"/>
        </w:rPr>
      </w:pPr>
      <w:r w:rsidRPr="00B256C8">
        <w:rPr>
          <w:rFonts w:ascii="Times New Roman" w:eastAsia="SimSun" w:hAnsi="Times New Roman" w:cs="Times New Roman"/>
          <w:color w:val="000000" w:themeColor="text1"/>
          <w:lang w:eastAsia="en-US"/>
        </w:rPr>
        <w:t xml:space="preserve">Rooney, B.L., </w:t>
      </w:r>
      <w:proofErr w:type="spellStart"/>
      <w:r w:rsidRPr="00B256C8">
        <w:rPr>
          <w:rFonts w:ascii="Times New Roman" w:eastAsia="SimSun" w:hAnsi="Times New Roman" w:cs="Times New Roman"/>
          <w:color w:val="000000" w:themeColor="text1"/>
          <w:lang w:eastAsia="en-US"/>
        </w:rPr>
        <w:t>Mathiason</w:t>
      </w:r>
      <w:proofErr w:type="spellEnd"/>
      <w:r w:rsidRPr="00B256C8">
        <w:rPr>
          <w:rFonts w:ascii="Times New Roman" w:eastAsia="SimSun" w:hAnsi="Times New Roman" w:cs="Times New Roman"/>
          <w:color w:val="000000" w:themeColor="text1"/>
          <w:lang w:eastAsia="en-US"/>
        </w:rPr>
        <w:t xml:space="preserve">, M.A. &amp; </w:t>
      </w:r>
      <w:proofErr w:type="spellStart"/>
      <w:r w:rsidRPr="00B256C8">
        <w:rPr>
          <w:rFonts w:ascii="Times New Roman" w:eastAsia="SimSun" w:hAnsi="Times New Roman" w:cs="Times New Roman"/>
          <w:color w:val="000000" w:themeColor="text1"/>
          <w:lang w:eastAsia="en-US"/>
        </w:rPr>
        <w:t>Schauberger</w:t>
      </w:r>
      <w:proofErr w:type="spellEnd"/>
      <w:r w:rsidRPr="00B256C8">
        <w:rPr>
          <w:rFonts w:ascii="Times New Roman" w:eastAsia="SimSun" w:hAnsi="Times New Roman" w:cs="Times New Roman"/>
          <w:color w:val="000000" w:themeColor="text1"/>
          <w:lang w:eastAsia="en-US"/>
        </w:rPr>
        <w:t xml:space="preserve">, C.W. Predictors of obesity in childhood, adolescence, and adulthood in a birth cohort. </w:t>
      </w:r>
      <w:proofErr w:type="spellStart"/>
      <w:r w:rsidRPr="00B256C8">
        <w:rPr>
          <w:rFonts w:ascii="Times New Roman" w:eastAsia="SimSun" w:hAnsi="Times New Roman" w:cs="Times New Roman"/>
          <w:i/>
          <w:iCs/>
          <w:color w:val="000000" w:themeColor="text1"/>
          <w:lang w:eastAsia="en-US"/>
        </w:rPr>
        <w:t>Matern</w:t>
      </w:r>
      <w:proofErr w:type="spellEnd"/>
      <w:r w:rsidRPr="00B256C8">
        <w:rPr>
          <w:rFonts w:ascii="Times New Roman" w:eastAsia="SimSun" w:hAnsi="Times New Roman" w:cs="Times New Roman"/>
          <w:i/>
          <w:iCs/>
          <w:color w:val="000000" w:themeColor="text1"/>
          <w:lang w:eastAsia="en-US"/>
        </w:rPr>
        <w:t>. Child. Health. J</w:t>
      </w:r>
      <w:r w:rsidRPr="00B256C8">
        <w:rPr>
          <w:rFonts w:ascii="Times New Roman" w:eastAsia="SimSun" w:hAnsi="Times New Roman" w:cs="Times New Roman"/>
          <w:color w:val="000000" w:themeColor="text1"/>
          <w:lang w:eastAsia="en-US"/>
        </w:rPr>
        <w:t xml:space="preserve">, </w:t>
      </w:r>
      <w:r w:rsidRPr="00B256C8">
        <w:rPr>
          <w:rFonts w:ascii="Times New Roman" w:eastAsia="SimSun" w:hAnsi="Times New Roman" w:cs="Times New Roman"/>
          <w:b/>
          <w:bCs/>
          <w:color w:val="000000" w:themeColor="text1"/>
          <w:lang w:eastAsia="en-US"/>
        </w:rPr>
        <w:t>15</w:t>
      </w:r>
      <w:r w:rsidRPr="00B256C8">
        <w:rPr>
          <w:rFonts w:ascii="Times New Roman" w:eastAsia="SimSun" w:hAnsi="Times New Roman" w:cs="Times New Roman"/>
          <w:color w:val="000000" w:themeColor="text1"/>
          <w:lang w:eastAsia="en-US"/>
        </w:rPr>
        <w:t xml:space="preserve"> (8), 1166-75 (2011).</w:t>
      </w:r>
    </w:p>
    <w:p w14:paraId="58952690" w14:textId="77777777" w:rsidR="00C23D11" w:rsidRPr="00B256C8" w:rsidRDefault="00C23D11" w:rsidP="00C23D11">
      <w:pPr>
        <w:pStyle w:val="ListParagraph"/>
        <w:numPr>
          <w:ilvl w:val="0"/>
          <w:numId w:val="28"/>
        </w:numPr>
        <w:spacing w:line="276" w:lineRule="auto"/>
        <w:ind w:left="644"/>
        <w:rPr>
          <w:rFonts w:ascii="Times New Roman" w:hAnsi="Times New Roman" w:cs="Times New Roman"/>
          <w:color w:val="000000" w:themeColor="text1"/>
          <w:sz w:val="24"/>
          <w:szCs w:val="24"/>
        </w:rPr>
      </w:pPr>
      <w:r w:rsidRPr="00B256C8">
        <w:rPr>
          <w:rFonts w:ascii="Times New Roman" w:hAnsi="Times New Roman" w:cs="Times New Roman"/>
          <w:color w:val="000000" w:themeColor="text1"/>
          <w:shd w:val="clear" w:color="auto" w:fill="FFFFFF"/>
        </w:rPr>
        <w:t xml:space="preserve">Zhao, J. et al. Role of BMI-associated loci identified in GWAS meta-analyses in the context of common childhood obesity in European Americans. </w:t>
      </w:r>
      <w:r w:rsidRPr="00B256C8">
        <w:rPr>
          <w:rFonts w:ascii="Times New Roman" w:hAnsi="Times New Roman" w:cs="Times New Roman"/>
          <w:i/>
          <w:iCs/>
          <w:color w:val="000000" w:themeColor="text1"/>
          <w:shd w:val="clear" w:color="auto" w:fill="FFFFFF"/>
        </w:rPr>
        <w:t>Obesity</w:t>
      </w:r>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19</w:t>
      </w:r>
      <w:r w:rsidRPr="00B256C8">
        <w:rPr>
          <w:rFonts w:ascii="Times New Roman" w:hAnsi="Times New Roman" w:cs="Times New Roman"/>
          <w:color w:val="000000" w:themeColor="text1"/>
          <w:shd w:val="clear" w:color="auto" w:fill="FFFFFF"/>
        </w:rPr>
        <w:t xml:space="preserve"> (12), 2436-9 (2011).</w:t>
      </w:r>
    </w:p>
    <w:p w14:paraId="6CF5455E" w14:textId="77777777" w:rsidR="00C23D11" w:rsidRPr="00B256C8" w:rsidRDefault="00C23D11" w:rsidP="00C23D11">
      <w:pPr>
        <w:pStyle w:val="ListParagraph"/>
        <w:numPr>
          <w:ilvl w:val="0"/>
          <w:numId w:val="28"/>
        </w:numPr>
        <w:spacing w:line="276" w:lineRule="auto"/>
        <w:ind w:left="644"/>
        <w:rPr>
          <w:rFonts w:ascii="Times New Roman" w:hAnsi="Times New Roman" w:cs="Times New Roman"/>
          <w:color w:val="000000" w:themeColor="text1"/>
          <w:sz w:val="24"/>
          <w:szCs w:val="24"/>
        </w:rPr>
      </w:pPr>
      <w:r w:rsidRPr="00B256C8">
        <w:rPr>
          <w:rFonts w:ascii="Times New Roman" w:hAnsi="Times New Roman" w:cs="Times New Roman"/>
          <w:color w:val="000000" w:themeColor="text1"/>
          <w:shd w:val="clear" w:color="auto" w:fill="FFFFFF"/>
        </w:rPr>
        <w:t xml:space="preserve">Davison, K.K. &amp; Birch, L.L. Childhood overweight: a contextual model and recommendations for future research. </w:t>
      </w:r>
      <w:proofErr w:type="spellStart"/>
      <w:r w:rsidRPr="00B256C8">
        <w:rPr>
          <w:rFonts w:ascii="Times New Roman" w:hAnsi="Times New Roman" w:cs="Times New Roman"/>
          <w:i/>
          <w:iCs/>
          <w:color w:val="000000" w:themeColor="text1"/>
          <w:shd w:val="clear" w:color="auto" w:fill="FFFFFF"/>
        </w:rPr>
        <w:t>Obes</w:t>
      </w:r>
      <w:proofErr w:type="spellEnd"/>
      <w:r w:rsidRPr="00B256C8">
        <w:rPr>
          <w:rFonts w:ascii="Times New Roman" w:hAnsi="Times New Roman" w:cs="Times New Roman"/>
          <w:i/>
          <w:iCs/>
          <w:color w:val="000000" w:themeColor="text1"/>
          <w:shd w:val="clear" w:color="auto" w:fill="FFFFFF"/>
        </w:rPr>
        <w:t xml:space="preserve"> Rev</w:t>
      </w:r>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2</w:t>
      </w:r>
      <w:r w:rsidRPr="00B256C8">
        <w:rPr>
          <w:rFonts w:ascii="Times New Roman" w:hAnsi="Times New Roman" w:cs="Times New Roman"/>
          <w:color w:val="000000" w:themeColor="text1"/>
          <w:shd w:val="clear" w:color="auto" w:fill="FFFFFF"/>
        </w:rPr>
        <w:t xml:space="preserve"> (3), 159-71 (2001).</w:t>
      </w:r>
    </w:p>
    <w:p w14:paraId="187305EF" w14:textId="77777777" w:rsidR="00C23D11" w:rsidRPr="00B256C8" w:rsidRDefault="00C23D11" w:rsidP="00C23D11">
      <w:pPr>
        <w:pStyle w:val="ListParagraph"/>
        <w:numPr>
          <w:ilvl w:val="0"/>
          <w:numId w:val="28"/>
        </w:numPr>
        <w:spacing w:line="276" w:lineRule="auto"/>
        <w:ind w:left="644"/>
        <w:rPr>
          <w:rFonts w:ascii="Times New Roman" w:hAnsi="Times New Roman" w:cs="Times New Roman"/>
          <w:color w:val="000000" w:themeColor="text1"/>
          <w:sz w:val="24"/>
          <w:szCs w:val="24"/>
        </w:rPr>
      </w:pPr>
      <w:r w:rsidRPr="00B256C8">
        <w:rPr>
          <w:rFonts w:ascii="Times New Roman" w:hAnsi="Times New Roman" w:cs="Times New Roman"/>
          <w:color w:val="000000" w:themeColor="text1"/>
        </w:rPr>
        <w:t xml:space="preserve">Seema, S., </w:t>
      </w:r>
      <w:proofErr w:type="spellStart"/>
      <w:r w:rsidRPr="00B256C8">
        <w:rPr>
          <w:rFonts w:ascii="Times New Roman" w:hAnsi="Times New Roman" w:cs="Times New Roman"/>
          <w:color w:val="000000" w:themeColor="text1"/>
        </w:rPr>
        <w:t>Rohilla</w:t>
      </w:r>
      <w:proofErr w:type="spellEnd"/>
      <w:r w:rsidRPr="00B256C8">
        <w:rPr>
          <w:rFonts w:ascii="Times New Roman" w:hAnsi="Times New Roman" w:cs="Times New Roman"/>
          <w:color w:val="000000" w:themeColor="text1"/>
        </w:rPr>
        <w:t xml:space="preserve">, K.K., Kalyani, V.C. &amp; </w:t>
      </w:r>
      <w:proofErr w:type="spellStart"/>
      <w:r w:rsidRPr="00B256C8">
        <w:rPr>
          <w:rFonts w:ascii="Times New Roman" w:hAnsi="Times New Roman" w:cs="Times New Roman"/>
          <w:color w:val="000000" w:themeColor="text1"/>
        </w:rPr>
        <w:t>Babbar</w:t>
      </w:r>
      <w:proofErr w:type="spellEnd"/>
      <w:r w:rsidRPr="00B256C8">
        <w:rPr>
          <w:rFonts w:ascii="Times New Roman" w:hAnsi="Times New Roman" w:cs="Times New Roman"/>
          <w:color w:val="000000" w:themeColor="text1"/>
        </w:rPr>
        <w:t xml:space="preserve">, P. Prevalence and contributing factors for adolescent obesity in present era: Cross-sectional Study. </w:t>
      </w:r>
      <w:r w:rsidRPr="00B256C8">
        <w:rPr>
          <w:rFonts w:ascii="Times New Roman" w:hAnsi="Times New Roman" w:cs="Times New Roman"/>
          <w:i/>
          <w:iCs/>
          <w:color w:val="000000" w:themeColor="text1"/>
        </w:rPr>
        <w:t>J. Family. Med. Prim. Care,</w:t>
      </w:r>
      <w:r w:rsidRPr="00B256C8">
        <w:rPr>
          <w:rFonts w:ascii="Times New Roman" w:hAnsi="Times New Roman" w:cs="Times New Roman"/>
          <w:color w:val="000000" w:themeColor="text1"/>
        </w:rPr>
        <w:t xml:space="preserve"> 10, 1890-4. (2021).</w:t>
      </w:r>
    </w:p>
    <w:p w14:paraId="0FB77320"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Ellison, P.T. &amp; </w:t>
      </w:r>
      <w:proofErr w:type="spellStart"/>
      <w:r w:rsidRPr="00B256C8">
        <w:rPr>
          <w:rFonts w:ascii="Times New Roman" w:hAnsi="Times New Roman" w:cs="Times New Roman"/>
          <w:color w:val="000000" w:themeColor="text1"/>
        </w:rPr>
        <w:t>Reiches</w:t>
      </w:r>
      <w:proofErr w:type="spellEnd"/>
      <w:r w:rsidRPr="00B256C8">
        <w:rPr>
          <w:rFonts w:ascii="Times New Roman" w:hAnsi="Times New Roman" w:cs="Times New Roman"/>
          <w:color w:val="000000" w:themeColor="text1"/>
        </w:rPr>
        <w:t xml:space="preserve">, M.W. Puberty. in </w:t>
      </w:r>
      <w:r w:rsidRPr="00B256C8">
        <w:rPr>
          <w:rFonts w:ascii="Times New Roman" w:hAnsi="Times New Roman" w:cs="Times New Roman"/>
          <w:i/>
          <w:iCs/>
          <w:color w:val="000000" w:themeColor="text1"/>
        </w:rPr>
        <w:t>Human Growth and Development</w:t>
      </w:r>
      <w:r w:rsidRPr="00B256C8">
        <w:rPr>
          <w:rFonts w:ascii="Times New Roman" w:hAnsi="Times New Roman" w:cs="Times New Roman"/>
          <w:color w:val="000000" w:themeColor="text1"/>
        </w:rPr>
        <w:t xml:space="preserve"> (eds. Cameron, N. &amp; </w:t>
      </w:r>
      <w:proofErr w:type="spellStart"/>
      <w:r w:rsidRPr="00B256C8">
        <w:rPr>
          <w:rFonts w:ascii="Times New Roman" w:hAnsi="Times New Roman" w:cs="Times New Roman"/>
          <w:color w:val="000000" w:themeColor="text1"/>
        </w:rPr>
        <w:t>Bogin</w:t>
      </w:r>
      <w:proofErr w:type="spellEnd"/>
      <w:r w:rsidRPr="00B256C8">
        <w:rPr>
          <w:rFonts w:ascii="Times New Roman" w:hAnsi="Times New Roman" w:cs="Times New Roman"/>
          <w:color w:val="000000" w:themeColor="text1"/>
        </w:rPr>
        <w:t>, B.) 81-108 (Academic Press, 2012).</w:t>
      </w:r>
    </w:p>
    <w:p w14:paraId="0BC8492D"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Murray, P.G. &amp; Clayton, P.E. Endocrine control of growth. </w:t>
      </w:r>
      <w:r w:rsidRPr="00B256C8">
        <w:rPr>
          <w:rFonts w:ascii="Times New Roman" w:hAnsi="Times New Roman" w:cs="Times New Roman"/>
          <w:i/>
          <w:iCs/>
          <w:color w:val="000000" w:themeColor="text1"/>
          <w:shd w:val="clear" w:color="auto" w:fill="FFFFFF"/>
        </w:rPr>
        <w:t>Am. J. Med. Genet. C. Semin. Med. Genet,</w:t>
      </w:r>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163</w:t>
      </w:r>
      <w:r w:rsidRPr="00B256C8">
        <w:rPr>
          <w:rFonts w:ascii="Times New Roman" w:hAnsi="Times New Roman" w:cs="Times New Roman"/>
          <w:color w:val="000000" w:themeColor="text1"/>
          <w:shd w:val="clear" w:color="auto" w:fill="FFFFFF"/>
        </w:rPr>
        <w:t xml:space="preserve"> (2), 76-85 (2013).</w:t>
      </w:r>
    </w:p>
    <w:p w14:paraId="1DABFFD1"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rPr>
        <w:t xml:space="preserve">Schweiger, H. G. et al. Evidence for a </w:t>
      </w:r>
      <w:proofErr w:type="spellStart"/>
      <w:r w:rsidRPr="00B256C8">
        <w:rPr>
          <w:rFonts w:ascii="Times New Roman" w:hAnsi="Times New Roman" w:cs="Times New Roman"/>
          <w:color w:val="000000" w:themeColor="text1"/>
        </w:rPr>
        <w:t>circaseptan</w:t>
      </w:r>
      <w:proofErr w:type="spellEnd"/>
      <w:r w:rsidRPr="00B256C8">
        <w:rPr>
          <w:rFonts w:ascii="Times New Roman" w:hAnsi="Times New Roman" w:cs="Times New Roman"/>
          <w:color w:val="000000" w:themeColor="text1"/>
        </w:rPr>
        <w:t xml:space="preserve"> and a </w:t>
      </w:r>
      <w:proofErr w:type="spellStart"/>
      <w:r w:rsidRPr="00B256C8">
        <w:rPr>
          <w:rFonts w:ascii="Times New Roman" w:hAnsi="Times New Roman" w:cs="Times New Roman"/>
          <w:color w:val="000000" w:themeColor="text1"/>
        </w:rPr>
        <w:t>circasemiseptan</w:t>
      </w:r>
      <w:proofErr w:type="spellEnd"/>
      <w:r w:rsidRPr="00B256C8">
        <w:rPr>
          <w:rFonts w:ascii="Times New Roman" w:hAnsi="Times New Roman" w:cs="Times New Roman"/>
          <w:color w:val="000000" w:themeColor="text1"/>
        </w:rPr>
        <w:t xml:space="preserve"> growth response to light/dark cycle shifts in nucleated and enucleated Acetabularia cells, respectively. </w:t>
      </w:r>
      <w:r w:rsidRPr="00B256C8">
        <w:rPr>
          <w:rFonts w:ascii="Times New Roman" w:hAnsi="Times New Roman" w:cs="Times New Roman"/>
          <w:i/>
          <w:iCs/>
          <w:color w:val="000000" w:themeColor="text1"/>
        </w:rPr>
        <w:t xml:space="preserve">Proc. </w:t>
      </w:r>
      <w:proofErr w:type="spellStart"/>
      <w:r w:rsidRPr="00B256C8">
        <w:rPr>
          <w:rFonts w:ascii="Times New Roman" w:hAnsi="Times New Roman" w:cs="Times New Roman"/>
          <w:i/>
          <w:iCs/>
          <w:color w:val="000000" w:themeColor="text1"/>
        </w:rPr>
        <w:t>Nati</w:t>
      </w:r>
      <w:proofErr w:type="spellEnd"/>
      <w:r w:rsidRPr="00B256C8">
        <w:rPr>
          <w:rFonts w:ascii="Times New Roman" w:hAnsi="Times New Roman" w:cs="Times New Roman"/>
          <w:i/>
          <w:iCs/>
          <w:color w:val="000000" w:themeColor="text1"/>
        </w:rPr>
        <w:t>. Acad. Sci</w:t>
      </w:r>
      <w:r w:rsidRPr="00B256C8">
        <w:rPr>
          <w:rFonts w:ascii="Times New Roman" w:hAnsi="Times New Roman" w:cs="Times New Roman"/>
          <w:color w:val="000000" w:themeColor="text1"/>
        </w:rPr>
        <w:t xml:space="preserve">. </w:t>
      </w:r>
      <w:r w:rsidRPr="00B256C8">
        <w:rPr>
          <w:rFonts w:ascii="Times New Roman" w:hAnsi="Times New Roman" w:cs="Times New Roman"/>
          <w:i/>
          <w:iCs/>
          <w:color w:val="000000" w:themeColor="text1"/>
        </w:rPr>
        <w:t>USA</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3,</w:t>
      </w:r>
      <w:r w:rsidRPr="00B256C8">
        <w:rPr>
          <w:rFonts w:ascii="Times New Roman" w:hAnsi="Times New Roman" w:cs="Times New Roman"/>
          <w:color w:val="000000" w:themeColor="text1"/>
        </w:rPr>
        <w:t xml:space="preserve"> 8619-8623, (1986).</w:t>
      </w:r>
    </w:p>
    <w:p w14:paraId="6A81BECE"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proofErr w:type="spellStart"/>
      <w:r w:rsidRPr="00B256C8">
        <w:rPr>
          <w:rFonts w:ascii="Times New Roman" w:hAnsi="Times New Roman" w:cs="Times New Roman"/>
          <w:color w:val="000000" w:themeColor="text1"/>
          <w:shd w:val="clear" w:color="auto" w:fill="FFFFFF"/>
        </w:rPr>
        <w:lastRenderedPageBreak/>
        <w:t>Rutovskaya</w:t>
      </w:r>
      <w:proofErr w:type="spellEnd"/>
      <w:r w:rsidRPr="00B256C8">
        <w:rPr>
          <w:rFonts w:ascii="Times New Roman" w:hAnsi="Times New Roman" w:cs="Times New Roman"/>
          <w:color w:val="000000" w:themeColor="text1"/>
          <w:shd w:val="clear" w:color="auto" w:fill="FFFFFF"/>
        </w:rPr>
        <w:t xml:space="preserve">, M., </w:t>
      </w:r>
      <w:proofErr w:type="spellStart"/>
      <w:r w:rsidRPr="00B256C8">
        <w:rPr>
          <w:rFonts w:ascii="Times New Roman" w:hAnsi="Times New Roman" w:cs="Times New Roman"/>
          <w:color w:val="000000" w:themeColor="text1"/>
          <w:shd w:val="clear" w:color="auto" w:fill="FFFFFF"/>
        </w:rPr>
        <w:t>Kosyreva</w:t>
      </w:r>
      <w:proofErr w:type="spellEnd"/>
      <w:r w:rsidRPr="00B256C8">
        <w:rPr>
          <w:rFonts w:ascii="Times New Roman" w:hAnsi="Times New Roman" w:cs="Times New Roman"/>
          <w:color w:val="000000" w:themeColor="text1"/>
          <w:shd w:val="clear" w:color="auto" w:fill="FFFFFF"/>
        </w:rPr>
        <w:t>, A.M.</w:t>
      </w:r>
      <w:r>
        <w:rPr>
          <w:rFonts w:ascii="Times New Roman" w:hAnsi="Times New Roman" w:cs="Times New Roman"/>
          <w:color w:val="000000" w:themeColor="text1"/>
          <w:shd w:val="clear" w:color="auto" w:fill="FFFFFF"/>
        </w:rPr>
        <w:t>,</w:t>
      </w:r>
      <w:r w:rsidRPr="00B256C8">
        <w:rPr>
          <w:rFonts w:ascii="Times New Roman" w:hAnsi="Times New Roman" w:cs="Times New Roman"/>
          <w:color w:val="000000" w:themeColor="text1"/>
          <w:shd w:val="clear" w:color="auto" w:fill="FFFFFF"/>
        </w:rPr>
        <w:t xml:space="preserve"> </w:t>
      </w:r>
      <w:proofErr w:type="spellStart"/>
      <w:r w:rsidRPr="00B256C8">
        <w:rPr>
          <w:rFonts w:ascii="Times New Roman" w:hAnsi="Times New Roman" w:cs="Times New Roman"/>
          <w:color w:val="000000" w:themeColor="text1"/>
          <w:shd w:val="clear" w:color="auto" w:fill="FFFFFF"/>
        </w:rPr>
        <w:t>Diatroptov</w:t>
      </w:r>
      <w:proofErr w:type="spellEnd"/>
      <w:r w:rsidRPr="00B256C8">
        <w:rPr>
          <w:rFonts w:ascii="Times New Roman" w:hAnsi="Times New Roman" w:cs="Times New Roman"/>
          <w:color w:val="000000" w:themeColor="text1"/>
          <w:shd w:val="clear" w:color="auto" w:fill="FFFFFF"/>
        </w:rPr>
        <w:t xml:space="preserve">, M.E. Ultradian and </w:t>
      </w:r>
      <w:proofErr w:type="spellStart"/>
      <w:r w:rsidRPr="00B256C8">
        <w:rPr>
          <w:rFonts w:ascii="Times New Roman" w:hAnsi="Times New Roman" w:cs="Times New Roman"/>
          <w:color w:val="000000" w:themeColor="text1"/>
          <w:shd w:val="clear" w:color="auto" w:fill="FFFFFF"/>
        </w:rPr>
        <w:t>Infradian</w:t>
      </w:r>
      <w:proofErr w:type="spellEnd"/>
      <w:r w:rsidRPr="00B256C8">
        <w:rPr>
          <w:rFonts w:ascii="Times New Roman" w:hAnsi="Times New Roman" w:cs="Times New Roman"/>
          <w:color w:val="000000" w:themeColor="text1"/>
          <w:shd w:val="clear" w:color="auto" w:fill="FFFFFF"/>
        </w:rPr>
        <w:t xml:space="preserve"> Rhythms in the Dynamic of Testosterone Concentration in the Serum of the White-Breasted Hedgehog </w:t>
      </w:r>
      <w:r w:rsidRPr="00B256C8">
        <w:rPr>
          <w:rFonts w:ascii="Times New Roman" w:hAnsi="Times New Roman" w:cs="Times New Roman"/>
          <w:i/>
          <w:iCs/>
          <w:color w:val="000000" w:themeColor="text1"/>
          <w:shd w:val="clear" w:color="auto" w:fill="FFFFFF"/>
        </w:rPr>
        <w:t xml:space="preserve">Erinaceus </w:t>
      </w:r>
      <w:proofErr w:type="spellStart"/>
      <w:r w:rsidRPr="00B256C8">
        <w:rPr>
          <w:rFonts w:ascii="Times New Roman" w:hAnsi="Times New Roman" w:cs="Times New Roman"/>
          <w:i/>
          <w:iCs/>
          <w:color w:val="000000" w:themeColor="text1"/>
          <w:shd w:val="clear" w:color="auto" w:fill="FFFFFF"/>
        </w:rPr>
        <w:t>roumanicus</w:t>
      </w:r>
      <w:proofErr w:type="spellEnd"/>
      <w:r w:rsidRPr="00B256C8">
        <w:rPr>
          <w:rFonts w:ascii="Times New Roman" w:hAnsi="Times New Roman" w:cs="Times New Roman"/>
          <w:color w:val="000000" w:themeColor="text1"/>
          <w:shd w:val="clear" w:color="auto" w:fill="FFFFFF"/>
        </w:rPr>
        <w:t>. </w:t>
      </w:r>
      <w:r w:rsidRPr="00B256C8">
        <w:rPr>
          <w:rFonts w:ascii="Times New Roman" w:hAnsi="Times New Roman" w:cs="Times New Roman"/>
          <w:i/>
          <w:iCs/>
          <w:color w:val="000000" w:themeColor="text1"/>
          <w:shd w:val="clear" w:color="auto" w:fill="FFFFFF"/>
        </w:rPr>
        <w:t>Scientific. Rep</w:t>
      </w:r>
      <w:r w:rsidRPr="00B256C8">
        <w:rPr>
          <w:rFonts w:ascii="Times New Roman" w:hAnsi="Times New Roman" w:cs="Times New Roman"/>
          <w:color w:val="000000" w:themeColor="text1"/>
          <w:shd w:val="clear" w:color="auto" w:fill="FFFFFF"/>
        </w:rPr>
        <w:t> </w:t>
      </w:r>
      <w:r w:rsidRPr="00B256C8">
        <w:rPr>
          <w:rFonts w:ascii="Times New Roman" w:hAnsi="Times New Roman" w:cs="Times New Roman"/>
          <w:b/>
          <w:bCs/>
          <w:color w:val="000000" w:themeColor="text1"/>
          <w:shd w:val="clear" w:color="auto" w:fill="FFFFFF"/>
        </w:rPr>
        <w:t>10, </w:t>
      </w:r>
      <w:r w:rsidRPr="00B256C8">
        <w:rPr>
          <w:rFonts w:ascii="Times New Roman" w:hAnsi="Times New Roman" w:cs="Times New Roman"/>
          <w:color w:val="000000" w:themeColor="text1"/>
          <w:shd w:val="clear" w:color="auto" w:fill="FFFFFF"/>
        </w:rPr>
        <w:t>6334 (2020).</w:t>
      </w:r>
    </w:p>
    <w:p w14:paraId="0E81C26D"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proofErr w:type="spellStart"/>
      <w:r w:rsidRPr="00B256C8">
        <w:rPr>
          <w:rFonts w:ascii="Times New Roman" w:hAnsi="Times New Roman" w:cs="Times New Roman"/>
          <w:color w:val="000000" w:themeColor="text1"/>
          <w:shd w:val="clear" w:color="auto" w:fill="FCFCFC"/>
        </w:rPr>
        <w:t>Diatroptov</w:t>
      </w:r>
      <w:proofErr w:type="spellEnd"/>
      <w:r w:rsidRPr="00B256C8">
        <w:rPr>
          <w:rFonts w:ascii="Times New Roman" w:hAnsi="Times New Roman" w:cs="Times New Roman"/>
          <w:color w:val="000000" w:themeColor="text1"/>
          <w:shd w:val="clear" w:color="auto" w:fill="FCFCFC"/>
        </w:rPr>
        <w:t xml:space="preserve">, M.E. </w:t>
      </w:r>
      <w:proofErr w:type="spellStart"/>
      <w:r w:rsidRPr="00B256C8">
        <w:rPr>
          <w:rFonts w:ascii="Times New Roman" w:hAnsi="Times New Roman" w:cs="Times New Roman"/>
          <w:color w:val="000000" w:themeColor="text1"/>
          <w:shd w:val="clear" w:color="auto" w:fill="FCFCFC"/>
        </w:rPr>
        <w:t>Infradian</w:t>
      </w:r>
      <w:proofErr w:type="spellEnd"/>
      <w:r w:rsidRPr="00B256C8">
        <w:rPr>
          <w:rFonts w:ascii="Times New Roman" w:hAnsi="Times New Roman" w:cs="Times New Roman"/>
          <w:color w:val="000000" w:themeColor="text1"/>
          <w:shd w:val="clear" w:color="auto" w:fill="FCFCFC"/>
        </w:rPr>
        <w:t xml:space="preserve"> Fluctuations in Serum Testosterone Levels in Male Laboratory Rats. </w:t>
      </w:r>
      <w:r w:rsidRPr="00B256C8">
        <w:rPr>
          <w:rFonts w:ascii="Times New Roman" w:hAnsi="Times New Roman" w:cs="Times New Roman"/>
          <w:i/>
          <w:iCs/>
          <w:color w:val="000000" w:themeColor="text1"/>
          <w:shd w:val="clear" w:color="auto" w:fill="FCFCFC"/>
        </w:rPr>
        <w:t>Bull. Exp. Biol. Med,</w:t>
      </w:r>
      <w:r w:rsidRPr="00B256C8">
        <w:rPr>
          <w:rFonts w:ascii="Times New Roman" w:hAnsi="Times New Roman" w:cs="Times New Roman"/>
          <w:color w:val="000000" w:themeColor="text1"/>
          <w:shd w:val="clear" w:color="auto" w:fill="FCFCFC"/>
        </w:rPr>
        <w:t> </w:t>
      </w:r>
      <w:r w:rsidRPr="00B256C8">
        <w:rPr>
          <w:rFonts w:ascii="Times New Roman" w:hAnsi="Times New Roman" w:cs="Times New Roman"/>
          <w:b/>
          <w:bCs/>
          <w:color w:val="000000" w:themeColor="text1"/>
          <w:shd w:val="clear" w:color="auto" w:fill="FCFCFC"/>
        </w:rPr>
        <w:t>151, </w:t>
      </w:r>
      <w:r w:rsidRPr="00B256C8">
        <w:rPr>
          <w:rFonts w:ascii="Times New Roman" w:hAnsi="Times New Roman" w:cs="Times New Roman"/>
          <w:color w:val="000000" w:themeColor="text1"/>
          <w:shd w:val="clear" w:color="auto" w:fill="FCFCFC"/>
        </w:rPr>
        <w:t>638 (2011). </w:t>
      </w:r>
    </w:p>
    <w:p w14:paraId="230C7E0E" w14:textId="77777777" w:rsidR="00C23D11" w:rsidRPr="00B256C8" w:rsidRDefault="00C23D11" w:rsidP="00C23D11">
      <w:pPr>
        <w:pStyle w:val="ListParagraph"/>
        <w:numPr>
          <w:ilvl w:val="0"/>
          <w:numId w:val="28"/>
        </w:numPr>
        <w:spacing w:line="276" w:lineRule="auto"/>
        <w:ind w:left="644"/>
        <w:rPr>
          <w:rFonts w:ascii="Times New Roman" w:hAnsi="Times New Roman" w:cs="Times New Roman"/>
          <w:color w:val="000000" w:themeColor="text1"/>
        </w:rPr>
      </w:pPr>
      <w:r w:rsidRPr="00B256C8">
        <w:rPr>
          <w:rFonts w:ascii="Times New Roman" w:hAnsi="Times New Roman" w:cs="Times New Roman"/>
          <w:color w:val="000000" w:themeColor="text1"/>
          <w:shd w:val="clear" w:color="auto" w:fill="FFFFFF"/>
          <w:lang w:val="pt-BR"/>
        </w:rPr>
        <w:t>Moreno-</w:t>
      </w:r>
      <w:proofErr w:type="spellStart"/>
      <w:r w:rsidRPr="00B256C8">
        <w:rPr>
          <w:rFonts w:ascii="Times New Roman" w:hAnsi="Times New Roman" w:cs="Times New Roman"/>
          <w:color w:val="000000" w:themeColor="text1"/>
          <w:shd w:val="clear" w:color="auto" w:fill="FFFFFF"/>
          <w:lang w:val="pt-BR"/>
        </w:rPr>
        <w:t>Irusta</w:t>
      </w:r>
      <w:proofErr w:type="spellEnd"/>
      <w:r w:rsidRPr="00B256C8">
        <w:rPr>
          <w:rFonts w:ascii="Times New Roman" w:hAnsi="Times New Roman" w:cs="Times New Roman"/>
          <w:color w:val="000000" w:themeColor="text1"/>
          <w:shd w:val="clear" w:color="auto" w:fill="FFFFFF"/>
          <w:lang w:val="pt-BR"/>
        </w:rPr>
        <w:t>, A. et al</w:t>
      </w:r>
      <w:r w:rsidRPr="00B256C8">
        <w:rPr>
          <w:rFonts w:ascii="Times New Roman" w:hAnsi="Times New Roman" w:cs="Times New Roman"/>
          <w:i/>
          <w:iCs/>
          <w:color w:val="000000" w:themeColor="text1"/>
          <w:shd w:val="clear" w:color="auto" w:fill="FFFFFF"/>
          <w:lang w:val="pt-BR"/>
        </w:rPr>
        <w:t>.</w:t>
      </w:r>
      <w:r w:rsidRPr="00B256C8">
        <w:rPr>
          <w:rFonts w:ascii="Times New Roman" w:hAnsi="Times New Roman" w:cs="Times New Roman"/>
          <w:color w:val="000000" w:themeColor="text1"/>
          <w:shd w:val="clear" w:color="auto" w:fill="FFFFFF"/>
          <w:lang w:val="pt-BR"/>
        </w:rPr>
        <w:t> </w:t>
      </w:r>
      <w:r w:rsidRPr="00B256C8">
        <w:rPr>
          <w:rFonts w:ascii="Times New Roman" w:hAnsi="Times New Roman" w:cs="Times New Roman"/>
          <w:color w:val="000000" w:themeColor="text1"/>
          <w:shd w:val="clear" w:color="auto" w:fill="FFFFFF"/>
        </w:rPr>
        <w:t xml:space="preserve">Sperm physiology varies according to ultradian and </w:t>
      </w:r>
      <w:proofErr w:type="spellStart"/>
      <w:r w:rsidRPr="00B256C8">
        <w:rPr>
          <w:rFonts w:ascii="Times New Roman" w:hAnsi="Times New Roman" w:cs="Times New Roman"/>
          <w:color w:val="000000" w:themeColor="text1"/>
          <w:shd w:val="clear" w:color="auto" w:fill="FFFFFF"/>
        </w:rPr>
        <w:t>infradian</w:t>
      </w:r>
      <w:proofErr w:type="spellEnd"/>
      <w:r w:rsidRPr="00B256C8">
        <w:rPr>
          <w:rFonts w:ascii="Times New Roman" w:hAnsi="Times New Roman" w:cs="Times New Roman"/>
          <w:color w:val="000000" w:themeColor="text1"/>
          <w:shd w:val="clear" w:color="auto" w:fill="FFFFFF"/>
        </w:rPr>
        <w:t xml:space="preserve"> rhythms. </w:t>
      </w:r>
      <w:r w:rsidRPr="00B256C8">
        <w:rPr>
          <w:rFonts w:ascii="Times New Roman" w:hAnsi="Times New Roman" w:cs="Times New Roman"/>
          <w:i/>
          <w:iCs/>
          <w:color w:val="000000" w:themeColor="text1"/>
          <w:shd w:val="clear" w:color="auto" w:fill="FFFFFF"/>
        </w:rPr>
        <w:t>Scientific. Rep</w:t>
      </w:r>
      <w:r w:rsidRPr="00B256C8">
        <w:rPr>
          <w:rFonts w:ascii="Times New Roman" w:hAnsi="Times New Roman" w:cs="Times New Roman"/>
          <w:color w:val="000000" w:themeColor="text1"/>
          <w:shd w:val="clear" w:color="auto" w:fill="FFFFFF"/>
        </w:rPr>
        <w:t> </w:t>
      </w:r>
      <w:r w:rsidRPr="00B256C8">
        <w:rPr>
          <w:rFonts w:ascii="Times New Roman" w:hAnsi="Times New Roman" w:cs="Times New Roman"/>
          <w:b/>
          <w:bCs/>
          <w:color w:val="000000" w:themeColor="text1"/>
          <w:shd w:val="clear" w:color="auto" w:fill="FFFFFF"/>
        </w:rPr>
        <w:t>9, </w:t>
      </w:r>
      <w:r w:rsidRPr="00B256C8">
        <w:rPr>
          <w:rFonts w:ascii="Times New Roman" w:hAnsi="Times New Roman" w:cs="Times New Roman"/>
          <w:color w:val="000000" w:themeColor="text1"/>
          <w:shd w:val="clear" w:color="auto" w:fill="FFFFFF"/>
        </w:rPr>
        <w:t>5988 (2019).</w:t>
      </w:r>
    </w:p>
    <w:p w14:paraId="314CAA3E" w14:textId="77777777" w:rsidR="00C23D11" w:rsidRPr="00B256C8" w:rsidRDefault="00C23D11" w:rsidP="00C23D11">
      <w:pPr>
        <w:pStyle w:val="ListParagraph"/>
        <w:numPr>
          <w:ilvl w:val="0"/>
          <w:numId w:val="28"/>
        </w:numPr>
        <w:spacing w:line="276" w:lineRule="auto"/>
        <w:ind w:left="644"/>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shd w:val="clear" w:color="auto" w:fill="FFFFFF"/>
        </w:rPr>
        <w:t>Pernold</w:t>
      </w:r>
      <w:proofErr w:type="spellEnd"/>
      <w:r w:rsidRPr="00B256C8">
        <w:rPr>
          <w:rFonts w:ascii="Times New Roman" w:hAnsi="Times New Roman" w:cs="Times New Roman"/>
          <w:color w:val="000000" w:themeColor="text1"/>
          <w:shd w:val="clear" w:color="auto" w:fill="FFFFFF"/>
        </w:rPr>
        <w:t xml:space="preserve">, K., </w:t>
      </w:r>
      <w:proofErr w:type="spellStart"/>
      <w:r w:rsidRPr="00B256C8">
        <w:rPr>
          <w:rFonts w:ascii="Times New Roman" w:hAnsi="Times New Roman" w:cs="Times New Roman"/>
          <w:color w:val="000000" w:themeColor="text1"/>
          <w:shd w:val="clear" w:color="auto" w:fill="FFFFFF"/>
        </w:rPr>
        <w:t>Rullman</w:t>
      </w:r>
      <w:proofErr w:type="spellEnd"/>
      <w:r w:rsidRPr="00B256C8">
        <w:rPr>
          <w:rFonts w:ascii="Times New Roman" w:hAnsi="Times New Roman" w:cs="Times New Roman"/>
          <w:color w:val="000000" w:themeColor="text1"/>
          <w:shd w:val="clear" w:color="auto" w:fill="FFFFFF"/>
        </w:rPr>
        <w:t xml:space="preserve">, E. &amp; </w:t>
      </w:r>
      <w:proofErr w:type="spellStart"/>
      <w:r w:rsidRPr="00B256C8">
        <w:rPr>
          <w:rFonts w:ascii="Times New Roman" w:hAnsi="Times New Roman" w:cs="Times New Roman"/>
          <w:color w:val="000000" w:themeColor="text1"/>
          <w:shd w:val="clear" w:color="auto" w:fill="FFFFFF"/>
        </w:rPr>
        <w:t>Ulfhake</w:t>
      </w:r>
      <w:proofErr w:type="spellEnd"/>
      <w:r w:rsidRPr="00B256C8">
        <w:rPr>
          <w:rFonts w:ascii="Times New Roman" w:hAnsi="Times New Roman" w:cs="Times New Roman"/>
          <w:color w:val="000000" w:themeColor="text1"/>
          <w:shd w:val="clear" w:color="auto" w:fill="FFFFFF"/>
        </w:rPr>
        <w:t>, B. Major oscillations in spontaneous home-cage activity in C57BL/6 mice housed under constant conditions. </w:t>
      </w:r>
      <w:proofErr w:type="spellStart"/>
      <w:r w:rsidRPr="00B256C8">
        <w:rPr>
          <w:rFonts w:ascii="Times New Roman" w:hAnsi="Times New Roman" w:cs="Times New Roman"/>
          <w:i/>
          <w:iCs/>
          <w:color w:val="000000" w:themeColor="text1"/>
          <w:shd w:val="clear" w:color="auto" w:fill="FFFFFF"/>
        </w:rPr>
        <w:t>Scientif</w:t>
      </w:r>
      <w:proofErr w:type="spellEnd"/>
      <w:r w:rsidRPr="00B256C8">
        <w:rPr>
          <w:rFonts w:ascii="Times New Roman" w:hAnsi="Times New Roman" w:cs="Times New Roman"/>
          <w:i/>
          <w:iCs/>
          <w:color w:val="000000" w:themeColor="text1"/>
          <w:shd w:val="clear" w:color="auto" w:fill="FFFFFF"/>
        </w:rPr>
        <w:t>. Rep</w:t>
      </w:r>
      <w:r w:rsidRPr="00B256C8">
        <w:rPr>
          <w:rFonts w:ascii="Times New Roman" w:hAnsi="Times New Roman" w:cs="Times New Roman"/>
          <w:color w:val="000000" w:themeColor="text1"/>
          <w:shd w:val="clear" w:color="auto" w:fill="FFFFFF"/>
        </w:rPr>
        <w:t> </w:t>
      </w:r>
      <w:r w:rsidRPr="00B256C8">
        <w:rPr>
          <w:rFonts w:ascii="Times New Roman" w:hAnsi="Times New Roman" w:cs="Times New Roman"/>
          <w:b/>
          <w:bCs/>
          <w:color w:val="000000" w:themeColor="text1"/>
          <w:shd w:val="clear" w:color="auto" w:fill="FFFFFF"/>
        </w:rPr>
        <w:t>11, </w:t>
      </w:r>
      <w:r w:rsidRPr="00B256C8">
        <w:rPr>
          <w:rFonts w:ascii="Times New Roman" w:hAnsi="Times New Roman" w:cs="Times New Roman"/>
          <w:color w:val="000000" w:themeColor="text1"/>
          <w:shd w:val="clear" w:color="auto" w:fill="FFFFFF"/>
        </w:rPr>
        <w:t>4961 (2021).</w:t>
      </w:r>
    </w:p>
    <w:p w14:paraId="652BC71E" w14:textId="77777777" w:rsidR="00C23D11" w:rsidRPr="00B256C8" w:rsidRDefault="00C23D11" w:rsidP="00C23D11">
      <w:pPr>
        <w:pStyle w:val="ListParagraph"/>
        <w:numPr>
          <w:ilvl w:val="0"/>
          <w:numId w:val="28"/>
        </w:numPr>
        <w:spacing w:line="276" w:lineRule="auto"/>
        <w:ind w:left="644"/>
        <w:rPr>
          <w:rFonts w:ascii="Times New Roman" w:hAnsi="Times New Roman" w:cs="Times New Roman"/>
          <w:color w:val="000000" w:themeColor="text1"/>
          <w:shd w:val="clear" w:color="auto" w:fill="FFFFFF"/>
        </w:rPr>
      </w:pPr>
      <w:proofErr w:type="spellStart"/>
      <w:r w:rsidRPr="00B256C8">
        <w:rPr>
          <w:rFonts w:ascii="Times New Roman" w:hAnsi="Times New Roman" w:cs="Times New Roman"/>
          <w:color w:val="000000" w:themeColor="text1"/>
          <w:shd w:val="clear" w:color="auto" w:fill="FFFFFF"/>
        </w:rPr>
        <w:t>Rakova</w:t>
      </w:r>
      <w:proofErr w:type="spellEnd"/>
      <w:r w:rsidRPr="00B256C8">
        <w:rPr>
          <w:rFonts w:ascii="Times New Roman" w:hAnsi="Times New Roman" w:cs="Times New Roman"/>
          <w:color w:val="000000" w:themeColor="text1"/>
          <w:shd w:val="clear" w:color="auto" w:fill="FFFFFF"/>
        </w:rPr>
        <w:t xml:space="preserve">, N. et al. Long-term space flight simulation reveals </w:t>
      </w:r>
      <w:proofErr w:type="spellStart"/>
      <w:r w:rsidRPr="00B256C8">
        <w:rPr>
          <w:rFonts w:ascii="Times New Roman" w:hAnsi="Times New Roman" w:cs="Times New Roman"/>
          <w:color w:val="000000" w:themeColor="text1"/>
          <w:shd w:val="clear" w:color="auto" w:fill="FFFFFF"/>
        </w:rPr>
        <w:t>infradian</w:t>
      </w:r>
      <w:proofErr w:type="spellEnd"/>
      <w:r w:rsidRPr="00B256C8">
        <w:rPr>
          <w:rFonts w:ascii="Times New Roman" w:hAnsi="Times New Roman" w:cs="Times New Roman"/>
          <w:color w:val="000000" w:themeColor="text1"/>
          <w:shd w:val="clear" w:color="auto" w:fill="FFFFFF"/>
        </w:rPr>
        <w:t xml:space="preserve"> rhythmicity in human Na</w:t>
      </w:r>
      <w:r w:rsidRPr="00B256C8">
        <w:rPr>
          <w:rFonts w:ascii="Times New Roman" w:hAnsi="Times New Roman" w:cs="Times New Roman"/>
          <w:color w:val="000000" w:themeColor="text1"/>
          <w:shd w:val="clear" w:color="auto" w:fill="FFFFFF"/>
          <w:vertAlign w:val="superscript"/>
        </w:rPr>
        <w:t>+</w:t>
      </w:r>
      <w:r w:rsidRPr="00B256C8">
        <w:rPr>
          <w:rFonts w:ascii="Times New Roman" w:hAnsi="Times New Roman" w:cs="Times New Roman"/>
          <w:color w:val="000000" w:themeColor="text1"/>
          <w:shd w:val="clear" w:color="auto" w:fill="FFFFFF"/>
        </w:rPr>
        <w:t> balance. </w:t>
      </w:r>
      <w:r w:rsidRPr="00B256C8">
        <w:rPr>
          <w:rFonts w:ascii="Times New Roman" w:hAnsi="Times New Roman" w:cs="Times New Roman"/>
          <w:i/>
          <w:iCs/>
          <w:color w:val="000000" w:themeColor="text1"/>
          <w:shd w:val="clear" w:color="auto" w:fill="FFFFFF"/>
        </w:rPr>
        <w:t xml:space="preserve">Cell </w:t>
      </w:r>
      <w:proofErr w:type="spellStart"/>
      <w:r w:rsidRPr="00B256C8">
        <w:rPr>
          <w:rFonts w:ascii="Times New Roman" w:hAnsi="Times New Roman" w:cs="Times New Roman"/>
          <w:i/>
          <w:iCs/>
          <w:color w:val="000000" w:themeColor="text1"/>
          <w:shd w:val="clear" w:color="auto" w:fill="FFFFFF"/>
        </w:rPr>
        <w:t>Metab</w:t>
      </w:r>
      <w:proofErr w:type="spellEnd"/>
      <w:r w:rsidRPr="00B256C8">
        <w:rPr>
          <w:rFonts w:ascii="Times New Roman" w:hAnsi="Times New Roman" w:cs="Times New Roman"/>
          <w:i/>
          <w:iCs/>
          <w:color w:val="000000" w:themeColor="text1"/>
          <w:shd w:val="clear" w:color="auto" w:fill="FFFFFF"/>
        </w:rPr>
        <w:t>.</w:t>
      </w:r>
      <w:r w:rsidRPr="00B256C8">
        <w:rPr>
          <w:rFonts w:ascii="Times New Roman" w:hAnsi="Times New Roman" w:cs="Times New Roman"/>
          <w:color w:val="000000" w:themeColor="text1"/>
          <w:shd w:val="clear" w:color="auto" w:fill="FFFFFF"/>
        </w:rPr>
        <w:t> </w:t>
      </w:r>
      <w:r w:rsidRPr="00B256C8">
        <w:rPr>
          <w:rFonts w:ascii="Times New Roman" w:hAnsi="Times New Roman" w:cs="Times New Roman"/>
          <w:b/>
          <w:bCs/>
          <w:color w:val="000000" w:themeColor="text1"/>
          <w:shd w:val="clear" w:color="auto" w:fill="FFFFFF"/>
        </w:rPr>
        <w:t>17</w:t>
      </w:r>
      <w:r w:rsidRPr="00B256C8">
        <w:rPr>
          <w:rFonts w:ascii="Times New Roman" w:hAnsi="Times New Roman" w:cs="Times New Roman"/>
          <w:color w:val="000000" w:themeColor="text1"/>
          <w:shd w:val="clear" w:color="auto" w:fill="FFFFFF"/>
        </w:rPr>
        <w:t>, 125–131 (2013).</w:t>
      </w:r>
    </w:p>
    <w:p w14:paraId="5B82A562"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proofErr w:type="spellStart"/>
      <w:r w:rsidRPr="00B256C8">
        <w:rPr>
          <w:rFonts w:ascii="Times New Roman" w:hAnsi="Times New Roman" w:cs="Times New Roman"/>
          <w:color w:val="000000" w:themeColor="text1"/>
        </w:rPr>
        <w:t>Halberg</w:t>
      </w:r>
      <w:proofErr w:type="spellEnd"/>
      <w:r w:rsidRPr="00B256C8">
        <w:rPr>
          <w:rFonts w:ascii="Times New Roman" w:hAnsi="Times New Roman" w:cs="Times New Roman"/>
          <w:color w:val="000000" w:themeColor="text1"/>
        </w:rPr>
        <w:t xml:space="preserve">, F., </w:t>
      </w:r>
      <w:proofErr w:type="spellStart"/>
      <w:r w:rsidRPr="00B256C8">
        <w:rPr>
          <w:rFonts w:ascii="Times New Roman" w:hAnsi="Times New Roman" w:cs="Times New Roman"/>
          <w:color w:val="000000" w:themeColor="text1"/>
        </w:rPr>
        <w:t>Diffley</w:t>
      </w:r>
      <w:proofErr w:type="spellEnd"/>
      <w:r w:rsidRPr="00B256C8">
        <w:rPr>
          <w:rFonts w:ascii="Times New Roman" w:hAnsi="Times New Roman" w:cs="Times New Roman"/>
          <w:color w:val="000000" w:themeColor="text1"/>
        </w:rPr>
        <w:t xml:space="preserve">, M., Stein, M., Panofsky, H. &amp; Adkins, G. Computer techniques in the study of biological rhythms. </w:t>
      </w:r>
      <w:r w:rsidRPr="00B256C8">
        <w:rPr>
          <w:rFonts w:ascii="Times New Roman" w:hAnsi="Times New Roman" w:cs="Times New Roman"/>
          <w:i/>
          <w:iCs/>
          <w:color w:val="000000" w:themeColor="text1"/>
        </w:rPr>
        <w:t>Ann. N. Y. Acad. Sci</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115</w:t>
      </w:r>
      <w:r w:rsidRPr="00B256C8">
        <w:rPr>
          <w:rFonts w:ascii="Times New Roman" w:hAnsi="Times New Roman" w:cs="Times New Roman"/>
          <w:color w:val="000000" w:themeColor="text1"/>
        </w:rPr>
        <w:t>, 695–720 (1964).</w:t>
      </w:r>
    </w:p>
    <w:p w14:paraId="3E0F987D"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rPr>
        <w:t xml:space="preserve">Ayala, D.E. &amp; </w:t>
      </w:r>
      <w:proofErr w:type="spellStart"/>
      <w:r w:rsidRPr="00B256C8">
        <w:rPr>
          <w:rFonts w:ascii="Times New Roman" w:hAnsi="Times New Roman" w:cs="Times New Roman"/>
          <w:color w:val="000000" w:themeColor="text1"/>
        </w:rPr>
        <w:t>Hermida</w:t>
      </w:r>
      <w:proofErr w:type="spellEnd"/>
      <w:r w:rsidRPr="00B256C8">
        <w:rPr>
          <w:rFonts w:ascii="Times New Roman" w:hAnsi="Times New Roman" w:cs="Times New Roman"/>
          <w:color w:val="000000" w:themeColor="text1"/>
        </w:rPr>
        <w:t xml:space="preserve">, R. Multi-frequency </w:t>
      </w:r>
      <w:proofErr w:type="spellStart"/>
      <w:r w:rsidRPr="00B256C8">
        <w:rPr>
          <w:rFonts w:ascii="Times New Roman" w:hAnsi="Times New Roman" w:cs="Times New Roman"/>
          <w:color w:val="000000" w:themeColor="text1"/>
        </w:rPr>
        <w:t>infradian</w:t>
      </w:r>
      <w:proofErr w:type="spellEnd"/>
      <w:r w:rsidRPr="00B256C8">
        <w:rPr>
          <w:rFonts w:ascii="Times New Roman" w:hAnsi="Times New Roman" w:cs="Times New Roman"/>
          <w:color w:val="000000" w:themeColor="text1"/>
        </w:rPr>
        <w:t xml:space="preserve"> variation in blood pressure during and after pregnancy. </w:t>
      </w:r>
      <w:proofErr w:type="spellStart"/>
      <w:r w:rsidRPr="00B256C8">
        <w:rPr>
          <w:rFonts w:ascii="Times New Roman" w:hAnsi="Times New Roman" w:cs="Times New Roman"/>
          <w:i/>
          <w:iCs/>
          <w:color w:val="000000" w:themeColor="text1"/>
        </w:rPr>
        <w:t>Chronobiol</w:t>
      </w:r>
      <w:proofErr w:type="spellEnd"/>
      <w:r w:rsidRPr="00B256C8">
        <w:rPr>
          <w:rFonts w:ascii="Times New Roman" w:hAnsi="Times New Roman" w:cs="Times New Roman"/>
          <w:i/>
          <w:iCs/>
          <w:color w:val="000000" w:themeColor="text1"/>
        </w:rPr>
        <w:t>. Int</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12</w:t>
      </w:r>
      <w:r w:rsidRPr="00B256C8">
        <w:rPr>
          <w:rFonts w:ascii="Times New Roman" w:hAnsi="Times New Roman" w:cs="Times New Roman"/>
          <w:color w:val="000000" w:themeColor="text1"/>
        </w:rPr>
        <w:t>, 333–343 (1995).</w:t>
      </w:r>
    </w:p>
    <w:p w14:paraId="7759BEDC"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rPr>
        <w:t xml:space="preserve">Otsuka, K., </w:t>
      </w:r>
      <w:proofErr w:type="spellStart"/>
      <w:r w:rsidRPr="00B256C8">
        <w:rPr>
          <w:rFonts w:ascii="Times New Roman" w:hAnsi="Times New Roman" w:cs="Times New Roman"/>
          <w:color w:val="000000" w:themeColor="text1"/>
        </w:rPr>
        <w:t>Cornélissen</w:t>
      </w:r>
      <w:proofErr w:type="spellEnd"/>
      <w:r w:rsidRPr="00B256C8">
        <w:rPr>
          <w:rFonts w:ascii="Times New Roman" w:hAnsi="Times New Roman" w:cs="Times New Roman"/>
          <w:color w:val="000000" w:themeColor="text1"/>
        </w:rPr>
        <w:t xml:space="preserve">, G. &amp; </w:t>
      </w:r>
      <w:proofErr w:type="spellStart"/>
      <w:r w:rsidRPr="00B256C8">
        <w:rPr>
          <w:rFonts w:ascii="Times New Roman" w:hAnsi="Times New Roman" w:cs="Times New Roman"/>
          <w:color w:val="000000" w:themeColor="text1"/>
        </w:rPr>
        <w:t>Halberg</w:t>
      </w:r>
      <w:proofErr w:type="spellEnd"/>
      <w:r w:rsidRPr="00B256C8">
        <w:rPr>
          <w:rFonts w:ascii="Times New Roman" w:hAnsi="Times New Roman" w:cs="Times New Roman"/>
          <w:color w:val="000000" w:themeColor="text1"/>
        </w:rPr>
        <w:t xml:space="preserve">, F. Broad scope of a newly developed </w:t>
      </w:r>
      <w:proofErr w:type="spellStart"/>
      <w:r w:rsidRPr="00B256C8">
        <w:rPr>
          <w:rFonts w:ascii="Times New Roman" w:hAnsi="Times New Roman" w:cs="Times New Roman"/>
          <w:color w:val="000000" w:themeColor="text1"/>
        </w:rPr>
        <w:t>actometerin</w:t>
      </w:r>
      <w:proofErr w:type="spellEnd"/>
      <w:r w:rsidRPr="00B256C8">
        <w:rPr>
          <w:rFonts w:ascii="Times New Roman" w:hAnsi="Times New Roman" w:cs="Times New Roman"/>
          <w:color w:val="000000" w:themeColor="text1"/>
        </w:rPr>
        <w:t xml:space="preserve"> chronobiology, particularly </w:t>
      </w:r>
      <w:proofErr w:type="spellStart"/>
      <w:r w:rsidRPr="00B256C8">
        <w:rPr>
          <w:rFonts w:ascii="Times New Roman" w:hAnsi="Times New Roman" w:cs="Times New Roman"/>
          <w:color w:val="000000" w:themeColor="text1"/>
        </w:rPr>
        <w:t>chronocardiology</w:t>
      </w:r>
      <w:proofErr w:type="spellEnd"/>
      <w:r w:rsidRPr="00B256C8">
        <w:rPr>
          <w:rFonts w:ascii="Times New Roman" w:hAnsi="Times New Roman" w:cs="Times New Roman"/>
          <w:color w:val="000000" w:themeColor="text1"/>
        </w:rPr>
        <w:t xml:space="preserve">. </w:t>
      </w:r>
      <w:proofErr w:type="spellStart"/>
      <w:r w:rsidRPr="00B256C8">
        <w:rPr>
          <w:rFonts w:ascii="Times New Roman" w:hAnsi="Times New Roman" w:cs="Times New Roman"/>
          <w:i/>
          <w:iCs/>
          <w:color w:val="000000" w:themeColor="text1"/>
        </w:rPr>
        <w:t>Chronobio</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21</w:t>
      </w:r>
      <w:r w:rsidRPr="00B256C8">
        <w:rPr>
          <w:rFonts w:ascii="Times New Roman" w:hAnsi="Times New Roman" w:cs="Times New Roman"/>
          <w:color w:val="000000" w:themeColor="text1"/>
        </w:rPr>
        <w:t>, 251–264 (1994).</w:t>
      </w:r>
    </w:p>
    <w:p w14:paraId="48FBFAC1"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lang w:val="pt-BR"/>
        </w:rPr>
        <w:t xml:space="preserve">de </w:t>
      </w:r>
      <w:proofErr w:type="spellStart"/>
      <w:r w:rsidRPr="00B256C8">
        <w:rPr>
          <w:rFonts w:ascii="Times New Roman" w:hAnsi="Times New Roman" w:cs="Times New Roman"/>
          <w:color w:val="000000" w:themeColor="text1"/>
          <w:lang w:val="pt-BR"/>
        </w:rPr>
        <w:t>la</w:t>
      </w:r>
      <w:proofErr w:type="spellEnd"/>
      <w:r w:rsidRPr="00B256C8">
        <w:rPr>
          <w:rFonts w:ascii="Times New Roman" w:hAnsi="Times New Roman" w:cs="Times New Roman"/>
          <w:color w:val="000000" w:themeColor="text1"/>
          <w:lang w:val="pt-BR"/>
        </w:rPr>
        <w:t xml:space="preserve"> Pena, S.S. et al. </w:t>
      </w:r>
      <w:r w:rsidRPr="00B256C8">
        <w:rPr>
          <w:rFonts w:ascii="Times New Roman" w:hAnsi="Times New Roman" w:cs="Times New Roman"/>
          <w:color w:val="000000" w:themeColor="text1"/>
        </w:rPr>
        <w:t xml:space="preserve">Circadian and </w:t>
      </w:r>
      <w:proofErr w:type="spellStart"/>
      <w:r w:rsidRPr="00B256C8">
        <w:rPr>
          <w:rFonts w:ascii="Times New Roman" w:hAnsi="Times New Roman" w:cs="Times New Roman"/>
          <w:color w:val="000000" w:themeColor="text1"/>
        </w:rPr>
        <w:t>circaseptan</w:t>
      </w:r>
      <w:proofErr w:type="spellEnd"/>
      <w:r w:rsidRPr="00B256C8">
        <w:rPr>
          <w:rFonts w:ascii="Times New Roman" w:hAnsi="Times New Roman" w:cs="Times New Roman"/>
          <w:color w:val="000000" w:themeColor="text1"/>
        </w:rPr>
        <w:t xml:space="preserve"> free-running physiologic rhythms of a woman in social isolation. </w:t>
      </w:r>
      <w:r w:rsidRPr="00B256C8">
        <w:rPr>
          <w:rFonts w:ascii="Times New Roman" w:hAnsi="Times New Roman" w:cs="Times New Roman"/>
          <w:i/>
          <w:iCs/>
          <w:color w:val="000000" w:themeColor="text1"/>
        </w:rPr>
        <w:t xml:space="preserve">Proc. IEEE. </w:t>
      </w:r>
      <w:proofErr w:type="spellStart"/>
      <w:r w:rsidRPr="00B256C8">
        <w:rPr>
          <w:rFonts w:ascii="Times New Roman" w:hAnsi="Times New Roman" w:cs="Times New Roman"/>
          <w:i/>
          <w:iCs/>
          <w:color w:val="000000" w:themeColor="text1"/>
        </w:rPr>
        <w:t>Symp</w:t>
      </w:r>
      <w:proofErr w:type="spellEnd"/>
      <w:r w:rsidRPr="00B256C8">
        <w:rPr>
          <w:rFonts w:ascii="Times New Roman" w:hAnsi="Times New Roman" w:cs="Times New Roman"/>
          <w:i/>
          <w:iCs/>
          <w:color w:val="000000" w:themeColor="text1"/>
        </w:rPr>
        <w:t>. Comp. Med. Sys</w:t>
      </w:r>
      <w:r w:rsidRPr="00B256C8">
        <w:rPr>
          <w:rFonts w:ascii="Times New Roman" w:hAnsi="Times New Roman" w:cs="Times New Roman"/>
          <w:color w:val="000000" w:themeColor="text1"/>
        </w:rPr>
        <w:t>, 273–278 (1989).</w:t>
      </w:r>
    </w:p>
    <w:p w14:paraId="05CF8945"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proofErr w:type="spellStart"/>
      <w:r w:rsidRPr="00B256C8">
        <w:rPr>
          <w:rFonts w:ascii="Times New Roman" w:hAnsi="Times New Roman" w:cs="Times New Roman"/>
          <w:color w:val="000000" w:themeColor="text1"/>
        </w:rPr>
        <w:t>Cornélissen</w:t>
      </w:r>
      <w:proofErr w:type="spellEnd"/>
      <w:r w:rsidRPr="00B256C8">
        <w:rPr>
          <w:rFonts w:ascii="Times New Roman" w:hAnsi="Times New Roman" w:cs="Times New Roman"/>
          <w:color w:val="000000" w:themeColor="text1"/>
        </w:rPr>
        <w:t xml:space="preserve">, G. et al. 1996. Resonance of about-weekly human heart rate rhythm with solar activity change. </w:t>
      </w:r>
      <w:proofErr w:type="spellStart"/>
      <w:r w:rsidRPr="00B256C8">
        <w:rPr>
          <w:rFonts w:ascii="Times New Roman" w:hAnsi="Times New Roman" w:cs="Times New Roman"/>
          <w:i/>
          <w:iCs/>
          <w:color w:val="000000" w:themeColor="text1"/>
        </w:rPr>
        <w:t>Biologia</w:t>
      </w:r>
      <w:proofErr w:type="spellEnd"/>
      <w:r w:rsidRPr="00B256C8">
        <w:rPr>
          <w:rFonts w:ascii="Times New Roman" w:hAnsi="Times New Roman" w:cs="Times New Roman"/>
          <w:i/>
          <w:iCs/>
          <w:color w:val="000000" w:themeColor="text1"/>
        </w:rPr>
        <w:t>. (</w:t>
      </w:r>
      <w:proofErr w:type="spellStart"/>
      <w:r w:rsidRPr="00B256C8">
        <w:rPr>
          <w:rFonts w:ascii="Times New Roman" w:hAnsi="Times New Roman" w:cs="Times New Roman"/>
          <w:i/>
          <w:iCs/>
          <w:color w:val="000000" w:themeColor="text1"/>
        </w:rPr>
        <w:t>Bratisl</w:t>
      </w:r>
      <w:proofErr w:type="spellEnd"/>
      <w:r w:rsidRPr="00B256C8">
        <w:rPr>
          <w:rFonts w:ascii="Times New Roman" w:hAnsi="Times New Roman" w:cs="Times New Roman"/>
          <w:i/>
          <w:iCs/>
          <w:color w:val="000000" w:themeColor="text1"/>
        </w:rPr>
        <w:t>)</w:t>
      </w:r>
      <w:r w:rsidRPr="00B256C8">
        <w:rPr>
          <w:rFonts w:ascii="Times New Roman" w:hAnsi="Times New Roman" w:cs="Times New Roman"/>
          <w:b/>
          <w:bCs/>
          <w:color w:val="000000" w:themeColor="text1"/>
        </w:rPr>
        <w:t xml:space="preserve"> 51</w:t>
      </w:r>
      <w:r w:rsidRPr="00B256C8">
        <w:rPr>
          <w:rFonts w:ascii="Times New Roman" w:hAnsi="Times New Roman" w:cs="Times New Roman"/>
          <w:color w:val="000000" w:themeColor="text1"/>
        </w:rPr>
        <w:t>, 749–756 (1996).</w:t>
      </w:r>
    </w:p>
    <w:p w14:paraId="05D1D6AA"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lang w:val="fr-FR"/>
        </w:rPr>
        <w:t>Bromage</w:t>
      </w:r>
      <w:proofErr w:type="spellEnd"/>
      <w:r w:rsidRPr="00B256C8">
        <w:rPr>
          <w:rFonts w:ascii="Times New Roman" w:hAnsi="Times New Roman" w:cs="Times New Roman"/>
          <w:color w:val="000000" w:themeColor="text1"/>
          <w:lang w:val="fr-FR"/>
        </w:rPr>
        <w:t xml:space="preserve">, T.G. et al. </w:t>
      </w:r>
      <w:r w:rsidRPr="00B256C8">
        <w:rPr>
          <w:rFonts w:ascii="Times New Roman" w:hAnsi="Times New Roman" w:cs="Times New Roman"/>
          <w:color w:val="000000" w:themeColor="text1"/>
        </w:rPr>
        <w:t xml:space="preserve">Lamellar bone is an incremental tissue reconciling enamel rhythms, body size, and organismal life history. </w:t>
      </w:r>
      <w:proofErr w:type="spellStart"/>
      <w:r w:rsidRPr="00B256C8">
        <w:rPr>
          <w:rFonts w:ascii="Times New Roman" w:hAnsi="Times New Roman" w:cs="Times New Roman"/>
          <w:i/>
          <w:iCs/>
          <w:color w:val="000000" w:themeColor="text1"/>
        </w:rPr>
        <w:t>Calcif</w:t>
      </w:r>
      <w:proofErr w:type="spellEnd"/>
      <w:r w:rsidRPr="00B256C8">
        <w:rPr>
          <w:rFonts w:ascii="Times New Roman" w:hAnsi="Times New Roman" w:cs="Times New Roman"/>
          <w:i/>
          <w:iCs/>
          <w:color w:val="000000" w:themeColor="text1"/>
        </w:rPr>
        <w:t>. Tissue. Int,</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84</w:t>
      </w:r>
      <w:r w:rsidRPr="00B256C8">
        <w:rPr>
          <w:rFonts w:ascii="Times New Roman" w:hAnsi="Times New Roman" w:cs="Times New Roman"/>
          <w:color w:val="000000" w:themeColor="text1"/>
        </w:rPr>
        <w:t>, 388- 404 (2009).</w:t>
      </w:r>
    </w:p>
    <w:p w14:paraId="5E24ECE1"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lang w:val="fr-FR"/>
        </w:rPr>
        <w:t>Bromage</w:t>
      </w:r>
      <w:proofErr w:type="spellEnd"/>
      <w:r w:rsidRPr="00B256C8">
        <w:rPr>
          <w:rFonts w:ascii="Times New Roman" w:hAnsi="Times New Roman" w:cs="Times New Roman"/>
          <w:color w:val="000000" w:themeColor="text1"/>
          <w:lang w:val="fr-FR"/>
        </w:rPr>
        <w:t xml:space="preserve">, T.G., </w:t>
      </w:r>
      <w:proofErr w:type="spellStart"/>
      <w:r w:rsidRPr="00B256C8">
        <w:rPr>
          <w:rFonts w:ascii="Times New Roman" w:hAnsi="Times New Roman" w:cs="Times New Roman"/>
          <w:color w:val="000000" w:themeColor="text1"/>
          <w:lang w:val="fr-FR"/>
        </w:rPr>
        <w:t>Hogg</w:t>
      </w:r>
      <w:proofErr w:type="spellEnd"/>
      <w:r w:rsidRPr="00B256C8">
        <w:rPr>
          <w:rFonts w:ascii="Times New Roman" w:hAnsi="Times New Roman" w:cs="Times New Roman"/>
          <w:color w:val="000000" w:themeColor="text1"/>
          <w:lang w:val="fr-FR"/>
        </w:rPr>
        <w:t xml:space="preserve">, R.T., </w:t>
      </w:r>
      <w:proofErr w:type="spellStart"/>
      <w:r w:rsidRPr="00B256C8">
        <w:rPr>
          <w:rFonts w:ascii="Times New Roman" w:hAnsi="Times New Roman" w:cs="Times New Roman"/>
          <w:color w:val="000000" w:themeColor="text1"/>
          <w:lang w:val="fr-FR"/>
        </w:rPr>
        <w:t>Lacruz</w:t>
      </w:r>
      <w:proofErr w:type="spellEnd"/>
      <w:r w:rsidRPr="00B256C8">
        <w:rPr>
          <w:rFonts w:ascii="Times New Roman" w:hAnsi="Times New Roman" w:cs="Times New Roman"/>
          <w:color w:val="000000" w:themeColor="text1"/>
          <w:lang w:val="fr-FR"/>
        </w:rPr>
        <w:t xml:space="preserve">, R.S. &amp; Hou, C. </w:t>
      </w:r>
      <w:r w:rsidRPr="00B256C8">
        <w:rPr>
          <w:rFonts w:ascii="Times New Roman" w:hAnsi="Times New Roman" w:cs="Times New Roman"/>
          <w:color w:val="000000" w:themeColor="text1"/>
        </w:rPr>
        <w:t xml:space="preserve">Primate enamel evinces long period biological </w:t>
      </w:r>
      <w:proofErr w:type="gramStart"/>
      <w:r w:rsidRPr="00B256C8">
        <w:rPr>
          <w:rFonts w:ascii="Times New Roman" w:hAnsi="Times New Roman" w:cs="Times New Roman"/>
          <w:color w:val="000000" w:themeColor="text1"/>
        </w:rPr>
        <w:t>timing</w:t>
      </w:r>
      <w:proofErr w:type="gramEnd"/>
      <w:r w:rsidRPr="00B256C8">
        <w:rPr>
          <w:rFonts w:ascii="Times New Roman" w:hAnsi="Times New Roman" w:cs="Times New Roman"/>
          <w:color w:val="000000" w:themeColor="text1"/>
        </w:rPr>
        <w:t xml:space="preserve"> and regulation of life history.</w:t>
      </w:r>
      <w:r w:rsidRPr="00B256C8">
        <w:rPr>
          <w:rFonts w:ascii="Times New Roman" w:hAnsi="Times New Roman" w:cs="Times New Roman"/>
          <w:i/>
          <w:iCs/>
          <w:color w:val="000000" w:themeColor="text1"/>
        </w:rPr>
        <w:t xml:space="preserve"> J. </w:t>
      </w:r>
      <w:proofErr w:type="spellStart"/>
      <w:r w:rsidRPr="00B256C8">
        <w:rPr>
          <w:rFonts w:ascii="Times New Roman" w:hAnsi="Times New Roman" w:cs="Times New Roman"/>
          <w:i/>
          <w:iCs/>
          <w:color w:val="000000" w:themeColor="text1"/>
        </w:rPr>
        <w:t>Theor</w:t>
      </w:r>
      <w:proofErr w:type="spellEnd"/>
      <w:r w:rsidRPr="00B256C8">
        <w:rPr>
          <w:rFonts w:ascii="Times New Roman" w:hAnsi="Times New Roman" w:cs="Times New Roman"/>
          <w:i/>
          <w:iCs/>
          <w:color w:val="000000" w:themeColor="text1"/>
        </w:rPr>
        <w:t xml:space="preserve">. </w:t>
      </w:r>
      <w:proofErr w:type="spellStart"/>
      <w:r w:rsidRPr="00B256C8">
        <w:rPr>
          <w:rFonts w:ascii="Times New Roman" w:hAnsi="Times New Roman" w:cs="Times New Roman"/>
          <w:i/>
          <w:iCs/>
          <w:color w:val="000000" w:themeColor="text1"/>
        </w:rPr>
        <w:t>Biol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305</w:t>
      </w:r>
      <w:r w:rsidRPr="00B256C8">
        <w:rPr>
          <w:rFonts w:ascii="Times New Roman" w:hAnsi="Times New Roman" w:cs="Times New Roman"/>
          <w:color w:val="000000" w:themeColor="text1"/>
        </w:rPr>
        <w:t>, 131- 144 (2012).</w:t>
      </w:r>
    </w:p>
    <w:p w14:paraId="49A06BA0"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rPr>
        <w:t>Boyde</w:t>
      </w:r>
      <w:proofErr w:type="spellEnd"/>
      <w:r w:rsidRPr="00B256C8">
        <w:rPr>
          <w:rFonts w:ascii="Times New Roman" w:hAnsi="Times New Roman" w:cs="Times New Roman"/>
          <w:color w:val="000000" w:themeColor="text1"/>
        </w:rPr>
        <w:t xml:space="preserve">, A. Enamel. in </w:t>
      </w:r>
      <w:r w:rsidRPr="00B256C8">
        <w:rPr>
          <w:rFonts w:ascii="Times New Roman" w:hAnsi="Times New Roman" w:cs="Times New Roman"/>
          <w:i/>
          <w:iCs/>
          <w:color w:val="000000" w:themeColor="text1"/>
        </w:rPr>
        <w:t>Handbook of Microscopic Anatomy vol V/6 Teeth</w:t>
      </w:r>
      <w:r w:rsidRPr="00B256C8">
        <w:rPr>
          <w:rFonts w:ascii="Times New Roman" w:hAnsi="Times New Roman" w:cs="Times New Roman"/>
          <w:color w:val="000000" w:themeColor="text1"/>
        </w:rPr>
        <w:t xml:space="preserve"> (eds. </w:t>
      </w:r>
      <w:proofErr w:type="spellStart"/>
      <w:r w:rsidRPr="00B256C8">
        <w:rPr>
          <w:rFonts w:ascii="Times New Roman" w:hAnsi="Times New Roman" w:cs="Times New Roman"/>
          <w:color w:val="000000" w:themeColor="text1"/>
        </w:rPr>
        <w:t>Oksche</w:t>
      </w:r>
      <w:proofErr w:type="spellEnd"/>
      <w:r w:rsidRPr="00B256C8">
        <w:rPr>
          <w:rFonts w:ascii="Times New Roman" w:hAnsi="Times New Roman" w:cs="Times New Roman"/>
          <w:color w:val="000000" w:themeColor="text1"/>
        </w:rPr>
        <w:t>, A. &amp; Vollrath, L.) 309–473 (Springer, Berlin</w:t>
      </w:r>
      <w:r>
        <w:rPr>
          <w:rFonts w:ascii="Times New Roman" w:hAnsi="Times New Roman" w:cs="Times New Roman"/>
          <w:color w:val="000000" w:themeColor="text1"/>
        </w:rPr>
        <w:t>,</w:t>
      </w:r>
      <w:r w:rsidRPr="00B256C8">
        <w:rPr>
          <w:rFonts w:ascii="Times New Roman" w:hAnsi="Times New Roman" w:cs="Times New Roman"/>
          <w:color w:val="000000" w:themeColor="text1"/>
        </w:rPr>
        <w:t xml:space="preserve"> 1989).</w:t>
      </w:r>
    </w:p>
    <w:p w14:paraId="2A4DA494"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shd w:val="clear" w:color="auto" w:fill="FFFFFF"/>
        </w:rPr>
        <w:t xml:space="preserve">McFarlane, G., </w:t>
      </w:r>
      <w:proofErr w:type="spellStart"/>
      <w:r w:rsidRPr="00B256C8">
        <w:rPr>
          <w:rFonts w:ascii="Times New Roman" w:hAnsi="Times New Roman" w:cs="Times New Roman"/>
          <w:color w:val="000000" w:themeColor="text1"/>
          <w:shd w:val="clear" w:color="auto" w:fill="FFFFFF"/>
        </w:rPr>
        <w:t>Guatelli</w:t>
      </w:r>
      <w:proofErr w:type="spellEnd"/>
      <w:r w:rsidRPr="00B256C8">
        <w:rPr>
          <w:rFonts w:ascii="Times New Roman" w:hAnsi="Times New Roman" w:cs="Times New Roman"/>
          <w:color w:val="000000" w:themeColor="text1"/>
          <w:shd w:val="clear" w:color="auto" w:fill="FFFFFF"/>
        </w:rPr>
        <w:t xml:space="preserve">-Steinberg, D., Loch, C., White, S., Bayle, P., Floyd, B. &amp; Mahoney, P. An inconstant biorhythm: the changing pace of </w:t>
      </w:r>
      <w:proofErr w:type="spellStart"/>
      <w:r w:rsidRPr="00B256C8">
        <w:rPr>
          <w:rFonts w:ascii="Times New Roman" w:hAnsi="Times New Roman" w:cs="Times New Roman"/>
          <w:color w:val="000000" w:themeColor="text1"/>
          <w:shd w:val="clear" w:color="auto" w:fill="FFFFFF"/>
        </w:rPr>
        <w:t>Retzius</w:t>
      </w:r>
      <w:proofErr w:type="spellEnd"/>
      <w:r w:rsidRPr="00B256C8">
        <w:rPr>
          <w:rFonts w:ascii="Times New Roman" w:hAnsi="Times New Roman" w:cs="Times New Roman"/>
          <w:color w:val="000000" w:themeColor="text1"/>
          <w:shd w:val="clear" w:color="auto" w:fill="FFFFFF"/>
        </w:rPr>
        <w:t xml:space="preserve"> periodicity in human permanent teeth.  </w:t>
      </w:r>
      <w:r w:rsidRPr="00B256C8">
        <w:rPr>
          <w:rFonts w:ascii="Times New Roman" w:hAnsi="Times New Roman" w:cs="Times New Roman"/>
          <w:i/>
          <w:iCs/>
          <w:color w:val="000000" w:themeColor="text1"/>
          <w:shd w:val="clear" w:color="auto" w:fill="FFFFFF"/>
        </w:rPr>
        <w:t xml:space="preserve">Am. J. Phys. </w:t>
      </w:r>
      <w:proofErr w:type="spellStart"/>
      <w:r w:rsidRPr="00B256C8">
        <w:rPr>
          <w:rFonts w:ascii="Times New Roman" w:hAnsi="Times New Roman" w:cs="Times New Roman"/>
          <w:i/>
          <w:iCs/>
          <w:color w:val="000000" w:themeColor="text1"/>
          <w:shd w:val="clear" w:color="auto" w:fill="FFFFFF"/>
        </w:rPr>
        <w:t>Anthropol</w:t>
      </w:r>
      <w:proofErr w:type="spellEnd"/>
      <w:r w:rsidRPr="00B256C8">
        <w:rPr>
          <w:rFonts w:ascii="Times New Roman" w:hAnsi="Times New Roman" w:cs="Times New Roman"/>
          <w:i/>
          <w:iCs/>
          <w:color w:val="000000" w:themeColor="text1"/>
          <w:shd w:val="clear" w:color="auto" w:fill="FFFFFF"/>
        </w:rPr>
        <w:t>,</w:t>
      </w:r>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175</w:t>
      </w:r>
      <w:r w:rsidRPr="00B256C8">
        <w:rPr>
          <w:rFonts w:ascii="Times New Roman" w:hAnsi="Times New Roman" w:cs="Times New Roman"/>
          <w:color w:val="000000" w:themeColor="text1"/>
          <w:shd w:val="clear" w:color="auto" w:fill="FFFFFF"/>
        </w:rPr>
        <w:t>, 172-184 (2021).</w:t>
      </w:r>
    </w:p>
    <w:p w14:paraId="7FAF983B" w14:textId="77777777" w:rsidR="00C23D11" w:rsidRPr="00B256C8" w:rsidRDefault="00C23D11" w:rsidP="00C23D11">
      <w:pPr>
        <w:pStyle w:val="ListParagraph"/>
        <w:numPr>
          <w:ilvl w:val="0"/>
          <w:numId w:val="28"/>
        </w:numPr>
        <w:spacing w:line="276" w:lineRule="auto"/>
        <w:ind w:left="644"/>
        <w:rPr>
          <w:rFonts w:ascii="Times New Roman" w:hAnsi="Times New Roman" w:cs="Times New Roman"/>
          <w:color w:val="000000" w:themeColor="text1"/>
        </w:rPr>
      </w:pPr>
      <w:r w:rsidRPr="00B256C8">
        <w:rPr>
          <w:rFonts w:ascii="Times New Roman" w:hAnsi="Times New Roman" w:cs="Times New Roman"/>
          <w:color w:val="000000" w:themeColor="text1"/>
          <w:shd w:val="clear" w:color="auto" w:fill="FFFFFF"/>
        </w:rPr>
        <w:t>Mahoney, P. Intraspecific variation in M1 enamel development in modern humans: implications for human evolution.  </w:t>
      </w:r>
      <w:r w:rsidRPr="00B256C8">
        <w:rPr>
          <w:rFonts w:ascii="Times New Roman" w:hAnsi="Times New Roman" w:cs="Times New Roman"/>
          <w:i/>
          <w:iCs/>
          <w:color w:val="000000" w:themeColor="text1"/>
          <w:shd w:val="clear" w:color="auto" w:fill="FFFFFF"/>
        </w:rPr>
        <w:t xml:space="preserve">J. Hum. </w:t>
      </w:r>
      <w:proofErr w:type="spellStart"/>
      <w:r w:rsidRPr="00B256C8">
        <w:rPr>
          <w:rFonts w:ascii="Times New Roman" w:hAnsi="Times New Roman" w:cs="Times New Roman"/>
          <w:i/>
          <w:iCs/>
          <w:color w:val="000000" w:themeColor="text1"/>
          <w:shd w:val="clear" w:color="auto" w:fill="FFFFFF"/>
        </w:rPr>
        <w:t>Evol</w:t>
      </w:r>
      <w:proofErr w:type="spellEnd"/>
      <w:r w:rsidRPr="00B256C8">
        <w:rPr>
          <w:rFonts w:ascii="Times New Roman" w:hAnsi="Times New Roman" w:cs="Times New Roman"/>
          <w:i/>
          <w:iCs/>
          <w:color w:val="000000" w:themeColor="text1"/>
          <w:shd w:val="clear" w:color="auto" w:fill="FFFFFF"/>
        </w:rPr>
        <w:t>,</w:t>
      </w:r>
      <w:r w:rsidRPr="00B256C8">
        <w:rPr>
          <w:rFonts w:ascii="Times New Roman" w:hAnsi="Times New Roman" w:cs="Times New Roman"/>
          <w:b/>
          <w:bCs/>
          <w:color w:val="000000" w:themeColor="text1"/>
          <w:shd w:val="clear" w:color="auto" w:fill="FFFFFF"/>
        </w:rPr>
        <w:t xml:space="preserve"> 55</w:t>
      </w:r>
      <w:r w:rsidRPr="00B256C8">
        <w:rPr>
          <w:rFonts w:ascii="Times New Roman" w:hAnsi="Times New Roman" w:cs="Times New Roman"/>
          <w:color w:val="000000" w:themeColor="text1"/>
          <w:shd w:val="clear" w:color="auto" w:fill="FFFFFF"/>
        </w:rPr>
        <w:t>, 131-147 (2008).</w:t>
      </w:r>
    </w:p>
    <w:p w14:paraId="0E7000CE"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shd w:val="clear" w:color="auto" w:fill="FFFFFF"/>
        </w:rPr>
        <w:t xml:space="preserve">Mahoney, P., </w:t>
      </w:r>
      <w:proofErr w:type="spellStart"/>
      <w:r w:rsidRPr="00B256C8">
        <w:rPr>
          <w:rFonts w:ascii="Times New Roman" w:hAnsi="Times New Roman" w:cs="Times New Roman"/>
          <w:color w:val="000000" w:themeColor="text1"/>
          <w:shd w:val="clear" w:color="auto" w:fill="FFFFFF"/>
        </w:rPr>
        <w:t>Miszkiewicz</w:t>
      </w:r>
      <w:proofErr w:type="spellEnd"/>
      <w:r w:rsidRPr="00B256C8">
        <w:rPr>
          <w:rFonts w:ascii="Times New Roman" w:hAnsi="Times New Roman" w:cs="Times New Roman"/>
          <w:color w:val="000000" w:themeColor="text1"/>
          <w:shd w:val="clear" w:color="auto" w:fill="FFFFFF"/>
        </w:rPr>
        <w:t xml:space="preserve">, J. J., </w:t>
      </w:r>
      <w:proofErr w:type="spellStart"/>
      <w:r w:rsidRPr="00B256C8">
        <w:rPr>
          <w:rFonts w:ascii="Times New Roman" w:hAnsi="Times New Roman" w:cs="Times New Roman"/>
          <w:color w:val="000000" w:themeColor="text1"/>
          <w:shd w:val="clear" w:color="auto" w:fill="FFFFFF"/>
        </w:rPr>
        <w:t>Pitfield</w:t>
      </w:r>
      <w:proofErr w:type="spellEnd"/>
      <w:r w:rsidRPr="00B256C8">
        <w:rPr>
          <w:rFonts w:ascii="Times New Roman" w:hAnsi="Times New Roman" w:cs="Times New Roman"/>
          <w:color w:val="000000" w:themeColor="text1"/>
          <w:shd w:val="clear" w:color="auto" w:fill="FFFFFF"/>
        </w:rPr>
        <w:t xml:space="preserve">, R., Deter, C. &amp; </w:t>
      </w:r>
      <w:proofErr w:type="spellStart"/>
      <w:r w:rsidRPr="00B256C8">
        <w:rPr>
          <w:rFonts w:ascii="Times New Roman" w:hAnsi="Times New Roman" w:cs="Times New Roman"/>
          <w:color w:val="000000" w:themeColor="text1"/>
          <w:shd w:val="clear" w:color="auto" w:fill="FFFFFF"/>
        </w:rPr>
        <w:t>Guatelli</w:t>
      </w:r>
      <w:proofErr w:type="spellEnd"/>
      <w:r w:rsidRPr="00B256C8">
        <w:rPr>
          <w:rFonts w:ascii="Times New Roman" w:hAnsi="Times New Roman" w:cs="Times New Roman"/>
          <w:color w:val="000000" w:themeColor="text1"/>
          <w:shd w:val="clear" w:color="auto" w:fill="FFFFFF"/>
        </w:rPr>
        <w:t>-Steinberg, D. Enamel biorhythms of humans and great apes: the Havers-</w:t>
      </w:r>
      <w:proofErr w:type="spellStart"/>
      <w:r w:rsidRPr="00B256C8">
        <w:rPr>
          <w:rFonts w:ascii="Times New Roman" w:hAnsi="Times New Roman" w:cs="Times New Roman"/>
          <w:color w:val="000000" w:themeColor="text1"/>
          <w:shd w:val="clear" w:color="auto" w:fill="FFFFFF"/>
        </w:rPr>
        <w:t>Halberg</w:t>
      </w:r>
      <w:proofErr w:type="spellEnd"/>
      <w:r w:rsidRPr="00B256C8">
        <w:rPr>
          <w:rFonts w:ascii="Times New Roman" w:hAnsi="Times New Roman" w:cs="Times New Roman"/>
          <w:color w:val="000000" w:themeColor="text1"/>
          <w:shd w:val="clear" w:color="auto" w:fill="FFFFFF"/>
        </w:rPr>
        <w:t xml:space="preserve"> Oscillation hypothesis reconsidered. </w:t>
      </w:r>
      <w:r w:rsidRPr="00B256C8">
        <w:rPr>
          <w:rFonts w:ascii="Times New Roman" w:hAnsi="Times New Roman" w:cs="Times New Roman"/>
          <w:i/>
          <w:iCs/>
          <w:color w:val="000000" w:themeColor="text1"/>
          <w:shd w:val="clear" w:color="auto" w:fill="FFFFFF"/>
        </w:rPr>
        <w:t xml:space="preserve">J. </w:t>
      </w:r>
      <w:proofErr w:type="spellStart"/>
      <w:r w:rsidRPr="00B256C8">
        <w:rPr>
          <w:rFonts w:ascii="Times New Roman" w:hAnsi="Times New Roman" w:cs="Times New Roman"/>
          <w:i/>
          <w:iCs/>
          <w:color w:val="000000" w:themeColor="text1"/>
          <w:shd w:val="clear" w:color="auto" w:fill="FFFFFF"/>
        </w:rPr>
        <w:t>Anat</w:t>
      </w:r>
      <w:proofErr w:type="spellEnd"/>
      <w:r w:rsidRPr="00B256C8">
        <w:rPr>
          <w:rFonts w:ascii="Times New Roman" w:hAnsi="Times New Roman" w:cs="Times New Roman"/>
          <w:color w:val="000000" w:themeColor="text1"/>
          <w:shd w:val="clear" w:color="auto" w:fill="FFFFFF"/>
        </w:rPr>
        <w:t>,</w:t>
      </w:r>
      <w:r w:rsidRPr="00B256C8">
        <w:rPr>
          <w:rFonts w:ascii="Times New Roman" w:hAnsi="Times New Roman" w:cs="Times New Roman"/>
          <w:b/>
          <w:bCs/>
          <w:color w:val="000000" w:themeColor="text1"/>
          <w:shd w:val="clear" w:color="auto" w:fill="FFFFFF"/>
        </w:rPr>
        <w:t xml:space="preserve"> 230</w:t>
      </w:r>
      <w:r w:rsidRPr="00B256C8">
        <w:rPr>
          <w:rFonts w:ascii="Times New Roman" w:hAnsi="Times New Roman" w:cs="Times New Roman"/>
          <w:color w:val="000000" w:themeColor="text1"/>
          <w:shd w:val="clear" w:color="auto" w:fill="FFFFFF"/>
        </w:rPr>
        <w:t>, 272-281.</w:t>
      </w:r>
    </w:p>
    <w:p w14:paraId="79DB8B91"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Mahoney, P. 2011. Human deciduous mandibular molar incremental enamel development. </w:t>
      </w:r>
      <w:r w:rsidRPr="00B256C8">
        <w:rPr>
          <w:rFonts w:ascii="Times New Roman" w:hAnsi="Times New Roman" w:cs="Times New Roman"/>
          <w:i/>
          <w:iCs/>
          <w:color w:val="000000" w:themeColor="text1"/>
          <w:shd w:val="clear" w:color="auto" w:fill="FFFFFF"/>
        </w:rPr>
        <w:t xml:space="preserve">Am. J. Phys. </w:t>
      </w:r>
      <w:proofErr w:type="spellStart"/>
      <w:r w:rsidRPr="00B256C8">
        <w:rPr>
          <w:rFonts w:ascii="Times New Roman" w:hAnsi="Times New Roman" w:cs="Times New Roman"/>
          <w:i/>
          <w:iCs/>
          <w:color w:val="000000" w:themeColor="text1"/>
          <w:shd w:val="clear" w:color="auto" w:fill="FFFFFF"/>
        </w:rPr>
        <w:t>Anthropol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144</w:t>
      </w:r>
      <w:r w:rsidRPr="00B256C8">
        <w:rPr>
          <w:rFonts w:ascii="Times New Roman" w:hAnsi="Times New Roman" w:cs="Times New Roman"/>
          <w:color w:val="000000" w:themeColor="text1"/>
        </w:rPr>
        <w:t>, 204–214.</w:t>
      </w:r>
    </w:p>
    <w:p w14:paraId="7686245F"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rPr>
        <w:t xml:space="preserve">Reid, D.J. &amp; Dean, M.C. Variation in modern human enamel formation times. </w:t>
      </w:r>
      <w:r w:rsidRPr="00B256C8">
        <w:rPr>
          <w:rFonts w:ascii="Times New Roman" w:hAnsi="Times New Roman" w:cs="Times New Roman"/>
          <w:i/>
          <w:iCs/>
          <w:color w:val="000000" w:themeColor="text1"/>
        </w:rPr>
        <w:t xml:space="preserve">J. Hum. </w:t>
      </w:r>
      <w:proofErr w:type="spellStart"/>
      <w:r w:rsidRPr="00B256C8">
        <w:rPr>
          <w:rFonts w:ascii="Times New Roman" w:hAnsi="Times New Roman" w:cs="Times New Roman"/>
          <w:i/>
          <w:iCs/>
          <w:color w:val="000000" w:themeColor="text1"/>
        </w:rPr>
        <w:t>Evol</w:t>
      </w:r>
      <w:proofErr w:type="spellEnd"/>
      <w:r w:rsidRPr="00B256C8">
        <w:rPr>
          <w:rFonts w:ascii="Times New Roman" w:hAnsi="Times New Roman" w:cs="Times New Roman"/>
          <w:i/>
          <w:iCs/>
          <w:color w:val="000000" w:themeColor="text1"/>
        </w:rPr>
        <w:t>,</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50</w:t>
      </w:r>
      <w:r w:rsidRPr="00B256C8">
        <w:rPr>
          <w:rFonts w:ascii="Times New Roman" w:hAnsi="Times New Roman" w:cs="Times New Roman"/>
          <w:color w:val="000000" w:themeColor="text1"/>
        </w:rPr>
        <w:t>, 329–346 (2006).</w:t>
      </w:r>
    </w:p>
    <w:p w14:paraId="132E4388"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rPr>
        <w:t xml:space="preserve">Reid, D.J. &amp; Ferrell, R.J. The relationship between number of striae of </w:t>
      </w:r>
      <w:proofErr w:type="spellStart"/>
      <w:r w:rsidRPr="00B256C8">
        <w:rPr>
          <w:rFonts w:ascii="Times New Roman" w:hAnsi="Times New Roman" w:cs="Times New Roman"/>
          <w:color w:val="000000" w:themeColor="text1"/>
        </w:rPr>
        <w:t>retzius</w:t>
      </w:r>
      <w:proofErr w:type="spellEnd"/>
      <w:r w:rsidRPr="00B256C8">
        <w:rPr>
          <w:rFonts w:ascii="Times New Roman" w:hAnsi="Times New Roman" w:cs="Times New Roman"/>
          <w:color w:val="000000" w:themeColor="text1"/>
        </w:rPr>
        <w:t xml:space="preserve"> and their periodicity in </w:t>
      </w:r>
      <w:proofErr w:type="spellStart"/>
      <w:r w:rsidRPr="00B256C8">
        <w:rPr>
          <w:rFonts w:ascii="Times New Roman" w:hAnsi="Times New Roman" w:cs="Times New Roman"/>
          <w:color w:val="000000" w:themeColor="text1"/>
        </w:rPr>
        <w:t>imbricational</w:t>
      </w:r>
      <w:proofErr w:type="spellEnd"/>
      <w:r w:rsidRPr="00B256C8">
        <w:rPr>
          <w:rFonts w:ascii="Times New Roman" w:hAnsi="Times New Roman" w:cs="Times New Roman"/>
          <w:color w:val="000000" w:themeColor="text1"/>
        </w:rPr>
        <w:t xml:space="preserve"> enamel formation. </w:t>
      </w:r>
      <w:r w:rsidRPr="00B256C8">
        <w:rPr>
          <w:rFonts w:ascii="Times New Roman" w:hAnsi="Times New Roman" w:cs="Times New Roman"/>
          <w:i/>
          <w:iCs/>
          <w:color w:val="000000" w:themeColor="text1"/>
        </w:rPr>
        <w:t xml:space="preserve">J. Hum. </w:t>
      </w:r>
      <w:proofErr w:type="spellStart"/>
      <w:r w:rsidRPr="00B256C8">
        <w:rPr>
          <w:rFonts w:ascii="Times New Roman" w:hAnsi="Times New Roman" w:cs="Times New Roman"/>
          <w:i/>
          <w:iCs/>
          <w:color w:val="000000" w:themeColor="text1"/>
        </w:rPr>
        <w:t>Evol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50</w:t>
      </w:r>
      <w:r w:rsidRPr="00B256C8">
        <w:rPr>
          <w:rFonts w:ascii="Times New Roman" w:hAnsi="Times New Roman" w:cs="Times New Roman"/>
          <w:color w:val="000000" w:themeColor="text1"/>
        </w:rPr>
        <w:t>, 195–202 (2006).</w:t>
      </w:r>
    </w:p>
    <w:p w14:paraId="70E164FC"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Mahoney, P., McFarl</w:t>
      </w:r>
      <w:r>
        <w:rPr>
          <w:rFonts w:ascii="Times New Roman" w:hAnsi="Times New Roman" w:cs="Times New Roman"/>
          <w:color w:val="000000" w:themeColor="text1"/>
        </w:rPr>
        <w:t>a</w:t>
      </w:r>
      <w:r w:rsidRPr="00B256C8">
        <w:rPr>
          <w:rFonts w:ascii="Times New Roman" w:hAnsi="Times New Roman" w:cs="Times New Roman"/>
          <w:color w:val="000000" w:themeColor="text1"/>
        </w:rPr>
        <w:t xml:space="preserve">ne, G., </w:t>
      </w:r>
      <w:proofErr w:type="spellStart"/>
      <w:r w:rsidRPr="00B256C8">
        <w:rPr>
          <w:rFonts w:ascii="Times New Roman" w:hAnsi="Times New Roman" w:cs="Times New Roman"/>
          <w:color w:val="000000" w:themeColor="text1"/>
        </w:rPr>
        <w:t>Pitfield</w:t>
      </w:r>
      <w:proofErr w:type="spellEnd"/>
      <w:r w:rsidRPr="00B256C8">
        <w:rPr>
          <w:rFonts w:ascii="Times New Roman" w:hAnsi="Times New Roman" w:cs="Times New Roman"/>
          <w:color w:val="000000" w:themeColor="text1"/>
        </w:rPr>
        <w:t xml:space="preserve">, R., O’Hara, M., </w:t>
      </w:r>
      <w:proofErr w:type="spellStart"/>
      <w:r w:rsidRPr="00B256C8">
        <w:rPr>
          <w:rFonts w:ascii="Times New Roman" w:hAnsi="Times New Roman" w:cs="Times New Roman"/>
          <w:color w:val="000000" w:themeColor="text1"/>
          <w:shd w:val="clear" w:color="auto" w:fill="FFFFFF"/>
        </w:rPr>
        <w:t>Miszkiewicz</w:t>
      </w:r>
      <w:proofErr w:type="spellEnd"/>
      <w:r w:rsidRPr="00B256C8">
        <w:rPr>
          <w:rFonts w:ascii="Times New Roman" w:hAnsi="Times New Roman" w:cs="Times New Roman"/>
          <w:color w:val="000000" w:themeColor="text1"/>
          <w:shd w:val="clear" w:color="auto" w:fill="FFFFFF"/>
        </w:rPr>
        <w:t xml:space="preserve">, J., Deter, C., Seal, H. </w:t>
      </w:r>
      <w:proofErr w:type="spellStart"/>
      <w:r w:rsidRPr="00B256C8">
        <w:rPr>
          <w:rFonts w:ascii="Times New Roman" w:hAnsi="Times New Roman" w:cs="Times New Roman"/>
          <w:color w:val="000000" w:themeColor="text1"/>
          <w:shd w:val="clear" w:color="auto" w:fill="FFFFFF"/>
        </w:rPr>
        <w:t>Guatelli</w:t>
      </w:r>
      <w:proofErr w:type="spellEnd"/>
      <w:r w:rsidRPr="00B256C8">
        <w:rPr>
          <w:rFonts w:ascii="Times New Roman" w:hAnsi="Times New Roman" w:cs="Times New Roman"/>
          <w:color w:val="000000" w:themeColor="text1"/>
          <w:shd w:val="clear" w:color="auto" w:fill="FFFFFF"/>
        </w:rPr>
        <w:t>-Steinberg, D</w:t>
      </w:r>
      <w:r w:rsidRPr="00B256C8">
        <w:rPr>
          <w:rFonts w:ascii="Times New Roman" w:hAnsi="Times New Roman" w:cs="Times New Roman"/>
          <w:color w:val="000000" w:themeColor="text1"/>
        </w:rPr>
        <w:t xml:space="preserve">. A structural biorhythm related to human sexual dimorphism. </w:t>
      </w:r>
      <w:r w:rsidRPr="00B256C8">
        <w:rPr>
          <w:rFonts w:ascii="Times New Roman" w:hAnsi="Times New Roman" w:cs="Times New Roman"/>
          <w:i/>
          <w:iCs/>
          <w:color w:val="000000" w:themeColor="text1"/>
        </w:rPr>
        <w:t xml:space="preserve">J. Struct. </w:t>
      </w:r>
      <w:proofErr w:type="spellStart"/>
      <w:r w:rsidRPr="00B256C8">
        <w:rPr>
          <w:rFonts w:ascii="Times New Roman" w:hAnsi="Times New Roman" w:cs="Times New Roman"/>
          <w:i/>
          <w:iCs/>
          <w:color w:val="000000" w:themeColor="text1"/>
        </w:rPr>
        <w:t>Biol</w:t>
      </w:r>
      <w:proofErr w:type="spellEnd"/>
      <w:r w:rsidRPr="00B256C8">
        <w:rPr>
          <w:rFonts w:ascii="Times New Roman" w:hAnsi="Times New Roman" w:cs="Times New Roman"/>
          <w:i/>
          <w:iCs/>
          <w:color w:val="000000" w:themeColor="text1"/>
        </w:rPr>
        <w:t>,</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211</w:t>
      </w:r>
      <w:r w:rsidRPr="00B256C8">
        <w:rPr>
          <w:rFonts w:ascii="Times New Roman" w:hAnsi="Times New Roman" w:cs="Times New Roman"/>
          <w:color w:val="000000" w:themeColor="text1"/>
        </w:rPr>
        <w:t>, 107550 (2020).</w:t>
      </w:r>
    </w:p>
    <w:p w14:paraId="11EC1AAD"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Dean, M.C. The nature and periodicity of incremental lines in primate dentine and their relationship to </w:t>
      </w:r>
      <w:proofErr w:type="spellStart"/>
      <w:r w:rsidRPr="00B256C8">
        <w:rPr>
          <w:rFonts w:ascii="Times New Roman" w:hAnsi="Times New Roman" w:cs="Times New Roman"/>
          <w:color w:val="000000" w:themeColor="text1"/>
        </w:rPr>
        <w:t>periradicular</w:t>
      </w:r>
      <w:proofErr w:type="spellEnd"/>
      <w:r w:rsidRPr="00B256C8">
        <w:rPr>
          <w:rFonts w:ascii="Times New Roman" w:hAnsi="Times New Roman" w:cs="Times New Roman"/>
          <w:color w:val="000000" w:themeColor="text1"/>
        </w:rPr>
        <w:t xml:space="preserve"> bands in OH 16 (Homo habilis). in </w:t>
      </w:r>
      <w:r w:rsidRPr="00B256C8">
        <w:rPr>
          <w:rFonts w:ascii="Times New Roman" w:hAnsi="Times New Roman" w:cs="Times New Roman"/>
          <w:i/>
          <w:iCs/>
          <w:color w:val="000000" w:themeColor="text1"/>
        </w:rPr>
        <w:t xml:space="preserve">Aspects of Dental Biology: </w:t>
      </w:r>
      <w:proofErr w:type="spellStart"/>
      <w:r w:rsidRPr="00B256C8">
        <w:rPr>
          <w:rFonts w:ascii="Times New Roman" w:hAnsi="Times New Roman" w:cs="Times New Roman"/>
          <w:i/>
          <w:iCs/>
          <w:color w:val="000000" w:themeColor="text1"/>
        </w:rPr>
        <w:t>Paleontology</w:t>
      </w:r>
      <w:proofErr w:type="spellEnd"/>
      <w:r w:rsidRPr="00B256C8">
        <w:rPr>
          <w:rFonts w:ascii="Times New Roman" w:hAnsi="Times New Roman" w:cs="Times New Roman"/>
          <w:i/>
          <w:iCs/>
          <w:color w:val="000000" w:themeColor="text1"/>
        </w:rPr>
        <w:t>, Anthropology, and Evolution</w:t>
      </w:r>
      <w:r w:rsidRPr="00B256C8">
        <w:rPr>
          <w:rFonts w:ascii="Times New Roman" w:hAnsi="Times New Roman" w:cs="Times New Roman"/>
          <w:color w:val="000000" w:themeColor="text1"/>
        </w:rPr>
        <w:t xml:space="preserve"> (ed. </w:t>
      </w:r>
      <w:proofErr w:type="spellStart"/>
      <w:r w:rsidRPr="00B256C8">
        <w:rPr>
          <w:rFonts w:ascii="Times New Roman" w:hAnsi="Times New Roman" w:cs="Times New Roman"/>
          <w:color w:val="000000" w:themeColor="text1"/>
        </w:rPr>
        <w:t>Moggi</w:t>
      </w:r>
      <w:proofErr w:type="spellEnd"/>
      <w:r w:rsidRPr="00B256C8">
        <w:rPr>
          <w:rFonts w:ascii="Times New Roman" w:hAnsi="Times New Roman" w:cs="Times New Roman"/>
          <w:color w:val="000000" w:themeColor="text1"/>
        </w:rPr>
        <w:t xml:space="preserve">-Cecchi, J.) 239-265 (Angelo </w:t>
      </w:r>
      <w:proofErr w:type="spellStart"/>
      <w:r w:rsidRPr="00B256C8">
        <w:rPr>
          <w:rFonts w:ascii="Times New Roman" w:hAnsi="Times New Roman" w:cs="Times New Roman"/>
          <w:color w:val="000000" w:themeColor="text1"/>
        </w:rPr>
        <w:t>Pontecorboli</w:t>
      </w:r>
      <w:proofErr w:type="spellEnd"/>
      <w:r w:rsidRPr="00B256C8">
        <w:rPr>
          <w:rFonts w:ascii="Times New Roman" w:hAnsi="Times New Roman" w:cs="Times New Roman"/>
          <w:color w:val="000000" w:themeColor="text1"/>
        </w:rPr>
        <w:t>, Florence 1995)</w:t>
      </w:r>
    </w:p>
    <w:p w14:paraId="29C80D88"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Dean, M.C. &amp; </w:t>
      </w:r>
      <w:proofErr w:type="spellStart"/>
      <w:r w:rsidRPr="00B256C8">
        <w:rPr>
          <w:rFonts w:ascii="Times New Roman" w:hAnsi="Times New Roman" w:cs="Times New Roman"/>
          <w:color w:val="000000" w:themeColor="text1"/>
        </w:rPr>
        <w:t>Scandrett</w:t>
      </w:r>
      <w:proofErr w:type="spellEnd"/>
      <w:r w:rsidRPr="00B256C8">
        <w:rPr>
          <w:rFonts w:ascii="Times New Roman" w:hAnsi="Times New Roman" w:cs="Times New Roman"/>
          <w:color w:val="000000" w:themeColor="text1"/>
        </w:rPr>
        <w:t xml:space="preserve">, A.E. The relation between long-period incremental markings in dentine and daily cross-striations in enamel in human teeth. </w:t>
      </w:r>
      <w:r w:rsidRPr="00B256C8">
        <w:rPr>
          <w:rFonts w:ascii="Times New Roman" w:hAnsi="Times New Roman" w:cs="Times New Roman"/>
          <w:i/>
          <w:iCs/>
          <w:color w:val="000000" w:themeColor="text1"/>
        </w:rPr>
        <w:t xml:space="preserve">Arch. Oral. </w:t>
      </w:r>
      <w:proofErr w:type="spellStart"/>
      <w:r w:rsidRPr="00B256C8">
        <w:rPr>
          <w:rFonts w:ascii="Times New Roman" w:hAnsi="Times New Roman" w:cs="Times New Roman"/>
          <w:i/>
          <w:iCs/>
          <w:color w:val="000000" w:themeColor="text1"/>
        </w:rPr>
        <w:t>Biol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41</w:t>
      </w:r>
      <w:r w:rsidRPr="00B256C8">
        <w:rPr>
          <w:rFonts w:ascii="Times New Roman" w:hAnsi="Times New Roman" w:cs="Times New Roman"/>
          <w:color w:val="000000" w:themeColor="text1"/>
        </w:rPr>
        <w:t>, 233-241 (1996).</w:t>
      </w:r>
    </w:p>
    <w:p w14:paraId="7ABBD419" w14:textId="77777777" w:rsidR="00C23D11" w:rsidRPr="00B256C8" w:rsidRDefault="00C23D11" w:rsidP="00C23D11">
      <w:pPr>
        <w:pStyle w:val="ListParagraph"/>
        <w:numPr>
          <w:ilvl w:val="0"/>
          <w:numId w:val="28"/>
        </w:numPr>
        <w:spacing w:after="0" w:line="276" w:lineRule="auto"/>
        <w:ind w:left="644"/>
        <w:jc w:val="both"/>
        <w:rPr>
          <w:rFonts w:ascii="Times New Roman" w:eastAsia="Times New Roman" w:hAnsi="Times New Roman" w:cs="Times New Roman"/>
          <w:color w:val="000000" w:themeColor="text1"/>
          <w:lang w:eastAsia="en-GB"/>
        </w:rPr>
      </w:pPr>
      <w:r w:rsidRPr="00B256C8">
        <w:rPr>
          <w:rFonts w:ascii="Times New Roman" w:eastAsia="Times New Roman" w:hAnsi="Times New Roman" w:cs="Times New Roman"/>
          <w:color w:val="000000" w:themeColor="text1"/>
          <w:shd w:val="clear" w:color="auto" w:fill="FFFFFF"/>
          <w:lang w:eastAsia="en-GB"/>
        </w:rPr>
        <w:t>Schwartz, G.T. et al. Dental microstructure and life history in subfossil Malagasy lemurs. </w:t>
      </w:r>
      <w:r w:rsidRPr="00B256C8">
        <w:rPr>
          <w:rFonts w:ascii="Times New Roman" w:eastAsia="Times New Roman" w:hAnsi="Times New Roman" w:cs="Times New Roman"/>
          <w:i/>
          <w:iCs/>
          <w:color w:val="000000" w:themeColor="text1"/>
          <w:shd w:val="clear" w:color="auto" w:fill="FFFFFF"/>
          <w:lang w:eastAsia="en-GB"/>
        </w:rPr>
        <w:t>Proc. Natl. Acad. Sci. USA.</w:t>
      </w:r>
      <w:r w:rsidRPr="00B256C8">
        <w:rPr>
          <w:rFonts w:ascii="Times New Roman" w:eastAsia="Times New Roman" w:hAnsi="Times New Roman" w:cs="Times New Roman"/>
          <w:color w:val="000000" w:themeColor="text1"/>
          <w:shd w:val="clear" w:color="auto" w:fill="FFFFFF"/>
          <w:lang w:eastAsia="en-GB"/>
        </w:rPr>
        <w:t> </w:t>
      </w:r>
      <w:r w:rsidRPr="00B256C8">
        <w:rPr>
          <w:rFonts w:ascii="Times New Roman" w:eastAsia="Times New Roman" w:hAnsi="Times New Roman" w:cs="Times New Roman"/>
          <w:b/>
          <w:bCs/>
          <w:color w:val="000000" w:themeColor="text1"/>
          <w:shd w:val="clear" w:color="auto" w:fill="FFFFFF"/>
          <w:lang w:eastAsia="en-GB"/>
        </w:rPr>
        <w:t>99</w:t>
      </w:r>
      <w:r w:rsidRPr="00B256C8">
        <w:rPr>
          <w:rFonts w:ascii="Times New Roman" w:eastAsia="Times New Roman" w:hAnsi="Times New Roman" w:cs="Times New Roman"/>
          <w:color w:val="000000" w:themeColor="text1"/>
          <w:shd w:val="clear" w:color="auto" w:fill="FFFFFF"/>
          <w:lang w:eastAsia="en-GB"/>
        </w:rPr>
        <w:t>, 6124– 6129 (2002).</w:t>
      </w:r>
    </w:p>
    <w:p w14:paraId="12C4BE0B"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eastAsia="Times New Roman" w:hAnsi="Times New Roman" w:cs="Times New Roman"/>
          <w:color w:val="000000" w:themeColor="text1"/>
          <w:shd w:val="clear" w:color="auto" w:fill="FFFFFF"/>
          <w:lang w:eastAsia="en-GB"/>
        </w:rPr>
        <w:lastRenderedPageBreak/>
        <w:t xml:space="preserve">Le </w:t>
      </w:r>
      <w:proofErr w:type="spellStart"/>
      <w:r w:rsidRPr="00B256C8">
        <w:rPr>
          <w:rFonts w:ascii="Times New Roman" w:eastAsia="Times New Roman" w:hAnsi="Times New Roman" w:cs="Times New Roman"/>
          <w:color w:val="000000" w:themeColor="text1"/>
          <w:shd w:val="clear" w:color="auto" w:fill="FFFFFF"/>
          <w:lang w:eastAsia="en-GB"/>
        </w:rPr>
        <w:t>Cabec</w:t>
      </w:r>
      <w:proofErr w:type="spellEnd"/>
      <w:r w:rsidRPr="00B256C8">
        <w:rPr>
          <w:rFonts w:ascii="Times New Roman" w:eastAsia="Times New Roman" w:hAnsi="Times New Roman" w:cs="Times New Roman"/>
          <w:color w:val="000000" w:themeColor="text1"/>
          <w:shd w:val="clear" w:color="auto" w:fill="FFFFFF"/>
          <w:lang w:eastAsia="en-GB"/>
        </w:rPr>
        <w:t>, A., Dean, M. C. &amp; Begun, D. R. Dental development and age at death of the holotype of </w:t>
      </w:r>
      <w:proofErr w:type="spellStart"/>
      <w:r w:rsidRPr="00B256C8">
        <w:rPr>
          <w:rFonts w:ascii="Times New Roman" w:eastAsia="Times New Roman" w:hAnsi="Times New Roman" w:cs="Times New Roman"/>
          <w:i/>
          <w:iCs/>
          <w:color w:val="000000" w:themeColor="text1"/>
          <w:shd w:val="clear" w:color="auto" w:fill="FFFFFF"/>
          <w:lang w:eastAsia="en-GB"/>
        </w:rPr>
        <w:t>Anapithecus</w:t>
      </w:r>
      <w:proofErr w:type="spellEnd"/>
      <w:r w:rsidRPr="00B256C8">
        <w:rPr>
          <w:rFonts w:ascii="Times New Roman" w:eastAsia="Times New Roman" w:hAnsi="Times New Roman" w:cs="Times New Roman"/>
          <w:i/>
          <w:iCs/>
          <w:color w:val="000000" w:themeColor="text1"/>
          <w:shd w:val="clear" w:color="auto" w:fill="FFFFFF"/>
          <w:lang w:eastAsia="en-GB"/>
        </w:rPr>
        <w:t xml:space="preserve"> </w:t>
      </w:r>
      <w:proofErr w:type="spellStart"/>
      <w:r w:rsidRPr="00B256C8">
        <w:rPr>
          <w:rFonts w:ascii="Times New Roman" w:eastAsia="Times New Roman" w:hAnsi="Times New Roman" w:cs="Times New Roman"/>
          <w:i/>
          <w:iCs/>
          <w:color w:val="000000" w:themeColor="text1"/>
          <w:shd w:val="clear" w:color="auto" w:fill="FFFFFF"/>
          <w:lang w:eastAsia="en-GB"/>
        </w:rPr>
        <w:t>hernyaki</w:t>
      </w:r>
      <w:proofErr w:type="spellEnd"/>
      <w:r w:rsidRPr="00B256C8">
        <w:rPr>
          <w:rFonts w:ascii="Times New Roman" w:eastAsia="Times New Roman" w:hAnsi="Times New Roman" w:cs="Times New Roman"/>
          <w:color w:val="000000" w:themeColor="text1"/>
          <w:shd w:val="clear" w:color="auto" w:fill="FFFFFF"/>
          <w:lang w:eastAsia="en-GB"/>
        </w:rPr>
        <w:t> (RUD 9) using synchrotron virtual histology. </w:t>
      </w:r>
      <w:r w:rsidRPr="00B256C8">
        <w:rPr>
          <w:rFonts w:ascii="Times New Roman" w:eastAsia="Times New Roman" w:hAnsi="Times New Roman" w:cs="Times New Roman"/>
          <w:i/>
          <w:iCs/>
          <w:color w:val="000000" w:themeColor="text1"/>
          <w:shd w:val="clear" w:color="auto" w:fill="FFFFFF"/>
          <w:lang w:eastAsia="en-GB"/>
        </w:rPr>
        <w:t xml:space="preserve">J. Hum. </w:t>
      </w:r>
      <w:proofErr w:type="spellStart"/>
      <w:r w:rsidRPr="00B256C8">
        <w:rPr>
          <w:rFonts w:ascii="Times New Roman" w:eastAsia="Times New Roman" w:hAnsi="Times New Roman" w:cs="Times New Roman"/>
          <w:i/>
          <w:iCs/>
          <w:color w:val="000000" w:themeColor="text1"/>
          <w:shd w:val="clear" w:color="auto" w:fill="FFFFFF"/>
          <w:lang w:eastAsia="en-GB"/>
        </w:rPr>
        <w:t>Evol</w:t>
      </w:r>
      <w:proofErr w:type="spellEnd"/>
      <w:r w:rsidRPr="00B256C8">
        <w:rPr>
          <w:rFonts w:ascii="Times New Roman" w:eastAsia="Times New Roman" w:hAnsi="Times New Roman" w:cs="Times New Roman"/>
          <w:i/>
          <w:iCs/>
          <w:color w:val="000000" w:themeColor="text1"/>
          <w:shd w:val="clear" w:color="auto" w:fill="FFFFFF"/>
          <w:lang w:eastAsia="en-GB"/>
        </w:rPr>
        <w:t xml:space="preserve">, </w:t>
      </w:r>
      <w:r w:rsidRPr="00B256C8">
        <w:rPr>
          <w:rFonts w:ascii="Times New Roman" w:eastAsia="Times New Roman" w:hAnsi="Times New Roman" w:cs="Times New Roman"/>
          <w:b/>
          <w:bCs/>
          <w:color w:val="000000" w:themeColor="text1"/>
          <w:shd w:val="clear" w:color="auto" w:fill="FFFFFF"/>
          <w:lang w:eastAsia="en-GB"/>
        </w:rPr>
        <w:t>108</w:t>
      </w:r>
      <w:r w:rsidRPr="00B256C8">
        <w:rPr>
          <w:rFonts w:ascii="Times New Roman" w:eastAsia="Times New Roman" w:hAnsi="Times New Roman" w:cs="Times New Roman"/>
          <w:color w:val="000000" w:themeColor="text1"/>
          <w:shd w:val="clear" w:color="auto" w:fill="FFFFFF"/>
          <w:lang w:eastAsia="en-GB"/>
        </w:rPr>
        <w:t>, 161– 175 (2017)</w:t>
      </w:r>
    </w:p>
    <w:p w14:paraId="20BB6252"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shd w:val="clear" w:color="auto" w:fill="FFFFFF"/>
        </w:rPr>
        <w:t xml:space="preserve">Hogg, R. et al. </w:t>
      </w:r>
      <w:r w:rsidRPr="00B256C8">
        <w:rPr>
          <w:rFonts w:ascii="Times New Roman" w:hAnsi="Times New Roman" w:cs="Times New Roman"/>
          <w:color w:val="000000" w:themeColor="text1"/>
        </w:rPr>
        <w:t xml:space="preserve">A comprehensive survey of </w:t>
      </w:r>
      <w:proofErr w:type="spellStart"/>
      <w:r w:rsidRPr="00B256C8">
        <w:rPr>
          <w:rFonts w:ascii="Times New Roman" w:hAnsi="Times New Roman" w:cs="Times New Roman"/>
          <w:color w:val="000000" w:themeColor="text1"/>
        </w:rPr>
        <w:t>Retzius</w:t>
      </w:r>
      <w:proofErr w:type="spellEnd"/>
      <w:r w:rsidRPr="00B256C8">
        <w:rPr>
          <w:rFonts w:ascii="Times New Roman" w:hAnsi="Times New Roman" w:cs="Times New Roman"/>
          <w:color w:val="000000" w:themeColor="text1"/>
        </w:rPr>
        <w:t xml:space="preserve"> periodicities in fossil hominins and great apes</w:t>
      </w:r>
      <w:r w:rsidRPr="00B256C8">
        <w:rPr>
          <w:rFonts w:ascii="Times New Roman" w:hAnsi="Times New Roman" w:cs="Times New Roman"/>
          <w:i/>
          <w:iCs/>
          <w:color w:val="000000" w:themeColor="text1"/>
        </w:rPr>
        <w:t xml:space="preserve">. J. Hum. </w:t>
      </w:r>
      <w:proofErr w:type="spellStart"/>
      <w:r w:rsidRPr="00B256C8">
        <w:rPr>
          <w:rFonts w:ascii="Times New Roman" w:hAnsi="Times New Roman" w:cs="Times New Roman"/>
          <w:i/>
          <w:iCs/>
          <w:color w:val="000000" w:themeColor="text1"/>
        </w:rPr>
        <w:t>Evol</w:t>
      </w:r>
      <w:proofErr w:type="spellEnd"/>
      <w:r w:rsidRPr="00B256C8">
        <w:rPr>
          <w:rFonts w:ascii="Times New Roman" w:hAnsi="Times New Roman" w:cs="Times New Roman"/>
          <w:i/>
          <w:iCs/>
          <w:color w:val="000000" w:themeColor="text1"/>
        </w:rPr>
        <w:t xml:space="preserve">, </w:t>
      </w:r>
      <w:r w:rsidRPr="00B256C8">
        <w:rPr>
          <w:rFonts w:ascii="Times New Roman" w:hAnsi="Times New Roman" w:cs="Times New Roman"/>
          <w:b/>
          <w:bCs/>
          <w:color w:val="000000" w:themeColor="text1"/>
        </w:rPr>
        <w:t>149</w:t>
      </w:r>
      <w:r w:rsidRPr="00B256C8">
        <w:rPr>
          <w:rFonts w:ascii="Times New Roman" w:hAnsi="Times New Roman" w:cs="Times New Roman"/>
          <w:color w:val="000000" w:themeColor="text1"/>
        </w:rPr>
        <w:t>, 102896 (2020).</w:t>
      </w:r>
    </w:p>
    <w:p w14:paraId="4FB7B1B7"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Smith, T. M. Incremental dental development: methods and applications in hominoid evolutionary studies. </w:t>
      </w:r>
      <w:r w:rsidRPr="00B256C8">
        <w:rPr>
          <w:rFonts w:ascii="Times New Roman" w:hAnsi="Times New Roman" w:cs="Times New Roman"/>
          <w:i/>
          <w:iCs/>
          <w:color w:val="000000" w:themeColor="text1"/>
        </w:rPr>
        <w:t xml:space="preserve">J. Hum. </w:t>
      </w:r>
      <w:proofErr w:type="spellStart"/>
      <w:r w:rsidRPr="00B256C8">
        <w:rPr>
          <w:rFonts w:ascii="Times New Roman" w:hAnsi="Times New Roman" w:cs="Times New Roman"/>
          <w:i/>
          <w:iCs/>
          <w:color w:val="000000" w:themeColor="text1"/>
        </w:rPr>
        <w:t>Evol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54</w:t>
      </w:r>
      <w:r w:rsidRPr="00B256C8">
        <w:rPr>
          <w:rFonts w:ascii="Times New Roman" w:hAnsi="Times New Roman" w:cs="Times New Roman"/>
          <w:color w:val="000000" w:themeColor="text1"/>
        </w:rPr>
        <w:t>, 205–224 (2008).</w:t>
      </w:r>
    </w:p>
    <w:p w14:paraId="55298FB9" w14:textId="77777777" w:rsidR="00C23D11" w:rsidRPr="00B256C8" w:rsidRDefault="00C23D11" w:rsidP="00C23D11">
      <w:pPr>
        <w:pStyle w:val="ListParagraph"/>
        <w:numPr>
          <w:ilvl w:val="0"/>
          <w:numId w:val="28"/>
        </w:numPr>
        <w:spacing w:after="0" w:line="276" w:lineRule="auto"/>
        <w:ind w:left="644"/>
        <w:jc w:val="both"/>
        <w:rPr>
          <w:rFonts w:ascii="Times New Roman" w:eastAsia="Times New Roman" w:hAnsi="Times New Roman" w:cs="Times New Roman"/>
          <w:color w:val="000000" w:themeColor="text1"/>
          <w:lang w:eastAsia="en-GB"/>
        </w:rPr>
      </w:pPr>
      <w:proofErr w:type="spellStart"/>
      <w:r w:rsidRPr="00B256C8">
        <w:rPr>
          <w:rFonts w:ascii="Times New Roman" w:eastAsia="Times New Roman" w:hAnsi="Times New Roman" w:cs="Times New Roman"/>
          <w:color w:val="000000" w:themeColor="text1"/>
          <w:shd w:val="clear" w:color="auto" w:fill="FFFFFF"/>
          <w:lang w:val="fr-FR" w:eastAsia="en-GB"/>
        </w:rPr>
        <w:t>Lacruz</w:t>
      </w:r>
      <w:proofErr w:type="spellEnd"/>
      <w:r w:rsidRPr="00B256C8">
        <w:rPr>
          <w:rFonts w:ascii="Times New Roman" w:eastAsia="Times New Roman" w:hAnsi="Times New Roman" w:cs="Times New Roman"/>
          <w:color w:val="000000" w:themeColor="text1"/>
          <w:shd w:val="clear" w:color="auto" w:fill="FFFFFF"/>
          <w:lang w:val="fr-FR" w:eastAsia="en-GB"/>
        </w:rPr>
        <w:t xml:space="preserve">, R. S. et al. </w:t>
      </w:r>
      <w:r w:rsidRPr="00B256C8">
        <w:rPr>
          <w:rFonts w:ascii="Times New Roman" w:eastAsia="Times New Roman" w:hAnsi="Times New Roman" w:cs="Times New Roman"/>
          <w:color w:val="000000" w:themeColor="text1"/>
          <w:shd w:val="clear" w:color="auto" w:fill="FFFFFF"/>
          <w:lang w:eastAsia="en-GB"/>
        </w:rPr>
        <w:t xml:space="preserve">Megadontia, striae periodicity and patterns of enamel secretion in </w:t>
      </w:r>
      <w:proofErr w:type="spellStart"/>
      <w:r w:rsidRPr="00B256C8">
        <w:rPr>
          <w:rFonts w:ascii="Times New Roman" w:eastAsia="Times New Roman" w:hAnsi="Times New Roman" w:cs="Times New Roman"/>
          <w:color w:val="000000" w:themeColor="text1"/>
          <w:shd w:val="clear" w:color="auto" w:fill="FFFFFF"/>
          <w:lang w:eastAsia="en-GB"/>
        </w:rPr>
        <w:t>Plio</w:t>
      </w:r>
      <w:proofErr w:type="spellEnd"/>
      <w:r w:rsidRPr="00B256C8">
        <w:rPr>
          <w:rFonts w:ascii="Times New Roman" w:eastAsia="Times New Roman" w:hAnsi="Times New Roman" w:cs="Times New Roman"/>
          <w:color w:val="000000" w:themeColor="text1"/>
          <w:shd w:val="clear" w:color="auto" w:fill="FFFFFF"/>
          <w:lang w:eastAsia="en-GB"/>
        </w:rPr>
        <w:t>-Pleistocene fossil hominins. </w:t>
      </w:r>
      <w:r w:rsidRPr="00B256C8">
        <w:rPr>
          <w:rFonts w:ascii="Times New Roman" w:eastAsia="Times New Roman" w:hAnsi="Times New Roman" w:cs="Times New Roman"/>
          <w:i/>
          <w:iCs/>
          <w:color w:val="000000" w:themeColor="text1"/>
          <w:shd w:val="clear" w:color="auto" w:fill="FFFFFF"/>
          <w:lang w:eastAsia="en-GB"/>
        </w:rPr>
        <w:t xml:space="preserve">J. </w:t>
      </w:r>
      <w:proofErr w:type="spellStart"/>
      <w:r w:rsidRPr="00B256C8">
        <w:rPr>
          <w:rFonts w:ascii="Times New Roman" w:eastAsia="Times New Roman" w:hAnsi="Times New Roman" w:cs="Times New Roman"/>
          <w:i/>
          <w:iCs/>
          <w:color w:val="000000" w:themeColor="text1"/>
          <w:shd w:val="clear" w:color="auto" w:fill="FFFFFF"/>
          <w:lang w:eastAsia="en-GB"/>
        </w:rPr>
        <w:t>Anat</w:t>
      </w:r>
      <w:proofErr w:type="spellEnd"/>
      <w:r w:rsidRPr="00B256C8">
        <w:rPr>
          <w:rFonts w:ascii="Times New Roman" w:eastAsia="Times New Roman" w:hAnsi="Times New Roman" w:cs="Times New Roman"/>
          <w:i/>
          <w:iCs/>
          <w:color w:val="000000" w:themeColor="text1"/>
          <w:shd w:val="clear" w:color="auto" w:fill="FFFFFF"/>
          <w:lang w:eastAsia="en-GB"/>
        </w:rPr>
        <w:t>,</w:t>
      </w:r>
      <w:r w:rsidRPr="00B256C8">
        <w:rPr>
          <w:rFonts w:ascii="Times New Roman" w:eastAsia="Times New Roman" w:hAnsi="Times New Roman" w:cs="Times New Roman"/>
          <w:color w:val="000000" w:themeColor="text1"/>
          <w:shd w:val="clear" w:color="auto" w:fill="FFFFFF"/>
          <w:lang w:eastAsia="en-GB"/>
        </w:rPr>
        <w:t> </w:t>
      </w:r>
      <w:r w:rsidRPr="00B256C8">
        <w:rPr>
          <w:rFonts w:ascii="Times New Roman" w:eastAsia="Times New Roman" w:hAnsi="Times New Roman" w:cs="Times New Roman"/>
          <w:b/>
          <w:bCs/>
          <w:color w:val="000000" w:themeColor="text1"/>
          <w:shd w:val="clear" w:color="auto" w:fill="FFFFFF"/>
          <w:lang w:eastAsia="en-GB"/>
        </w:rPr>
        <w:t>213</w:t>
      </w:r>
      <w:r w:rsidRPr="00B256C8">
        <w:rPr>
          <w:rFonts w:ascii="Times New Roman" w:eastAsia="Times New Roman" w:hAnsi="Times New Roman" w:cs="Times New Roman"/>
          <w:color w:val="000000" w:themeColor="text1"/>
          <w:shd w:val="clear" w:color="auto" w:fill="FFFFFF"/>
          <w:lang w:eastAsia="en-GB"/>
        </w:rPr>
        <w:t>, 148 - 158 (2008)</w:t>
      </w:r>
    </w:p>
    <w:p w14:paraId="367B88AB" w14:textId="77777777" w:rsidR="00C23D11" w:rsidRPr="00B256C8" w:rsidRDefault="00C23D11" w:rsidP="00C23D11">
      <w:pPr>
        <w:pStyle w:val="ListParagraph"/>
        <w:numPr>
          <w:ilvl w:val="0"/>
          <w:numId w:val="28"/>
        </w:numPr>
        <w:spacing w:after="0" w:line="276" w:lineRule="auto"/>
        <w:ind w:left="644"/>
        <w:jc w:val="both"/>
        <w:rPr>
          <w:rFonts w:ascii="Times New Roman" w:eastAsia="Times New Roman" w:hAnsi="Times New Roman" w:cs="Times New Roman"/>
          <w:color w:val="000000" w:themeColor="text1"/>
          <w:lang w:eastAsia="en-GB"/>
        </w:rPr>
      </w:pPr>
      <w:proofErr w:type="spellStart"/>
      <w:r w:rsidRPr="00B256C8">
        <w:rPr>
          <w:rFonts w:ascii="Times New Roman" w:hAnsi="Times New Roman" w:cs="Times New Roman"/>
          <w:color w:val="000000" w:themeColor="text1"/>
        </w:rPr>
        <w:t>Steudel</w:t>
      </w:r>
      <w:proofErr w:type="spellEnd"/>
      <w:r w:rsidRPr="00B256C8">
        <w:rPr>
          <w:rFonts w:ascii="Times New Roman" w:hAnsi="Times New Roman" w:cs="Times New Roman"/>
          <w:color w:val="000000" w:themeColor="text1"/>
        </w:rPr>
        <w:t xml:space="preserve">, K. 1982. Patterns of </w:t>
      </w:r>
      <w:proofErr w:type="spellStart"/>
      <w:r w:rsidRPr="00B256C8">
        <w:rPr>
          <w:rFonts w:ascii="Times New Roman" w:hAnsi="Times New Roman" w:cs="Times New Roman"/>
          <w:color w:val="000000" w:themeColor="text1"/>
        </w:rPr>
        <w:t>lntraspecific</w:t>
      </w:r>
      <w:proofErr w:type="spellEnd"/>
      <w:r w:rsidRPr="00B256C8">
        <w:rPr>
          <w:rFonts w:ascii="Times New Roman" w:hAnsi="Times New Roman" w:cs="Times New Roman"/>
          <w:color w:val="000000" w:themeColor="text1"/>
        </w:rPr>
        <w:t xml:space="preserve"> and </w:t>
      </w:r>
      <w:proofErr w:type="spellStart"/>
      <w:r w:rsidRPr="00B256C8">
        <w:rPr>
          <w:rFonts w:ascii="Times New Roman" w:hAnsi="Times New Roman" w:cs="Times New Roman"/>
          <w:color w:val="000000" w:themeColor="text1"/>
        </w:rPr>
        <w:t>lnterspecific</w:t>
      </w:r>
      <w:proofErr w:type="spellEnd"/>
      <w:r w:rsidRPr="00B256C8">
        <w:rPr>
          <w:rFonts w:ascii="Times New Roman" w:hAnsi="Times New Roman" w:cs="Times New Roman"/>
          <w:color w:val="000000" w:themeColor="text1"/>
        </w:rPr>
        <w:t xml:space="preserve"> Allometry in Old World Primates. </w:t>
      </w:r>
      <w:r w:rsidRPr="00B256C8">
        <w:rPr>
          <w:rFonts w:ascii="Times New Roman" w:hAnsi="Times New Roman" w:cs="Times New Roman"/>
          <w:i/>
          <w:iCs/>
          <w:color w:val="000000" w:themeColor="text1"/>
        </w:rPr>
        <w:t xml:space="preserve">Am. J. Phys. </w:t>
      </w:r>
      <w:proofErr w:type="spellStart"/>
      <w:r w:rsidRPr="00B256C8">
        <w:rPr>
          <w:rFonts w:ascii="Times New Roman" w:hAnsi="Times New Roman" w:cs="Times New Roman"/>
          <w:i/>
          <w:iCs/>
          <w:color w:val="000000" w:themeColor="text1"/>
        </w:rPr>
        <w:t>Anth</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59</w:t>
      </w:r>
      <w:r w:rsidRPr="00B256C8">
        <w:rPr>
          <w:rFonts w:ascii="Times New Roman" w:hAnsi="Times New Roman" w:cs="Times New Roman"/>
          <w:color w:val="000000" w:themeColor="text1"/>
        </w:rPr>
        <w:t>, 419 - 430.</w:t>
      </w:r>
    </w:p>
    <w:p w14:paraId="3C36E781" w14:textId="77777777" w:rsidR="00C23D11" w:rsidRPr="00AA7285" w:rsidRDefault="00C23D11" w:rsidP="00C23D11">
      <w:pPr>
        <w:pStyle w:val="ListParagraph"/>
        <w:numPr>
          <w:ilvl w:val="0"/>
          <w:numId w:val="28"/>
        </w:numPr>
        <w:spacing w:after="0" w:line="276" w:lineRule="auto"/>
        <w:ind w:left="644"/>
        <w:jc w:val="both"/>
        <w:rPr>
          <w:rFonts w:ascii="Times New Roman" w:eastAsia="Times New Roman" w:hAnsi="Times New Roman" w:cs="Times New Roman"/>
          <w:color w:val="000000" w:themeColor="text1"/>
          <w:lang w:eastAsia="en-GB"/>
        </w:rPr>
      </w:pPr>
      <w:proofErr w:type="spellStart"/>
      <w:r w:rsidRPr="00B256C8">
        <w:rPr>
          <w:rFonts w:ascii="Times New Roman" w:hAnsi="Times New Roman" w:cs="Times New Roman"/>
          <w:color w:val="000000" w:themeColor="text1"/>
        </w:rPr>
        <w:t>Konarzewski</w:t>
      </w:r>
      <w:proofErr w:type="spellEnd"/>
      <w:r w:rsidRPr="00B256C8">
        <w:rPr>
          <w:rFonts w:ascii="Times New Roman" w:hAnsi="Times New Roman" w:cs="Times New Roman"/>
          <w:color w:val="000000" w:themeColor="text1"/>
        </w:rPr>
        <w:t xml:space="preserve">, M., Diamond, J. Evolution of basal metabolic rate and organ masses in laboratory mice. </w:t>
      </w:r>
      <w:r w:rsidRPr="00B256C8">
        <w:rPr>
          <w:rFonts w:ascii="Times New Roman" w:hAnsi="Times New Roman" w:cs="Times New Roman"/>
          <w:i/>
          <w:iCs/>
          <w:color w:val="000000" w:themeColor="text1"/>
        </w:rPr>
        <w:t>Evolution</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 xml:space="preserve">49 </w:t>
      </w:r>
      <w:r w:rsidRPr="00B256C8">
        <w:rPr>
          <w:rFonts w:ascii="Times New Roman" w:hAnsi="Times New Roman" w:cs="Times New Roman"/>
          <w:color w:val="000000" w:themeColor="text1"/>
        </w:rPr>
        <w:t>(6), 1239-1248 (1995).</w:t>
      </w:r>
    </w:p>
    <w:p w14:paraId="215C2279"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rPr>
        <w:t>Pitfield</w:t>
      </w:r>
      <w:proofErr w:type="spellEnd"/>
      <w:r w:rsidRPr="00B256C8">
        <w:rPr>
          <w:rFonts w:ascii="Times New Roman" w:hAnsi="Times New Roman" w:cs="Times New Roman"/>
          <w:color w:val="000000" w:themeColor="text1"/>
        </w:rPr>
        <w:t xml:space="preserve">, R., </w:t>
      </w:r>
      <w:proofErr w:type="spellStart"/>
      <w:r w:rsidRPr="00B256C8">
        <w:rPr>
          <w:rFonts w:ascii="Times New Roman" w:hAnsi="Times New Roman" w:cs="Times New Roman"/>
          <w:color w:val="000000" w:themeColor="text1"/>
        </w:rPr>
        <w:t>Miszkiewicz</w:t>
      </w:r>
      <w:proofErr w:type="spellEnd"/>
      <w:r w:rsidRPr="00B256C8">
        <w:rPr>
          <w:rFonts w:ascii="Times New Roman" w:hAnsi="Times New Roman" w:cs="Times New Roman"/>
          <w:color w:val="000000" w:themeColor="text1"/>
        </w:rPr>
        <w:t xml:space="preserve">, J.J. &amp; Mahoney, P. Microscopic markers of an </w:t>
      </w:r>
      <w:proofErr w:type="spellStart"/>
      <w:r w:rsidRPr="00B256C8">
        <w:rPr>
          <w:rFonts w:ascii="Times New Roman" w:hAnsi="Times New Roman" w:cs="Times New Roman"/>
          <w:color w:val="000000" w:themeColor="text1"/>
        </w:rPr>
        <w:t>infradian</w:t>
      </w:r>
      <w:proofErr w:type="spellEnd"/>
      <w:r w:rsidRPr="00B256C8">
        <w:rPr>
          <w:rFonts w:ascii="Times New Roman" w:hAnsi="Times New Roman" w:cs="Times New Roman"/>
          <w:color w:val="000000" w:themeColor="text1"/>
        </w:rPr>
        <w:t xml:space="preserve"> biorhythm in human juvenile ribs. </w:t>
      </w:r>
      <w:r w:rsidRPr="00B256C8">
        <w:rPr>
          <w:rFonts w:ascii="Times New Roman" w:hAnsi="Times New Roman" w:cs="Times New Roman"/>
          <w:i/>
          <w:iCs/>
          <w:color w:val="000000" w:themeColor="text1"/>
        </w:rPr>
        <w:t>Bone,</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120</w:t>
      </w:r>
      <w:r w:rsidRPr="00B256C8">
        <w:rPr>
          <w:rFonts w:ascii="Times New Roman" w:hAnsi="Times New Roman" w:cs="Times New Roman"/>
          <w:color w:val="000000" w:themeColor="text1"/>
        </w:rPr>
        <w:t>, 403–410 (2018).</w:t>
      </w:r>
    </w:p>
    <w:p w14:paraId="66A330EE"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Metz, L.N., Martin, B. &amp; Turner, A.S. </w:t>
      </w:r>
      <w:proofErr w:type="spellStart"/>
      <w:r w:rsidRPr="00B256C8">
        <w:rPr>
          <w:rFonts w:ascii="Times New Roman" w:hAnsi="Times New Roman" w:cs="Times New Roman"/>
          <w:color w:val="000000" w:themeColor="text1"/>
        </w:rPr>
        <w:t>Histomorphometric</w:t>
      </w:r>
      <w:proofErr w:type="spellEnd"/>
      <w:r w:rsidRPr="00B256C8">
        <w:rPr>
          <w:rFonts w:ascii="Times New Roman" w:hAnsi="Times New Roman" w:cs="Times New Roman"/>
          <w:color w:val="000000" w:themeColor="text1"/>
        </w:rPr>
        <w:t xml:space="preserve"> analysis of the effects of osteocyte density on </w:t>
      </w:r>
      <w:proofErr w:type="spellStart"/>
      <w:r w:rsidRPr="00B256C8">
        <w:rPr>
          <w:rFonts w:ascii="Times New Roman" w:hAnsi="Times New Roman" w:cs="Times New Roman"/>
          <w:color w:val="000000" w:themeColor="text1"/>
        </w:rPr>
        <w:t>osteonal</w:t>
      </w:r>
      <w:proofErr w:type="spellEnd"/>
      <w:r w:rsidRPr="00B256C8">
        <w:rPr>
          <w:rFonts w:ascii="Times New Roman" w:hAnsi="Times New Roman" w:cs="Times New Roman"/>
          <w:color w:val="000000" w:themeColor="text1"/>
        </w:rPr>
        <w:t xml:space="preserve"> morphology and </w:t>
      </w:r>
      <w:proofErr w:type="spellStart"/>
      <w:r w:rsidRPr="00B256C8">
        <w:rPr>
          <w:rFonts w:ascii="Times New Roman" w:hAnsi="Times New Roman" w:cs="Times New Roman"/>
          <w:color w:val="000000" w:themeColor="text1"/>
        </w:rPr>
        <w:t>remodeling</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i/>
          <w:iCs/>
          <w:color w:val="000000" w:themeColor="text1"/>
        </w:rPr>
        <w:t>Bone</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33</w:t>
      </w:r>
      <w:r w:rsidRPr="00B256C8">
        <w:rPr>
          <w:rFonts w:ascii="Times New Roman" w:hAnsi="Times New Roman" w:cs="Times New Roman"/>
          <w:color w:val="000000" w:themeColor="text1"/>
        </w:rPr>
        <w:t>, 753-759 (2003).</w:t>
      </w:r>
    </w:p>
    <w:p w14:paraId="1D990469" w14:textId="77777777" w:rsidR="00C23D11" w:rsidRPr="00B256C8" w:rsidRDefault="00C23D11" w:rsidP="00C23D11">
      <w:pPr>
        <w:pStyle w:val="ListParagraph"/>
        <w:numPr>
          <w:ilvl w:val="0"/>
          <w:numId w:val="28"/>
        </w:numPr>
        <w:autoSpaceDE w:val="0"/>
        <w:autoSpaceDN w:val="0"/>
        <w:adjustRightInd w:val="0"/>
        <w:spacing w:after="400" w:line="276" w:lineRule="auto"/>
        <w:ind w:left="644" w:right="83"/>
        <w:jc w:val="both"/>
        <w:rPr>
          <w:rFonts w:ascii="Times New Roman" w:eastAsia="SimSun" w:hAnsi="Times New Roman" w:cs="Times New Roman"/>
          <w:color w:val="000000" w:themeColor="text1"/>
          <w:lang w:val="en-US" w:eastAsia="en-US"/>
        </w:rPr>
      </w:pPr>
      <w:proofErr w:type="spellStart"/>
      <w:r w:rsidRPr="00B256C8">
        <w:rPr>
          <w:rFonts w:ascii="Times New Roman" w:hAnsi="Times New Roman" w:cs="Times New Roman"/>
          <w:color w:val="000000" w:themeColor="text1"/>
        </w:rPr>
        <w:t>Marotti</w:t>
      </w:r>
      <w:proofErr w:type="spellEnd"/>
      <w:r w:rsidRPr="00B256C8">
        <w:rPr>
          <w:rFonts w:ascii="Times New Roman" w:hAnsi="Times New Roman" w:cs="Times New Roman"/>
          <w:color w:val="000000" w:themeColor="text1"/>
        </w:rPr>
        <w:t xml:space="preserve">, G. &amp; </w:t>
      </w:r>
      <w:proofErr w:type="spellStart"/>
      <w:r w:rsidRPr="00B256C8">
        <w:rPr>
          <w:rFonts w:ascii="Times New Roman" w:hAnsi="Times New Roman" w:cs="Times New Roman"/>
          <w:color w:val="000000" w:themeColor="text1"/>
        </w:rPr>
        <w:t>Zallone</w:t>
      </w:r>
      <w:proofErr w:type="spellEnd"/>
      <w:r w:rsidRPr="00B256C8">
        <w:rPr>
          <w:rFonts w:ascii="Times New Roman" w:hAnsi="Times New Roman" w:cs="Times New Roman"/>
          <w:color w:val="000000" w:themeColor="text1"/>
        </w:rPr>
        <w:t xml:space="preserve">, A. Z. Changes in the vascular network during the formation of. Haversian systems, </w:t>
      </w:r>
      <w:r w:rsidRPr="00B256C8">
        <w:rPr>
          <w:rFonts w:ascii="Times New Roman" w:hAnsi="Times New Roman" w:cs="Times New Roman"/>
          <w:i/>
          <w:iCs/>
          <w:color w:val="000000" w:themeColor="text1"/>
        </w:rPr>
        <w:t xml:space="preserve">Acta. </w:t>
      </w:r>
      <w:proofErr w:type="spellStart"/>
      <w:r w:rsidRPr="00B256C8">
        <w:rPr>
          <w:rFonts w:ascii="Times New Roman" w:hAnsi="Times New Roman" w:cs="Times New Roman"/>
          <w:i/>
          <w:iCs/>
          <w:color w:val="000000" w:themeColor="text1"/>
        </w:rPr>
        <w:t>Anat</w:t>
      </w:r>
      <w:proofErr w:type="spellEnd"/>
      <w:r w:rsidRPr="00B256C8">
        <w:rPr>
          <w:rFonts w:ascii="Times New Roman" w:hAnsi="Times New Roman" w:cs="Times New Roman"/>
          <w:i/>
          <w:iCs/>
          <w:color w:val="000000" w:themeColor="text1"/>
        </w:rPr>
        <w:t xml:space="preserve">, </w:t>
      </w:r>
      <w:r w:rsidRPr="00B256C8">
        <w:rPr>
          <w:rFonts w:ascii="Times New Roman" w:hAnsi="Times New Roman" w:cs="Times New Roman"/>
          <w:b/>
          <w:bCs/>
          <w:color w:val="000000" w:themeColor="text1"/>
        </w:rPr>
        <w:t>106</w:t>
      </w:r>
      <w:r w:rsidRPr="00B256C8">
        <w:rPr>
          <w:rFonts w:ascii="Times New Roman" w:hAnsi="Times New Roman" w:cs="Times New Roman"/>
          <w:color w:val="000000" w:themeColor="text1"/>
        </w:rPr>
        <w:t>, 84–100 (1980).</w:t>
      </w:r>
    </w:p>
    <w:p w14:paraId="124B03D8" w14:textId="77777777" w:rsidR="00C23D11" w:rsidRPr="005C6F1F" w:rsidRDefault="00C23D11" w:rsidP="00C23D11">
      <w:pPr>
        <w:pStyle w:val="ListParagraph"/>
        <w:numPr>
          <w:ilvl w:val="0"/>
          <w:numId w:val="28"/>
        </w:numPr>
        <w:autoSpaceDE w:val="0"/>
        <w:autoSpaceDN w:val="0"/>
        <w:adjustRightInd w:val="0"/>
        <w:spacing w:line="276" w:lineRule="auto"/>
        <w:ind w:left="644" w:right="83"/>
        <w:rPr>
          <w:rFonts w:ascii="Times New Roman" w:hAnsi="Times New Roman" w:cs="Times New Roman"/>
          <w:color w:val="000000" w:themeColor="text1"/>
          <w:lang w:val="en-US"/>
        </w:rPr>
      </w:pPr>
      <w:r w:rsidRPr="00B256C8">
        <w:rPr>
          <w:rFonts w:ascii="Times New Roman" w:hAnsi="Times New Roman" w:cs="Times New Roman"/>
          <w:iCs/>
          <w:color w:val="000000" w:themeColor="text1"/>
        </w:rPr>
        <w:t>Mahoney, P</w:t>
      </w:r>
      <w:r w:rsidRPr="00B256C8">
        <w:rPr>
          <w:rFonts w:ascii="Times New Roman" w:hAnsi="Times New Roman" w:cs="Times New Roman"/>
          <w:bCs/>
          <w:iCs/>
          <w:color w:val="000000" w:themeColor="text1"/>
        </w:rPr>
        <w:t xml:space="preserve">., </w:t>
      </w:r>
      <w:proofErr w:type="spellStart"/>
      <w:r w:rsidRPr="00B256C8">
        <w:rPr>
          <w:rFonts w:ascii="Times New Roman" w:hAnsi="Times New Roman" w:cs="Times New Roman"/>
          <w:bCs/>
          <w:iCs/>
          <w:color w:val="000000" w:themeColor="text1"/>
        </w:rPr>
        <w:t>Miszkiewicz</w:t>
      </w:r>
      <w:proofErr w:type="spellEnd"/>
      <w:r w:rsidRPr="00B256C8">
        <w:rPr>
          <w:rFonts w:ascii="Times New Roman" w:hAnsi="Times New Roman" w:cs="Times New Roman"/>
          <w:bCs/>
          <w:iCs/>
          <w:color w:val="000000" w:themeColor="text1"/>
        </w:rPr>
        <w:t xml:space="preserve">, J., </w:t>
      </w:r>
      <w:proofErr w:type="spellStart"/>
      <w:r w:rsidRPr="00B256C8">
        <w:rPr>
          <w:rFonts w:ascii="Times New Roman" w:hAnsi="Times New Roman" w:cs="Times New Roman"/>
          <w:bCs/>
          <w:iCs/>
          <w:color w:val="000000" w:themeColor="text1"/>
        </w:rPr>
        <w:t>Pitfield</w:t>
      </w:r>
      <w:proofErr w:type="spellEnd"/>
      <w:r w:rsidRPr="00B256C8">
        <w:rPr>
          <w:rFonts w:ascii="Times New Roman" w:hAnsi="Times New Roman" w:cs="Times New Roman"/>
          <w:bCs/>
          <w:iCs/>
          <w:color w:val="000000" w:themeColor="text1"/>
        </w:rPr>
        <w:t xml:space="preserve">, R., </w:t>
      </w:r>
      <w:proofErr w:type="spellStart"/>
      <w:r w:rsidRPr="00B256C8">
        <w:rPr>
          <w:rFonts w:ascii="Times New Roman" w:hAnsi="Times New Roman" w:cs="Times New Roman"/>
          <w:bCs/>
          <w:iCs/>
          <w:color w:val="000000" w:themeColor="text1"/>
        </w:rPr>
        <w:t>Schlecht</w:t>
      </w:r>
      <w:proofErr w:type="spellEnd"/>
      <w:r w:rsidRPr="00B256C8">
        <w:rPr>
          <w:rFonts w:ascii="Times New Roman" w:hAnsi="Times New Roman" w:cs="Times New Roman"/>
          <w:bCs/>
          <w:iCs/>
          <w:color w:val="000000" w:themeColor="text1"/>
        </w:rPr>
        <w:t xml:space="preserve">, S., Deter, C., </w:t>
      </w:r>
      <w:proofErr w:type="spellStart"/>
      <w:r w:rsidRPr="00B256C8">
        <w:rPr>
          <w:rFonts w:ascii="Times New Roman" w:hAnsi="Times New Roman" w:cs="Times New Roman"/>
          <w:bCs/>
          <w:iCs/>
          <w:color w:val="000000" w:themeColor="text1"/>
        </w:rPr>
        <w:t>Guatelli</w:t>
      </w:r>
      <w:proofErr w:type="spellEnd"/>
      <w:r w:rsidRPr="00B256C8">
        <w:rPr>
          <w:rFonts w:ascii="Times New Roman" w:hAnsi="Times New Roman" w:cs="Times New Roman"/>
          <w:bCs/>
          <w:iCs/>
          <w:color w:val="000000" w:themeColor="text1"/>
        </w:rPr>
        <w:t>-Steinberg, D. Biorhythms, deciduous enamel thickness, and primary bone growth in modern human children: a test of the Havers-</w:t>
      </w:r>
      <w:proofErr w:type="spellStart"/>
      <w:r w:rsidRPr="00B256C8">
        <w:rPr>
          <w:rFonts w:ascii="Times New Roman" w:hAnsi="Times New Roman" w:cs="Times New Roman"/>
          <w:bCs/>
          <w:iCs/>
          <w:color w:val="000000" w:themeColor="text1"/>
        </w:rPr>
        <w:t>Halberg</w:t>
      </w:r>
      <w:proofErr w:type="spellEnd"/>
      <w:r w:rsidRPr="00B256C8">
        <w:rPr>
          <w:rFonts w:ascii="Times New Roman" w:hAnsi="Times New Roman" w:cs="Times New Roman"/>
          <w:bCs/>
          <w:iCs/>
          <w:color w:val="000000" w:themeColor="text1"/>
        </w:rPr>
        <w:t xml:space="preserve"> Oscillation hypothesis. </w:t>
      </w:r>
      <w:r w:rsidRPr="00B256C8">
        <w:rPr>
          <w:rFonts w:ascii="Times New Roman" w:hAnsi="Times New Roman" w:cs="Times New Roman"/>
          <w:bCs/>
          <w:i/>
          <w:color w:val="000000" w:themeColor="text1"/>
        </w:rPr>
        <w:t xml:space="preserve">J </w:t>
      </w:r>
      <w:proofErr w:type="spellStart"/>
      <w:r w:rsidRPr="00B256C8">
        <w:rPr>
          <w:rFonts w:ascii="Times New Roman" w:hAnsi="Times New Roman" w:cs="Times New Roman"/>
          <w:bCs/>
          <w:i/>
          <w:color w:val="000000" w:themeColor="text1"/>
        </w:rPr>
        <w:t>Anat</w:t>
      </w:r>
      <w:proofErr w:type="spellEnd"/>
      <w:r w:rsidRPr="00B256C8">
        <w:rPr>
          <w:rFonts w:ascii="Times New Roman" w:hAnsi="Times New Roman" w:cs="Times New Roman"/>
          <w:bCs/>
          <w:iCs/>
          <w:color w:val="000000" w:themeColor="text1"/>
        </w:rPr>
        <w:t xml:space="preserve"> </w:t>
      </w:r>
      <w:r w:rsidRPr="00B256C8">
        <w:rPr>
          <w:rFonts w:ascii="Times New Roman" w:hAnsi="Times New Roman" w:cs="Times New Roman"/>
          <w:b/>
          <w:iCs/>
          <w:color w:val="000000" w:themeColor="text1"/>
        </w:rPr>
        <w:t>228</w:t>
      </w:r>
      <w:r w:rsidRPr="00B256C8">
        <w:rPr>
          <w:rFonts w:ascii="Times New Roman" w:hAnsi="Times New Roman" w:cs="Times New Roman"/>
          <w:bCs/>
          <w:iCs/>
          <w:color w:val="000000" w:themeColor="text1"/>
        </w:rPr>
        <w:t>: 919-928 (2016).</w:t>
      </w:r>
    </w:p>
    <w:p w14:paraId="62DF24D2" w14:textId="77777777" w:rsidR="00C23D11" w:rsidRPr="00B256C8" w:rsidRDefault="00C23D11" w:rsidP="00C23D11">
      <w:pPr>
        <w:pStyle w:val="ListParagraph"/>
        <w:numPr>
          <w:ilvl w:val="0"/>
          <w:numId w:val="28"/>
        </w:numPr>
        <w:ind w:left="644"/>
        <w:rPr>
          <w:rFonts w:ascii="Times New Roman" w:hAnsi="Times New Roman" w:cs="Times New Roman"/>
          <w:color w:val="000000" w:themeColor="text1"/>
        </w:rPr>
      </w:pPr>
      <w:r w:rsidRPr="00B256C8">
        <w:rPr>
          <w:rFonts w:ascii="Times New Roman" w:hAnsi="Times New Roman" w:cs="Times New Roman"/>
          <w:color w:val="000000" w:themeColor="text1"/>
          <w:bdr w:val="none" w:sz="0" w:space="0" w:color="auto" w:frame="1"/>
          <w:shd w:val="clear" w:color="auto" w:fill="FFFFFF"/>
        </w:rPr>
        <w:t>Chapple, Simon</w:t>
      </w:r>
      <w:r w:rsidRPr="00B256C8">
        <w:rPr>
          <w:rFonts w:ascii="Times New Roman" w:hAnsi="Times New Roman" w:cs="Times New Roman"/>
          <w:color w:val="000000" w:themeColor="text1"/>
          <w:shd w:val="clear" w:color="auto" w:fill="FFFFFF"/>
        </w:rPr>
        <w:t> (2016) </w:t>
      </w:r>
      <w:r w:rsidRPr="00B256C8">
        <w:rPr>
          <w:rFonts w:ascii="Times New Roman" w:hAnsi="Times New Roman" w:cs="Times New Roman"/>
          <w:color w:val="000000" w:themeColor="text1"/>
          <w:bdr w:val="none" w:sz="0" w:space="0" w:color="auto" w:frame="1"/>
          <w:shd w:val="clear" w:color="auto" w:fill="FFFFFF"/>
        </w:rPr>
        <w:t>Long period growth lines in enamel and body size in humans: a test of the Havers-</w:t>
      </w:r>
      <w:proofErr w:type="spellStart"/>
      <w:r w:rsidRPr="00B256C8">
        <w:rPr>
          <w:rFonts w:ascii="Times New Roman" w:hAnsi="Times New Roman" w:cs="Times New Roman"/>
          <w:color w:val="000000" w:themeColor="text1"/>
          <w:bdr w:val="none" w:sz="0" w:space="0" w:color="auto" w:frame="1"/>
          <w:shd w:val="clear" w:color="auto" w:fill="FFFFFF"/>
        </w:rPr>
        <w:t>Halberg</w:t>
      </w:r>
      <w:proofErr w:type="spellEnd"/>
      <w:r w:rsidRPr="00B256C8">
        <w:rPr>
          <w:rFonts w:ascii="Times New Roman" w:hAnsi="Times New Roman" w:cs="Times New Roman"/>
          <w:color w:val="000000" w:themeColor="text1"/>
          <w:bdr w:val="none" w:sz="0" w:space="0" w:color="auto" w:frame="1"/>
          <w:shd w:val="clear" w:color="auto" w:fill="FFFFFF"/>
        </w:rPr>
        <w:t xml:space="preserve"> Hypothesis.</w:t>
      </w:r>
      <w:r w:rsidRPr="00B256C8">
        <w:rPr>
          <w:rFonts w:ascii="Times New Roman" w:hAnsi="Times New Roman" w:cs="Times New Roman"/>
          <w:i/>
          <w:iCs/>
          <w:color w:val="000000" w:themeColor="text1"/>
          <w:bdr w:val="none" w:sz="0" w:space="0" w:color="auto" w:frame="1"/>
          <w:shd w:val="clear" w:color="auto" w:fill="FFFFFF"/>
        </w:rPr>
        <w:t> </w:t>
      </w:r>
      <w:r w:rsidRPr="00B256C8">
        <w:rPr>
          <w:rFonts w:ascii="Times New Roman" w:hAnsi="Times New Roman" w:cs="Times New Roman"/>
          <w:color w:val="000000" w:themeColor="text1"/>
          <w:shd w:val="clear" w:color="auto" w:fill="FFFFFF"/>
        </w:rPr>
        <w:t>Master of Science by Research (</w:t>
      </w:r>
      <w:proofErr w:type="spellStart"/>
      <w:r w:rsidRPr="00B256C8">
        <w:rPr>
          <w:rFonts w:ascii="Times New Roman" w:hAnsi="Times New Roman" w:cs="Times New Roman"/>
          <w:color w:val="000000" w:themeColor="text1"/>
          <w:shd w:val="clear" w:color="auto" w:fill="FFFFFF"/>
        </w:rPr>
        <w:t>MScRes</w:t>
      </w:r>
      <w:proofErr w:type="spellEnd"/>
      <w:r w:rsidRPr="00B256C8">
        <w:rPr>
          <w:rFonts w:ascii="Times New Roman" w:hAnsi="Times New Roman" w:cs="Times New Roman"/>
          <w:color w:val="000000" w:themeColor="text1"/>
          <w:shd w:val="clear" w:color="auto" w:fill="FFFFFF"/>
        </w:rPr>
        <w:t>) thesis, University of Kent, UK.</w:t>
      </w:r>
    </w:p>
    <w:p w14:paraId="259484B3"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rPr>
        <w:t>Bromage</w:t>
      </w:r>
      <w:proofErr w:type="spellEnd"/>
      <w:r w:rsidRPr="00B256C8">
        <w:rPr>
          <w:rFonts w:ascii="Times New Roman" w:hAnsi="Times New Roman" w:cs="Times New Roman"/>
          <w:color w:val="000000" w:themeColor="text1"/>
        </w:rPr>
        <w:t xml:space="preserve">, T.G. The scaling of human osteocyte lacuna density with body size and metabolism. </w:t>
      </w:r>
      <w:r w:rsidRPr="00B256C8">
        <w:rPr>
          <w:rFonts w:ascii="Times New Roman" w:hAnsi="Times New Roman" w:cs="Times New Roman"/>
          <w:i/>
          <w:iCs/>
          <w:color w:val="000000" w:themeColor="text1"/>
        </w:rPr>
        <w:t xml:space="preserve">C. R. </w:t>
      </w:r>
      <w:proofErr w:type="spellStart"/>
      <w:r w:rsidRPr="00B256C8">
        <w:rPr>
          <w:rFonts w:ascii="Times New Roman" w:hAnsi="Times New Roman" w:cs="Times New Roman"/>
          <w:i/>
          <w:iCs/>
          <w:color w:val="000000" w:themeColor="text1"/>
        </w:rPr>
        <w:t>Palevol</w:t>
      </w:r>
      <w:proofErr w:type="spellEnd"/>
      <w:r w:rsidRPr="00B256C8">
        <w:rPr>
          <w:rFonts w:ascii="Times New Roman" w:hAnsi="Times New Roman" w:cs="Times New Roman"/>
          <w:i/>
          <w:iCs/>
          <w:color w:val="000000" w:themeColor="text1"/>
        </w:rPr>
        <w:t xml:space="preserve">, </w:t>
      </w:r>
      <w:r w:rsidRPr="00B256C8">
        <w:rPr>
          <w:rFonts w:ascii="Times New Roman" w:hAnsi="Times New Roman" w:cs="Times New Roman"/>
          <w:color w:val="000000" w:themeColor="text1"/>
        </w:rPr>
        <w:t>15, 32–39 (2016).</w:t>
      </w:r>
    </w:p>
    <w:p w14:paraId="4DB39CE5"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proofErr w:type="spellStart"/>
      <w:r w:rsidRPr="00B256C8">
        <w:rPr>
          <w:rFonts w:ascii="Times New Roman" w:eastAsiaTheme="minorHAnsi" w:hAnsi="Times New Roman" w:cs="Times New Roman"/>
          <w:color w:val="000000" w:themeColor="text1"/>
          <w:lang w:eastAsia="en-US"/>
        </w:rPr>
        <w:t>Karaaslan</w:t>
      </w:r>
      <w:proofErr w:type="spellEnd"/>
      <w:r w:rsidRPr="00B256C8">
        <w:rPr>
          <w:rFonts w:ascii="Times New Roman" w:eastAsiaTheme="minorHAnsi" w:hAnsi="Times New Roman" w:cs="Times New Roman"/>
          <w:color w:val="000000" w:themeColor="text1"/>
          <w:lang w:eastAsia="en-US"/>
        </w:rPr>
        <w:t xml:space="preserve">, H., </w:t>
      </w:r>
      <w:proofErr w:type="spellStart"/>
      <w:r w:rsidRPr="00B256C8">
        <w:rPr>
          <w:rFonts w:ascii="Times New Roman" w:eastAsiaTheme="minorHAnsi" w:hAnsi="Times New Roman" w:cs="Times New Roman"/>
          <w:color w:val="000000" w:themeColor="text1"/>
          <w:lang w:eastAsia="en-US"/>
        </w:rPr>
        <w:t>JSeckinger</w:t>
      </w:r>
      <w:proofErr w:type="spellEnd"/>
      <w:r w:rsidRPr="00B256C8">
        <w:rPr>
          <w:rFonts w:ascii="Times New Roman" w:eastAsiaTheme="minorHAnsi" w:hAnsi="Times New Roman" w:cs="Times New Roman"/>
          <w:color w:val="000000" w:themeColor="text1"/>
          <w:lang w:eastAsia="en-US"/>
        </w:rPr>
        <w:t xml:space="preserve">, J., </w:t>
      </w:r>
      <w:proofErr w:type="spellStart"/>
      <w:r w:rsidRPr="00B256C8">
        <w:rPr>
          <w:rFonts w:ascii="Times New Roman" w:eastAsiaTheme="minorHAnsi" w:hAnsi="Times New Roman" w:cs="Times New Roman"/>
          <w:color w:val="000000" w:themeColor="text1"/>
          <w:lang w:eastAsia="en-US"/>
        </w:rPr>
        <w:t>Almabrok</w:t>
      </w:r>
      <w:proofErr w:type="spellEnd"/>
      <w:r w:rsidRPr="00B256C8">
        <w:rPr>
          <w:rFonts w:ascii="Times New Roman" w:eastAsiaTheme="minorHAnsi" w:hAnsi="Times New Roman" w:cs="Times New Roman"/>
          <w:color w:val="000000" w:themeColor="text1"/>
          <w:lang w:eastAsia="en-US"/>
        </w:rPr>
        <w:t xml:space="preserve">, A., Hu, B., Dong, H., Xia, D., </w:t>
      </w:r>
      <w:proofErr w:type="spellStart"/>
      <w:r w:rsidRPr="00B256C8">
        <w:rPr>
          <w:rFonts w:ascii="Times New Roman" w:eastAsiaTheme="minorHAnsi" w:hAnsi="Times New Roman" w:cs="Times New Roman"/>
          <w:color w:val="000000" w:themeColor="text1"/>
          <w:lang w:eastAsia="en-US"/>
        </w:rPr>
        <w:t>Dekyi</w:t>
      </w:r>
      <w:proofErr w:type="spellEnd"/>
      <w:r w:rsidRPr="00B256C8">
        <w:rPr>
          <w:rFonts w:ascii="Times New Roman" w:eastAsiaTheme="minorHAnsi" w:hAnsi="Times New Roman" w:cs="Times New Roman"/>
          <w:color w:val="000000" w:themeColor="text1"/>
          <w:lang w:eastAsia="en-US"/>
        </w:rPr>
        <w:t>, T., Hogg, R.T., Zhou, J.</w:t>
      </w:r>
      <w:proofErr w:type="gramStart"/>
      <w:r w:rsidRPr="00B256C8">
        <w:rPr>
          <w:rFonts w:ascii="Times New Roman" w:eastAsiaTheme="minorHAnsi" w:hAnsi="Times New Roman" w:cs="Times New Roman"/>
          <w:color w:val="000000" w:themeColor="text1"/>
          <w:lang w:eastAsia="en-US"/>
        </w:rPr>
        <w:t xml:space="preserve">,  </w:t>
      </w:r>
      <w:proofErr w:type="spellStart"/>
      <w:r w:rsidRPr="00B256C8">
        <w:rPr>
          <w:rFonts w:ascii="Times New Roman" w:eastAsiaTheme="minorHAnsi" w:hAnsi="Times New Roman" w:cs="Times New Roman"/>
          <w:color w:val="000000" w:themeColor="text1"/>
          <w:lang w:eastAsia="en-US"/>
        </w:rPr>
        <w:t>Bromage</w:t>
      </w:r>
      <w:proofErr w:type="spellEnd"/>
      <w:proofErr w:type="gramEnd"/>
      <w:r w:rsidRPr="00B256C8">
        <w:rPr>
          <w:rFonts w:ascii="Times New Roman" w:eastAsiaTheme="minorHAnsi" w:hAnsi="Times New Roman" w:cs="Times New Roman"/>
          <w:color w:val="000000" w:themeColor="text1"/>
          <w:lang w:eastAsia="en-US"/>
        </w:rPr>
        <w:t xml:space="preserve">, T.J. Enamel </w:t>
      </w:r>
      <w:proofErr w:type="spellStart"/>
      <w:r w:rsidRPr="00B256C8">
        <w:rPr>
          <w:rFonts w:ascii="Times New Roman" w:eastAsiaTheme="minorHAnsi" w:hAnsi="Times New Roman" w:cs="Times New Roman"/>
          <w:color w:val="000000" w:themeColor="text1"/>
          <w:lang w:eastAsia="en-US"/>
        </w:rPr>
        <w:t>multidien</w:t>
      </w:r>
      <w:proofErr w:type="spellEnd"/>
      <w:r w:rsidRPr="00B256C8">
        <w:rPr>
          <w:rFonts w:ascii="Times New Roman" w:eastAsiaTheme="minorHAnsi" w:hAnsi="Times New Roman" w:cs="Times New Roman"/>
          <w:color w:val="000000" w:themeColor="text1"/>
          <w:lang w:eastAsia="en-US"/>
        </w:rPr>
        <w:t xml:space="preserve"> biological timing and body size variability among individuals of Chinese Han </w:t>
      </w:r>
      <w:proofErr w:type="spellStart"/>
      <w:r w:rsidRPr="00B256C8">
        <w:rPr>
          <w:rFonts w:ascii="Times New Roman" w:eastAsiaTheme="minorHAnsi" w:hAnsi="Times New Roman" w:cs="Times New Roman"/>
          <w:color w:val="000000" w:themeColor="text1"/>
          <w:lang w:eastAsia="en-US"/>
        </w:rPr>
        <w:t>andTibetan</w:t>
      </w:r>
      <w:proofErr w:type="spellEnd"/>
      <w:r w:rsidRPr="00B256C8">
        <w:rPr>
          <w:rFonts w:ascii="Times New Roman" w:eastAsiaTheme="minorHAnsi" w:hAnsi="Times New Roman" w:cs="Times New Roman"/>
          <w:color w:val="000000" w:themeColor="text1"/>
          <w:lang w:eastAsia="en-US"/>
        </w:rPr>
        <w:t xml:space="preserve"> origins. </w:t>
      </w:r>
      <w:r w:rsidRPr="00B256C8">
        <w:rPr>
          <w:rFonts w:ascii="Times New Roman" w:eastAsiaTheme="minorHAnsi" w:hAnsi="Times New Roman" w:cs="Times New Roman"/>
          <w:i/>
          <w:iCs/>
          <w:color w:val="000000" w:themeColor="text1"/>
          <w:lang w:eastAsia="en-US"/>
        </w:rPr>
        <w:t xml:space="preserve">An. Hum. </w:t>
      </w:r>
      <w:proofErr w:type="spellStart"/>
      <w:r w:rsidRPr="00B256C8">
        <w:rPr>
          <w:rFonts w:ascii="Times New Roman" w:eastAsiaTheme="minorHAnsi" w:hAnsi="Times New Roman" w:cs="Times New Roman"/>
          <w:i/>
          <w:iCs/>
          <w:color w:val="000000" w:themeColor="text1"/>
          <w:lang w:eastAsia="en-US"/>
        </w:rPr>
        <w:t>Biol</w:t>
      </w:r>
      <w:proofErr w:type="spellEnd"/>
      <w:r w:rsidRPr="00B256C8">
        <w:rPr>
          <w:rFonts w:ascii="Times New Roman" w:eastAsiaTheme="minorHAnsi" w:hAnsi="Times New Roman" w:cs="Times New Roman"/>
          <w:color w:val="000000" w:themeColor="text1"/>
          <w:lang w:eastAsia="en-US"/>
        </w:rPr>
        <w:t xml:space="preserve">, </w:t>
      </w:r>
      <w:r w:rsidRPr="00B256C8">
        <w:rPr>
          <w:rFonts w:ascii="Times New Roman" w:eastAsiaTheme="minorHAnsi" w:hAnsi="Times New Roman" w:cs="Times New Roman"/>
          <w:b/>
          <w:bCs/>
          <w:color w:val="000000" w:themeColor="text1"/>
          <w:lang w:eastAsia="en-US"/>
        </w:rPr>
        <w:t>48</w:t>
      </w:r>
      <w:r w:rsidRPr="00B256C8">
        <w:rPr>
          <w:rFonts w:ascii="Times New Roman" w:eastAsiaTheme="minorHAnsi" w:hAnsi="Times New Roman" w:cs="Times New Roman"/>
          <w:color w:val="000000" w:themeColor="text1"/>
          <w:lang w:eastAsia="en-US"/>
        </w:rPr>
        <w:t>, 23–29 (2021).</w:t>
      </w:r>
    </w:p>
    <w:p w14:paraId="7E96DD2C"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McFarlane, G. et al. Enamel daily secretion rates of deciduous molars from a global sample of modern children. </w:t>
      </w:r>
      <w:r w:rsidRPr="00B256C8">
        <w:rPr>
          <w:rFonts w:ascii="Times New Roman" w:hAnsi="Times New Roman" w:cs="Times New Roman"/>
          <w:i/>
          <w:iCs/>
          <w:color w:val="000000" w:themeColor="text1"/>
        </w:rPr>
        <w:t xml:space="preserve">Arch. Oral. </w:t>
      </w:r>
      <w:proofErr w:type="spellStart"/>
      <w:r w:rsidRPr="00B256C8">
        <w:rPr>
          <w:rFonts w:ascii="Times New Roman" w:hAnsi="Times New Roman" w:cs="Times New Roman"/>
          <w:i/>
          <w:iCs/>
          <w:color w:val="000000" w:themeColor="text1"/>
        </w:rPr>
        <w:t>Biol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132</w:t>
      </w:r>
      <w:r w:rsidRPr="00B256C8">
        <w:rPr>
          <w:rFonts w:ascii="Times New Roman" w:hAnsi="Times New Roman" w:cs="Times New Roman"/>
          <w:color w:val="000000" w:themeColor="text1"/>
        </w:rPr>
        <w:t>: 105290 (2021).</w:t>
      </w:r>
    </w:p>
    <w:p w14:paraId="7CAFD4F8" w14:textId="01BB04EB" w:rsidR="00C23D11" w:rsidRPr="00C44CC9"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i/>
          <w:iCs/>
          <w:color w:val="000000" w:themeColor="text1"/>
        </w:rPr>
      </w:pPr>
      <w:r w:rsidRPr="00B256C8">
        <w:rPr>
          <w:rFonts w:ascii="Times New Roman" w:eastAsia="Calibri" w:hAnsi="Times New Roman" w:cs="Times New Roman"/>
          <w:color w:val="000000" w:themeColor="text1"/>
        </w:rPr>
        <w:t xml:space="preserve">Floyd, B., Battles, H., McFarlane, G., </w:t>
      </w:r>
      <w:proofErr w:type="spellStart"/>
      <w:r w:rsidRPr="00B256C8">
        <w:rPr>
          <w:rFonts w:ascii="Times New Roman" w:eastAsia="Calibri" w:hAnsi="Times New Roman" w:cs="Times New Roman"/>
          <w:color w:val="000000" w:themeColor="text1"/>
        </w:rPr>
        <w:t>Guatelli</w:t>
      </w:r>
      <w:proofErr w:type="spellEnd"/>
      <w:r w:rsidRPr="00B256C8">
        <w:rPr>
          <w:rFonts w:ascii="Times New Roman" w:eastAsia="Calibri" w:hAnsi="Times New Roman" w:cs="Times New Roman"/>
          <w:color w:val="000000" w:themeColor="text1"/>
        </w:rPr>
        <w:t>-Steinberg, D., Loch, C., White, S., Bayle, P. &amp; Mahoney, P.</w:t>
      </w:r>
      <w:r w:rsidRPr="00B256C8">
        <w:rPr>
          <w:rFonts w:ascii="Times New Roman" w:hAnsi="Times New Roman" w:cs="Times New Roman"/>
          <w:color w:val="000000" w:themeColor="text1"/>
        </w:rPr>
        <w:t xml:space="preserve"> </w:t>
      </w:r>
      <w:r w:rsidR="00C44CC9" w:rsidRPr="00C44CC9">
        <w:rPr>
          <w:rFonts w:ascii="Times New Roman" w:hAnsi="Times New Roman" w:cs="Times New Roman"/>
          <w:i/>
          <w:iCs/>
          <w:color w:val="000000" w:themeColor="text1"/>
        </w:rPr>
        <w:t>in revision</w:t>
      </w:r>
      <w:r w:rsidRPr="00B256C8">
        <w:rPr>
          <w:rFonts w:ascii="Times New Roman" w:hAnsi="Times New Roman" w:cs="Times New Roman"/>
          <w:color w:val="000000" w:themeColor="text1"/>
        </w:rPr>
        <w:t>.</w:t>
      </w:r>
      <w:r w:rsidRPr="00B256C8">
        <w:rPr>
          <w:rFonts w:ascii="Times New Roman" w:eastAsia="Calibri" w:hAnsi="Times New Roman" w:cs="Times New Roman"/>
          <w:color w:val="000000" w:themeColor="text1"/>
          <w:lang w:val="en-NZ"/>
        </w:rPr>
        <w:t xml:space="preserve"> The impact of sex and body size on longitudinal changes in juvenile and adolescent body mass indices before, during, and after the COVID-19 lockdown in New Zealand.</w:t>
      </w:r>
      <w:r w:rsidR="00C44CC9">
        <w:rPr>
          <w:rFonts w:ascii="Times New Roman" w:eastAsia="Calibri" w:hAnsi="Times New Roman" w:cs="Times New Roman"/>
          <w:color w:val="000000" w:themeColor="text1"/>
          <w:lang w:val="en-NZ"/>
        </w:rPr>
        <w:t xml:space="preserve"> </w:t>
      </w:r>
      <w:r w:rsidR="00C44CC9" w:rsidRPr="00C44CC9">
        <w:rPr>
          <w:rFonts w:ascii="Times New Roman" w:eastAsia="Calibri" w:hAnsi="Times New Roman" w:cs="Times New Roman"/>
          <w:i/>
          <w:iCs/>
          <w:color w:val="000000" w:themeColor="text1"/>
          <w:lang w:val="en-NZ"/>
        </w:rPr>
        <w:t>Am J Hum Biol</w:t>
      </w:r>
      <w:r w:rsidR="00C44CC9">
        <w:rPr>
          <w:rFonts w:ascii="Times New Roman" w:eastAsia="Calibri" w:hAnsi="Times New Roman" w:cs="Times New Roman"/>
          <w:color w:val="000000" w:themeColor="text1"/>
          <w:lang w:val="en-NZ"/>
        </w:rPr>
        <w:t>.</w:t>
      </w:r>
    </w:p>
    <w:p w14:paraId="008A3532" w14:textId="77777777" w:rsidR="00C23D11" w:rsidRPr="00B256C8" w:rsidRDefault="00530708" w:rsidP="00C23D11">
      <w:pPr>
        <w:pStyle w:val="ListParagraph"/>
        <w:numPr>
          <w:ilvl w:val="0"/>
          <w:numId w:val="28"/>
        </w:numPr>
        <w:autoSpaceDE w:val="0"/>
        <w:autoSpaceDN w:val="0"/>
        <w:adjustRightInd w:val="0"/>
        <w:spacing w:line="276" w:lineRule="auto"/>
        <w:ind w:left="644" w:right="-720"/>
        <w:rPr>
          <w:rFonts w:ascii="Times New Roman" w:hAnsi="Times New Roman" w:cs="Times New Roman"/>
          <w:color w:val="000000" w:themeColor="text1"/>
          <w:lang w:val="en-US"/>
        </w:rPr>
      </w:pPr>
      <w:hyperlink r:id="rId9" w:history="1">
        <w:r w:rsidR="00C23D11" w:rsidRPr="00B256C8">
          <w:rPr>
            <w:rStyle w:val="Hyperlink"/>
            <w:rFonts w:ascii="Times New Roman" w:hAnsi="Times New Roman" w:cs="Times New Roman"/>
            <w:color w:val="000000" w:themeColor="text1"/>
          </w:rPr>
          <w:t>https://covid19.govt.nz/assets/resources/tables/COVID-19-Alert-Levels-summary-table.pdf</w:t>
        </w:r>
      </w:hyperlink>
    </w:p>
    <w:p w14:paraId="51275F75" w14:textId="77777777" w:rsidR="00C23D11"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lang w:val="de-DE"/>
        </w:rPr>
        <w:t xml:space="preserve">Largo, R. H., Gasser, T., </w:t>
      </w:r>
      <w:proofErr w:type="spellStart"/>
      <w:r w:rsidRPr="00B256C8">
        <w:rPr>
          <w:rFonts w:ascii="Times New Roman" w:hAnsi="Times New Roman" w:cs="Times New Roman"/>
          <w:color w:val="000000" w:themeColor="text1"/>
          <w:lang w:val="de-DE"/>
        </w:rPr>
        <w:t>Prader</w:t>
      </w:r>
      <w:proofErr w:type="spellEnd"/>
      <w:r w:rsidRPr="00B256C8">
        <w:rPr>
          <w:rFonts w:ascii="Times New Roman" w:hAnsi="Times New Roman" w:cs="Times New Roman"/>
          <w:color w:val="000000" w:themeColor="text1"/>
          <w:lang w:val="de-DE"/>
        </w:rPr>
        <w:t xml:space="preserve">, A., </w:t>
      </w:r>
      <w:proofErr w:type="spellStart"/>
      <w:r w:rsidRPr="00B256C8">
        <w:rPr>
          <w:rFonts w:ascii="Times New Roman" w:hAnsi="Times New Roman" w:cs="Times New Roman"/>
          <w:color w:val="000000" w:themeColor="text1"/>
          <w:lang w:val="de-DE"/>
        </w:rPr>
        <w:t>Stuetzle</w:t>
      </w:r>
      <w:proofErr w:type="spellEnd"/>
      <w:r w:rsidRPr="00B256C8">
        <w:rPr>
          <w:rFonts w:ascii="Times New Roman" w:hAnsi="Times New Roman" w:cs="Times New Roman"/>
          <w:color w:val="000000" w:themeColor="text1"/>
          <w:lang w:val="de-DE"/>
        </w:rPr>
        <w:t xml:space="preserve">, W. &amp; Huber, P. J. </w:t>
      </w:r>
      <w:r w:rsidRPr="00B256C8">
        <w:rPr>
          <w:rFonts w:ascii="Times New Roman" w:hAnsi="Times New Roman" w:cs="Times New Roman"/>
          <w:color w:val="000000" w:themeColor="text1"/>
        </w:rPr>
        <w:t xml:space="preserve">Analysis of the adolescent growth spurt using smoothing spline functions. </w:t>
      </w:r>
      <w:r w:rsidRPr="00B256C8">
        <w:rPr>
          <w:rFonts w:ascii="Times New Roman" w:hAnsi="Times New Roman" w:cs="Times New Roman"/>
          <w:i/>
          <w:iCs/>
          <w:color w:val="000000" w:themeColor="text1"/>
        </w:rPr>
        <w:t xml:space="preserve">Annal. Hum. </w:t>
      </w:r>
      <w:proofErr w:type="spellStart"/>
      <w:r w:rsidRPr="00B256C8">
        <w:rPr>
          <w:rFonts w:ascii="Times New Roman" w:hAnsi="Times New Roman" w:cs="Times New Roman"/>
          <w:i/>
          <w:iCs/>
          <w:color w:val="000000" w:themeColor="text1"/>
        </w:rPr>
        <w:t>Biol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5</w:t>
      </w:r>
      <w:r w:rsidRPr="00B256C8">
        <w:rPr>
          <w:rFonts w:ascii="Times New Roman" w:hAnsi="Times New Roman" w:cs="Times New Roman"/>
          <w:color w:val="000000" w:themeColor="text1"/>
        </w:rPr>
        <w:t xml:space="preserve"> (5), 421– 434 (1978).</w:t>
      </w:r>
    </w:p>
    <w:p w14:paraId="6E85F05B" w14:textId="77777777" w:rsidR="00C23D11" w:rsidRPr="00B256C8" w:rsidRDefault="00C23D11" w:rsidP="00C23D11">
      <w:pPr>
        <w:pStyle w:val="ListParagraph"/>
        <w:numPr>
          <w:ilvl w:val="0"/>
          <w:numId w:val="28"/>
        </w:numPr>
        <w:ind w:left="644"/>
        <w:rPr>
          <w:rFonts w:ascii="Times New Roman" w:hAnsi="Times New Roman" w:cs="Times New Roman"/>
          <w:color w:val="000000" w:themeColor="text1"/>
        </w:rPr>
      </w:pPr>
      <w:r w:rsidRPr="00B256C8">
        <w:rPr>
          <w:rFonts w:ascii="Times New Roman" w:hAnsi="Times New Roman" w:cs="Times New Roman"/>
          <w:color w:val="000000" w:themeColor="text1"/>
        </w:rPr>
        <w:t xml:space="preserve">Hauspie, R.C., </w:t>
      </w:r>
      <w:proofErr w:type="spellStart"/>
      <w:r w:rsidRPr="00B256C8">
        <w:rPr>
          <w:rFonts w:ascii="Times New Roman" w:hAnsi="Times New Roman" w:cs="Times New Roman"/>
          <w:color w:val="000000" w:themeColor="text1"/>
        </w:rPr>
        <w:t>Roelants</w:t>
      </w:r>
      <w:proofErr w:type="spellEnd"/>
      <w:r w:rsidRPr="00B256C8">
        <w:rPr>
          <w:rFonts w:ascii="Times New Roman" w:hAnsi="Times New Roman" w:cs="Times New Roman"/>
          <w:color w:val="000000" w:themeColor="text1"/>
        </w:rPr>
        <w:t xml:space="preserve">, M. Adolescent growth. In: Cameron, N. </w:t>
      </w:r>
      <w:proofErr w:type="spellStart"/>
      <w:r w:rsidRPr="00B256C8">
        <w:rPr>
          <w:rFonts w:ascii="Times New Roman" w:hAnsi="Times New Roman" w:cs="Times New Roman"/>
          <w:color w:val="000000" w:themeColor="text1"/>
        </w:rPr>
        <w:t>Bogin</w:t>
      </w:r>
      <w:proofErr w:type="spellEnd"/>
      <w:r w:rsidRPr="00B256C8">
        <w:rPr>
          <w:rFonts w:ascii="Times New Roman" w:hAnsi="Times New Roman" w:cs="Times New Roman"/>
          <w:color w:val="000000" w:themeColor="text1"/>
        </w:rPr>
        <w:t xml:space="preserve">, B (eds). Human growth and </w:t>
      </w:r>
      <w:proofErr w:type="spellStart"/>
      <w:r w:rsidRPr="00B256C8">
        <w:rPr>
          <w:rFonts w:ascii="Times New Roman" w:hAnsi="Times New Roman" w:cs="Times New Roman"/>
          <w:color w:val="000000" w:themeColor="text1"/>
        </w:rPr>
        <w:t>Deverlopment</w:t>
      </w:r>
      <w:proofErr w:type="spellEnd"/>
      <w:r w:rsidRPr="00B256C8">
        <w:rPr>
          <w:rFonts w:ascii="Times New Roman" w:hAnsi="Times New Roman" w:cs="Times New Roman"/>
          <w:color w:val="000000" w:themeColor="text1"/>
        </w:rPr>
        <w:t>. Elsevier. (2012).</w:t>
      </w:r>
    </w:p>
    <w:p w14:paraId="2362CB19" w14:textId="77777777" w:rsidR="00C23D11" w:rsidRPr="00B256C8" w:rsidRDefault="00C23D11" w:rsidP="00C23D11">
      <w:pPr>
        <w:pStyle w:val="ListParagraph"/>
        <w:numPr>
          <w:ilvl w:val="0"/>
          <w:numId w:val="28"/>
        </w:numPr>
        <w:autoSpaceDE w:val="0"/>
        <w:autoSpaceDN w:val="0"/>
        <w:adjustRightInd w:val="0"/>
        <w:spacing w:line="276" w:lineRule="auto"/>
        <w:ind w:left="644" w:right="-201"/>
        <w:rPr>
          <w:rFonts w:ascii="Times New Roman" w:hAnsi="Times New Roman" w:cs="Times New Roman"/>
          <w:color w:val="000000" w:themeColor="text1"/>
          <w:lang w:val="en-US"/>
        </w:rPr>
      </w:pPr>
      <w:proofErr w:type="spellStart"/>
      <w:r w:rsidRPr="00B256C8">
        <w:rPr>
          <w:rFonts w:ascii="Times New Roman" w:hAnsi="Times New Roman" w:cs="Times New Roman"/>
          <w:color w:val="000000" w:themeColor="text1"/>
        </w:rPr>
        <w:t>Hägg</w:t>
      </w:r>
      <w:proofErr w:type="spellEnd"/>
      <w:r w:rsidRPr="00B256C8">
        <w:rPr>
          <w:rFonts w:ascii="Times New Roman" w:hAnsi="Times New Roman" w:cs="Times New Roman"/>
          <w:color w:val="000000" w:themeColor="text1"/>
        </w:rPr>
        <w:t xml:space="preserve">, U., </w:t>
      </w:r>
      <w:proofErr w:type="spellStart"/>
      <w:r w:rsidRPr="00B256C8">
        <w:rPr>
          <w:rFonts w:ascii="Times New Roman" w:hAnsi="Times New Roman" w:cs="Times New Roman"/>
          <w:color w:val="000000" w:themeColor="text1"/>
        </w:rPr>
        <w:t>Taranger</w:t>
      </w:r>
      <w:proofErr w:type="spellEnd"/>
      <w:r w:rsidRPr="00B256C8">
        <w:rPr>
          <w:rFonts w:ascii="Times New Roman" w:hAnsi="Times New Roman" w:cs="Times New Roman"/>
          <w:color w:val="000000" w:themeColor="text1"/>
        </w:rPr>
        <w:t xml:space="preserve">, J. Height and height velocity in early, </w:t>
      </w:r>
      <w:proofErr w:type="gramStart"/>
      <w:r w:rsidRPr="00B256C8">
        <w:rPr>
          <w:rFonts w:ascii="Times New Roman" w:hAnsi="Times New Roman" w:cs="Times New Roman"/>
          <w:color w:val="000000" w:themeColor="text1"/>
        </w:rPr>
        <w:t>average</w:t>
      </w:r>
      <w:proofErr w:type="gramEnd"/>
      <w:r w:rsidRPr="00B256C8">
        <w:rPr>
          <w:rFonts w:ascii="Times New Roman" w:hAnsi="Times New Roman" w:cs="Times New Roman"/>
          <w:color w:val="000000" w:themeColor="text1"/>
        </w:rPr>
        <w:t xml:space="preserve"> and late </w:t>
      </w:r>
      <w:proofErr w:type="spellStart"/>
      <w:r w:rsidRPr="00B256C8">
        <w:rPr>
          <w:rFonts w:ascii="Times New Roman" w:hAnsi="Times New Roman" w:cs="Times New Roman"/>
          <w:color w:val="000000" w:themeColor="text1"/>
        </w:rPr>
        <w:t>maturers</w:t>
      </w:r>
      <w:proofErr w:type="spellEnd"/>
      <w:r w:rsidRPr="00B256C8">
        <w:rPr>
          <w:rFonts w:ascii="Times New Roman" w:hAnsi="Times New Roman" w:cs="Times New Roman"/>
          <w:color w:val="000000" w:themeColor="text1"/>
        </w:rPr>
        <w:t xml:space="preserve"> followed to the age of 25: a prospective longitudinal study of Swedish urban children from birth to adulthood. </w:t>
      </w:r>
      <w:r w:rsidRPr="00B256C8">
        <w:rPr>
          <w:rFonts w:ascii="Times New Roman" w:hAnsi="Times New Roman" w:cs="Times New Roman"/>
          <w:i/>
          <w:iCs/>
          <w:color w:val="000000" w:themeColor="text1"/>
        </w:rPr>
        <w:t xml:space="preserve">Ann Hum </w:t>
      </w:r>
      <w:proofErr w:type="spellStart"/>
      <w:r w:rsidRPr="00B256C8">
        <w:rPr>
          <w:rFonts w:ascii="Times New Roman" w:hAnsi="Times New Roman" w:cs="Times New Roman"/>
          <w:i/>
          <w:iCs/>
          <w:color w:val="000000" w:themeColor="text1"/>
        </w:rPr>
        <w:t>Biol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18</w:t>
      </w:r>
      <w:r w:rsidRPr="00B256C8">
        <w:rPr>
          <w:rFonts w:ascii="Times New Roman" w:hAnsi="Times New Roman" w:cs="Times New Roman"/>
          <w:color w:val="000000" w:themeColor="text1"/>
        </w:rPr>
        <w:t>: 47–56 (1991).</w:t>
      </w:r>
    </w:p>
    <w:p w14:paraId="20163143"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Baer, H.J., Rich-Edwards, J.W., Colditz, G.A., et al. </w:t>
      </w:r>
      <w:proofErr w:type="gramStart"/>
      <w:r w:rsidRPr="00B256C8">
        <w:rPr>
          <w:rFonts w:ascii="Times New Roman" w:hAnsi="Times New Roman" w:cs="Times New Roman"/>
          <w:color w:val="000000" w:themeColor="text1"/>
        </w:rPr>
        <w:t>Adult</w:t>
      </w:r>
      <w:proofErr w:type="gramEnd"/>
      <w:r w:rsidRPr="00B256C8">
        <w:rPr>
          <w:rFonts w:ascii="Times New Roman" w:hAnsi="Times New Roman" w:cs="Times New Roman"/>
          <w:color w:val="000000" w:themeColor="text1"/>
        </w:rPr>
        <w:t xml:space="preserve"> height, age at attained height, and incidence of breast cancer in premenopausal women. </w:t>
      </w:r>
      <w:r w:rsidRPr="00B256C8">
        <w:rPr>
          <w:rFonts w:ascii="Times New Roman" w:hAnsi="Times New Roman" w:cs="Times New Roman"/>
          <w:i/>
          <w:iCs/>
          <w:color w:val="000000" w:themeColor="text1"/>
        </w:rPr>
        <w:t>Int J Cancer</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119</w:t>
      </w:r>
      <w:r w:rsidRPr="00B256C8">
        <w:rPr>
          <w:rFonts w:ascii="Times New Roman" w:hAnsi="Times New Roman" w:cs="Times New Roman"/>
          <w:color w:val="000000" w:themeColor="text1"/>
        </w:rPr>
        <w:t>: 2231–2235 (2006</w:t>
      </w:r>
      <w:r>
        <w:rPr>
          <w:rFonts w:ascii="Times New Roman" w:hAnsi="Times New Roman" w:cs="Times New Roman"/>
          <w:color w:val="000000" w:themeColor="text1"/>
        </w:rPr>
        <w:t>).</w:t>
      </w:r>
    </w:p>
    <w:p w14:paraId="0E6C8D24"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Schwartz, G.T., Reid, D.J. &amp; Dean, C., 2001. Developmental aspects of sexual dimorphism in hominoid canines. </w:t>
      </w:r>
      <w:r w:rsidRPr="00B256C8">
        <w:rPr>
          <w:rFonts w:ascii="Times New Roman" w:hAnsi="Times New Roman" w:cs="Times New Roman"/>
          <w:i/>
          <w:iCs/>
          <w:color w:val="000000" w:themeColor="text1"/>
        </w:rPr>
        <w:t xml:space="preserve">Int. J. </w:t>
      </w:r>
      <w:proofErr w:type="spellStart"/>
      <w:r w:rsidRPr="00B256C8">
        <w:rPr>
          <w:rFonts w:ascii="Times New Roman" w:hAnsi="Times New Roman" w:cs="Times New Roman"/>
          <w:i/>
          <w:iCs/>
          <w:color w:val="000000" w:themeColor="text1"/>
        </w:rPr>
        <w:t>Primatol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22</w:t>
      </w:r>
      <w:r w:rsidRPr="00B256C8">
        <w:rPr>
          <w:rFonts w:ascii="Times New Roman" w:hAnsi="Times New Roman" w:cs="Times New Roman"/>
          <w:color w:val="000000" w:themeColor="text1"/>
        </w:rPr>
        <w:t>, 837–860.</w:t>
      </w:r>
    </w:p>
    <w:p w14:paraId="756F6196" w14:textId="77777777" w:rsidR="00C23D11" w:rsidRPr="00B256C8" w:rsidRDefault="00C23D11" w:rsidP="00C23D11">
      <w:pPr>
        <w:pStyle w:val="ListParagraph"/>
        <w:numPr>
          <w:ilvl w:val="0"/>
          <w:numId w:val="28"/>
        </w:numPr>
        <w:autoSpaceDE w:val="0"/>
        <w:autoSpaceDN w:val="0"/>
        <w:adjustRightInd w:val="0"/>
        <w:spacing w:after="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rPr>
        <w:t xml:space="preserve">Tan, S.H.X., Sim, Y.F., Hsu, C.S. Difference in striae periodicity of Heilongjiang and Singaporean Chinese Teeth. Front. Physiol. </w:t>
      </w:r>
      <w:r w:rsidRPr="00B256C8">
        <w:rPr>
          <w:rFonts w:ascii="Times New Roman" w:hAnsi="Times New Roman" w:cs="Times New Roman"/>
          <w:b/>
          <w:bCs/>
          <w:color w:val="000000" w:themeColor="text1"/>
        </w:rPr>
        <w:t>29</w:t>
      </w:r>
      <w:r w:rsidRPr="00B256C8">
        <w:rPr>
          <w:rFonts w:ascii="Times New Roman" w:hAnsi="Times New Roman" w:cs="Times New Roman"/>
          <w:color w:val="000000" w:themeColor="text1"/>
        </w:rPr>
        <w:t>, 8, 442 (2017)</w:t>
      </w:r>
      <w:r>
        <w:rPr>
          <w:rFonts w:ascii="Times New Roman" w:hAnsi="Times New Roman" w:cs="Times New Roman"/>
          <w:color w:val="000000" w:themeColor="text1"/>
        </w:rPr>
        <w:t>.</w:t>
      </w:r>
    </w:p>
    <w:p w14:paraId="4CFFAA95"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shd w:val="clear" w:color="auto" w:fill="FFFFFF"/>
        </w:rPr>
        <w:t xml:space="preserve">Must, A., Jacques, P.F., </w:t>
      </w:r>
      <w:proofErr w:type="spellStart"/>
      <w:r w:rsidRPr="00B256C8">
        <w:rPr>
          <w:rFonts w:ascii="Times New Roman" w:hAnsi="Times New Roman" w:cs="Times New Roman"/>
          <w:color w:val="000000" w:themeColor="text1"/>
          <w:shd w:val="clear" w:color="auto" w:fill="FFFFFF"/>
        </w:rPr>
        <w:t>Dallal</w:t>
      </w:r>
      <w:proofErr w:type="spellEnd"/>
      <w:r w:rsidRPr="00B256C8">
        <w:rPr>
          <w:rFonts w:ascii="Times New Roman" w:hAnsi="Times New Roman" w:cs="Times New Roman"/>
          <w:color w:val="000000" w:themeColor="text1"/>
          <w:shd w:val="clear" w:color="auto" w:fill="FFFFFF"/>
        </w:rPr>
        <w:t xml:space="preserve">, G. E., </w:t>
      </w:r>
      <w:proofErr w:type="spellStart"/>
      <w:r w:rsidRPr="00B256C8">
        <w:rPr>
          <w:rFonts w:ascii="Times New Roman" w:hAnsi="Times New Roman" w:cs="Times New Roman"/>
          <w:color w:val="000000" w:themeColor="text1"/>
          <w:shd w:val="clear" w:color="auto" w:fill="FFFFFF"/>
        </w:rPr>
        <w:t>Bajema</w:t>
      </w:r>
      <w:proofErr w:type="spellEnd"/>
      <w:r w:rsidRPr="00B256C8">
        <w:rPr>
          <w:rFonts w:ascii="Times New Roman" w:hAnsi="Times New Roman" w:cs="Times New Roman"/>
          <w:color w:val="000000" w:themeColor="text1"/>
          <w:shd w:val="clear" w:color="auto" w:fill="FFFFFF"/>
        </w:rPr>
        <w:t xml:space="preserve">, C. J. &amp; Dietz, W. H. Long-term </w:t>
      </w:r>
      <w:proofErr w:type="gramStart"/>
      <w:r w:rsidRPr="00B256C8">
        <w:rPr>
          <w:rFonts w:ascii="Times New Roman" w:hAnsi="Times New Roman" w:cs="Times New Roman"/>
          <w:color w:val="000000" w:themeColor="text1"/>
          <w:shd w:val="clear" w:color="auto" w:fill="FFFFFF"/>
        </w:rPr>
        <w:t>morbidity</w:t>
      </w:r>
      <w:proofErr w:type="gramEnd"/>
      <w:r w:rsidRPr="00B256C8">
        <w:rPr>
          <w:rFonts w:ascii="Times New Roman" w:hAnsi="Times New Roman" w:cs="Times New Roman"/>
          <w:color w:val="000000" w:themeColor="text1"/>
          <w:shd w:val="clear" w:color="auto" w:fill="FFFFFF"/>
        </w:rPr>
        <w:t xml:space="preserve"> and mortality of overweight adolescents. A follow-up of the Harvard Growth Study of 1922 to 1935. </w:t>
      </w:r>
      <w:r w:rsidRPr="00B256C8">
        <w:rPr>
          <w:rFonts w:ascii="Times New Roman" w:hAnsi="Times New Roman" w:cs="Times New Roman"/>
          <w:i/>
          <w:iCs/>
          <w:color w:val="000000" w:themeColor="text1"/>
          <w:shd w:val="clear" w:color="auto" w:fill="FFFFFF"/>
        </w:rPr>
        <w:t xml:space="preserve">N. Engl. J. Med, </w:t>
      </w:r>
      <w:r w:rsidRPr="00B256C8">
        <w:rPr>
          <w:rFonts w:ascii="Times New Roman" w:hAnsi="Times New Roman" w:cs="Times New Roman"/>
          <w:b/>
          <w:bCs/>
          <w:color w:val="000000" w:themeColor="text1"/>
          <w:shd w:val="clear" w:color="auto" w:fill="FFFFFF"/>
        </w:rPr>
        <w:t>327</w:t>
      </w:r>
      <w:r w:rsidRPr="00B256C8">
        <w:rPr>
          <w:rFonts w:ascii="Times New Roman" w:hAnsi="Times New Roman" w:cs="Times New Roman"/>
          <w:color w:val="000000" w:themeColor="text1"/>
          <w:shd w:val="clear" w:color="auto" w:fill="FFFFFF"/>
        </w:rPr>
        <w:t xml:space="preserve"> (19), 1350-5 (1992).</w:t>
      </w:r>
    </w:p>
    <w:p w14:paraId="073FEFF9"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shd w:val="clear" w:color="auto" w:fill="FFFFFF"/>
        </w:rPr>
        <w:lastRenderedPageBreak/>
        <w:t xml:space="preserve">Inge, T.H. et al. The effect of obesity in adolescence on adult health status. </w:t>
      </w:r>
      <w:proofErr w:type="spellStart"/>
      <w:r w:rsidRPr="00B256C8">
        <w:rPr>
          <w:rFonts w:ascii="Times New Roman" w:hAnsi="Times New Roman" w:cs="Times New Roman"/>
          <w:i/>
          <w:iCs/>
          <w:color w:val="000000" w:themeColor="text1"/>
          <w:shd w:val="clear" w:color="auto" w:fill="FFFFFF"/>
        </w:rPr>
        <w:t>Pediatric</w:t>
      </w:r>
      <w:proofErr w:type="spellEnd"/>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132</w:t>
      </w:r>
      <w:r w:rsidRPr="00B256C8">
        <w:rPr>
          <w:rFonts w:ascii="Times New Roman" w:hAnsi="Times New Roman" w:cs="Times New Roman"/>
          <w:color w:val="000000" w:themeColor="text1"/>
          <w:shd w:val="clear" w:color="auto" w:fill="FFFFFF"/>
        </w:rPr>
        <w:t xml:space="preserve"> (6), 1098-104. (2013).</w:t>
      </w:r>
    </w:p>
    <w:p w14:paraId="3AE5CEC4"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shd w:val="clear" w:color="auto" w:fill="FFFFFF"/>
        </w:rPr>
        <w:t xml:space="preserve">Reilly, J. J. &amp; Kelly, J. Long-term impact of overweight and obesity in childhood and adolescence on morbidity and premature mortality in adulthood: systematic review. </w:t>
      </w:r>
      <w:r w:rsidRPr="00B256C8">
        <w:rPr>
          <w:rFonts w:ascii="Times New Roman" w:hAnsi="Times New Roman" w:cs="Times New Roman"/>
          <w:i/>
          <w:iCs/>
          <w:color w:val="000000" w:themeColor="text1"/>
          <w:shd w:val="clear" w:color="auto" w:fill="FFFFFF"/>
        </w:rPr>
        <w:t xml:space="preserve">Int. J. </w:t>
      </w:r>
      <w:proofErr w:type="spellStart"/>
      <w:r w:rsidRPr="00B256C8">
        <w:rPr>
          <w:rFonts w:ascii="Times New Roman" w:hAnsi="Times New Roman" w:cs="Times New Roman"/>
          <w:i/>
          <w:iCs/>
          <w:color w:val="000000" w:themeColor="text1"/>
          <w:shd w:val="clear" w:color="auto" w:fill="FFFFFF"/>
        </w:rPr>
        <w:t>Obes</w:t>
      </w:r>
      <w:proofErr w:type="spellEnd"/>
      <w:r w:rsidRPr="00B256C8">
        <w:rPr>
          <w:rFonts w:ascii="Times New Roman" w:hAnsi="Times New Roman" w:cs="Times New Roman"/>
          <w:color w:val="000000" w:themeColor="text1"/>
          <w:shd w:val="clear" w:color="auto" w:fill="FFFFFF"/>
        </w:rPr>
        <w:t>. 35(7), 891-8 (2011).</w:t>
      </w:r>
    </w:p>
    <w:p w14:paraId="1D3A0E98" w14:textId="77777777" w:rsidR="00C23D11" w:rsidRPr="00B256C8" w:rsidRDefault="00C23D11" w:rsidP="00C23D11">
      <w:pPr>
        <w:pStyle w:val="ListParagraph"/>
        <w:numPr>
          <w:ilvl w:val="0"/>
          <w:numId w:val="28"/>
        </w:numPr>
        <w:autoSpaceDE w:val="0"/>
        <w:autoSpaceDN w:val="0"/>
        <w:adjustRightInd w:val="0"/>
        <w:spacing w:line="276" w:lineRule="auto"/>
        <w:ind w:left="644"/>
        <w:jc w:val="both"/>
        <w:rPr>
          <w:rFonts w:ascii="Times New Roman" w:hAnsi="Times New Roman" w:cs="Times New Roman"/>
          <w:color w:val="000000" w:themeColor="text1"/>
          <w:shd w:val="clear" w:color="auto" w:fill="FFFFFF"/>
        </w:rPr>
      </w:pPr>
      <w:r w:rsidRPr="00B256C8">
        <w:rPr>
          <w:rFonts w:ascii="Times New Roman" w:hAnsi="Times New Roman" w:cs="Times New Roman"/>
          <w:color w:val="000000" w:themeColor="text1"/>
          <w:shd w:val="clear" w:color="auto" w:fill="FFFFFF"/>
        </w:rPr>
        <w:t xml:space="preserve">Simmonds, M., Llewellyn, A., Owen, C.G., </w:t>
      </w:r>
      <w:proofErr w:type="spellStart"/>
      <w:r w:rsidRPr="00B256C8">
        <w:rPr>
          <w:rFonts w:ascii="Times New Roman" w:hAnsi="Times New Roman" w:cs="Times New Roman"/>
          <w:color w:val="000000" w:themeColor="text1"/>
          <w:shd w:val="clear" w:color="auto" w:fill="FFFFFF"/>
        </w:rPr>
        <w:t>Woolacott</w:t>
      </w:r>
      <w:proofErr w:type="spellEnd"/>
      <w:r w:rsidRPr="00B256C8">
        <w:rPr>
          <w:rFonts w:ascii="Times New Roman" w:hAnsi="Times New Roman" w:cs="Times New Roman"/>
          <w:color w:val="000000" w:themeColor="text1"/>
          <w:shd w:val="clear" w:color="auto" w:fill="FFFFFF"/>
        </w:rPr>
        <w:t xml:space="preserve">, N. Predicting adult obesity from childhood obesity: a systematic review and meta-analysis. </w:t>
      </w:r>
      <w:proofErr w:type="spellStart"/>
      <w:r w:rsidRPr="00B256C8">
        <w:rPr>
          <w:rFonts w:ascii="Times New Roman" w:hAnsi="Times New Roman" w:cs="Times New Roman"/>
          <w:i/>
          <w:iCs/>
          <w:color w:val="000000" w:themeColor="text1"/>
          <w:shd w:val="clear" w:color="auto" w:fill="FFFFFF"/>
        </w:rPr>
        <w:t>Obes</w:t>
      </w:r>
      <w:proofErr w:type="spellEnd"/>
      <w:r w:rsidRPr="00B256C8">
        <w:rPr>
          <w:rFonts w:ascii="Times New Roman" w:hAnsi="Times New Roman" w:cs="Times New Roman"/>
          <w:i/>
          <w:iCs/>
          <w:color w:val="000000" w:themeColor="text1"/>
          <w:shd w:val="clear" w:color="auto" w:fill="FFFFFF"/>
        </w:rPr>
        <w:t>. Rev</w:t>
      </w:r>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17</w:t>
      </w:r>
      <w:r w:rsidRPr="00B256C8">
        <w:rPr>
          <w:rFonts w:ascii="Times New Roman" w:hAnsi="Times New Roman" w:cs="Times New Roman"/>
          <w:color w:val="000000" w:themeColor="text1"/>
          <w:shd w:val="clear" w:color="auto" w:fill="FFFFFF"/>
        </w:rPr>
        <w:t>(2):95-107 (2016)</w:t>
      </w:r>
    </w:p>
    <w:p w14:paraId="574EAB71"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hAnsi="Times New Roman" w:cs="Times New Roman"/>
          <w:color w:val="000000" w:themeColor="text1"/>
        </w:rPr>
      </w:pPr>
      <w:r w:rsidRPr="00B256C8">
        <w:rPr>
          <w:rFonts w:ascii="Times New Roman" w:hAnsi="Times New Roman" w:cs="Times New Roman"/>
          <w:color w:val="000000" w:themeColor="text1"/>
          <w:kern w:val="36"/>
        </w:rPr>
        <w:t xml:space="preserve">Berkey, C.S. &amp; Colditz, G.A. Adiposity in adolescents: change in actual BMI works better than change in BMI z score for longitudinal studies. </w:t>
      </w:r>
      <w:r w:rsidRPr="00B256C8">
        <w:rPr>
          <w:rFonts w:ascii="Times New Roman" w:hAnsi="Times New Roman" w:cs="Times New Roman"/>
          <w:color w:val="000000" w:themeColor="text1"/>
        </w:rPr>
        <w:t xml:space="preserve">Ann. </w:t>
      </w:r>
      <w:proofErr w:type="spellStart"/>
      <w:r w:rsidRPr="00B256C8">
        <w:rPr>
          <w:rFonts w:ascii="Times New Roman" w:hAnsi="Times New Roman" w:cs="Times New Roman"/>
          <w:color w:val="000000" w:themeColor="text1"/>
        </w:rPr>
        <w:t>Epidemiol</w:t>
      </w:r>
      <w:proofErr w:type="spellEnd"/>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shd w:val="clear" w:color="auto" w:fill="FFFFFF"/>
        </w:rPr>
        <w:t>17</w:t>
      </w:r>
      <w:r w:rsidRPr="00B256C8">
        <w:rPr>
          <w:rFonts w:ascii="Times New Roman" w:hAnsi="Times New Roman" w:cs="Times New Roman"/>
          <w:color w:val="000000" w:themeColor="text1"/>
          <w:shd w:val="clear" w:color="auto" w:fill="FFFFFF"/>
        </w:rPr>
        <w:t xml:space="preserve"> (1), 44-50 (2007).</w:t>
      </w:r>
    </w:p>
    <w:p w14:paraId="0014002C" w14:textId="77777777" w:rsidR="00C23D11" w:rsidRPr="0003469C" w:rsidRDefault="00C23D11" w:rsidP="00C23D11">
      <w:pPr>
        <w:pStyle w:val="ListParagraph"/>
        <w:numPr>
          <w:ilvl w:val="0"/>
          <w:numId w:val="28"/>
        </w:numPr>
        <w:autoSpaceDE w:val="0"/>
        <w:autoSpaceDN w:val="0"/>
        <w:adjustRightInd w:val="0"/>
        <w:spacing w:line="276" w:lineRule="auto"/>
        <w:ind w:left="644"/>
        <w:jc w:val="both"/>
        <w:rPr>
          <w:rFonts w:ascii="Times New Roman" w:eastAsia="SimSun" w:hAnsi="Times New Roman" w:cs="Times New Roman"/>
          <w:color w:val="000000" w:themeColor="text1"/>
          <w:lang w:val="en-US" w:eastAsia="en-US"/>
        </w:rPr>
      </w:pPr>
      <w:proofErr w:type="spellStart"/>
      <w:r w:rsidRPr="00B256C8">
        <w:rPr>
          <w:rFonts w:ascii="Times New Roman" w:hAnsi="Times New Roman" w:cs="Times New Roman"/>
          <w:color w:val="000000" w:themeColor="text1"/>
        </w:rPr>
        <w:t>Sardinha</w:t>
      </w:r>
      <w:proofErr w:type="spellEnd"/>
      <w:r w:rsidRPr="00B256C8">
        <w:rPr>
          <w:rFonts w:ascii="Times New Roman" w:hAnsi="Times New Roman" w:cs="Times New Roman"/>
          <w:color w:val="000000" w:themeColor="text1"/>
        </w:rPr>
        <w:t xml:space="preserve">, L. B., Going, S. B., Teixeira, P. J. &amp; Lohman, T. G. Receiver operating characteristic analysis of body mass index, triceps skinfold thickness, and arm girth for obesity screening in children and adolescents. </w:t>
      </w:r>
      <w:r w:rsidRPr="00B256C8">
        <w:rPr>
          <w:rFonts w:ascii="Times New Roman" w:hAnsi="Times New Roman" w:cs="Times New Roman"/>
          <w:i/>
          <w:iCs/>
          <w:color w:val="000000" w:themeColor="text1"/>
        </w:rPr>
        <w:t xml:space="preserve">Am. J. Clin. </w:t>
      </w:r>
      <w:proofErr w:type="spellStart"/>
      <w:r w:rsidRPr="00B256C8">
        <w:rPr>
          <w:rFonts w:ascii="Times New Roman" w:hAnsi="Times New Roman" w:cs="Times New Roman"/>
          <w:i/>
          <w:iCs/>
          <w:color w:val="000000" w:themeColor="text1"/>
        </w:rPr>
        <w:t>Nutr</w:t>
      </w:r>
      <w:proofErr w:type="spellEnd"/>
      <w:r w:rsidRPr="00B256C8">
        <w:rPr>
          <w:rFonts w:ascii="Times New Roman" w:hAnsi="Times New Roman" w:cs="Times New Roman"/>
          <w:i/>
          <w:iCs/>
          <w:color w:val="000000" w:themeColor="text1"/>
        </w:rPr>
        <w:t>,</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70</w:t>
      </w:r>
      <w:r w:rsidRPr="00B256C8">
        <w:rPr>
          <w:rFonts w:ascii="Times New Roman" w:hAnsi="Times New Roman" w:cs="Times New Roman"/>
          <w:color w:val="000000" w:themeColor="text1"/>
        </w:rPr>
        <w:t>, 1090–1095 (1999).</w:t>
      </w:r>
    </w:p>
    <w:p w14:paraId="1A573D9A"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shd w:val="clear" w:color="auto" w:fill="FFFFFF"/>
        </w:rPr>
        <w:t xml:space="preserve">Hill, J.O. &amp; </w:t>
      </w:r>
      <w:proofErr w:type="spellStart"/>
      <w:r w:rsidRPr="00B256C8">
        <w:rPr>
          <w:rFonts w:ascii="Times New Roman" w:hAnsi="Times New Roman" w:cs="Times New Roman"/>
          <w:color w:val="000000" w:themeColor="text1"/>
          <w:shd w:val="clear" w:color="auto" w:fill="FFFFFF"/>
        </w:rPr>
        <w:t>Melanson</w:t>
      </w:r>
      <w:proofErr w:type="spellEnd"/>
      <w:r w:rsidRPr="00B256C8">
        <w:rPr>
          <w:rFonts w:ascii="Times New Roman" w:hAnsi="Times New Roman" w:cs="Times New Roman"/>
          <w:color w:val="000000" w:themeColor="text1"/>
          <w:shd w:val="clear" w:color="auto" w:fill="FFFFFF"/>
        </w:rPr>
        <w:t xml:space="preserve">, E. L. Overview of the determinants of overweight and obesity: current evidence and research issues. </w:t>
      </w:r>
      <w:r w:rsidRPr="00B256C8">
        <w:rPr>
          <w:rFonts w:ascii="Times New Roman" w:hAnsi="Times New Roman" w:cs="Times New Roman"/>
          <w:i/>
          <w:iCs/>
          <w:color w:val="000000" w:themeColor="text1"/>
          <w:shd w:val="clear" w:color="auto" w:fill="FFFFFF"/>
        </w:rPr>
        <w:t xml:space="preserve">Med. Sci. Sports. </w:t>
      </w:r>
      <w:proofErr w:type="spellStart"/>
      <w:r w:rsidRPr="00B256C8">
        <w:rPr>
          <w:rFonts w:ascii="Times New Roman" w:hAnsi="Times New Roman" w:cs="Times New Roman"/>
          <w:i/>
          <w:iCs/>
          <w:color w:val="000000" w:themeColor="text1"/>
          <w:shd w:val="clear" w:color="auto" w:fill="FFFFFF"/>
        </w:rPr>
        <w:t>Exerc</w:t>
      </w:r>
      <w:proofErr w:type="spellEnd"/>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31</w:t>
      </w:r>
      <w:r w:rsidRPr="00B256C8">
        <w:rPr>
          <w:rFonts w:ascii="Times New Roman" w:hAnsi="Times New Roman" w:cs="Times New Roman"/>
          <w:color w:val="000000" w:themeColor="text1"/>
          <w:shd w:val="clear" w:color="auto" w:fill="FFFFFF"/>
        </w:rPr>
        <w:t xml:space="preserve"> (11 </w:t>
      </w:r>
      <w:proofErr w:type="spellStart"/>
      <w:r w:rsidRPr="00B256C8">
        <w:rPr>
          <w:rFonts w:ascii="Times New Roman" w:hAnsi="Times New Roman" w:cs="Times New Roman"/>
          <w:color w:val="000000" w:themeColor="text1"/>
          <w:shd w:val="clear" w:color="auto" w:fill="FFFFFF"/>
        </w:rPr>
        <w:t>Suppl</w:t>
      </w:r>
      <w:proofErr w:type="spellEnd"/>
      <w:r w:rsidRPr="00B256C8">
        <w:rPr>
          <w:rFonts w:ascii="Times New Roman" w:hAnsi="Times New Roman" w:cs="Times New Roman"/>
          <w:color w:val="000000" w:themeColor="text1"/>
          <w:shd w:val="clear" w:color="auto" w:fill="FFFFFF"/>
        </w:rPr>
        <w:t>), 515-21 (1999).</w:t>
      </w:r>
    </w:p>
    <w:p w14:paraId="1FE2F778"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eastAsia="SimSun" w:hAnsi="Times New Roman" w:cs="Times New Roman"/>
          <w:color w:val="000000" w:themeColor="text1"/>
          <w:lang w:val="en-US" w:eastAsia="en-US"/>
        </w:rPr>
      </w:pPr>
      <w:proofErr w:type="spellStart"/>
      <w:r w:rsidRPr="00B256C8">
        <w:rPr>
          <w:rFonts w:ascii="Times New Roman" w:hAnsi="Times New Roman" w:cs="Times New Roman"/>
          <w:color w:val="000000" w:themeColor="text1"/>
        </w:rPr>
        <w:t>Choquet</w:t>
      </w:r>
      <w:proofErr w:type="spellEnd"/>
      <w:r w:rsidRPr="00B256C8">
        <w:rPr>
          <w:rFonts w:ascii="Times New Roman" w:hAnsi="Times New Roman" w:cs="Times New Roman"/>
          <w:color w:val="000000" w:themeColor="text1"/>
        </w:rPr>
        <w:t xml:space="preserve">, H. &amp; </w:t>
      </w:r>
      <w:proofErr w:type="spellStart"/>
      <w:r w:rsidRPr="00B256C8">
        <w:rPr>
          <w:rFonts w:ascii="Times New Roman" w:hAnsi="Times New Roman" w:cs="Times New Roman"/>
          <w:color w:val="000000" w:themeColor="text1"/>
        </w:rPr>
        <w:t>Meyre</w:t>
      </w:r>
      <w:proofErr w:type="spellEnd"/>
      <w:r w:rsidRPr="00B256C8">
        <w:rPr>
          <w:rFonts w:ascii="Times New Roman" w:hAnsi="Times New Roman" w:cs="Times New Roman"/>
          <w:color w:val="000000" w:themeColor="text1"/>
        </w:rPr>
        <w:t>, D. Genetics of obesity: what have we learned. </w:t>
      </w:r>
      <w:proofErr w:type="spellStart"/>
      <w:r w:rsidRPr="00B256C8">
        <w:rPr>
          <w:rStyle w:val="Emphasis"/>
          <w:rFonts w:ascii="Times New Roman" w:hAnsi="Times New Roman" w:cs="Times New Roman"/>
          <w:color w:val="000000" w:themeColor="text1"/>
        </w:rPr>
        <w:t>Curr</w:t>
      </w:r>
      <w:proofErr w:type="spellEnd"/>
      <w:r w:rsidRPr="00B256C8">
        <w:rPr>
          <w:rStyle w:val="Emphasis"/>
          <w:rFonts w:ascii="Times New Roman" w:hAnsi="Times New Roman" w:cs="Times New Roman"/>
          <w:color w:val="000000" w:themeColor="text1"/>
        </w:rPr>
        <w:t>. Genomics</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12</w:t>
      </w:r>
      <w:r w:rsidRPr="00B256C8">
        <w:rPr>
          <w:rFonts w:ascii="Times New Roman" w:hAnsi="Times New Roman" w:cs="Times New Roman"/>
          <w:color w:val="000000" w:themeColor="text1"/>
        </w:rPr>
        <w:t xml:space="preserve"> (3), 169-79 (2011).</w:t>
      </w:r>
    </w:p>
    <w:p w14:paraId="613C7267" w14:textId="77777777" w:rsidR="00C23D11" w:rsidRPr="00E37094" w:rsidRDefault="00C23D11" w:rsidP="00C23D11">
      <w:pPr>
        <w:pStyle w:val="ListParagraph"/>
        <w:numPr>
          <w:ilvl w:val="0"/>
          <w:numId w:val="28"/>
        </w:numPr>
        <w:autoSpaceDE w:val="0"/>
        <w:autoSpaceDN w:val="0"/>
        <w:adjustRightInd w:val="0"/>
        <w:spacing w:after="400"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shd w:val="clear" w:color="auto" w:fill="FFFFFF"/>
        </w:rPr>
        <w:t xml:space="preserve">Kim, </w:t>
      </w:r>
      <w:r w:rsidRPr="00E37094">
        <w:rPr>
          <w:rFonts w:ascii="Times New Roman" w:hAnsi="Times New Roman" w:cs="Times New Roman"/>
          <w:color w:val="000000" w:themeColor="text1"/>
          <w:shd w:val="clear" w:color="auto" w:fill="FFFFFF"/>
        </w:rPr>
        <w:t xml:space="preserve">J. D., Leyva, S., </w:t>
      </w:r>
      <w:proofErr w:type="spellStart"/>
      <w:r w:rsidRPr="00E37094">
        <w:rPr>
          <w:rFonts w:ascii="Times New Roman" w:hAnsi="Times New Roman" w:cs="Times New Roman"/>
          <w:color w:val="000000" w:themeColor="text1"/>
          <w:shd w:val="clear" w:color="auto" w:fill="FFFFFF"/>
        </w:rPr>
        <w:t>Diano</w:t>
      </w:r>
      <w:proofErr w:type="spellEnd"/>
      <w:r w:rsidRPr="00E37094">
        <w:rPr>
          <w:rFonts w:ascii="Times New Roman" w:hAnsi="Times New Roman" w:cs="Times New Roman"/>
          <w:color w:val="000000" w:themeColor="text1"/>
          <w:shd w:val="clear" w:color="auto" w:fill="FFFFFF"/>
        </w:rPr>
        <w:t>, S. Hormonal regulation of the hypothalamic melanocortin system. </w:t>
      </w:r>
      <w:r w:rsidRPr="00E37094">
        <w:rPr>
          <w:rFonts w:ascii="Times New Roman" w:hAnsi="Times New Roman" w:cs="Times New Roman"/>
          <w:i/>
          <w:iCs/>
          <w:color w:val="000000" w:themeColor="text1"/>
          <w:shd w:val="clear" w:color="auto" w:fill="FFFFFF"/>
        </w:rPr>
        <w:t>Front. Physiol</w:t>
      </w:r>
      <w:r w:rsidRPr="00E37094">
        <w:rPr>
          <w:rFonts w:ascii="Times New Roman" w:hAnsi="Times New Roman" w:cs="Times New Roman"/>
          <w:color w:val="000000" w:themeColor="text1"/>
          <w:shd w:val="clear" w:color="auto" w:fill="FFFFFF"/>
        </w:rPr>
        <w:t xml:space="preserve">. </w:t>
      </w:r>
      <w:r w:rsidRPr="00E37094">
        <w:rPr>
          <w:rFonts w:ascii="Times New Roman" w:hAnsi="Times New Roman" w:cs="Times New Roman"/>
          <w:b/>
          <w:bCs/>
          <w:color w:val="000000" w:themeColor="text1"/>
          <w:shd w:val="clear" w:color="auto" w:fill="FFFFFF"/>
        </w:rPr>
        <w:t>5</w:t>
      </w:r>
      <w:r w:rsidRPr="00E37094">
        <w:rPr>
          <w:rFonts w:ascii="Times New Roman" w:hAnsi="Times New Roman" w:cs="Times New Roman"/>
          <w:color w:val="000000" w:themeColor="text1"/>
          <w:shd w:val="clear" w:color="auto" w:fill="FFFFFF"/>
        </w:rPr>
        <w:t xml:space="preserve">, 480 (2014). </w:t>
      </w:r>
    </w:p>
    <w:p w14:paraId="66FDCFCD" w14:textId="77777777" w:rsidR="00C23D11" w:rsidRPr="00E37094" w:rsidRDefault="00C23D11" w:rsidP="00C23D11">
      <w:pPr>
        <w:pStyle w:val="ListParagraph"/>
        <w:numPr>
          <w:ilvl w:val="0"/>
          <w:numId w:val="28"/>
        </w:numPr>
        <w:autoSpaceDE w:val="0"/>
        <w:autoSpaceDN w:val="0"/>
        <w:adjustRightInd w:val="0"/>
        <w:spacing w:after="400" w:line="276" w:lineRule="auto"/>
        <w:ind w:left="644"/>
        <w:jc w:val="both"/>
        <w:rPr>
          <w:rFonts w:ascii="Times New Roman" w:eastAsia="SimSun" w:hAnsi="Times New Roman" w:cs="Times New Roman"/>
          <w:color w:val="000000" w:themeColor="text1"/>
          <w:lang w:val="en-US" w:eastAsia="en-US"/>
        </w:rPr>
      </w:pPr>
      <w:proofErr w:type="spellStart"/>
      <w:r w:rsidRPr="00E37094">
        <w:rPr>
          <w:rFonts w:ascii="Times New Roman" w:hAnsi="Times New Roman" w:cs="Times New Roman"/>
          <w:color w:val="000000" w:themeColor="text1"/>
        </w:rPr>
        <w:t>Krude</w:t>
      </w:r>
      <w:proofErr w:type="spellEnd"/>
      <w:r w:rsidRPr="00E37094">
        <w:rPr>
          <w:rFonts w:ascii="Times New Roman" w:hAnsi="Times New Roman" w:cs="Times New Roman"/>
          <w:color w:val="000000" w:themeColor="text1"/>
        </w:rPr>
        <w:t xml:space="preserve">, H., </w:t>
      </w:r>
      <w:proofErr w:type="spellStart"/>
      <w:r w:rsidRPr="00E37094">
        <w:rPr>
          <w:rFonts w:ascii="Times New Roman" w:hAnsi="Times New Roman" w:cs="Times New Roman"/>
          <w:color w:val="000000" w:themeColor="text1"/>
        </w:rPr>
        <w:t>Biebermann</w:t>
      </w:r>
      <w:proofErr w:type="spellEnd"/>
      <w:r w:rsidRPr="00E37094">
        <w:rPr>
          <w:rFonts w:ascii="Times New Roman" w:hAnsi="Times New Roman" w:cs="Times New Roman"/>
          <w:color w:val="000000" w:themeColor="text1"/>
        </w:rPr>
        <w:t xml:space="preserve">, H., Luck, W., Horn, R., Brabant, G., </w:t>
      </w:r>
      <w:proofErr w:type="spellStart"/>
      <w:r w:rsidRPr="00E37094">
        <w:rPr>
          <w:rFonts w:ascii="Times New Roman" w:hAnsi="Times New Roman" w:cs="Times New Roman"/>
          <w:color w:val="000000" w:themeColor="text1"/>
        </w:rPr>
        <w:t>Gruters</w:t>
      </w:r>
      <w:proofErr w:type="spellEnd"/>
      <w:r w:rsidRPr="00E37094">
        <w:rPr>
          <w:rFonts w:ascii="Times New Roman" w:hAnsi="Times New Roman" w:cs="Times New Roman"/>
          <w:color w:val="000000" w:themeColor="text1"/>
        </w:rPr>
        <w:t xml:space="preserve">, A. Severe early-onset obesity, adrenal insufficiency and red hair pigmentation caused by POMC mutations in humans. </w:t>
      </w:r>
      <w:r w:rsidRPr="00E37094">
        <w:rPr>
          <w:rFonts w:ascii="Times New Roman" w:hAnsi="Times New Roman" w:cs="Times New Roman"/>
          <w:i/>
          <w:iCs/>
          <w:color w:val="000000" w:themeColor="text1"/>
        </w:rPr>
        <w:t>Nat. Genet</w:t>
      </w:r>
      <w:r w:rsidRPr="00E37094">
        <w:rPr>
          <w:rFonts w:ascii="Times New Roman" w:hAnsi="Times New Roman" w:cs="Times New Roman"/>
          <w:color w:val="000000" w:themeColor="text1"/>
        </w:rPr>
        <w:t xml:space="preserve">. </w:t>
      </w:r>
      <w:r w:rsidRPr="00E37094">
        <w:rPr>
          <w:rFonts w:ascii="Times New Roman" w:hAnsi="Times New Roman" w:cs="Times New Roman"/>
          <w:b/>
          <w:bCs/>
          <w:color w:val="000000" w:themeColor="text1"/>
        </w:rPr>
        <w:t>19</w:t>
      </w:r>
      <w:r w:rsidRPr="00E37094">
        <w:rPr>
          <w:rFonts w:ascii="Times New Roman" w:hAnsi="Times New Roman" w:cs="Times New Roman"/>
          <w:color w:val="000000" w:themeColor="text1"/>
        </w:rPr>
        <w:t xml:space="preserve"> (2), 155-7 (1998).</w:t>
      </w:r>
    </w:p>
    <w:p w14:paraId="3219EB60" w14:textId="77777777" w:rsidR="00C23D11" w:rsidRPr="00E37094" w:rsidRDefault="00C23D11" w:rsidP="00C23D11">
      <w:pPr>
        <w:pStyle w:val="ListParagraph"/>
        <w:numPr>
          <w:ilvl w:val="0"/>
          <w:numId w:val="28"/>
        </w:numPr>
        <w:autoSpaceDE w:val="0"/>
        <w:autoSpaceDN w:val="0"/>
        <w:adjustRightInd w:val="0"/>
        <w:spacing w:after="400" w:line="276" w:lineRule="auto"/>
        <w:ind w:left="644"/>
        <w:jc w:val="both"/>
        <w:rPr>
          <w:rFonts w:ascii="Times New Roman" w:eastAsia="SimSun" w:hAnsi="Times New Roman" w:cs="Times New Roman"/>
          <w:color w:val="000000" w:themeColor="text1"/>
          <w:lang w:val="en-US" w:eastAsia="en-US"/>
        </w:rPr>
      </w:pPr>
      <w:proofErr w:type="spellStart"/>
      <w:r w:rsidRPr="00E37094">
        <w:rPr>
          <w:rFonts w:ascii="Times New Roman" w:eastAsia="SimSun" w:hAnsi="Times New Roman" w:cs="Times New Roman"/>
          <w:color w:val="000000" w:themeColor="text1"/>
          <w:lang w:eastAsia="en-US"/>
        </w:rPr>
        <w:t>Krude</w:t>
      </w:r>
      <w:proofErr w:type="spellEnd"/>
      <w:r w:rsidRPr="00E37094">
        <w:rPr>
          <w:rFonts w:ascii="Times New Roman" w:eastAsia="SimSun" w:hAnsi="Times New Roman" w:cs="Times New Roman"/>
          <w:color w:val="000000" w:themeColor="text1"/>
          <w:lang w:eastAsia="en-US"/>
        </w:rPr>
        <w:t xml:space="preserve">, H., &amp; </w:t>
      </w:r>
      <w:proofErr w:type="spellStart"/>
      <w:r w:rsidRPr="00E37094">
        <w:rPr>
          <w:rFonts w:ascii="Times New Roman" w:eastAsia="SimSun" w:hAnsi="Times New Roman" w:cs="Times New Roman"/>
          <w:color w:val="000000" w:themeColor="text1"/>
          <w:lang w:eastAsia="en-US"/>
        </w:rPr>
        <w:t>Grüters</w:t>
      </w:r>
      <w:proofErr w:type="spellEnd"/>
      <w:r w:rsidRPr="00E37094">
        <w:rPr>
          <w:rFonts w:ascii="Times New Roman" w:eastAsia="SimSun" w:hAnsi="Times New Roman" w:cs="Times New Roman"/>
          <w:color w:val="000000" w:themeColor="text1"/>
          <w:lang w:eastAsia="en-US"/>
        </w:rPr>
        <w:t xml:space="preserve">, A. Implications of proopiomelanocortin (POMC) mutations in humans: the POMC deficiency syndrome. </w:t>
      </w:r>
      <w:r w:rsidRPr="00E37094">
        <w:rPr>
          <w:rFonts w:ascii="Times New Roman" w:eastAsia="SimSun" w:hAnsi="Times New Roman" w:cs="Times New Roman"/>
          <w:i/>
          <w:iCs/>
          <w:color w:val="000000" w:themeColor="text1"/>
          <w:lang w:eastAsia="en-US"/>
        </w:rPr>
        <w:t xml:space="preserve">Trends. Endocrinol. </w:t>
      </w:r>
      <w:proofErr w:type="spellStart"/>
      <w:r w:rsidRPr="00E37094">
        <w:rPr>
          <w:rFonts w:ascii="Times New Roman" w:eastAsia="SimSun" w:hAnsi="Times New Roman" w:cs="Times New Roman"/>
          <w:i/>
          <w:iCs/>
          <w:color w:val="000000" w:themeColor="text1"/>
          <w:lang w:eastAsia="en-US"/>
        </w:rPr>
        <w:t>Metab</w:t>
      </w:r>
      <w:proofErr w:type="spellEnd"/>
      <w:r w:rsidRPr="00E37094">
        <w:rPr>
          <w:rFonts w:ascii="Times New Roman" w:eastAsia="SimSun" w:hAnsi="Times New Roman" w:cs="Times New Roman"/>
          <w:i/>
          <w:iCs/>
          <w:color w:val="000000" w:themeColor="text1"/>
          <w:lang w:eastAsia="en-US"/>
        </w:rPr>
        <w:t>,</w:t>
      </w:r>
      <w:r w:rsidRPr="00E37094">
        <w:rPr>
          <w:rFonts w:ascii="Times New Roman" w:eastAsia="SimSun" w:hAnsi="Times New Roman" w:cs="Times New Roman"/>
          <w:color w:val="000000" w:themeColor="text1"/>
          <w:lang w:eastAsia="en-US"/>
        </w:rPr>
        <w:t xml:space="preserve"> 11 (1) 15-122 (2000).</w:t>
      </w:r>
    </w:p>
    <w:p w14:paraId="27679E0A" w14:textId="77777777" w:rsidR="00C23D11" w:rsidRPr="00B256C8" w:rsidRDefault="00C23D11" w:rsidP="00C23D11">
      <w:pPr>
        <w:pStyle w:val="ListParagraph"/>
        <w:numPr>
          <w:ilvl w:val="0"/>
          <w:numId w:val="28"/>
        </w:numPr>
        <w:autoSpaceDE w:val="0"/>
        <w:autoSpaceDN w:val="0"/>
        <w:adjustRightInd w:val="0"/>
        <w:spacing w:after="400" w:line="276" w:lineRule="auto"/>
        <w:ind w:left="644"/>
        <w:jc w:val="both"/>
        <w:rPr>
          <w:rFonts w:ascii="Times New Roman" w:eastAsia="SimSun" w:hAnsi="Times New Roman" w:cs="Times New Roman"/>
          <w:color w:val="000000" w:themeColor="text1"/>
          <w:lang w:val="en-US" w:eastAsia="en-US"/>
        </w:rPr>
      </w:pPr>
      <w:r w:rsidRPr="00B256C8">
        <w:rPr>
          <w:rFonts w:ascii="Times New Roman" w:hAnsi="Times New Roman" w:cs="Times New Roman"/>
          <w:color w:val="000000" w:themeColor="text1"/>
        </w:rPr>
        <w:t xml:space="preserve">Akbari, P. et al. 2021. Sequencing of 640,000 exomes identifies GPR75 variants associated with protection from obesity. </w:t>
      </w:r>
      <w:r w:rsidRPr="00B256C8">
        <w:rPr>
          <w:rFonts w:ascii="Times New Roman" w:hAnsi="Times New Roman" w:cs="Times New Roman"/>
          <w:i/>
          <w:iCs/>
          <w:color w:val="000000" w:themeColor="text1"/>
        </w:rPr>
        <w:t xml:space="preserve">Science, </w:t>
      </w:r>
      <w:r w:rsidRPr="00B256C8">
        <w:rPr>
          <w:rFonts w:ascii="Times New Roman" w:hAnsi="Times New Roman" w:cs="Times New Roman"/>
          <w:color w:val="000000" w:themeColor="text1"/>
        </w:rPr>
        <w:t>2 (373), 73 (2021).</w:t>
      </w:r>
    </w:p>
    <w:p w14:paraId="4D26A925" w14:textId="77777777" w:rsidR="00C23D11" w:rsidRPr="00175734" w:rsidRDefault="00C23D11" w:rsidP="00C23D11">
      <w:pPr>
        <w:pStyle w:val="ListParagraph"/>
        <w:numPr>
          <w:ilvl w:val="0"/>
          <w:numId w:val="28"/>
        </w:numPr>
        <w:autoSpaceDE w:val="0"/>
        <w:autoSpaceDN w:val="0"/>
        <w:adjustRightInd w:val="0"/>
        <w:spacing w:after="400" w:line="276" w:lineRule="auto"/>
        <w:ind w:left="644"/>
        <w:jc w:val="both"/>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shd w:val="clear" w:color="auto" w:fill="FFFFFF"/>
        </w:rPr>
        <w:t>Riveros</w:t>
      </w:r>
      <w:proofErr w:type="spellEnd"/>
      <w:r w:rsidRPr="00B256C8">
        <w:rPr>
          <w:rFonts w:ascii="Times New Roman" w:hAnsi="Times New Roman" w:cs="Times New Roman"/>
          <w:color w:val="000000" w:themeColor="text1"/>
          <w:shd w:val="clear" w:color="auto" w:fill="FFFFFF"/>
        </w:rPr>
        <w:t xml:space="preserve">-McKay, F. Genetic architecture of human thinness compared to severe obesity. </w:t>
      </w:r>
      <w:proofErr w:type="spellStart"/>
      <w:r w:rsidRPr="00B256C8">
        <w:rPr>
          <w:rFonts w:ascii="Times New Roman" w:hAnsi="Times New Roman" w:cs="Times New Roman"/>
          <w:color w:val="000000" w:themeColor="text1"/>
          <w:shd w:val="clear" w:color="auto" w:fill="FFFFFF"/>
        </w:rPr>
        <w:t>PLoS</w:t>
      </w:r>
      <w:proofErr w:type="spellEnd"/>
      <w:r w:rsidRPr="00B256C8">
        <w:rPr>
          <w:rFonts w:ascii="Times New Roman" w:hAnsi="Times New Roman" w:cs="Times New Roman"/>
          <w:color w:val="000000" w:themeColor="text1"/>
          <w:shd w:val="clear" w:color="auto" w:fill="FFFFFF"/>
        </w:rPr>
        <w:t xml:space="preserve"> Genet. </w:t>
      </w:r>
      <w:r w:rsidRPr="00B256C8">
        <w:rPr>
          <w:rFonts w:ascii="Times New Roman" w:hAnsi="Times New Roman" w:cs="Times New Roman"/>
          <w:b/>
          <w:bCs/>
          <w:color w:val="000000" w:themeColor="text1"/>
          <w:shd w:val="clear" w:color="auto" w:fill="FFFFFF"/>
        </w:rPr>
        <w:t>24</w:t>
      </w:r>
      <w:r w:rsidRPr="00B256C8">
        <w:rPr>
          <w:rFonts w:ascii="Times New Roman" w:hAnsi="Times New Roman" w:cs="Times New Roman"/>
          <w:color w:val="000000" w:themeColor="text1"/>
          <w:shd w:val="clear" w:color="auto" w:fill="FFFFFF"/>
        </w:rPr>
        <w:t xml:space="preserve">, 15(1), 1007603 (2019). </w:t>
      </w:r>
    </w:p>
    <w:p w14:paraId="5F33BD2B" w14:textId="77777777" w:rsidR="00C23D11" w:rsidRPr="00B256C8" w:rsidRDefault="00C23D11" w:rsidP="00C23D11">
      <w:pPr>
        <w:pStyle w:val="ListParagraph"/>
        <w:numPr>
          <w:ilvl w:val="0"/>
          <w:numId w:val="28"/>
        </w:numPr>
        <w:autoSpaceDE w:val="0"/>
        <w:autoSpaceDN w:val="0"/>
        <w:adjustRightInd w:val="0"/>
        <w:spacing w:after="0" w:line="276" w:lineRule="auto"/>
        <w:ind w:left="644" w:right="-201"/>
        <w:jc w:val="both"/>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rPr>
        <w:t>Siervogel</w:t>
      </w:r>
      <w:proofErr w:type="spellEnd"/>
      <w:r w:rsidRPr="00B256C8">
        <w:rPr>
          <w:rFonts w:ascii="Times New Roman" w:hAnsi="Times New Roman" w:cs="Times New Roman"/>
          <w:color w:val="000000" w:themeColor="text1"/>
        </w:rPr>
        <w:t xml:space="preserve">, R. M. et al.  Puberty and Body Composition. </w:t>
      </w:r>
      <w:proofErr w:type="spellStart"/>
      <w:r w:rsidRPr="00B256C8">
        <w:rPr>
          <w:rFonts w:ascii="Times New Roman" w:hAnsi="Times New Roman" w:cs="Times New Roman"/>
          <w:i/>
          <w:iCs/>
          <w:color w:val="000000" w:themeColor="text1"/>
        </w:rPr>
        <w:t>Horm</w:t>
      </w:r>
      <w:proofErr w:type="spellEnd"/>
      <w:r w:rsidRPr="00B256C8">
        <w:rPr>
          <w:rFonts w:ascii="Times New Roman" w:hAnsi="Times New Roman" w:cs="Times New Roman"/>
          <w:i/>
          <w:iCs/>
          <w:color w:val="000000" w:themeColor="text1"/>
        </w:rPr>
        <w:t xml:space="preserve"> Res</w:t>
      </w:r>
      <w:r w:rsidRPr="00B256C8">
        <w:rPr>
          <w:rFonts w:ascii="Times New Roman" w:hAnsi="Times New Roman" w:cs="Times New Roman"/>
          <w:color w:val="000000" w:themeColor="text1"/>
        </w:rPr>
        <w:t xml:space="preserve"> </w:t>
      </w:r>
      <w:r w:rsidRPr="00B256C8">
        <w:rPr>
          <w:rFonts w:ascii="Times New Roman" w:hAnsi="Times New Roman" w:cs="Times New Roman"/>
          <w:b/>
          <w:bCs/>
          <w:color w:val="000000" w:themeColor="text1"/>
        </w:rPr>
        <w:t xml:space="preserve">60 </w:t>
      </w:r>
      <w:r w:rsidRPr="00B256C8">
        <w:rPr>
          <w:rFonts w:ascii="Times New Roman" w:hAnsi="Times New Roman" w:cs="Times New Roman"/>
          <w:color w:val="000000" w:themeColor="text1"/>
        </w:rPr>
        <w:t>(</w:t>
      </w:r>
      <w:proofErr w:type="spellStart"/>
      <w:r w:rsidRPr="00B256C8">
        <w:rPr>
          <w:rFonts w:ascii="Times New Roman" w:hAnsi="Times New Roman" w:cs="Times New Roman"/>
          <w:color w:val="000000" w:themeColor="text1"/>
        </w:rPr>
        <w:t>suppl</w:t>
      </w:r>
      <w:proofErr w:type="spellEnd"/>
      <w:r w:rsidRPr="00B256C8">
        <w:rPr>
          <w:rFonts w:ascii="Times New Roman" w:hAnsi="Times New Roman" w:cs="Times New Roman"/>
          <w:color w:val="000000" w:themeColor="text1"/>
        </w:rPr>
        <w:t xml:space="preserve"> 1), 36–45 (2003).</w:t>
      </w:r>
    </w:p>
    <w:p w14:paraId="5EECF475" w14:textId="77777777" w:rsidR="00C23D11" w:rsidRPr="00B256C8" w:rsidRDefault="00C23D11" w:rsidP="00C23D11">
      <w:pPr>
        <w:pStyle w:val="ListParagraph"/>
        <w:numPr>
          <w:ilvl w:val="0"/>
          <w:numId w:val="28"/>
        </w:numPr>
        <w:autoSpaceDE w:val="0"/>
        <w:autoSpaceDN w:val="0"/>
        <w:adjustRightInd w:val="0"/>
        <w:spacing w:line="276" w:lineRule="auto"/>
        <w:ind w:left="644" w:right="-201"/>
        <w:rPr>
          <w:rFonts w:ascii="Times New Roman" w:hAnsi="Times New Roman" w:cs="Times New Roman"/>
          <w:color w:val="000000" w:themeColor="text1"/>
          <w:lang w:val="en-US"/>
        </w:rPr>
      </w:pPr>
      <w:r w:rsidRPr="00B256C8">
        <w:rPr>
          <w:rFonts w:ascii="Times New Roman" w:hAnsi="Times New Roman" w:cs="Times New Roman"/>
          <w:color w:val="000000" w:themeColor="text1"/>
          <w:lang w:val="en-US"/>
        </w:rPr>
        <w:t xml:space="preserve">Davis, K. et al. Teeth as Potential New Tools to Measure Early-Life Adversity and Subsequent Mental Health Risk: An Interdisciplinary Review and Conceptual Model. </w:t>
      </w:r>
      <w:proofErr w:type="spellStart"/>
      <w:r w:rsidRPr="00B256C8">
        <w:rPr>
          <w:rFonts w:ascii="Times New Roman" w:hAnsi="Times New Roman" w:cs="Times New Roman"/>
          <w:i/>
          <w:iCs/>
          <w:color w:val="000000" w:themeColor="text1"/>
          <w:lang w:val="en-US"/>
        </w:rPr>
        <w:t>Biolog</w:t>
      </w:r>
      <w:proofErr w:type="spellEnd"/>
      <w:r w:rsidRPr="00B256C8">
        <w:rPr>
          <w:rFonts w:ascii="Times New Roman" w:hAnsi="Times New Roman" w:cs="Times New Roman"/>
          <w:i/>
          <w:iCs/>
          <w:color w:val="000000" w:themeColor="text1"/>
          <w:lang w:val="en-US"/>
        </w:rPr>
        <w:t>. Psych</w:t>
      </w:r>
      <w:r w:rsidRPr="00B256C8">
        <w:rPr>
          <w:rFonts w:ascii="Times New Roman" w:hAnsi="Times New Roman" w:cs="Times New Roman"/>
          <w:color w:val="000000" w:themeColor="text1"/>
          <w:lang w:val="en-US"/>
        </w:rPr>
        <w:t xml:space="preserve"> </w:t>
      </w:r>
      <w:r w:rsidRPr="00B256C8">
        <w:rPr>
          <w:rFonts w:ascii="Times New Roman" w:hAnsi="Times New Roman" w:cs="Times New Roman"/>
          <w:b/>
          <w:bCs/>
          <w:color w:val="000000" w:themeColor="text1"/>
          <w:lang w:val="en-US"/>
        </w:rPr>
        <w:t>87</w:t>
      </w:r>
      <w:r w:rsidRPr="00B256C8">
        <w:rPr>
          <w:rFonts w:ascii="Times New Roman" w:hAnsi="Times New Roman" w:cs="Times New Roman"/>
          <w:color w:val="000000" w:themeColor="text1"/>
          <w:lang w:val="en-US"/>
        </w:rPr>
        <w:t>, 502-513 (2020).</w:t>
      </w:r>
    </w:p>
    <w:p w14:paraId="436B248A" w14:textId="77777777" w:rsidR="00C23D11" w:rsidRPr="00B256C8" w:rsidRDefault="00C23D11" w:rsidP="00C23D11">
      <w:pPr>
        <w:pStyle w:val="ListParagraph"/>
        <w:numPr>
          <w:ilvl w:val="0"/>
          <w:numId w:val="28"/>
        </w:numPr>
        <w:autoSpaceDE w:val="0"/>
        <w:autoSpaceDN w:val="0"/>
        <w:adjustRightInd w:val="0"/>
        <w:spacing w:line="276" w:lineRule="auto"/>
        <w:ind w:left="644" w:right="-201"/>
        <w:rPr>
          <w:rFonts w:ascii="Times New Roman" w:hAnsi="Times New Roman" w:cs="Times New Roman"/>
          <w:color w:val="000000" w:themeColor="text1"/>
        </w:rPr>
      </w:pPr>
      <w:proofErr w:type="spellStart"/>
      <w:r w:rsidRPr="00B256C8">
        <w:rPr>
          <w:rFonts w:ascii="Times New Roman" w:hAnsi="Times New Roman" w:cs="Times New Roman"/>
          <w:color w:val="000000" w:themeColor="text1"/>
        </w:rPr>
        <w:t>Dunger</w:t>
      </w:r>
      <w:proofErr w:type="spellEnd"/>
      <w:r w:rsidRPr="00B256C8">
        <w:rPr>
          <w:rFonts w:ascii="Times New Roman" w:hAnsi="Times New Roman" w:cs="Times New Roman"/>
          <w:color w:val="000000" w:themeColor="text1"/>
        </w:rPr>
        <w:t xml:space="preserve"> DB, Ahmed ML, Ong KK. Early and late weight gain and the timing of puberty. Mol Cell Endocrinol. 2006 Jul 25;254-255:140-5. </w:t>
      </w:r>
    </w:p>
    <w:p w14:paraId="00659B87" w14:textId="77777777" w:rsidR="00C23D11" w:rsidRPr="00B256C8" w:rsidRDefault="00C23D11" w:rsidP="00C23D11">
      <w:pPr>
        <w:pStyle w:val="ListParagraph"/>
        <w:numPr>
          <w:ilvl w:val="0"/>
          <w:numId w:val="28"/>
        </w:numPr>
        <w:autoSpaceDE w:val="0"/>
        <w:autoSpaceDN w:val="0"/>
        <w:adjustRightInd w:val="0"/>
        <w:spacing w:line="276" w:lineRule="auto"/>
        <w:ind w:left="644" w:right="-201"/>
        <w:rPr>
          <w:rFonts w:ascii="Times New Roman" w:hAnsi="Times New Roman" w:cs="Times New Roman"/>
          <w:color w:val="000000" w:themeColor="text1"/>
          <w:lang w:val="en-US"/>
        </w:rPr>
      </w:pPr>
      <w:r w:rsidRPr="00B256C8">
        <w:rPr>
          <w:rFonts w:ascii="Times New Roman" w:hAnsi="Times New Roman" w:cs="Times New Roman"/>
          <w:color w:val="000000" w:themeColor="text1"/>
          <w:shd w:val="clear" w:color="auto" w:fill="FFFFFF"/>
        </w:rPr>
        <w:t>Zheng, M., Lamb, K.E., Grimes, C., et al. Rapid weight gain during infancy and subsequent adiposity: a systematic review and meta-analysis of evidence. </w:t>
      </w:r>
      <w:proofErr w:type="spellStart"/>
      <w:r w:rsidRPr="00B256C8">
        <w:rPr>
          <w:rFonts w:ascii="Times New Roman" w:hAnsi="Times New Roman" w:cs="Times New Roman"/>
          <w:i/>
          <w:iCs/>
          <w:color w:val="000000" w:themeColor="text1"/>
          <w:shd w:val="clear" w:color="auto" w:fill="FFFFFF"/>
        </w:rPr>
        <w:t>Obes</w:t>
      </w:r>
      <w:proofErr w:type="spellEnd"/>
      <w:r w:rsidRPr="00B256C8">
        <w:rPr>
          <w:rFonts w:ascii="Times New Roman" w:hAnsi="Times New Roman" w:cs="Times New Roman"/>
          <w:i/>
          <w:iCs/>
          <w:color w:val="000000" w:themeColor="text1"/>
          <w:shd w:val="clear" w:color="auto" w:fill="FFFFFF"/>
        </w:rPr>
        <w:t>. Rev</w:t>
      </w:r>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 xml:space="preserve">19 </w:t>
      </w:r>
      <w:r w:rsidRPr="00B256C8">
        <w:rPr>
          <w:rFonts w:ascii="Times New Roman" w:hAnsi="Times New Roman" w:cs="Times New Roman"/>
          <w:color w:val="000000" w:themeColor="text1"/>
          <w:shd w:val="clear" w:color="auto" w:fill="FFFFFF"/>
        </w:rPr>
        <w:t>(3): 321-332 (2018).</w:t>
      </w:r>
    </w:p>
    <w:p w14:paraId="550C31E7" w14:textId="77777777" w:rsidR="00C23D11" w:rsidRPr="00B256C8" w:rsidRDefault="00C23D11" w:rsidP="00C23D11">
      <w:pPr>
        <w:pStyle w:val="ListParagraph"/>
        <w:numPr>
          <w:ilvl w:val="0"/>
          <w:numId w:val="28"/>
        </w:numPr>
        <w:autoSpaceDE w:val="0"/>
        <w:autoSpaceDN w:val="0"/>
        <w:adjustRightInd w:val="0"/>
        <w:spacing w:line="276" w:lineRule="auto"/>
        <w:ind w:left="644" w:right="-201"/>
        <w:rPr>
          <w:rFonts w:ascii="Times New Roman" w:hAnsi="Times New Roman" w:cs="Times New Roman"/>
          <w:color w:val="000000" w:themeColor="text1"/>
          <w:lang w:val="en-US"/>
        </w:rPr>
      </w:pPr>
      <w:r w:rsidRPr="00B256C8">
        <w:rPr>
          <w:rFonts w:ascii="Times New Roman" w:hAnsi="Times New Roman" w:cs="Times New Roman"/>
          <w:color w:val="000000" w:themeColor="text1"/>
          <w:shd w:val="clear" w:color="auto" w:fill="FFFFFF"/>
        </w:rPr>
        <w:t xml:space="preserve">Eriksson, J., </w:t>
      </w:r>
      <w:proofErr w:type="spellStart"/>
      <w:r w:rsidRPr="00B256C8">
        <w:rPr>
          <w:rFonts w:ascii="Times New Roman" w:hAnsi="Times New Roman" w:cs="Times New Roman"/>
          <w:color w:val="000000" w:themeColor="text1"/>
          <w:shd w:val="clear" w:color="auto" w:fill="FFFFFF"/>
        </w:rPr>
        <w:t>Forsén</w:t>
      </w:r>
      <w:proofErr w:type="spellEnd"/>
      <w:r w:rsidRPr="00B256C8">
        <w:rPr>
          <w:rFonts w:ascii="Times New Roman" w:hAnsi="Times New Roman" w:cs="Times New Roman"/>
          <w:color w:val="000000" w:themeColor="text1"/>
          <w:shd w:val="clear" w:color="auto" w:fill="FFFFFF"/>
        </w:rPr>
        <w:t>, T., Osmond, C. </w:t>
      </w:r>
      <w:r w:rsidRPr="00B256C8">
        <w:rPr>
          <w:rFonts w:ascii="Times New Roman" w:hAnsi="Times New Roman" w:cs="Times New Roman"/>
          <w:i/>
          <w:iCs/>
          <w:color w:val="000000" w:themeColor="text1"/>
          <w:shd w:val="clear" w:color="auto" w:fill="FFFFFF"/>
        </w:rPr>
        <w:t>et al.</w:t>
      </w:r>
      <w:r w:rsidRPr="00B256C8">
        <w:rPr>
          <w:rFonts w:ascii="Times New Roman" w:hAnsi="Times New Roman" w:cs="Times New Roman"/>
          <w:color w:val="000000" w:themeColor="text1"/>
          <w:shd w:val="clear" w:color="auto" w:fill="FFFFFF"/>
        </w:rPr>
        <w:t> Obesity from cradle to grave. </w:t>
      </w:r>
      <w:r w:rsidRPr="00B256C8">
        <w:rPr>
          <w:rFonts w:ascii="Times New Roman" w:hAnsi="Times New Roman" w:cs="Times New Roman"/>
          <w:i/>
          <w:iCs/>
          <w:color w:val="000000" w:themeColor="text1"/>
          <w:shd w:val="clear" w:color="auto" w:fill="FFFFFF"/>
        </w:rPr>
        <w:t xml:space="preserve">Int J </w:t>
      </w:r>
      <w:proofErr w:type="spellStart"/>
      <w:r w:rsidRPr="00B256C8">
        <w:rPr>
          <w:rFonts w:ascii="Times New Roman" w:hAnsi="Times New Roman" w:cs="Times New Roman"/>
          <w:i/>
          <w:iCs/>
          <w:color w:val="000000" w:themeColor="text1"/>
          <w:shd w:val="clear" w:color="auto" w:fill="FFFFFF"/>
        </w:rPr>
        <w:t>Obes</w:t>
      </w:r>
      <w:proofErr w:type="spellEnd"/>
      <w:r w:rsidRPr="00B256C8">
        <w:rPr>
          <w:rFonts w:ascii="Times New Roman" w:hAnsi="Times New Roman" w:cs="Times New Roman"/>
          <w:color w:val="000000" w:themeColor="text1"/>
          <w:shd w:val="clear" w:color="auto" w:fill="FFFFFF"/>
        </w:rPr>
        <w:t> </w:t>
      </w:r>
      <w:r w:rsidRPr="00B256C8">
        <w:rPr>
          <w:rFonts w:ascii="Times New Roman" w:hAnsi="Times New Roman" w:cs="Times New Roman"/>
          <w:b/>
          <w:bCs/>
          <w:color w:val="000000" w:themeColor="text1"/>
          <w:shd w:val="clear" w:color="auto" w:fill="FFFFFF"/>
        </w:rPr>
        <w:t>27, </w:t>
      </w:r>
      <w:r w:rsidRPr="00B256C8">
        <w:rPr>
          <w:rFonts w:ascii="Times New Roman" w:hAnsi="Times New Roman" w:cs="Times New Roman"/>
          <w:color w:val="000000" w:themeColor="text1"/>
          <w:shd w:val="clear" w:color="auto" w:fill="FFFFFF"/>
        </w:rPr>
        <w:t>722–727 (2003).</w:t>
      </w:r>
    </w:p>
    <w:p w14:paraId="4FE35D09" w14:textId="77777777" w:rsidR="00C23D11" w:rsidRPr="00B256C8" w:rsidRDefault="00C23D11" w:rsidP="00C23D11">
      <w:pPr>
        <w:pStyle w:val="ListParagraph"/>
        <w:numPr>
          <w:ilvl w:val="0"/>
          <w:numId w:val="28"/>
        </w:numPr>
        <w:autoSpaceDE w:val="0"/>
        <w:autoSpaceDN w:val="0"/>
        <w:adjustRightInd w:val="0"/>
        <w:spacing w:line="276" w:lineRule="auto"/>
        <w:ind w:left="644" w:right="-201"/>
        <w:rPr>
          <w:rFonts w:ascii="Times New Roman" w:hAnsi="Times New Roman" w:cs="Times New Roman"/>
          <w:color w:val="000000" w:themeColor="text1"/>
          <w:lang w:val="en-US"/>
        </w:rPr>
      </w:pPr>
      <w:r w:rsidRPr="00B256C8">
        <w:rPr>
          <w:rFonts w:ascii="Times New Roman" w:hAnsi="Times New Roman" w:cs="Times New Roman"/>
          <w:color w:val="000000" w:themeColor="text1"/>
          <w:shd w:val="clear" w:color="auto" w:fill="FFFFFF"/>
        </w:rPr>
        <w:t xml:space="preserve">Baird, J., Fisher, D., Lucas, P., </w:t>
      </w:r>
      <w:proofErr w:type="spellStart"/>
      <w:r w:rsidRPr="00B256C8">
        <w:rPr>
          <w:rFonts w:ascii="Times New Roman" w:hAnsi="Times New Roman" w:cs="Times New Roman"/>
          <w:color w:val="000000" w:themeColor="text1"/>
          <w:shd w:val="clear" w:color="auto" w:fill="FFFFFF"/>
        </w:rPr>
        <w:t>Kleijnen</w:t>
      </w:r>
      <w:proofErr w:type="spellEnd"/>
      <w:r w:rsidRPr="00B256C8">
        <w:rPr>
          <w:rFonts w:ascii="Times New Roman" w:hAnsi="Times New Roman" w:cs="Times New Roman"/>
          <w:color w:val="000000" w:themeColor="text1"/>
          <w:shd w:val="clear" w:color="auto" w:fill="FFFFFF"/>
        </w:rPr>
        <w:t xml:space="preserve">, J., Roberts, H., Law, C. Being big or growing fast: systematic review of size and growth in infancy and later obesity. </w:t>
      </w:r>
      <w:r w:rsidRPr="00B256C8">
        <w:rPr>
          <w:rFonts w:ascii="Times New Roman" w:hAnsi="Times New Roman" w:cs="Times New Roman"/>
          <w:i/>
          <w:iCs/>
          <w:color w:val="000000" w:themeColor="text1"/>
          <w:shd w:val="clear" w:color="auto" w:fill="FFFFFF"/>
        </w:rPr>
        <w:t>Brit Med J</w:t>
      </w:r>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331</w:t>
      </w:r>
      <w:r w:rsidRPr="00B256C8">
        <w:rPr>
          <w:rFonts w:ascii="Times New Roman" w:hAnsi="Times New Roman" w:cs="Times New Roman"/>
          <w:color w:val="000000" w:themeColor="text1"/>
          <w:shd w:val="clear" w:color="auto" w:fill="FFFFFF"/>
        </w:rPr>
        <w:t>(7522): 929-10 (2005)</w:t>
      </w:r>
    </w:p>
    <w:p w14:paraId="6074FCA2" w14:textId="77777777" w:rsidR="00C23D11" w:rsidRPr="00B256C8" w:rsidRDefault="00C23D11" w:rsidP="00C23D11">
      <w:pPr>
        <w:pStyle w:val="ListParagraph"/>
        <w:numPr>
          <w:ilvl w:val="0"/>
          <w:numId w:val="28"/>
        </w:numPr>
        <w:autoSpaceDE w:val="0"/>
        <w:autoSpaceDN w:val="0"/>
        <w:adjustRightInd w:val="0"/>
        <w:spacing w:line="276" w:lineRule="auto"/>
        <w:ind w:left="644" w:right="-201"/>
        <w:rPr>
          <w:rFonts w:ascii="Times New Roman" w:hAnsi="Times New Roman" w:cs="Times New Roman"/>
          <w:color w:val="000000" w:themeColor="text1"/>
          <w:lang w:val="en-US"/>
        </w:rPr>
      </w:pPr>
      <w:r w:rsidRPr="00B256C8">
        <w:rPr>
          <w:rFonts w:ascii="Times New Roman" w:hAnsi="Times New Roman" w:cs="Times New Roman"/>
          <w:color w:val="000000" w:themeColor="text1"/>
          <w:shd w:val="clear" w:color="auto" w:fill="FFFFFF"/>
        </w:rPr>
        <w:t xml:space="preserve">Monteiro, P.O., </w:t>
      </w:r>
      <w:proofErr w:type="spellStart"/>
      <w:r w:rsidRPr="00B256C8">
        <w:rPr>
          <w:rFonts w:ascii="Times New Roman" w:hAnsi="Times New Roman" w:cs="Times New Roman"/>
          <w:color w:val="000000" w:themeColor="text1"/>
          <w:shd w:val="clear" w:color="auto" w:fill="FFFFFF"/>
        </w:rPr>
        <w:t>Victora</w:t>
      </w:r>
      <w:proofErr w:type="spellEnd"/>
      <w:r w:rsidRPr="00B256C8">
        <w:rPr>
          <w:rFonts w:ascii="Times New Roman" w:hAnsi="Times New Roman" w:cs="Times New Roman"/>
          <w:color w:val="000000" w:themeColor="text1"/>
          <w:shd w:val="clear" w:color="auto" w:fill="FFFFFF"/>
        </w:rPr>
        <w:t xml:space="preserve">, C.G. Rapid growth in infancy and childhood and obesity in later life--a systematic review. </w:t>
      </w:r>
      <w:proofErr w:type="spellStart"/>
      <w:r w:rsidRPr="00B256C8">
        <w:rPr>
          <w:rFonts w:ascii="Times New Roman" w:hAnsi="Times New Roman" w:cs="Times New Roman"/>
          <w:i/>
          <w:iCs/>
          <w:color w:val="000000" w:themeColor="text1"/>
          <w:shd w:val="clear" w:color="auto" w:fill="FFFFFF"/>
        </w:rPr>
        <w:t>Obes</w:t>
      </w:r>
      <w:proofErr w:type="spellEnd"/>
      <w:r w:rsidRPr="00B256C8">
        <w:rPr>
          <w:rFonts w:ascii="Times New Roman" w:hAnsi="Times New Roman" w:cs="Times New Roman"/>
          <w:i/>
          <w:iCs/>
          <w:color w:val="000000" w:themeColor="text1"/>
          <w:shd w:val="clear" w:color="auto" w:fill="FFFFFF"/>
        </w:rPr>
        <w:t xml:space="preserve"> Rev</w:t>
      </w:r>
      <w:r w:rsidRPr="00B256C8">
        <w:rPr>
          <w:rFonts w:ascii="Times New Roman" w:hAnsi="Times New Roman" w:cs="Times New Roman"/>
          <w:color w:val="000000" w:themeColor="text1"/>
          <w:shd w:val="clear" w:color="auto" w:fill="FFFFFF"/>
        </w:rPr>
        <w:t xml:space="preserve"> </w:t>
      </w:r>
      <w:r w:rsidRPr="00B256C8">
        <w:rPr>
          <w:rFonts w:ascii="Times New Roman" w:hAnsi="Times New Roman" w:cs="Times New Roman"/>
          <w:b/>
          <w:bCs/>
          <w:color w:val="000000" w:themeColor="text1"/>
          <w:shd w:val="clear" w:color="auto" w:fill="FFFFFF"/>
        </w:rPr>
        <w:t>6</w:t>
      </w:r>
      <w:r w:rsidRPr="00B256C8">
        <w:rPr>
          <w:rFonts w:ascii="Times New Roman" w:hAnsi="Times New Roman" w:cs="Times New Roman"/>
          <w:color w:val="000000" w:themeColor="text1"/>
          <w:shd w:val="clear" w:color="auto" w:fill="FFFFFF"/>
        </w:rPr>
        <w:t xml:space="preserve"> (2): 143-154 (2005). </w:t>
      </w:r>
    </w:p>
    <w:p w14:paraId="3A336890" w14:textId="750D22A3" w:rsidR="00B843BF" w:rsidRPr="00C23D11" w:rsidRDefault="00B843BF" w:rsidP="00C23D11">
      <w:pPr>
        <w:autoSpaceDE w:val="0"/>
        <w:autoSpaceDN w:val="0"/>
        <w:adjustRightInd w:val="0"/>
        <w:spacing w:line="276" w:lineRule="auto"/>
        <w:jc w:val="both"/>
        <w:rPr>
          <w:rFonts w:eastAsia="SimSun"/>
          <w:strike/>
          <w:color w:val="000000" w:themeColor="text1"/>
          <w:lang w:val="en-US" w:eastAsia="en-US"/>
        </w:rPr>
      </w:pPr>
    </w:p>
    <w:p w14:paraId="13F6AC99" w14:textId="6DD29BE0" w:rsidR="00B843BF" w:rsidRDefault="00B843BF"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43B2D989" w14:textId="2AEA5444" w:rsidR="00B843BF" w:rsidRDefault="00B843BF"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7AAF89E5" w14:textId="4C5AC40A" w:rsidR="001774D3" w:rsidRDefault="001774D3"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511F8095" w14:textId="1E2F346F" w:rsidR="001774D3" w:rsidRDefault="001774D3"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13FB591F" w14:textId="688FE932" w:rsidR="001774D3" w:rsidRDefault="001774D3"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73F20518" w14:textId="4F95AE9D" w:rsidR="001774D3" w:rsidRDefault="001774D3"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3C58AD81" w14:textId="7AD948EA" w:rsidR="001774D3" w:rsidRDefault="001774D3"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7CCF2B6C" w14:textId="1966A001" w:rsidR="001774D3" w:rsidRDefault="001774D3"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1114F353" w14:textId="1A50ABB9" w:rsidR="004B7927" w:rsidRDefault="004B7927"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23D89A98" w14:textId="301673EC" w:rsidR="004B7927" w:rsidRDefault="004B7927"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6869DFDA" w14:textId="77777777" w:rsidR="004B7927" w:rsidRDefault="004B7927" w:rsidP="00680DE3">
      <w:pPr>
        <w:pStyle w:val="ListParagraph"/>
        <w:autoSpaceDE w:val="0"/>
        <w:autoSpaceDN w:val="0"/>
        <w:adjustRightInd w:val="0"/>
        <w:spacing w:line="276" w:lineRule="auto"/>
        <w:jc w:val="both"/>
        <w:rPr>
          <w:rFonts w:ascii="Times New Roman" w:eastAsia="SimSun" w:hAnsi="Times New Roman" w:cs="Times New Roman"/>
          <w:strike/>
          <w:color w:val="000000" w:themeColor="text1"/>
          <w:lang w:val="en-US" w:eastAsia="en-US"/>
        </w:rPr>
      </w:pPr>
    </w:p>
    <w:p w14:paraId="7CBD4252" w14:textId="2FA1E126" w:rsidR="00091421" w:rsidRPr="00091421" w:rsidRDefault="00091421" w:rsidP="00091421">
      <w:pPr>
        <w:spacing w:after="160" w:line="276" w:lineRule="auto"/>
        <w:rPr>
          <w:rFonts w:eastAsiaTheme="minorEastAsia"/>
          <w:b/>
          <w:bCs/>
          <w:sz w:val="28"/>
          <w:szCs w:val="28"/>
          <w:lang w:eastAsia="zh-CN"/>
        </w:rPr>
      </w:pPr>
      <w:r w:rsidRPr="00091421">
        <w:rPr>
          <w:rFonts w:eastAsiaTheme="minorEastAsia"/>
          <w:b/>
          <w:bCs/>
          <w:sz w:val="28"/>
          <w:szCs w:val="28"/>
          <w:lang w:eastAsia="zh-CN"/>
        </w:rPr>
        <w:lastRenderedPageBreak/>
        <w:t>FIGURE LEGENDS</w:t>
      </w:r>
    </w:p>
    <w:p w14:paraId="02DC5833" w14:textId="7254AFB9" w:rsidR="00091421" w:rsidRPr="0071030A" w:rsidRDefault="00091421" w:rsidP="00091421">
      <w:pPr>
        <w:spacing w:after="160" w:line="276" w:lineRule="auto"/>
        <w:rPr>
          <w:color w:val="000000" w:themeColor="text1"/>
          <w:sz w:val="18"/>
          <w:szCs w:val="18"/>
        </w:rPr>
      </w:pPr>
      <w:r w:rsidRPr="00212985">
        <w:rPr>
          <w:rFonts w:eastAsiaTheme="minorEastAsia"/>
          <w:b/>
          <w:bCs/>
          <w:lang w:eastAsia="zh-CN"/>
        </w:rPr>
        <w:t xml:space="preserve">Fig. 1: Calculating </w:t>
      </w:r>
      <w:r>
        <w:rPr>
          <w:rFonts w:eastAsiaTheme="minorEastAsia"/>
          <w:b/>
          <w:bCs/>
          <w:lang w:eastAsia="zh-CN"/>
        </w:rPr>
        <w:t>RP-</w:t>
      </w:r>
      <w:r w:rsidRPr="00212985">
        <w:rPr>
          <w:rFonts w:eastAsiaTheme="minorEastAsia"/>
          <w:b/>
          <w:bCs/>
          <w:lang w:eastAsia="zh-CN"/>
        </w:rPr>
        <w:t>biorhythm in human primary molars</w:t>
      </w:r>
      <w:r w:rsidRPr="00212985">
        <w:rPr>
          <w:rFonts w:eastAsiaTheme="minorEastAsia"/>
          <w:lang w:eastAsia="zh-CN"/>
        </w:rPr>
        <w:t xml:space="preserve">. </w:t>
      </w:r>
    </w:p>
    <w:p w14:paraId="5A3058D8" w14:textId="3D19C959" w:rsidR="00091421" w:rsidRPr="00BB55DA" w:rsidRDefault="00091421" w:rsidP="00362C68">
      <w:pPr>
        <w:pStyle w:val="CommentText"/>
        <w:spacing w:line="276" w:lineRule="auto"/>
        <w:jc w:val="both"/>
        <w:rPr>
          <w:sz w:val="22"/>
          <w:szCs w:val="22"/>
        </w:rPr>
      </w:pPr>
      <w:r w:rsidRPr="00546BCC">
        <w:rPr>
          <w:rFonts w:eastAsiaTheme="minorEastAsia"/>
          <w:b/>
          <w:bCs/>
          <w:sz w:val="22"/>
          <w:szCs w:val="22"/>
          <w:lang w:eastAsia="zh-CN"/>
        </w:rPr>
        <w:t xml:space="preserve">a </w:t>
      </w:r>
      <w:r w:rsidRPr="00546BCC">
        <w:rPr>
          <w:rFonts w:eastAsiaTheme="minorEastAsia"/>
          <w:sz w:val="22"/>
          <w:szCs w:val="22"/>
          <w:lang w:eastAsia="zh-CN"/>
        </w:rPr>
        <w:t xml:space="preserve">Sectioned </w:t>
      </w:r>
      <w:r>
        <w:rPr>
          <w:rFonts w:eastAsiaTheme="minorEastAsia"/>
          <w:sz w:val="22"/>
          <w:szCs w:val="22"/>
          <w:lang w:eastAsia="zh-CN"/>
        </w:rPr>
        <w:t>primary (deciduous</w:t>
      </w:r>
      <w:r w:rsidR="00380E77">
        <w:rPr>
          <w:rFonts w:eastAsiaTheme="minorEastAsia"/>
          <w:sz w:val="22"/>
          <w:szCs w:val="22"/>
          <w:lang w:eastAsia="zh-CN"/>
        </w:rPr>
        <w:t>, ‘milk’</w:t>
      </w:r>
      <w:r>
        <w:rPr>
          <w:rFonts w:eastAsiaTheme="minorEastAsia"/>
          <w:sz w:val="22"/>
          <w:szCs w:val="22"/>
          <w:lang w:eastAsia="zh-CN"/>
        </w:rPr>
        <w:t xml:space="preserve">) </w:t>
      </w:r>
      <w:r w:rsidRPr="00546BCC">
        <w:rPr>
          <w:rFonts w:eastAsiaTheme="minorEastAsia"/>
          <w:sz w:val="22"/>
          <w:szCs w:val="22"/>
          <w:lang w:eastAsia="zh-CN"/>
        </w:rPr>
        <w:t xml:space="preserve">molar. Arrow pointing to lateral enamel with </w:t>
      </w:r>
      <w:proofErr w:type="spellStart"/>
      <w:r w:rsidRPr="00546BCC">
        <w:rPr>
          <w:rFonts w:eastAsiaTheme="minorEastAsia"/>
          <w:sz w:val="22"/>
          <w:szCs w:val="22"/>
          <w:lang w:eastAsia="zh-CN"/>
        </w:rPr>
        <w:t>Retzius</w:t>
      </w:r>
      <w:proofErr w:type="spellEnd"/>
      <w:r w:rsidRPr="00546BCC">
        <w:rPr>
          <w:rFonts w:eastAsiaTheme="minorEastAsia"/>
          <w:sz w:val="22"/>
          <w:szCs w:val="22"/>
          <w:lang w:eastAsia="zh-CN"/>
        </w:rPr>
        <w:t xml:space="preserve"> lines on the far right. </w:t>
      </w:r>
      <w:r w:rsidRPr="00546BCC">
        <w:rPr>
          <w:rFonts w:eastAsiaTheme="minorEastAsia"/>
          <w:b/>
          <w:bCs/>
          <w:sz w:val="22"/>
          <w:szCs w:val="22"/>
          <w:lang w:eastAsia="zh-CN"/>
        </w:rPr>
        <w:t>b</w:t>
      </w:r>
      <w:r w:rsidRPr="00546BCC">
        <w:rPr>
          <w:rFonts w:eastAsiaTheme="minorEastAsia"/>
          <w:sz w:val="22"/>
          <w:szCs w:val="22"/>
          <w:lang w:eastAsia="zh-CN"/>
        </w:rPr>
        <w:t xml:space="preserve"> </w:t>
      </w:r>
      <w:proofErr w:type="gramStart"/>
      <w:r w:rsidR="00380E77">
        <w:rPr>
          <w:rFonts w:eastAsiaTheme="minorEastAsia"/>
          <w:sz w:val="22"/>
          <w:szCs w:val="22"/>
          <w:lang w:eastAsia="zh-CN"/>
        </w:rPr>
        <w:t>Thin</w:t>
      </w:r>
      <w:proofErr w:type="gramEnd"/>
      <w:r w:rsidR="00380E77">
        <w:rPr>
          <w:rFonts w:eastAsiaTheme="minorEastAsia"/>
          <w:sz w:val="22"/>
          <w:szCs w:val="22"/>
          <w:lang w:eastAsia="zh-CN"/>
        </w:rPr>
        <w:t xml:space="preserve"> section through </w:t>
      </w:r>
      <w:r>
        <w:rPr>
          <w:rFonts w:eastAsiaTheme="minorEastAsia"/>
          <w:sz w:val="22"/>
          <w:szCs w:val="22"/>
          <w:lang w:eastAsia="zh-CN"/>
        </w:rPr>
        <w:t>e</w:t>
      </w:r>
      <w:r w:rsidRPr="00546BCC">
        <w:rPr>
          <w:rFonts w:eastAsiaTheme="minorEastAsia"/>
          <w:sz w:val="22"/>
          <w:szCs w:val="22"/>
          <w:lang w:eastAsia="zh-CN"/>
        </w:rPr>
        <w:t xml:space="preserve">namel with </w:t>
      </w:r>
      <w:proofErr w:type="spellStart"/>
      <w:r w:rsidRPr="00546BCC">
        <w:rPr>
          <w:rFonts w:eastAsiaTheme="minorEastAsia"/>
          <w:sz w:val="22"/>
          <w:szCs w:val="22"/>
          <w:lang w:eastAsia="zh-CN"/>
        </w:rPr>
        <w:t>Retzus</w:t>
      </w:r>
      <w:proofErr w:type="spellEnd"/>
      <w:r w:rsidRPr="00546BCC">
        <w:rPr>
          <w:rFonts w:eastAsiaTheme="minorEastAsia"/>
          <w:sz w:val="22"/>
          <w:szCs w:val="22"/>
          <w:lang w:eastAsia="zh-CN"/>
        </w:rPr>
        <w:t xml:space="preserve"> lines to the right</w:t>
      </w:r>
      <w:r w:rsidR="004B7927">
        <w:rPr>
          <w:rFonts w:eastAsiaTheme="minorEastAsia"/>
          <w:sz w:val="22"/>
          <w:szCs w:val="22"/>
          <w:lang w:eastAsia="zh-CN"/>
        </w:rPr>
        <w:t xml:space="preserve"> (lower white circle)</w:t>
      </w:r>
      <w:r w:rsidRPr="00546BCC">
        <w:rPr>
          <w:rFonts w:eastAsiaTheme="minorEastAsia"/>
          <w:sz w:val="22"/>
          <w:szCs w:val="22"/>
          <w:lang w:eastAsia="zh-CN"/>
        </w:rPr>
        <w:t xml:space="preserve">. Upper white circle overlays tubular enamel rods which formed as groups of cells (named ameloblasts) lay down new enamel as a tooth crown develops. </w:t>
      </w:r>
      <w:r w:rsidRPr="00546BCC">
        <w:rPr>
          <w:rFonts w:eastAsiaTheme="minorEastAsia"/>
          <w:b/>
          <w:bCs/>
          <w:sz w:val="22"/>
          <w:szCs w:val="22"/>
          <w:lang w:eastAsia="zh-CN"/>
        </w:rPr>
        <w:t>c</w:t>
      </w:r>
      <w:r w:rsidRPr="00546BCC">
        <w:rPr>
          <w:rFonts w:eastAsiaTheme="minorEastAsia"/>
          <w:sz w:val="22"/>
          <w:szCs w:val="22"/>
          <w:lang w:eastAsia="zh-CN"/>
        </w:rPr>
        <w:t xml:space="preserve"> </w:t>
      </w:r>
      <w:r>
        <w:rPr>
          <w:rFonts w:eastAsiaTheme="minorEastAsia"/>
          <w:sz w:val="22"/>
          <w:szCs w:val="22"/>
          <w:lang w:eastAsia="zh-CN"/>
        </w:rPr>
        <w:t xml:space="preserve">A record of ameloblast pathways </w:t>
      </w:r>
      <w:proofErr w:type="gramStart"/>
      <w:r>
        <w:rPr>
          <w:rFonts w:eastAsiaTheme="minorEastAsia"/>
          <w:sz w:val="22"/>
          <w:szCs w:val="22"/>
          <w:lang w:eastAsia="zh-CN"/>
        </w:rPr>
        <w:t>are</w:t>
      </w:r>
      <w:proofErr w:type="gramEnd"/>
      <w:r>
        <w:rPr>
          <w:rFonts w:eastAsiaTheme="minorEastAsia"/>
          <w:sz w:val="22"/>
          <w:szCs w:val="22"/>
          <w:lang w:eastAsia="zh-CN"/>
        </w:rPr>
        <w:t xml:space="preserve"> preserved in teeth as e</w:t>
      </w:r>
      <w:r w:rsidRPr="00546BCC">
        <w:rPr>
          <w:rFonts w:eastAsiaTheme="minorEastAsia"/>
          <w:sz w:val="22"/>
          <w:szCs w:val="22"/>
          <w:lang w:eastAsia="zh-CN"/>
        </w:rPr>
        <w:t xml:space="preserve">namel rods. </w:t>
      </w:r>
      <w:r w:rsidRPr="00546BCC">
        <w:rPr>
          <w:rFonts w:eastAsiaTheme="minorEastAsia"/>
          <w:b/>
          <w:bCs/>
          <w:sz w:val="22"/>
          <w:szCs w:val="22"/>
          <w:lang w:eastAsia="zh-CN"/>
        </w:rPr>
        <w:t>d</w:t>
      </w:r>
      <w:r w:rsidRPr="00546BCC">
        <w:rPr>
          <w:rFonts w:eastAsiaTheme="minorEastAsia"/>
          <w:sz w:val="22"/>
          <w:szCs w:val="22"/>
          <w:lang w:eastAsia="zh-CN"/>
        </w:rPr>
        <w:t xml:space="preserve"> Daily cross striations. Enamel deposition by ameloblasts is interrupted every 24-hours producing regions along rods that ha</w:t>
      </w:r>
      <w:r>
        <w:rPr>
          <w:rFonts w:eastAsiaTheme="minorEastAsia"/>
          <w:sz w:val="22"/>
          <w:szCs w:val="22"/>
          <w:lang w:eastAsia="zh-CN"/>
        </w:rPr>
        <w:t>ve</w:t>
      </w:r>
      <w:r w:rsidRPr="00546BCC">
        <w:rPr>
          <w:rFonts w:eastAsiaTheme="minorEastAsia"/>
          <w:sz w:val="22"/>
          <w:szCs w:val="22"/>
          <w:lang w:eastAsia="zh-CN"/>
        </w:rPr>
        <w:t xml:space="preserve"> </w:t>
      </w:r>
      <w:r w:rsidR="00380E77">
        <w:rPr>
          <w:rFonts w:eastAsiaTheme="minorEastAsia"/>
          <w:sz w:val="22"/>
          <w:szCs w:val="22"/>
          <w:lang w:eastAsia="zh-CN"/>
        </w:rPr>
        <w:t xml:space="preserve">relatively </w:t>
      </w:r>
      <w:r w:rsidRPr="00546BCC">
        <w:rPr>
          <w:rFonts w:eastAsiaTheme="minorEastAsia"/>
          <w:sz w:val="22"/>
          <w:szCs w:val="22"/>
          <w:lang w:eastAsia="zh-CN"/>
        </w:rPr>
        <w:t>less mineral. When prepared and examined under a microscope these differences in mineralisation along rods appear as cross striations. Th</w:t>
      </w:r>
      <w:r>
        <w:rPr>
          <w:rFonts w:eastAsiaTheme="minorEastAsia"/>
          <w:sz w:val="22"/>
          <w:szCs w:val="22"/>
          <w:lang w:eastAsia="zh-CN"/>
        </w:rPr>
        <w:t xml:space="preserve">is occurs because variation </w:t>
      </w:r>
      <w:r w:rsidRPr="00546BCC">
        <w:rPr>
          <w:rFonts w:eastAsiaTheme="minorEastAsia"/>
          <w:sz w:val="22"/>
          <w:szCs w:val="22"/>
          <w:lang w:eastAsia="zh-CN"/>
        </w:rPr>
        <w:t>in mineralisation alters the refractive index of light transmitted</w:t>
      </w:r>
      <w:r>
        <w:rPr>
          <w:rFonts w:eastAsiaTheme="minorEastAsia"/>
          <w:sz w:val="22"/>
          <w:szCs w:val="22"/>
          <w:lang w:eastAsia="zh-CN"/>
        </w:rPr>
        <w:t xml:space="preserve"> by a</w:t>
      </w:r>
      <w:r w:rsidRPr="00546BCC">
        <w:rPr>
          <w:rFonts w:eastAsiaTheme="minorEastAsia"/>
          <w:sz w:val="22"/>
          <w:szCs w:val="22"/>
          <w:lang w:eastAsia="zh-CN"/>
        </w:rPr>
        <w:t xml:space="preserve"> microscope, producing the </w:t>
      </w:r>
      <w:r>
        <w:rPr>
          <w:rFonts w:eastAsiaTheme="minorEastAsia"/>
          <w:sz w:val="22"/>
          <w:szCs w:val="22"/>
          <w:lang w:eastAsia="zh-CN"/>
        </w:rPr>
        <w:t>striations</w:t>
      </w:r>
      <w:r w:rsidRPr="00546BCC">
        <w:rPr>
          <w:rFonts w:eastAsiaTheme="minorEastAsia"/>
          <w:sz w:val="22"/>
          <w:szCs w:val="22"/>
          <w:lang w:eastAsia="zh-CN"/>
        </w:rPr>
        <w:t xml:space="preserve">. Cross striations are used to calculate </w:t>
      </w:r>
      <w:proofErr w:type="spellStart"/>
      <w:r w:rsidRPr="00546BCC">
        <w:rPr>
          <w:rFonts w:eastAsiaTheme="minorEastAsia"/>
          <w:sz w:val="22"/>
          <w:szCs w:val="22"/>
          <w:lang w:eastAsia="zh-CN"/>
        </w:rPr>
        <w:t>Retzius</w:t>
      </w:r>
      <w:proofErr w:type="spellEnd"/>
      <w:r w:rsidRPr="00546BCC">
        <w:rPr>
          <w:rFonts w:eastAsiaTheme="minorEastAsia"/>
          <w:sz w:val="22"/>
          <w:szCs w:val="22"/>
          <w:lang w:eastAsia="zh-CN"/>
        </w:rPr>
        <w:t xml:space="preserve"> periodicity</w:t>
      </w:r>
      <w:r w:rsidRPr="0090146A">
        <w:rPr>
          <w:rFonts w:eastAsiaTheme="minorEastAsia"/>
          <w:sz w:val="22"/>
          <w:szCs w:val="22"/>
          <w:lang w:eastAsia="zh-CN"/>
        </w:rPr>
        <w:t>.</w:t>
      </w:r>
      <w:r>
        <w:rPr>
          <w:rFonts w:eastAsiaTheme="minorEastAsia"/>
          <w:b/>
          <w:bCs/>
          <w:sz w:val="22"/>
          <w:szCs w:val="22"/>
          <w:lang w:eastAsia="zh-CN"/>
        </w:rPr>
        <w:t xml:space="preserve"> e</w:t>
      </w:r>
      <w:r w:rsidRPr="00546BCC">
        <w:rPr>
          <w:rFonts w:eastAsiaTheme="minorEastAsia"/>
          <w:sz w:val="22"/>
          <w:szCs w:val="22"/>
          <w:lang w:eastAsia="zh-CN"/>
        </w:rPr>
        <w:t xml:space="preserve"> Black arrows point to </w:t>
      </w:r>
      <w:proofErr w:type="spellStart"/>
      <w:r w:rsidRPr="00546BCC">
        <w:rPr>
          <w:rFonts w:eastAsiaTheme="minorEastAsia"/>
          <w:sz w:val="22"/>
          <w:szCs w:val="22"/>
          <w:lang w:eastAsia="zh-CN"/>
        </w:rPr>
        <w:t>Retzius</w:t>
      </w:r>
      <w:proofErr w:type="spellEnd"/>
      <w:r w:rsidRPr="00546BCC">
        <w:rPr>
          <w:rFonts w:eastAsiaTheme="minorEastAsia"/>
          <w:sz w:val="22"/>
          <w:szCs w:val="22"/>
          <w:lang w:eastAsia="zh-CN"/>
        </w:rPr>
        <w:t xml:space="preserve"> lines</w:t>
      </w:r>
      <w:r>
        <w:rPr>
          <w:rFonts w:eastAsiaTheme="minorEastAsia"/>
          <w:sz w:val="22"/>
          <w:szCs w:val="22"/>
          <w:lang w:eastAsia="zh-CN"/>
        </w:rPr>
        <w:t xml:space="preserve"> in primary molar enamel</w:t>
      </w:r>
      <w:r w:rsidRPr="00546BCC">
        <w:rPr>
          <w:rFonts w:eastAsiaTheme="minorEastAsia"/>
          <w:sz w:val="22"/>
          <w:szCs w:val="22"/>
          <w:lang w:eastAsia="zh-CN"/>
        </w:rPr>
        <w:t xml:space="preserve">. </w:t>
      </w:r>
      <w:r w:rsidRPr="00546BCC">
        <w:rPr>
          <w:rFonts w:eastAsiaTheme="minorEastAsia"/>
          <w:b/>
          <w:bCs/>
          <w:sz w:val="22"/>
          <w:szCs w:val="22"/>
          <w:lang w:eastAsia="zh-CN"/>
        </w:rPr>
        <w:t xml:space="preserve">f </w:t>
      </w:r>
      <w:r w:rsidRPr="00546BCC">
        <w:rPr>
          <w:rFonts w:eastAsiaTheme="minorEastAsia"/>
          <w:sz w:val="22"/>
          <w:szCs w:val="22"/>
          <w:lang w:eastAsia="zh-CN"/>
        </w:rPr>
        <w:t xml:space="preserve">White arrows point to cross striations and six days of </w:t>
      </w:r>
      <w:r w:rsidRPr="00BB55DA">
        <w:rPr>
          <w:rFonts w:eastAsiaTheme="minorEastAsia"/>
          <w:sz w:val="22"/>
          <w:szCs w:val="22"/>
          <w:lang w:eastAsia="zh-CN"/>
        </w:rPr>
        <w:t xml:space="preserve">enamel formation between two adjacent </w:t>
      </w:r>
      <w:proofErr w:type="spellStart"/>
      <w:r w:rsidRPr="00BB55DA">
        <w:rPr>
          <w:rFonts w:eastAsiaTheme="minorEastAsia"/>
          <w:sz w:val="22"/>
          <w:szCs w:val="22"/>
          <w:lang w:eastAsia="zh-CN"/>
        </w:rPr>
        <w:t>Retzius</w:t>
      </w:r>
      <w:proofErr w:type="spellEnd"/>
      <w:r w:rsidRPr="00BB55DA">
        <w:rPr>
          <w:rFonts w:eastAsiaTheme="minorEastAsia"/>
          <w:sz w:val="22"/>
          <w:szCs w:val="22"/>
          <w:lang w:eastAsia="zh-CN"/>
        </w:rPr>
        <w:t xml:space="preserve"> lines giving a </w:t>
      </w:r>
      <w:proofErr w:type="spellStart"/>
      <w:r w:rsidRPr="00BB55DA">
        <w:rPr>
          <w:rFonts w:eastAsiaTheme="minorEastAsia"/>
          <w:sz w:val="22"/>
          <w:szCs w:val="22"/>
          <w:lang w:eastAsia="zh-CN"/>
        </w:rPr>
        <w:t>Retzius</w:t>
      </w:r>
      <w:proofErr w:type="spellEnd"/>
      <w:r w:rsidRPr="00BB55DA">
        <w:rPr>
          <w:rFonts w:eastAsiaTheme="minorEastAsia"/>
          <w:sz w:val="22"/>
          <w:szCs w:val="22"/>
          <w:lang w:eastAsia="zh-CN"/>
        </w:rPr>
        <w:t xml:space="preserve"> periodicity of six days.</w:t>
      </w:r>
      <w:r w:rsidR="00362C68" w:rsidRPr="00BB55DA">
        <w:rPr>
          <w:color w:val="201F1E"/>
          <w:sz w:val="22"/>
          <w:szCs w:val="22"/>
          <w:bdr w:val="none" w:sz="0" w:space="0" w:color="auto" w:frame="1"/>
        </w:rPr>
        <w:t xml:space="preserve"> </w:t>
      </w:r>
      <w:r w:rsidR="00861C9E">
        <w:rPr>
          <w:color w:val="201F1E"/>
          <w:sz w:val="22"/>
          <w:szCs w:val="22"/>
          <w:bdr w:val="none" w:sz="0" w:space="0" w:color="auto" w:frame="1"/>
        </w:rPr>
        <w:t>Part</w:t>
      </w:r>
      <w:r w:rsidR="00C8638F">
        <w:rPr>
          <w:color w:val="201F1E"/>
          <w:sz w:val="22"/>
          <w:szCs w:val="22"/>
          <w:bdr w:val="none" w:sz="0" w:space="0" w:color="auto" w:frame="1"/>
        </w:rPr>
        <w:t>s</w:t>
      </w:r>
      <w:r w:rsidR="00861C9E">
        <w:rPr>
          <w:color w:val="201F1E"/>
          <w:sz w:val="22"/>
          <w:szCs w:val="22"/>
          <w:bdr w:val="none" w:sz="0" w:space="0" w:color="auto" w:frame="1"/>
        </w:rPr>
        <w:t xml:space="preserve"> of </w:t>
      </w:r>
      <w:r w:rsidR="00362C68" w:rsidRPr="00BB55DA">
        <w:rPr>
          <w:color w:val="201F1E"/>
          <w:sz w:val="22"/>
          <w:szCs w:val="22"/>
          <w:bdr w:val="none" w:sz="0" w:space="0" w:color="auto" w:frame="1"/>
        </w:rPr>
        <w:t xml:space="preserve">Fig </w:t>
      </w:r>
      <w:r w:rsidR="00861C9E">
        <w:rPr>
          <w:color w:val="201F1E"/>
          <w:sz w:val="22"/>
          <w:szCs w:val="22"/>
          <w:bdr w:val="none" w:sz="0" w:space="0" w:color="auto" w:frame="1"/>
        </w:rPr>
        <w:t>1</w:t>
      </w:r>
      <w:r w:rsidR="00362C68" w:rsidRPr="00BB55DA">
        <w:rPr>
          <w:color w:val="201F1E"/>
          <w:sz w:val="22"/>
          <w:szCs w:val="22"/>
          <w:bdr w:val="none" w:sz="0" w:space="0" w:color="auto" w:frame="1"/>
        </w:rPr>
        <w:t xml:space="preserve"> </w:t>
      </w:r>
      <w:r w:rsidR="00B843BF">
        <w:rPr>
          <w:color w:val="201F1E"/>
          <w:sz w:val="22"/>
          <w:szCs w:val="22"/>
          <w:bdr w:val="none" w:sz="0" w:space="0" w:color="auto" w:frame="1"/>
        </w:rPr>
        <w:t>(part of panel</w:t>
      </w:r>
      <w:r w:rsidR="00B843BF" w:rsidRPr="00380E77">
        <w:rPr>
          <w:b/>
          <w:bCs/>
          <w:color w:val="201F1E"/>
          <w:sz w:val="22"/>
          <w:szCs w:val="22"/>
          <w:bdr w:val="none" w:sz="0" w:space="0" w:color="auto" w:frame="1"/>
        </w:rPr>
        <w:t xml:space="preserve"> </w:t>
      </w:r>
      <w:r w:rsidR="00380E77" w:rsidRPr="00380E77">
        <w:rPr>
          <w:b/>
          <w:bCs/>
          <w:color w:val="201F1E"/>
          <w:sz w:val="22"/>
          <w:szCs w:val="22"/>
          <w:bdr w:val="none" w:sz="0" w:space="0" w:color="auto" w:frame="1"/>
        </w:rPr>
        <w:t>a</w:t>
      </w:r>
      <w:r w:rsidR="00B843BF">
        <w:rPr>
          <w:color w:val="201F1E"/>
          <w:sz w:val="22"/>
          <w:szCs w:val="22"/>
          <w:bdr w:val="none" w:sz="0" w:space="0" w:color="auto" w:frame="1"/>
        </w:rPr>
        <w:t xml:space="preserve">, and </w:t>
      </w:r>
      <w:r w:rsidR="00380E77">
        <w:rPr>
          <w:color w:val="201F1E"/>
          <w:sz w:val="22"/>
          <w:szCs w:val="22"/>
          <w:bdr w:val="none" w:sz="0" w:space="0" w:color="auto" w:frame="1"/>
        </w:rPr>
        <w:t xml:space="preserve">all of </w:t>
      </w:r>
      <w:r w:rsidR="00B843BF">
        <w:rPr>
          <w:color w:val="201F1E"/>
          <w:sz w:val="22"/>
          <w:szCs w:val="22"/>
          <w:bdr w:val="none" w:sz="0" w:space="0" w:color="auto" w:frame="1"/>
        </w:rPr>
        <w:t>panel</w:t>
      </w:r>
      <w:r w:rsidR="00B843BF" w:rsidRPr="00380E77">
        <w:rPr>
          <w:b/>
          <w:bCs/>
          <w:color w:val="201F1E"/>
          <w:sz w:val="22"/>
          <w:szCs w:val="22"/>
          <w:bdr w:val="none" w:sz="0" w:space="0" w:color="auto" w:frame="1"/>
        </w:rPr>
        <w:t xml:space="preserve"> </w:t>
      </w:r>
      <w:r w:rsidR="00380E77" w:rsidRPr="00380E77">
        <w:rPr>
          <w:b/>
          <w:bCs/>
          <w:color w:val="201F1E"/>
          <w:sz w:val="22"/>
          <w:szCs w:val="22"/>
          <w:bdr w:val="none" w:sz="0" w:space="0" w:color="auto" w:frame="1"/>
        </w:rPr>
        <w:t>c</w:t>
      </w:r>
      <w:r w:rsidR="00B843BF">
        <w:rPr>
          <w:color w:val="201F1E"/>
          <w:sz w:val="22"/>
          <w:szCs w:val="22"/>
          <w:bdr w:val="none" w:sz="0" w:space="0" w:color="auto" w:frame="1"/>
        </w:rPr>
        <w:t xml:space="preserve">) </w:t>
      </w:r>
      <w:r w:rsidR="00362C68" w:rsidRPr="00BB55DA">
        <w:rPr>
          <w:color w:val="201F1E"/>
          <w:sz w:val="22"/>
          <w:szCs w:val="22"/>
          <w:bdr w:val="none" w:sz="0" w:space="0" w:color="auto" w:frame="1"/>
        </w:rPr>
        <w:t>w</w:t>
      </w:r>
      <w:r w:rsidR="00C8638F">
        <w:rPr>
          <w:color w:val="201F1E"/>
          <w:sz w:val="22"/>
          <w:szCs w:val="22"/>
          <w:bdr w:val="none" w:sz="0" w:space="0" w:color="auto" w:frame="1"/>
        </w:rPr>
        <w:t>ere</w:t>
      </w:r>
      <w:r w:rsidR="00362C68" w:rsidRPr="00BB55DA">
        <w:rPr>
          <w:color w:val="201F1E"/>
          <w:sz w:val="22"/>
          <w:szCs w:val="22"/>
          <w:bdr w:val="none" w:sz="0" w:space="0" w:color="auto" w:frame="1"/>
        </w:rPr>
        <w:t xml:space="preserve"> created using </w:t>
      </w:r>
      <w:r w:rsidR="00BB55DA" w:rsidRPr="00BB55DA">
        <w:rPr>
          <w:color w:val="201F1E"/>
          <w:sz w:val="22"/>
          <w:szCs w:val="22"/>
          <w:bdr w:val="none" w:sz="0" w:space="0" w:color="auto" w:frame="1"/>
        </w:rPr>
        <w:t xml:space="preserve">a template </w:t>
      </w:r>
      <w:r w:rsidR="00BB55DA">
        <w:rPr>
          <w:color w:val="201F1E"/>
          <w:sz w:val="22"/>
          <w:szCs w:val="22"/>
          <w:bdr w:val="none" w:sz="0" w:space="0" w:color="auto" w:frame="1"/>
        </w:rPr>
        <w:t xml:space="preserve">from </w:t>
      </w:r>
      <w:r w:rsidR="00362C68" w:rsidRPr="00BB55DA">
        <w:rPr>
          <w:color w:val="201F1E"/>
          <w:sz w:val="22"/>
          <w:szCs w:val="22"/>
          <w:bdr w:val="none" w:sz="0" w:space="0" w:color="auto" w:frame="1"/>
        </w:rPr>
        <w:t>BioRender.</w:t>
      </w:r>
      <w:r w:rsidR="00BB55DA" w:rsidRPr="00BB55DA">
        <w:rPr>
          <w:color w:val="201F1E"/>
          <w:sz w:val="22"/>
          <w:szCs w:val="22"/>
          <w:bdr w:val="none" w:sz="0" w:space="0" w:color="auto" w:frame="1"/>
        </w:rPr>
        <w:t>com (2022)</w:t>
      </w:r>
    </w:p>
    <w:p w14:paraId="5B0800C2" w14:textId="77777777" w:rsidR="00091421" w:rsidRPr="00B256C8" w:rsidRDefault="00091421" w:rsidP="00091421">
      <w:pPr>
        <w:autoSpaceDE w:val="0"/>
        <w:autoSpaceDN w:val="0"/>
        <w:adjustRightInd w:val="0"/>
        <w:spacing w:line="276" w:lineRule="auto"/>
        <w:jc w:val="both"/>
        <w:rPr>
          <w:rFonts w:eastAsiaTheme="minorEastAsia"/>
          <w:b/>
          <w:bCs/>
          <w:color w:val="000000" w:themeColor="text1"/>
          <w:sz w:val="22"/>
          <w:szCs w:val="22"/>
          <w:lang w:eastAsia="zh-CN"/>
        </w:rPr>
      </w:pPr>
    </w:p>
    <w:p w14:paraId="5D1203D7" w14:textId="77777777" w:rsidR="00091421" w:rsidRPr="00B256C8" w:rsidRDefault="00091421" w:rsidP="00091421">
      <w:pPr>
        <w:autoSpaceDE w:val="0"/>
        <w:autoSpaceDN w:val="0"/>
        <w:adjustRightInd w:val="0"/>
        <w:spacing w:after="120" w:line="276" w:lineRule="auto"/>
        <w:jc w:val="both"/>
        <w:rPr>
          <w:rFonts w:eastAsiaTheme="minorEastAsia"/>
          <w:color w:val="000000" w:themeColor="text1"/>
          <w:lang w:eastAsia="zh-CN"/>
        </w:rPr>
      </w:pPr>
      <w:r w:rsidRPr="00B256C8">
        <w:rPr>
          <w:rFonts w:eastAsiaTheme="minorEastAsia"/>
          <w:b/>
          <w:bCs/>
          <w:color w:val="000000" w:themeColor="text1"/>
          <w:lang w:eastAsia="zh-CN"/>
        </w:rPr>
        <w:t>Fig. 2: Sex differences in growth over 14 months</w:t>
      </w:r>
      <w:r w:rsidRPr="00B256C8">
        <w:rPr>
          <w:rFonts w:eastAsiaTheme="minorEastAsia"/>
          <w:color w:val="000000" w:themeColor="text1"/>
          <w:lang w:eastAsia="zh-CN"/>
        </w:rPr>
        <w:t xml:space="preserve">. </w:t>
      </w:r>
    </w:p>
    <w:p w14:paraId="03F89842" w14:textId="416C70FB" w:rsidR="00552E10" w:rsidRPr="001774D3" w:rsidRDefault="00552E10" w:rsidP="001774D3">
      <w:pPr>
        <w:autoSpaceDE w:val="0"/>
        <w:autoSpaceDN w:val="0"/>
        <w:adjustRightInd w:val="0"/>
        <w:spacing w:line="276" w:lineRule="auto"/>
        <w:jc w:val="both"/>
        <w:rPr>
          <w:rFonts w:eastAsiaTheme="minorEastAsia"/>
          <w:sz w:val="22"/>
          <w:szCs w:val="22"/>
        </w:rPr>
      </w:pPr>
      <w:r w:rsidRPr="007D3583">
        <w:rPr>
          <w:rFonts w:eastAsiaTheme="minorEastAsia"/>
          <w:b/>
          <w:bCs/>
          <w:sz w:val="22"/>
          <w:szCs w:val="22"/>
          <w:lang w:eastAsia="zh-CN"/>
        </w:rPr>
        <w:t>a</w:t>
      </w:r>
      <w:r w:rsidRPr="007D3583">
        <w:rPr>
          <w:rFonts w:eastAsiaTheme="minorEastAsia"/>
          <w:sz w:val="22"/>
          <w:szCs w:val="22"/>
          <w:lang w:eastAsia="zh-CN"/>
        </w:rPr>
        <w:t xml:space="preserve"> Females </w:t>
      </w:r>
      <w:r w:rsidR="00696743">
        <w:rPr>
          <w:rFonts w:eastAsiaTheme="minorEastAsia"/>
          <w:sz w:val="22"/>
          <w:szCs w:val="22"/>
          <w:lang w:eastAsia="zh-CN"/>
        </w:rPr>
        <w:t>(</w:t>
      </w:r>
      <w:r w:rsidR="00696743" w:rsidRPr="00696743">
        <w:rPr>
          <w:rFonts w:eastAsiaTheme="minorEastAsia"/>
          <w:i/>
          <w:iCs/>
          <w:sz w:val="22"/>
          <w:szCs w:val="22"/>
          <w:lang w:eastAsia="zh-CN"/>
        </w:rPr>
        <w:t>n</w:t>
      </w:r>
      <w:r w:rsidR="00696743">
        <w:rPr>
          <w:rFonts w:eastAsiaTheme="minorEastAsia"/>
          <w:sz w:val="22"/>
          <w:szCs w:val="22"/>
          <w:lang w:eastAsia="zh-CN"/>
        </w:rPr>
        <w:t>=3</w:t>
      </w:r>
      <w:r w:rsidR="00E574FC">
        <w:rPr>
          <w:rFonts w:eastAsiaTheme="minorEastAsia"/>
          <w:sz w:val="22"/>
          <w:szCs w:val="22"/>
          <w:lang w:eastAsia="zh-CN"/>
        </w:rPr>
        <w:t>1</w:t>
      </w:r>
      <w:r w:rsidR="00696743">
        <w:rPr>
          <w:rFonts w:eastAsiaTheme="minorEastAsia"/>
          <w:sz w:val="22"/>
          <w:szCs w:val="22"/>
          <w:lang w:eastAsia="zh-CN"/>
        </w:rPr>
        <w:t xml:space="preserve">) </w:t>
      </w:r>
      <w:r w:rsidRPr="007D3583">
        <w:rPr>
          <w:rFonts w:eastAsiaTheme="minorEastAsia"/>
          <w:sz w:val="22"/>
          <w:szCs w:val="22"/>
          <w:lang w:eastAsia="zh-CN"/>
        </w:rPr>
        <w:t xml:space="preserve">attained more weight than males </w:t>
      </w:r>
      <w:r w:rsidR="00696743">
        <w:rPr>
          <w:rFonts w:eastAsiaTheme="minorEastAsia"/>
          <w:sz w:val="22"/>
          <w:szCs w:val="22"/>
          <w:lang w:eastAsia="zh-CN"/>
        </w:rPr>
        <w:t>(</w:t>
      </w:r>
      <w:r w:rsidR="00696743" w:rsidRPr="00696743">
        <w:rPr>
          <w:rFonts w:eastAsiaTheme="minorEastAsia"/>
          <w:i/>
          <w:iCs/>
          <w:sz w:val="22"/>
          <w:szCs w:val="22"/>
          <w:lang w:eastAsia="zh-CN"/>
        </w:rPr>
        <w:t>n</w:t>
      </w:r>
      <w:r w:rsidR="00696743">
        <w:rPr>
          <w:rFonts w:eastAsiaTheme="minorEastAsia"/>
          <w:sz w:val="22"/>
          <w:szCs w:val="22"/>
          <w:lang w:eastAsia="zh-CN"/>
        </w:rPr>
        <w:t>=2</w:t>
      </w:r>
      <w:r w:rsidR="00E574FC">
        <w:rPr>
          <w:rFonts w:eastAsiaTheme="minorEastAsia"/>
          <w:sz w:val="22"/>
          <w:szCs w:val="22"/>
          <w:lang w:eastAsia="zh-CN"/>
        </w:rPr>
        <w:t>6</w:t>
      </w:r>
      <w:r w:rsidR="00696743">
        <w:rPr>
          <w:rFonts w:eastAsiaTheme="minorEastAsia"/>
          <w:sz w:val="22"/>
          <w:szCs w:val="22"/>
          <w:lang w:eastAsia="zh-CN"/>
        </w:rPr>
        <w:t xml:space="preserve">) </w:t>
      </w:r>
      <w:r w:rsidRPr="007D3583">
        <w:rPr>
          <w:rFonts w:eastAsiaTheme="minorEastAsia"/>
          <w:sz w:val="22"/>
          <w:szCs w:val="22"/>
          <w:lang w:eastAsia="zh-CN"/>
        </w:rPr>
        <w:t>and the difference approached significance (</w:t>
      </w:r>
      <w:r w:rsidRPr="007D3583">
        <w:rPr>
          <w:rFonts w:eastAsiaTheme="minorEastAsia"/>
          <w:i/>
          <w:iCs/>
          <w:sz w:val="22"/>
          <w:szCs w:val="22"/>
          <w:lang w:eastAsia="zh-CN"/>
        </w:rPr>
        <w:t>p</w:t>
      </w:r>
      <w:r w:rsidRPr="007D3583">
        <w:rPr>
          <w:rFonts w:eastAsiaTheme="minorEastAsia"/>
          <w:sz w:val="22"/>
          <w:szCs w:val="22"/>
          <w:lang w:eastAsia="zh-CN"/>
        </w:rPr>
        <w:t xml:space="preserve">=0.054). </w:t>
      </w:r>
      <w:r w:rsidRPr="007D3583">
        <w:rPr>
          <w:rFonts w:eastAsiaTheme="minorEastAsia"/>
          <w:b/>
          <w:bCs/>
          <w:sz w:val="22"/>
          <w:szCs w:val="22"/>
          <w:lang w:eastAsia="zh-CN"/>
        </w:rPr>
        <w:t>b</w:t>
      </w:r>
      <w:r w:rsidRPr="007D3583">
        <w:rPr>
          <w:rFonts w:eastAsiaTheme="minorEastAsia"/>
          <w:sz w:val="22"/>
          <w:szCs w:val="22"/>
          <w:lang w:eastAsia="zh-CN"/>
        </w:rPr>
        <w:t xml:space="preserve"> Females </w:t>
      </w:r>
      <w:r w:rsidR="00696743">
        <w:rPr>
          <w:rFonts w:eastAsiaTheme="minorEastAsia"/>
          <w:sz w:val="22"/>
          <w:szCs w:val="22"/>
          <w:lang w:eastAsia="zh-CN"/>
        </w:rPr>
        <w:t>(</w:t>
      </w:r>
      <w:r w:rsidR="00696743" w:rsidRPr="00696743">
        <w:rPr>
          <w:rFonts w:eastAsiaTheme="minorEastAsia"/>
          <w:i/>
          <w:iCs/>
          <w:sz w:val="22"/>
          <w:szCs w:val="22"/>
          <w:lang w:eastAsia="zh-CN"/>
        </w:rPr>
        <w:t>n</w:t>
      </w:r>
      <w:r w:rsidR="00696743">
        <w:rPr>
          <w:rFonts w:eastAsiaTheme="minorEastAsia"/>
          <w:sz w:val="22"/>
          <w:szCs w:val="22"/>
          <w:lang w:eastAsia="zh-CN"/>
        </w:rPr>
        <w:t xml:space="preserve">=31) </w:t>
      </w:r>
      <w:r w:rsidRPr="007D3583">
        <w:rPr>
          <w:rFonts w:eastAsiaTheme="minorEastAsia"/>
          <w:sz w:val="22"/>
          <w:szCs w:val="22"/>
        </w:rPr>
        <w:t>gained significantly more height compared to males</w:t>
      </w:r>
      <w:r w:rsidR="00B70550">
        <w:rPr>
          <w:rFonts w:eastAsiaTheme="minorEastAsia"/>
          <w:sz w:val="22"/>
          <w:szCs w:val="22"/>
        </w:rPr>
        <w:t xml:space="preserve"> (</w:t>
      </w:r>
      <w:r w:rsidR="00B70550" w:rsidRPr="00B70550">
        <w:rPr>
          <w:rFonts w:eastAsiaTheme="minorEastAsia"/>
          <w:i/>
          <w:iCs/>
          <w:sz w:val="22"/>
          <w:szCs w:val="22"/>
        </w:rPr>
        <w:t>n</w:t>
      </w:r>
      <w:r w:rsidR="00B70550">
        <w:rPr>
          <w:rFonts w:eastAsiaTheme="minorEastAsia"/>
          <w:sz w:val="22"/>
          <w:szCs w:val="22"/>
        </w:rPr>
        <w:t>=2</w:t>
      </w:r>
      <w:r w:rsidR="00E574FC">
        <w:rPr>
          <w:rFonts w:eastAsiaTheme="minorEastAsia"/>
          <w:sz w:val="22"/>
          <w:szCs w:val="22"/>
        </w:rPr>
        <w:t>6</w:t>
      </w:r>
      <w:r w:rsidR="00B70550">
        <w:rPr>
          <w:rFonts w:eastAsiaTheme="minorEastAsia"/>
          <w:sz w:val="22"/>
          <w:szCs w:val="22"/>
        </w:rPr>
        <w:t xml:space="preserve">). </w:t>
      </w:r>
      <w:r w:rsidRPr="007D3583">
        <w:rPr>
          <w:rFonts w:eastAsiaTheme="minorEastAsia"/>
          <w:sz w:val="22"/>
          <w:szCs w:val="22"/>
        </w:rPr>
        <w:t xml:space="preserve"> </w:t>
      </w:r>
      <w:r w:rsidRPr="007D3583">
        <w:rPr>
          <w:rFonts w:eastAsiaTheme="minorEastAsia"/>
          <w:b/>
          <w:bCs/>
          <w:sz w:val="22"/>
          <w:szCs w:val="22"/>
        </w:rPr>
        <w:t>c</w:t>
      </w:r>
      <w:r w:rsidRPr="007D3583">
        <w:rPr>
          <w:rFonts w:eastAsiaTheme="minorEastAsia"/>
          <w:sz w:val="22"/>
          <w:szCs w:val="22"/>
        </w:rPr>
        <w:t xml:space="preserve"> </w:t>
      </w:r>
      <w:proofErr w:type="gramStart"/>
      <w:r w:rsidR="00B70550">
        <w:rPr>
          <w:rFonts w:eastAsiaTheme="minorEastAsia"/>
          <w:sz w:val="22"/>
          <w:szCs w:val="22"/>
        </w:rPr>
        <w:t>O</w:t>
      </w:r>
      <w:r>
        <w:rPr>
          <w:rFonts w:eastAsiaTheme="minorEastAsia"/>
          <w:sz w:val="22"/>
          <w:szCs w:val="22"/>
        </w:rPr>
        <w:t>n</w:t>
      </w:r>
      <w:proofErr w:type="gramEnd"/>
      <w:r>
        <w:rPr>
          <w:rFonts w:eastAsiaTheme="minorEastAsia"/>
          <w:sz w:val="22"/>
          <w:szCs w:val="22"/>
        </w:rPr>
        <w:t xml:space="preserve"> average </w:t>
      </w:r>
      <w:r w:rsidR="00B70550">
        <w:rPr>
          <w:rFonts w:eastAsiaTheme="minorEastAsia"/>
          <w:sz w:val="22"/>
          <w:szCs w:val="22"/>
        </w:rPr>
        <w:t xml:space="preserve">females </w:t>
      </w:r>
      <w:r w:rsidR="00B70550">
        <w:rPr>
          <w:rFonts w:eastAsiaTheme="minorEastAsia"/>
          <w:sz w:val="22"/>
          <w:szCs w:val="22"/>
          <w:lang w:eastAsia="zh-CN"/>
        </w:rPr>
        <w:t>(</w:t>
      </w:r>
      <w:r w:rsidR="00B70550" w:rsidRPr="00696743">
        <w:rPr>
          <w:rFonts w:eastAsiaTheme="minorEastAsia"/>
          <w:i/>
          <w:iCs/>
          <w:sz w:val="22"/>
          <w:szCs w:val="22"/>
          <w:lang w:eastAsia="zh-CN"/>
        </w:rPr>
        <w:t>n</w:t>
      </w:r>
      <w:r w:rsidR="00B70550">
        <w:rPr>
          <w:rFonts w:eastAsiaTheme="minorEastAsia"/>
          <w:sz w:val="22"/>
          <w:szCs w:val="22"/>
          <w:lang w:eastAsia="zh-CN"/>
        </w:rPr>
        <w:t>=3</w:t>
      </w:r>
      <w:r w:rsidR="00E574FC">
        <w:rPr>
          <w:rFonts w:eastAsiaTheme="minorEastAsia"/>
          <w:sz w:val="22"/>
          <w:szCs w:val="22"/>
          <w:lang w:eastAsia="zh-CN"/>
        </w:rPr>
        <w:t>0</w:t>
      </w:r>
      <w:r w:rsidR="00B70550">
        <w:rPr>
          <w:rFonts w:eastAsiaTheme="minorEastAsia"/>
          <w:sz w:val="22"/>
          <w:szCs w:val="22"/>
          <w:lang w:eastAsia="zh-CN"/>
        </w:rPr>
        <w:t xml:space="preserve">) </w:t>
      </w:r>
      <w:r w:rsidRPr="007D3583">
        <w:rPr>
          <w:rFonts w:eastAsiaTheme="minorEastAsia"/>
          <w:sz w:val="22"/>
          <w:szCs w:val="22"/>
        </w:rPr>
        <w:t xml:space="preserve">attained a greater </w:t>
      </w:r>
      <w:r>
        <w:rPr>
          <w:rFonts w:eastAsiaTheme="minorEastAsia"/>
          <w:sz w:val="22"/>
          <w:szCs w:val="22"/>
        </w:rPr>
        <w:t xml:space="preserve">but not significant </w:t>
      </w:r>
      <w:r w:rsidRPr="007D3583">
        <w:rPr>
          <w:rFonts w:eastAsiaTheme="minorEastAsia"/>
          <w:sz w:val="22"/>
          <w:szCs w:val="22"/>
        </w:rPr>
        <w:t xml:space="preserve">increase in BMI </w:t>
      </w:r>
      <w:r w:rsidR="00B70550">
        <w:rPr>
          <w:rFonts w:eastAsiaTheme="minorEastAsia"/>
          <w:sz w:val="22"/>
          <w:szCs w:val="22"/>
        </w:rPr>
        <w:t>relative to males (</w:t>
      </w:r>
      <w:r w:rsidR="00216EDB" w:rsidRPr="00216EDB">
        <w:rPr>
          <w:rFonts w:eastAsiaTheme="minorEastAsia"/>
          <w:i/>
          <w:iCs/>
          <w:sz w:val="22"/>
          <w:szCs w:val="22"/>
        </w:rPr>
        <w:t>n</w:t>
      </w:r>
      <w:r w:rsidR="00216EDB">
        <w:rPr>
          <w:rFonts w:eastAsiaTheme="minorEastAsia"/>
          <w:sz w:val="22"/>
          <w:szCs w:val="22"/>
        </w:rPr>
        <w:t xml:space="preserve">=27). </w:t>
      </w:r>
      <w:r w:rsidRPr="007D3583">
        <w:rPr>
          <w:rFonts w:eastAsiaTheme="minorEastAsia"/>
          <w:b/>
          <w:bCs/>
          <w:sz w:val="22"/>
          <w:szCs w:val="22"/>
        </w:rPr>
        <w:t>d</w:t>
      </w:r>
      <w:r w:rsidRPr="007D3583">
        <w:rPr>
          <w:rFonts w:eastAsiaTheme="minorEastAsia"/>
          <w:sz w:val="22"/>
          <w:szCs w:val="22"/>
        </w:rPr>
        <w:t xml:space="preserve"> </w:t>
      </w:r>
      <w:proofErr w:type="gramStart"/>
      <w:r w:rsidR="00216EDB">
        <w:rPr>
          <w:rFonts w:eastAsiaTheme="minorEastAsia"/>
          <w:sz w:val="22"/>
          <w:szCs w:val="22"/>
        </w:rPr>
        <w:t>On</w:t>
      </w:r>
      <w:proofErr w:type="gramEnd"/>
      <w:r w:rsidR="00216EDB">
        <w:rPr>
          <w:rFonts w:eastAsiaTheme="minorEastAsia"/>
          <w:sz w:val="22"/>
          <w:szCs w:val="22"/>
        </w:rPr>
        <w:t xml:space="preserve"> average female </w:t>
      </w:r>
      <w:r w:rsidR="00216EDB">
        <w:rPr>
          <w:rFonts w:eastAsiaTheme="minorEastAsia"/>
          <w:sz w:val="22"/>
          <w:szCs w:val="22"/>
          <w:lang w:eastAsia="zh-CN"/>
        </w:rPr>
        <w:t>(</w:t>
      </w:r>
      <w:r w:rsidR="00216EDB" w:rsidRPr="00696743">
        <w:rPr>
          <w:rFonts w:eastAsiaTheme="minorEastAsia"/>
          <w:i/>
          <w:iCs/>
          <w:sz w:val="22"/>
          <w:szCs w:val="22"/>
          <w:lang w:eastAsia="zh-CN"/>
        </w:rPr>
        <w:t>n</w:t>
      </w:r>
      <w:r w:rsidR="00216EDB">
        <w:rPr>
          <w:rFonts w:eastAsiaTheme="minorEastAsia"/>
          <w:sz w:val="22"/>
          <w:szCs w:val="22"/>
          <w:lang w:eastAsia="zh-CN"/>
        </w:rPr>
        <w:t>=3</w:t>
      </w:r>
      <w:r w:rsidR="00E574FC">
        <w:rPr>
          <w:rFonts w:eastAsiaTheme="minorEastAsia"/>
          <w:sz w:val="22"/>
          <w:szCs w:val="22"/>
          <w:lang w:eastAsia="zh-CN"/>
        </w:rPr>
        <w:t>0</w:t>
      </w:r>
      <w:r w:rsidR="00216EDB">
        <w:rPr>
          <w:rFonts w:eastAsiaTheme="minorEastAsia"/>
          <w:sz w:val="22"/>
          <w:szCs w:val="22"/>
          <w:lang w:eastAsia="zh-CN"/>
        </w:rPr>
        <w:t xml:space="preserve">) </w:t>
      </w:r>
      <w:r w:rsidRPr="007D3583">
        <w:rPr>
          <w:rFonts w:eastAsiaTheme="minorEastAsia"/>
          <w:sz w:val="22"/>
          <w:szCs w:val="22"/>
        </w:rPr>
        <w:t xml:space="preserve">lower leg length </w:t>
      </w:r>
      <w:r w:rsidR="00216EDB">
        <w:rPr>
          <w:rFonts w:eastAsiaTheme="minorEastAsia"/>
          <w:sz w:val="22"/>
          <w:szCs w:val="22"/>
        </w:rPr>
        <w:t xml:space="preserve">was greater than that of </w:t>
      </w:r>
      <w:r w:rsidRPr="007D3583">
        <w:rPr>
          <w:rFonts w:eastAsiaTheme="minorEastAsia"/>
          <w:sz w:val="22"/>
          <w:szCs w:val="22"/>
        </w:rPr>
        <w:t>males</w:t>
      </w:r>
      <w:r w:rsidR="00216EDB">
        <w:rPr>
          <w:rFonts w:eastAsiaTheme="minorEastAsia"/>
          <w:sz w:val="22"/>
          <w:szCs w:val="22"/>
        </w:rPr>
        <w:t xml:space="preserve"> (</w:t>
      </w:r>
      <w:r w:rsidR="00216EDB" w:rsidRPr="00B70550">
        <w:rPr>
          <w:rFonts w:eastAsiaTheme="minorEastAsia"/>
          <w:i/>
          <w:iCs/>
          <w:sz w:val="22"/>
          <w:szCs w:val="22"/>
        </w:rPr>
        <w:t>n</w:t>
      </w:r>
      <w:r w:rsidR="00216EDB">
        <w:rPr>
          <w:rFonts w:eastAsiaTheme="minorEastAsia"/>
          <w:sz w:val="22"/>
          <w:szCs w:val="22"/>
        </w:rPr>
        <w:t>=26)</w:t>
      </w:r>
      <w:r w:rsidRPr="007D3583">
        <w:rPr>
          <w:rFonts w:eastAsiaTheme="minorEastAsia"/>
          <w:sz w:val="22"/>
          <w:szCs w:val="22"/>
        </w:rPr>
        <w:t xml:space="preserve">. Data are represented as </w:t>
      </w:r>
      <w:r>
        <w:rPr>
          <w:rFonts w:eastAsiaTheme="minorEastAsia"/>
          <w:sz w:val="22"/>
          <w:szCs w:val="22"/>
        </w:rPr>
        <w:t>box plots showing interquartile ranges, and whiskers that illustrate the minimum and maximum values that were not outliers</w:t>
      </w:r>
      <w:r w:rsidRPr="007D3583">
        <w:rPr>
          <w:rFonts w:eastAsiaTheme="minorEastAsia"/>
          <w:sz w:val="22"/>
          <w:szCs w:val="22"/>
        </w:rPr>
        <w:t xml:space="preserve">.  *p &lt; 0.05, two-tailed t test. </w:t>
      </w:r>
    </w:p>
    <w:p w14:paraId="468380DA" w14:textId="77777777" w:rsidR="00091421" w:rsidRDefault="00091421" w:rsidP="00091421"/>
    <w:p w14:paraId="3DF2FDB1" w14:textId="77777777" w:rsidR="00091421" w:rsidRPr="00B256C8" w:rsidRDefault="00091421" w:rsidP="00091421">
      <w:pPr>
        <w:spacing w:after="120" w:line="276" w:lineRule="auto"/>
        <w:jc w:val="both"/>
        <w:rPr>
          <w:rFonts w:eastAsiaTheme="minorEastAsia"/>
          <w:color w:val="000000" w:themeColor="text1"/>
          <w:sz w:val="22"/>
          <w:szCs w:val="22"/>
          <w:lang w:eastAsia="zh-CN"/>
        </w:rPr>
      </w:pPr>
      <w:r w:rsidRPr="00B256C8">
        <w:rPr>
          <w:rFonts w:cstheme="minorHAnsi"/>
          <w:b/>
          <w:bCs/>
          <w:color w:val="000000" w:themeColor="text1"/>
        </w:rPr>
        <w:t>Fig. 3: Weight and BMI gained relates to RP-biorhythm</w:t>
      </w:r>
      <w:r w:rsidRPr="00B256C8">
        <w:rPr>
          <w:rFonts w:cstheme="minorHAnsi"/>
          <w:b/>
          <w:bCs/>
          <w:color w:val="000000" w:themeColor="text1"/>
          <w:sz w:val="22"/>
          <w:szCs w:val="22"/>
        </w:rPr>
        <w:t>.</w:t>
      </w:r>
    </w:p>
    <w:p w14:paraId="2DFB489E" w14:textId="55075085" w:rsidR="00091421" w:rsidRPr="00301A96" w:rsidRDefault="00091421" w:rsidP="00091421">
      <w:pPr>
        <w:spacing w:after="120" w:line="276" w:lineRule="auto"/>
        <w:jc w:val="both"/>
        <w:rPr>
          <w:rFonts w:cstheme="minorHAnsi"/>
          <w:b/>
          <w:bCs/>
          <w:color w:val="000000" w:themeColor="text1"/>
          <w:sz w:val="22"/>
          <w:szCs w:val="22"/>
        </w:rPr>
      </w:pPr>
      <w:r w:rsidRPr="00B256C8">
        <w:rPr>
          <w:rFonts w:cstheme="minorHAnsi"/>
          <w:b/>
          <w:bCs/>
          <w:color w:val="000000" w:themeColor="text1"/>
          <w:sz w:val="22"/>
          <w:szCs w:val="22"/>
        </w:rPr>
        <w:t>a</w:t>
      </w:r>
      <w:r w:rsidRPr="00B256C8">
        <w:rPr>
          <w:rFonts w:cstheme="minorHAnsi"/>
          <w:color w:val="000000" w:themeColor="text1"/>
          <w:sz w:val="22"/>
          <w:szCs w:val="22"/>
        </w:rPr>
        <w:t xml:space="preserve"> Scatter plot illustrating that the best way to model the significant relationship between log-transformed weight gained after 14 months and </w:t>
      </w:r>
      <w:r w:rsidR="00124053">
        <w:rPr>
          <w:rFonts w:cstheme="minorHAnsi"/>
          <w:color w:val="000000" w:themeColor="text1"/>
          <w:sz w:val="22"/>
          <w:szCs w:val="22"/>
        </w:rPr>
        <w:t>log-</w:t>
      </w:r>
      <w:r w:rsidRPr="00B256C8">
        <w:rPr>
          <w:rFonts w:cstheme="minorHAnsi"/>
          <w:color w:val="000000" w:themeColor="text1"/>
          <w:sz w:val="22"/>
          <w:szCs w:val="22"/>
        </w:rPr>
        <w:t xml:space="preserve">RP </w:t>
      </w:r>
      <w:r w:rsidR="003916DD">
        <w:rPr>
          <w:rFonts w:cstheme="minorHAnsi"/>
          <w:color w:val="000000" w:themeColor="text1"/>
          <w:sz w:val="22"/>
          <w:szCs w:val="22"/>
        </w:rPr>
        <w:t>(</w:t>
      </w:r>
      <w:r w:rsidR="003916DD" w:rsidRPr="003916DD">
        <w:rPr>
          <w:rFonts w:cstheme="minorHAnsi"/>
          <w:i/>
          <w:iCs/>
          <w:color w:val="000000" w:themeColor="text1"/>
          <w:sz w:val="22"/>
          <w:szCs w:val="22"/>
        </w:rPr>
        <w:t>n</w:t>
      </w:r>
      <w:r w:rsidR="003916DD">
        <w:rPr>
          <w:rFonts w:cstheme="minorHAnsi"/>
          <w:color w:val="000000" w:themeColor="text1"/>
          <w:sz w:val="22"/>
          <w:szCs w:val="22"/>
        </w:rPr>
        <w:t>=</w:t>
      </w:r>
      <w:r w:rsidR="00784F92">
        <w:rPr>
          <w:rFonts w:cstheme="minorHAnsi"/>
          <w:color w:val="000000" w:themeColor="text1"/>
          <w:sz w:val="22"/>
          <w:szCs w:val="22"/>
        </w:rPr>
        <w:t>5</w:t>
      </w:r>
      <w:r w:rsidR="00124053">
        <w:rPr>
          <w:rFonts w:cstheme="minorHAnsi"/>
          <w:color w:val="000000" w:themeColor="text1"/>
          <w:sz w:val="22"/>
          <w:szCs w:val="22"/>
        </w:rPr>
        <w:t>8</w:t>
      </w:r>
      <w:r w:rsidR="003916DD">
        <w:rPr>
          <w:rFonts w:cstheme="minorHAnsi"/>
          <w:color w:val="000000" w:themeColor="text1"/>
          <w:sz w:val="22"/>
          <w:szCs w:val="22"/>
        </w:rPr>
        <w:t xml:space="preserve">) </w:t>
      </w:r>
      <w:r w:rsidRPr="00B256C8">
        <w:rPr>
          <w:rFonts w:cstheme="minorHAnsi"/>
          <w:color w:val="000000" w:themeColor="text1"/>
          <w:sz w:val="22"/>
          <w:szCs w:val="22"/>
        </w:rPr>
        <w:t>was through a curvilinear quadratic regression model.</w:t>
      </w:r>
      <w:r w:rsidRPr="00B256C8">
        <w:rPr>
          <w:rFonts w:cstheme="minorHAnsi"/>
          <w:b/>
          <w:bCs/>
          <w:color w:val="000000" w:themeColor="text1"/>
          <w:sz w:val="22"/>
          <w:szCs w:val="22"/>
        </w:rPr>
        <w:t xml:space="preserve"> </w:t>
      </w:r>
      <w:r w:rsidRPr="00B256C8">
        <w:rPr>
          <w:rFonts w:cstheme="minorHAnsi"/>
          <w:color w:val="000000" w:themeColor="text1"/>
          <w:sz w:val="22"/>
          <w:szCs w:val="22"/>
        </w:rPr>
        <w:t xml:space="preserve">Excludes outlier. </w:t>
      </w:r>
      <w:r w:rsidRPr="00B256C8">
        <w:rPr>
          <w:rFonts w:cstheme="minorHAnsi"/>
          <w:b/>
          <w:bCs/>
          <w:color w:val="000000" w:themeColor="text1"/>
          <w:sz w:val="22"/>
          <w:szCs w:val="22"/>
        </w:rPr>
        <w:t>b</w:t>
      </w:r>
      <w:r w:rsidRPr="00B256C8">
        <w:rPr>
          <w:rFonts w:cstheme="minorHAnsi"/>
          <w:color w:val="000000" w:themeColor="text1"/>
          <w:sz w:val="22"/>
          <w:szCs w:val="22"/>
        </w:rPr>
        <w:t xml:space="preserve"> Scatter plot illustrating the significant relationship between log-transformed BMI gained after 14 months and </w:t>
      </w:r>
      <w:r w:rsidR="001A0B4E">
        <w:rPr>
          <w:rFonts w:cstheme="minorHAnsi"/>
          <w:color w:val="000000" w:themeColor="text1"/>
          <w:sz w:val="22"/>
          <w:szCs w:val="22"/>
        </w:rPr>
        <w:t>log-</w:t>
      </w:r>
      <w:r w:rsidRPr="00B256C8">
        <w:rPr>
          <w:rFonts w:cstheme="minorHAnsi"/>
          <w:color w:val="000000" w:themeColor="text1"/>
          <w:sz w:val="22"/>
          <w:szCs w:val="22"/>
        </w:rPr>
        <w:t>RP</w:t>
      </w:r>
      <w:r w:rsidR="003916DD">
        <w:rPr>
          <w:rFonts w:cstheme="minorHAnsi"/>
          <w:color w:val="000000" w:themeColor="text1"/>
          <w:sz w:val="22"/>
          <w:szCs w:val="22"/>
        </w:rPr>
        <w:t xml:space="preserve"> (</w:t>
      </w:r>
      <w:r w:rsidR="003916DD" w:rsidRPr="003916DD">
        <w:rPr>
          <w:rFonts w:cstheme="minorHAnsi"/>
          <w:i/>
          <w:iCs/>
          <w:color w:val="000000" w:themeColor="text1"/>
          <w:sz w:val="22"/>
          <w:szCs w:val="22"/>
        </w:rPr>
        <w:t>n</w:t>
      </w:r>
      <w:r w:rsidR="003916DD">
        <w:rPr>
          <w:rFonts w:cstheme="minorHAnsi"/>
          <w:color w:val="000000" w:themeColor="text1"/>
          <w:sz w:val="22"/>
          <w:szCs w:val="22"/>
        </w:rPr>
        <w:t>=</w:t>
      </w:r>
      <w:r w:rsidR="001A0B4E">
        <w:rPr>
          <w:rFonts w:cstheme="minorHAnsi"/>
          <w:color w:val="000000" w:themeColor="text1"/>
          <w:sz w:val="22"/>
          <w:szCs w:val="22"/>
        </w:rPr>
        <w:t>5</w:t>
      </w:r>
      <w:r w:rsidR="0047692B">
        <w:rPr>
          <w:rFonts w:cstheme="minorHAnsi"/>
          <w:color w:val="000000" w:themeColor="text1"/>
          <w:sz w:val="22"/>
          <w:szCs w:val="22"/>
        </w:rPr>
        <w:t>4</w:t>
      </w:r>
      <w:r w:rsidR="003916DD">
        <w:rPr>
          <w:rFonts w:cstheme="minorHAnsi"/>
          <w:color w:val="000000" w:themeColor="text1"/>
          <w:sz w:val="22"/>
          <w:szCs w:val="22"/>
        </w:rPr>
        <w:t>)</w:t>
      </w:r>
      <w:r w:rsidR="004D27E4">
        <w:rPr>
          <w:rFonts w:cstheme="minorHAnsi"/>
          <w:color w:val="000000" w:themeColor="text1"/>
          <w:sz w:val="22"/>
          <w:szCs w:val="22"/>
        </w:rPr>
        <w:t xml:space="preserve">. </w:t>
      </w:r>
      <w:r w:rsidR="004D27E4" w:rsidRPr="00B256C8">
        <w:rPr>
          <w:rFonts w:cstheme="minorHAnsi"/>
          <w:color w:val="000000" w:themeColor="text1"/>
          <w:sz w:val="22"/>
          <w:szCs w:val="22"/>
        </w:rPr>
        <w:t xml:space="preserve">Excludes </w:t>
      </w:r>
      <w:r w:rsidR="00FA43DD">
        <w:rPr>
          <w:rFonts w:cstheme="minorHAnsi"/>
          <w:color w:val="000000" w:themeColor="text1"/>
          <w:sz w:val="22"/>
          <w:szCs w:val="22"/>
        </w:rPr>
        <w:t xml:space="preserve">two </w:t>
      </w:r>
      <w:r w:rsidR="004D27E4" w:rsidRPr="00B256C8">
        <w:rPr>
          <w:rFonts w:cstheme="minorHAnsi"/>
          <w:color w:val="000000" w:themeColor="text1"/>
          <w:sz w:val="22"/>
          <w:szCs w:val="22"/>
        </w:rPr>
        <w:t>outlier</w:t>
      </w:r>
      <w:r w:rsidR="00456594">
        <w:rPr>
          <w:rFonts w:cstheme="minorHAnsi"/>
          <w:color w:val="000000" w:themeColor="text1"/>
          <w:sz w:val="22"/>
          <w:szCs w:val="22"/>
        </w:rPr>
        <w:t>s</w:t>
      </w:r>
      <w:r w:rsidR="004D27E4">
        <w:rPr>
          <w:rFonts w:cstheme="minorHAnsi"/>
          <w:color w:val="000000" w:themeColor="text1"/>
          <w:sz w:val="22"/>
          <w:szCs w:val="22"/>
        </w:rPr>
        <w:t>, and RP of 10 (n=2)</w:t>
      </w:r>
      <w:r w:rsidRPr="00B256C8">
        <w:rPr>
          <w:rFonts w:cstheme="minorHAnsi"/>
          <w:color w:val="000000" w:themeColor="text1"/>
          <w:sz w:val="22"/>
          <w:szCs w:val="22"/>
        </w:rPr>
        <w:t>.</w:t>
      </w:r>
      <w:r w:rsidRPr="00B256C8">
        <w:rPr>
          <w:rFonts w:cstheme="minorHAnsi"/>
          <w:b/>
          <w:bCs/>
          <w:color w:val="000000" w:themeColor="text1"/>
          <w:sz w:val="22"/>
          <w:szCs w:val="22"/>
        </w:rPr>
        <w:t xml:space="preserve"> c</w:t>
      </w:r>
      <w:r w:rsidRPr="00B256C8">
        <w:rPr>
          <w:rFonts w:cstheme="minorHAnsi"/>
          <w:color w:val="000000" w:themeColor="text1"/>
          <w:sz w:val="22"/>
          <w:szCs w:val="22"/>
        </w:rPr>
        <w:t xml:space="preserve"> </w:t>
      </w:r>
      <w:r w:rsidRPr="00D35872">
        <w:rPr>
          <w:rFonts w:eastAsiaTheme="minorEastAsia"/>
          <w:color w:val="000000" w:themeColor="text1"/>
          <w:sz w:val="22"/>
          <w:szCs w:val="22"/>
          <w:lang w:eastAsia="zh-CN"/>
        </w:rPr>
        <w:t>Kruskal Wallis H test with multiple comparisons</w:t>
      </w:r>
      <w:r w:rsidRPr="00D35872">
        <w:rPr>
          <w:rFonts w:cstheme="minorHAnsi"/>
          <w:color w:val="000000" w:themeColor="text1"/>
          <w:sz w:val="22"/>
          <w:szCs w:val="22"/>
        </w:rPr>
        <w:t xml:space="preserve"> illustrating the significantly greater gain in weight </w:t>
      </w:r>
      <w:r w:rsidR="00F51A98" w:rsidRPr="00D35872">
        <w:rPr>
          <w:rFonts w:cstheme="minorHAnsi"/>
          <w:color w:val="000000" w:themeColor="text1"/>
          <w:sz w:val="22"/>
          <w:szCs w:val="22"/>
        </w:rPr>
        <w:t>for those with RP of seven (</w:t>
      </w:r>
      <w:r w:rsidR="00F51A98" w:rsidRPr="00D35872">
        <w:rPr>
          <w:rFonts w:cstheme="minorHAnsi"/>
          <w:i/>
          <w:iCs/>
          <w:color w:val="000000" w:themeColor="text1"/>
          <w:sz w:val="22"/>
          <w:szCs w:val="22"/>
        </w:rPr>
        <w:t>n</w:t>
      </w:r>
      <w:r w:rsidR="00F51A98" w:rsidRPr="00D35872">
        <w:rPr>
          <w:rFonts w:cstheme="minorHAnsi"/>
          <w:color w:val="000000" w:themeColor="text1"/>
          <w:sz w:val="22"/>
          <w:szCs w:val="22"/>
        </w:rPr>
        <w:t>=1</w:t>
      </w:r>
      <w:r w:rsidR="00B56F06" w:rsidRPr="00D35872">
        <w:rPr>
          <w:rFonts w:cstheme="minorHAnsi"/>
          <w:color w:val="000000" w:themeColor="text1"/>
          <w:sz w:val="22"/>
          <w:szCs w:val="22"/>
        </w:rPr>
        <w:t>2</w:t>
      </w:r>
      <w:r w:rsidR="00F51A98" w:rsidRPr="00D35872">
        <w:rPr>
          <w:rFonts w:cstheme="minorHAnsi"/>
          <w:color w:val="000000" w:themeColor="text1"/>
          <w:sz w:val="22"/>
          <w:szCs w:val="22"/>
        </w:rPr>
        <w:t>), or eight days (</w:t>
      </w:r>
      <w:r w:rsidR="00F51A98" w:rsidRPr="00D35872">
        <w:rPr>
          <w:rFonts w:cstheme="minorHAnsi"/>
          <w:i/>
          <w:iCs/>
          <w:color w:val="000000" w:themeColor="text1"/>
          <w:sz w:val="22"/>
          <w:szCs w:val="22"/>
        </w:rPr>
        <w:t>n</w:t>
      </w:r>
      <w:r w:rsidR="00F51A98" w:rsidRPr="00D35872">
        <w:rPr>
          <w:rFonts w:cstheme="minorHAnsi"/>
          <w:color w:val="000000" w:themeColor="text1"/>
          <w:sz w:val="22"/>
          <w:szCs w:val="22"/>
        </w:rPr>
        <w:t>=15) compared to those with an RP of six days</w:t>
      </w:r>
      <w:r w:rsidR="00380E77" w:rsidRPr="00D35872">
        <w:rPr>
          <w:rFonts w:cstheme="minorHAnsi"/>
          <w:color w:val="000000" w:themeColor="text1"/>
          <w:sz w:val="22"/>
          <w:szCs w:val="22"/>
        </w:rPr>
        <w:t xml:space="preserve"> </w:t>
      </w:r>
      <w:r w:rsidR="00F51A98" w:rsidRPr="00D35872">
        <w:rPr>
          <w:rFonts w:cstheme="minorHAnsi"/>
          <w:color w:val="000000" w:themeColor="text1"/>
          <w:sz w:val="22"/>
          <w:szCs w:val="22"/>
        </w:rPr>
        <w:t>(</w:t>
      </w:r>
      <w:r w:rsidR="00F51A98" w:rsidRPr="00D35872">
        <w:rPr>
          <w:rFonts w:cstheme="minorHAnsi"/>
          <w:i/>
          <w:iCs/>
          <w:color w:val="000000" w:themeColor="text1"/>
          <w:sz w:val="22"/>
          <w:szCs w:val="22"/>
        </w:rPr>
        <w:t>n</w:t>
      </w:r>
      <w:r w:rsidR="00F51A98" w:rsidRPr="00D35872">
        <w:rPr>
          <w:rFonts w:cstheme="minorHAnsi"/>
          <w:color w:val="000000" w:themeColor="text1"/>
          <w:sz w:val="22"/>
          <w:szCs w:val="22"/>
        </w:rPr>
        <w:t>=1</w:t>
      </w:r>
      <w:r w:rsidR="00B56F06" w:rsidRPr="00D35872">
        <w:rPr>
          <w:rFonts w:cstheme="minorHAnsi"/>
          <w:color w:val="000000" w:themeColor="text1"/>
          <w:sz w:val="22"/>
          <w:szCs w:val="22"/>
        </w:rPr>
        <w:t>4</w:t>
      </w:r>
      <w:r w:rsidR="00F51A98" w:rsidRPr="00D35872">
        <w:rPr>
          <w:rFonts w:cstheme="minorHAnsi"/>
          <w:color w:val="000000" w:themeColor="text1"/>
          <w:sz w:val="22"/>
          <w:szCs w:val="22"/>
        </w:rPr>
        <w:t xml:space="preserve">; </w:t>
      </w:r>
      <w:r w:rsidR="00003EBC">
        <w:rPr>
          <w:rFonts w:cstheme="minorHAnsi"/>
          <w:color w:val="000000" w:themeColor="text1"/>
          <w:sz w:val="22"/>
          <w:szCs w:val="22"/>
        </w:rPr>
        <w:t xml:space="preserve">one </w:t>
      </w:r>
      <w:r w:rsidR="000C355E" w:rsidRPr="00D35872">
        <w:rPr>
          <w:rFonts w:cstheme="minorHAnsi"/>
          <w:color w:val="000000" w:themeColor="text1"/>
          <w:sz w:val="22"/>
          <w:szCs w:val="22"/>
        </w:rPr>
        <w:t>outlier removed</w:t>
      </w:r>
      <w:r w:rsidR="00380E77" w:rsidRPr="00D35872">
        <w:rPr>
          <w:rFonts w:cstheme="minorHAnsi"/>
          <w:color w:val="000000" w:themeColor="text1"/>
          <w:sz w:val="22"/>
          <w:szCs w:val="22"/>
        </w:rPr>
        <w:t>)</w:t>
      </w:r>
      <w:r w:rsidR="00F51A98" w:rsidRPr="00D35872">
        <w:rPr>
          <w:rFonts w:cstheme="minorHAnsi"/>
          <w:color w:val="000000" w:themeColor="text1"/>
          <w:sz w:val="22"/>
          <w:szCs w:val="22"/>
        </w:rPr>
        <w:t>.</w:t>
      </w:r>
      <w:r w:rsidR="00F51A98">
        <w:rPr>
          <w:rFonts w:cstheme="minorHAnsi"/>
          <w:color w:val="000000" w:themeColor="text1"/>
          <w:sz w:val="22"/>
          <w:szCs w:val="22"/>
        </w:rPr>
        <w:t xml:space="preserve"> </w:t>
      </w:r>
      <w:r w:rsidRPr="00B256C8">
        <w:rPr>
          <w:rFonts w:cstheme="minorHAnsi"/>
          <w:b/>
          <w:bCs/>
          <w:color w:val="000000" w:themeColor="text1"/>
          <w:sz w:val="22"/>
          <w:szCs w:val="22"/>
        </w:rPr>
        <w:t>d</w:t>
      </w:r>
      <w:r w:rsidRPr="00B256C8">
        <w:rPr>
          <w:rFonts w:cstheme="minorHAnsi"/>
          <w:color w:val="000000" w:themeColor="text1"/>
          <w:sz w:val="22"/>
          <w:szCs w:val="22"/>
        </w:rPr>
        <w:t xml:space="preserve"> </w:t>
      </w:r>
      <w:r w:rsidR="00F51A98" w:rsidRPr="00B256C8">
        <w:rPr>
          <w:rFonts w:eastAsiaTheme="minorEastAsia"/>
          <w:color w:val="000000" w:themeColor="text1"/>
          <w:sz w:val="22"/>
          <w:szCs w:val="22"/>
          <w:lang w:eastAsia="zh-CN"/>
        </w:rPr>
        <w:t>Kruskal Wallis H test with multiple comparisons</w:t>
      </w:r>
      <w:r w:rsidR="00F51A98" w:rsidRPr="00B256C8">
        <w:rPr>
          <w:rFonts w:cstheme="minorHAnsi"/>
          <w:color w:val="000000" w:themeColor="text1"/>
          <w:sz w:val="22"/>
          <w:szCs w:val="22"/>
        </w:rPr>
        <w:t xml:space="preserve"> </w:t>
      </w:r>
      <w:r w:rsidR="00F51A98">
        <w:rPr>
          <w:rFonts w:cstheme="minorHAnsi"/>
          <w:color w:val="000000" w:themeColor="text1"/>
          <w:sz w:val="22"/>
          <w:szCs w:val="22"/>
        </w:rPr>
        <w:t xml:space="preserve">showing the significantly greater </w:t>
      </w:r>
      <w:r w:rsidRPr="00B256C8">
        <w:rPr>
          <w:rFonts w:cstheme="minorHAnsi"/>
          <w:color w:val="000000" w:themeColor="text1"/>
          <w:sz w:val="22"/>
          <w:szCs w:val="22"/>
        </w:rPr>
        <w:t xml:space="preserve">BMI for those with RP of seven </w:t>
      </w:r>
      <w:r w:rsidR="00F51A98">
        <w:rPr>
          <w:rFonts w:cstheme="minorHAnsi"/>
          <w:color w:val="000000" w:themeColor="text1"/>
          <w:sz w:val="22"/>
          <w:szCs w:val="22"/>
        </w:rPr>
        <w:t>(</w:t>
      </w:r>
      <w:r w:rsidR="00F51A98" w:rsidRPr="003916DD">
        <w:rPr>
          <w:rFonts w:cstheme="minorHAnsi"/>
          <w:i/>
          <w:iCs/>
          <w:color w:val="000000" w:themeColor="text1"/>
          <w:sz w:val="22"/>
          <w:szCs w:val="22"/>
        </w:rPr>
        <w:t>n</w:t>
      </w:r>
      <w:r w:rsidR="00F51A98">
        <w:rPr>
          <w:rFonts w:cstheme="minorHAnsi"/>
          <w:color w:val="000000" w:themeColor="text1"/>
          <w:sz w:val="22"/>
          <w:szCs w:val="22"/>
        </w:rPr>
        <w:t>=1</w:t>
      </w:r>
      <w:r w:rsidR="00D35872">
        <w:rPr>
          <w:rFonts w:cstheme="minorHAnsi"/>
          <w:color w:val="000000" w:themeColor="text1"/>
          <w:sz w:val="22"/>
          <w:szCs w:val="22"/>
        </w:rPr>
        <w:t>2</w:t>
      </w:r>
      <w:r w:rsidR="00F51A98">
        <w:rPr>
          <w:rFonts w:cstheme="minorHAnsi"/>
          <w:color w:val="000000" w:themeColor="text1"/>
          <w:sz w:val="22"/>
          <w:szCs w:val="22"/>
        </w:rPr>
        <w:t xml:space="preserve">), </w:t>
      </w:r>
      <w:r w:rsidRPr="00B256C8">
        <w:rPr>
          <w:rFonts w:cstheme="minorHAnsi"/>
          <w:color w:val="000000" w:themeColor="text1"/>
          <w:sz w:val="22"/>
          <w:szCs w:val="22"/>
        </w:rPr>
        <w:t xml:space="preserve">or eight days </w:t>
      </w:r>
      <w:r w:rsidR="00F51A98">
        <w:rPr>
          <w:rFonts w:cstheme="minorHAnsi"/>
          <w:color w:val="000000" w:themeColor="text1"/>
          <w:sz w:val="22"/>
          <w:szCs w:val="22"/>
        </w:rPr>
        <w:t>(</w:t>
      </w:r>
      <w:r w:rsidR="00F51A98" w:rsidRPr="003916DD">
        <w:rPr>
          <w:rFonts w:cstheme="minorHAnsi"/>
          <w:i/>
          <w:iCs/>
          <w:color w:val="000000" w:themeColor="text1"/>
          <w:sz w:val="22"/>
          <w:szCs w:val="22"/>
        </w:rPr>
        <w:t>n</w:t>
      </w:r>
      <w:r w:rsidR="00F51A98">
        <w:rPr>
          <w:rFonts w:cstheme="minorHAnsi"/>
          <w:color w:val="000000" w:themeColor="text1"/>
          <w:sz w:val="22"/>
          <w:szCs w:val="22"/>
        </w:rPr>
        <w:t>=15)</w:t>
      </w:r>
      <w:r w:rsidR="00F51A98" w:rsidRPr="00B256C8">
        <w:rPr>
          <w:rFonts w:cstheme="minorHAnsi"/>
          <w:color w:val="000000" w:themeColor="text1"/>
          <w:sz w:val="22"/>
          <w:szCs w:val="22"/>
        </w:rPr>
        <w:t xml:space="preserve"> </w:t>
      </w:r>
      <w:r w:rsidRPr="00B256C8">
        <w:rPr>
          <w:rFonts w:cstheme="minorHAnsi"/>
          <w:color w:val="000000" w:themeColor="text1"/>
          <w:sz w:val="22"/>
          <w:szCs w:val="22"/>
        </w:rPr>
        <w:t>compared to those with an RP of six days</w:t>
      </w:r>
      <w:r w:rsidR="000C355E">
        <w:rPr>
          <w:rFonts w:cstheme="minorHAnsi"/>
          <w:color w:val="000000" w:themeColor="text1"/>
          <w:sz w:val="22"/>
          <w:szCs w:val="22"/>
        </w:rPr>
        <w:t xml:space="preserve"> (</w:t>
      </w:r>
      <w:r w:rsidR="00F17F58" w:rsidRPr="003916DD">
        <w:rPr>
          <w:rFonts w:cstheme="minorHAnsi"/>
          <w:i/>
          <w:iCs/>
          <w:color w:val="000000" w:themeColor="text1"/>
          <w:sz w:val="22"/>
          <w:szCs w:val="22"/>
        </w:rPr>
        <w:t>n</w:t>
      </w:r>
      <w:r w:rsidR="00F17F58">
        <w:rPr>
          <w:rFonts w:cstheme="minorHAnsi"/>
          <w:color w:val="000000" w:themeColor="text1"/>
          <w:sz w:val="22"/>
          <w:szCs w:val="22"/>
        </w:rPr>
        <w:t xml:space="preserve">=16; </w:t>
      </w:r>
      <w:r w:rsidR="000C355E">
        <w:rPr>
          <w:rFonts w:cstheme="minorHAnsi"/>
          <w:color w:val="000000" w:themeColor="text1"/>
          <w:sz w:val="22"/>
          <w:szCs w:val="22"/>
        </w:rPr>
        <w:t>one outlier removed)</w:t>
      </w:r>
      <w:r w:rsidRPr="00B256C8">
        <w:rPr>
          <w:rFonts w:cstheme="minorHAnsi"/>
          <w:color w:val="000000" w:themeColor="text1"/>
          <w:sz w:val="22"/>
          <w:szCs w:val="22"/>
        </w:rPr>
        <w:t xml:space="preserve">. </w:t>
      </w:r>
      <w:r w:rsidRPr="00B256C8">
        <w:rPr>
          <w:rFonts w:cstheme="minorHAnsi"/>
          <w:b/>
          <w:bCs/>
          <w:color w:val="000000" w:themeColor="text1"/>
          <w:sz w:val="22"/>
          <w:szCs w:val="22"/>
        </w:rPr>
        <w:t xml:space="preserve">e </w:t>
      </w:r>
      <w:r w:rsidRPr="00B256C8">
        <w:rPr>
          <w:rFonts w:cstheme="minorHAnsi"/>
          <w:color w:val="000000" w:themeColor="text1"/>
          <w:sz w:val="22"/>
          <w:szCs w:val="22"/>
        </w:rPr>
        <w:t xml:space="preserve">BMI percentile at the start of the project split into </w:t>
      </w:r>
      <w:r w:rsidR="00380E77">
        <w:rPr>
          <w:rFonts w:cstheme="minorHAnsi"/>
          <w:color w:val="000000" w:themeColor="text1"/>
          <w:sz w:val="22"/>
          <w:szCs w:val="22"/>
        </w:rPr>
        <w:t xml:space="preserve">those that have a percentile that is </w:t>
      </w:r>
      <w:r w:rsidRPr="00B256C8">
        <w:rPr>
          <w:rFonts w:cstheme="minorHAnsi"/>
          <w:color w:val="000000" w:themeColor="text1"/>
          <w:sz w:val="22"/>
          <w:szCs w:val="22"/>
        </w:rPr>
        <w:t>less than 95% and greater than 95% compared to a faster (low RP value) and slower biorhythm (high RP value)</w:t>
      </w:r>
      <w:r w:rsidR="00380E77">
        <w:rPr>
          <w:rFonts w:cstheme="minorHAnsi"/>
          <w:color w:val="000000" w:themeColor="text1"/>
          <w:sz w:val="22"/>
          <w:szCs w:val="22"/>
        </w:rPr>
        <w:t>;</w:t>
      </w:r>
      <w:r w:rsidRPr="00B256C8">
        <w:rPr>
          <w:rFonts w:cstheme="minorHAnsi"/>
          <w:color w:val="000000" w:themeColor="text1"/>
          <w:sz w:val="22"/>
          <w:szCs w:val="22"/>
        </w:rPr>
        <w:t xml:space="preserve"> and </w:t>
      </w:r>
      <w:r w:rsidR="00DB1EA1" w:rsidRPr="00DB1EA1">
        <w:rPr>
          <w:rFonts w:cstheme="minorHAnsi"/>
          <w:b/>
          <w:bCs/>
          <w:color w:val="000000" w:themeColor="text1"/>
          <w:sz w:val="22"/>
          <w:szCs w:val="22"/>
        </w:rPr>
        <w:t>f</w:t>
      </w:r>
      <w:r w:rsidRPr="00B256C8">
        <w:rPr>
          <w:rFonts w:cstheme="minorHAnsi"/>
          <w:color w:val="000000" w:themeColor="text1"/>
          <w:sz w:val="22"/>
          <w:szCs w:val="22"/>
        </w:rPr>
        <w:t xml:space="preserve"> after 14 months, illustrating the significant association between obesity and a slow biorhythm. </w:t>
      </w:r>
      <w:r w:rsidRPr="00B256C8">
        <w:rPr>
          <w:rFonts w:eastAsiaTheme="minorEastAsia"/>
          <w:color w:val="000000" w:themeColor="text1"/>
          <w:sz w:val="22"/>
          <w:szCs w:val="22"/>
          <w:lang w:eastAsia="zh-CN"/>
        </w:rPr>
        <w:t>*</w:t>
      </w:r>
      <w:r w:rsidR="000575E9">
        <w:rPr>
          <w:rFonts w:eastAsiaTheme="minorEastAsia"/>
          <w:color w:val="000000" w:themeColor="text1"/>
          <w:sz w:val="22"/>
          <w:szCs w:val="22"/>
          <w:lang w:eastAsia="zh-CN"/>
        </w:rPr>
        <w:t>*</w:t>
      </w:r>
      <w:r w:rsidRPr="00B256C8">
        <w:rPr>
          <w:rFonts w:eastAsiaTheme="minorEastAsia"/>
          <w:color w:val="000000" w:themeColor="text1"/>
          <w:sz w:val="22"/>
          <w:szCs w:val="22"/>
          <w:lang w:eastAsia="zh-CN"/>
        </w:rPr>
        <w:t xml:space="preserve">p &lt; 0.05. </w:t>
      </w:r>
      <w:r w:rsidR="000C355E" w:rsidRPr="007D3583">
        <w:rPr>
          <w:rFonts w:eastAsiaTheme="minorEastAsia"/>
          <w:sz w:val="22"/>
          <w:szCs w:val="22"/>
        </w:rPr>
        <w:t xml:space="preserve">Data are represented as </w:t>
      </w:r>
      <w:r w:rsidR="000C355E">
        <w:rPr>
          <w:rFonts w:eastAsiaTheme="minorEastAsia"/>
          <w:sz w:val="22"/>
          <w:szCs w:val="22"/>
        </w:rPr>
        <w:t>box plots in</w:t>
      </w:r>
      <w:r w:rsidR="000C355E" w:rsidRPr="000C355E">
        <w:rPr>
          <w:rFonts w:eastAsiaTheme="minorEastAsia"/>
          <w:b/>
          <w:bCs/>
          <w:sz w:val="22"/>
          <w:szCs w:val="22"/>
        </w:rPr>
        <w:t xml:space="preserve"> c</w:t>
      </w:r>
      <w:r w:rsidR="000C355E">
        <w:rPr>
          <w:rFonts w:eastAsiaTheme="minorEastAsia"/>
          <w:sz w:val="22"/>
          <w:szCs w:val="22"/>
        </w:rPr>
        <w:t xml:space="preserve"> and </w:t>
      </w:r>
      <w:r w:rsidR="000C355E" w:rsidRPr="000C355E">
        <w:rPr>
          <w:rFonts w:eastAsiaTheme="minorEastAsia"/>
          <w:b/>
          <w:bCs/>
          <w:sz w:val="22"/>
          <w:szCs w:val="22"/>
        </w:rPr>
        <w:t>d</w:t>
      </w:r>
      <w:r w:rsidR="000C355E">
        <w:rPr>
          <w:rFonts w:eastAsiaTheme="minorEastAsia"/>
          <w:sz w:val="22"/>
          <w:szCs w:val="22"/>
        </w:rPr>
        <w:t xml:space="preserve"> showing interquartile ranges, and whiskers that illustrate the minimum and maximum values that were not outliers. Bars represent number of individuals in </w:t>
      </w:r>
      <w:r w:rsidR="000C355E" w:rsidRPr="000C355E">
        <w:rPr>
          <w:rFonts w:eastAsiaTheme="minorEastAsia"/>
          <w:b/>
          <w:bCs/>
          <w:sz w:val="22"/>
          <w:szCs w:val="22"/>
        </w:rPr>
        <w:t xml:space="preserve">e </w:t>
      </w:r>
      <w:r w:rsidR="000C355E">
        <w:rPr>
          <w:rFonts w:eastAsiaTheme="minorEastAsia"/>
          <w:sz w:val="22"/>
          <w:szCs w:val="22"/>
        </w:rPr>
        <w:t>and</w:t>
      </w:r>
      <w:r w:rsidR="000C355E" w:rsidRPr="000C355E">
        <w:rPr>
          <w:rFonts w:eastAsiaTheme="minorEastAsia"/>
          <w:b/>
          <w:bCs/>
          <w:sz w:val="22"/>
          <w:szCs w:val="22"/>
        </w:rPr>
        <w:t xml:space="preserve"> f</w:t>
      </w:r>
      <w:r w:rsidR="000C355E">
        <w:rPr>
          <w:rFonts w:eastAsiaTheme="minorEastAsia"/>
          <w:color w:val="000000" w:themeColor="text1"/>
          <w:sz w:val="22"/>
          <w:szCs w:val="22"/>
          <w:lang w:eastAsia="zh-CN"/>
        </w:rPr>
        <w:t xml:space="preserve">. </w:t>
      </w:r>
    </w:p>
    <w:p w14:paraId="1C1D9CA8" w14:textId="77777777" w:rsidR="00091421" w:rsidRDefault="00091421" w:rsidP="00091421"/>
    <w:p w14:paraId="370FA8E8" w14:textId="3BE90A21" w:rsidR="00091421" w:rsidRPr="00B256C8" w:rsidRDefault="00091421" w:rsidP="00091421">
      <w:pPr>
        <w:spacing w:after="120" w:line="276" w:lineRule="auto"/>
        <w:jc w:val="both"/>
        <w:rPr>
          <w:rFonts w:cstheme="minorHAnsi"/>
          <w:b/>
          <w:bCs/>
          <w:color w:val="000000" w:themeColor="text1"/>
          <w:sz w:val="22"/>
          <w:szCs w:val="22"/>
        </w:rPr>
      </w:pPr>
      <w:r w:rsidRPr="00B256C8">
        <w:rPr>
          <w:rFonts w:cstheme="minorHAnsi"/>
          <w:b/>
          <w:bCs/>
          <w:color w:val="000000" w:themeColor="text1"/>
        </w:rPr>
        <w:t xml:space="preserve">Fig. 4: </w:t>
      </w:r>
      <w:r w:rsidR="00576D97">
        <w:rPr>
          <w:rFonts w:cstheme="minorHAnsi"/>
          <w:b/>
          <w:bCs/>
          <w:color w:val="000000" w:themeColor="text1"/>
        </w:rPr>
        <w:t>A</w:t>
      </w:r>
      <w:r w:rsidRPr="00B256C8">
        <w:rPr>
          <w:rFonts w:cstheme="minorHAnsi"/>
          <w:b/>
          <w:bCs/>
          <w:color w:val="000000" w:themeColor="text1"/>
        </w:rPr>
        <w:t>verage weight relates to RP-biorhythm</w:t>
      </w:r>
      <w:r w:rsidRPr="00B256C8">
        <w:rPr>
          <w:rFonts w:cstheme="minorHAnsi"/>
          <w:b/>
          <w:bCs/>
          <w:color w:val="000000" w:themeColor="text1"/>
          <w:sz w:val="22"/>
          <w:szCs w:val="22"/>
        </w:rPr>
        <w:t>.</w:t>
      </w:r>
    </w:p>
    <w:p w14:paraId="0162319E" w14:textId="52D7357C" w:rsidR="00DB1EA1" w:rsidRPr="00F82653" w:rsidRDefault="00091421" w:rsidP="005820E3">
      <w:pPr>
        <w:spacing w:line="276" w:lineRule="auto"/>
        <w:jc w:val="both"/>
        <w:rPr>
          <w:b/>
          <w:bCs/>
          <w:color w:val="000000" w:themeColor="text1"/>
          <w:sz w:val="22"/>
          <w:szCs w:val="22"/>
        </w:rPr>
      </w:pPr>
      <w:r w:rsidRPr="00B256C8">
        <w:rPr>
          <w:rFonts w:cstheme="minorHAnsi"/>
          <w:b/>
          <w:bCs/>
          <w:color w:val="000000" w:themeColor="text1"/>
          <w:sz w:val="22"/>
          <w:szCs w:val="22"/>
        </w:rPr>
        <w:t>a</w:t>
      </w:r>
      <w:r w:rsidRPr="00B256C8">
        <w:rPr>
          <w:rFonts w:cstheme="minorHAnsi"/>
          <w:color w:val="000000" w:themeColor="text1"/>
          <w:sz w:val="22"/>
          <w:szCs w:val="22"/>
        </w:rPr>
        <w:t xml:space="preserve"> Scatter plot illustrating the significant relationship between log-transformed total average weight over 14 </w:t>
      </w:r>
      <w:r w:rsidRPr="00A65224">
        <w:rPr>
          <w:color w:val="000000" w:themeColor="text1"/>
          <w:sz w:val="22"/>
          <w:szCs w:val="22"/>
        </w:rPr>
        <w:t xml:space="preserve">months </w:t>
      </w:r>
      <w:r w:rsidR="00A65224" w:rsidRPr="00A65224">
        <w:rPr>
          <w:color w:val="000000" w:themeColor="text1"/>
          <w:sz w:val="22"/>
          <w:szCs w:val="22"/>
        </w:rPr>
        <w:t xml:space="preserve">(September 2019 to October 2020) </w:t>
      </w:r>
      <w:r w:rsidRPr="00A65224">
        <w:rPr>
          <w:color w:val="000000" w:themeColor="text1"/>
          <w:sz w:val="22"/>
          <w:szCs w:val="22"/>
        </w:rPr>
        <w:t xml:space="preserve">and RP </w:t>
      </w:r>
      <w:r w:rsidR="0065062B" w:rsidRPr="00A65224">
        <w:rPr>
          <w:color w:val="000000" w:themeColor="text1"/>
          <w:sz w:val="22"/>
          <w:szCs w:val="22"/>
        </w:rPr>
        <w:t>(</w:t>
      </w:r>
      <w:r w:rsidR="0065062B" w:rsidRPr="00A65224">
        <w:rPr>
          <w:i/>
          <w:iCs/>
          <w:color w:val="000000" w:themeColor="text1"/>
          <w:sz w:val="22"/>
          <w:szCs w:val="22"/>
        </w:rPr>
        <w:t>n</w:t>
      </w:r>
      <w:r w:rsidR="0065062B" w:rsidRPr="00A65224">
        <w:rPr>
          <w:color w:val="000000" w:themeColor="text1"/>
          <w:sz w:val="22"/>
          <w:szCs w:val="22"/>
        </w:rPr>
        <w:t>=6</w:t>
      </w:r>
      <w:r w:rsidR="001A04D9" w:rsidRPr="00A65224">
        <w:rPr>
          <w:color w:val="000000" w:themeColor="text1"/>
          <w:sz w:val="22"/>
          <w:szCs w:val="22"/>
        </w:rPr>
        <w:t>0</w:t>
      </w:r>
      <w:r w:rsidR="0065062B" w:rsidRPr="00A65224">
        <w:rPr>
          <w:color w:val="000000" w:themeColor="text1"/>
          <w:sz w:val="22"/>
          <w:szCs w:val="22"/>
        </w:rPr>
        <w:t xml:space="preserve">) </w:t>
      </w:r>
      <w:r w:rsidRPr="00A65224">
        <w:rPr>
          <w:color w:val="000000" w:themeColor="text1"/>
          <w:sz w:val="22"/>
          <w:szCs w:val="22"/>
        </w:rPr>
        <w:t>through a curvilinear quadratic regression model</w:t>
      </w:r>
      <w:r w:rsidR="007A55F0">
        <w:rPr>
          <w:color w:val="000000" w:themeColor="text1"/>
          <w:sz w:val="22"/>
          <w:szCs w:val="22"/>
        </w:rPr>
        <w:t xml:space="preserve"> (one outlier removed)</w:t>
      </w:r>
      <w:r w:rsidRPr="00A65224">
        <w:rPr>
          <w:color w:val="000000" w:themeColor="text1"/>
          <w:sz w:val="22"/>
          <w:szCs w:val="22"/>
        </w:rPr>
        <w:t>.</w:t>
      </w:r>
      <w:r w:rsidRPr="00A65224">
        <w:rPr>
          <w:b/>
          <w:bCs/>
          <w:color w:val="000000" w:themeColor="text1"/>
          <w:sz w:val="22"/>
          <w:szCs w:val="22"/>
        </w:rPr>
        <w:t xml:space="preserve"> b</w:t>
      </w:r>
      <w:r w:rsidRPr="00B256C8">
        <w:rPr>
          <w:rFonts w:cstheme="minorHAnsi"/>
          <w:b/>
          <w:bCs/>
          <w:color w:val="000000" w:themeColor="text1"/>
          <w:sz w:val="22"/>
          <w:szCs w:val="22"/>
        </w:rPr>
        <w:t xml:space="preserve"> </w:t>
      </w:r>
      <w:r w:rsidRPr="00B256C8">
        <w:rPr>
          <w:rFonts w:cstheme="minorHAnsi"/>
          <w:color w:val="000000" w:themeColor="text1"/>
          <w:sz w:val="22"/>
          <w:szCs w:val="22"/>
        </w:rPr>
        <w:t xml:space="preserve">Monthly weight, and trajectory of weight gain for participants subdivided into those with </w:t>
      </w:r>
      <w:proofErr w:type="spellStart"/>
      <w:r w:rsidRPr="00B256C8">
        <w:rPr>
          <w:rFonts w:cstheme="minorHAnsi"/>
          <w:color w:val="000000" w:themeColor="text1"/>
          <w:sz w:val="22"/>
          <w:szCs w:val="22"/>
        </w:rPr>
        <w:t>Retzius</w:t>
      </w:r>
      <w:proofErr w:type="spellEnd"/>
      <w:r w:rsidRPr="00B256C8">
        <w:rPr>
          <w:rFonts w:cstheme="minorHAnsi"/>
          <w:color w:val="000000" w:themeColor="text1"/>
          <w:sz w:val="22"/>
          <w:szCs w:val="22"/>
        </w:rPr>
        <w:t xml:space="preserve"> periodicities of six </w:t>
      </w:r>
      <w:r w:rsidR="00135CF9">
        <w:rPr>
          <w:rFonts w:cstheme="minorHAnsi"/>
          <w:color w:val="000000" w:themeColor="text1"/>
          <w:sz w:val="22"/>
          <w:szCs w:val="22"/>
        </w:rPr>
        <w:t>(</w:t>
      </w:r>
      <w:r w:rsidR="00135CF9" w:rsidRPr="003916DD">
        <w:rPr>
          <w:rFonts w:cstheme="minorHAnsi"/>
          <w:i/>
          <w:iCs/>
          <w:color w:val="000000" w:themeColor="text1"/>
          <w:sz w:val="22"/>
          <w:szCs w:val="22"/>
        </w:rPr>
        <w:t>n</w:t>
      </w:r>
      <w:r w:rsidR="00135CF9">
        <w:rPr>
          <w:rFonts w:cstheme="minorHAnsi"/>
          <w:color w:val="000000" w:themeColor="text1"/>
          <w:sz w:val="22"/>
          <w:szCs w:val="22"/>
        </w:rPr>
        <w:t xml:space="preserve">=17), </w:t>
      </w:r>
      <w:r w:rsidRPr="00B256C8">
        <w:rPr>
          <w:rFonts w:cstheme="minorHAnsi"/>
          <w:color w:val="000000" w:themeColor="text1"/>
          <w:sz w:val="22"/>
          <w:szCs w:val="22"/>
        </w:rPr>
        <w:t>and seven days</w:t>
      </w:r>
      <w:r w:rsidR="00135CF9">
        <w:rPr>
          <w:rFonts w:cstheme="minorHAnsi"/>
          <w:color w:val="000000" w:themeColor="text1"/>
          <w:sz w:val="22"/>
          <w:szCs w:val="22"/>
        </w:rPr>
        <w:t xml:space="preserve"> (</w:t>
      </w:r>
      <w:r w:rsidR="00135CF9" w:rsidRPr="003916DD">
        <w:rPr>
          <w:rFonts w:cstheme="minorHAnsi"/>
          <w:i/>
          <w:iCs/>
          <w:color w:val="000000" w:themeColor="text1"/>
          <w:sz w:val="22"/>
          <w:szCs w:val="22"/>
        </w:rPr>
        <w:t>n</w:t>
      </w:r>
      <w:r w:rsidR="00135CF9">
        <w:rPr>
          <w:rFonts w:cstheme="minorHAnsi"/>
          <w:color w:val="000000" w:themeColor="text1"/>
          <w:sz w:val="22"/>
          <w:szCs w:val="22"/>
        </w:rPr>
        <w:t>=13)</w:t>
      </w:r>
      <w:r w:rsidR="007A55F0">
        <w:rPr>
          <w:rFonts w:cstheme="minorHAnsi"/>
          <w:color w:val="000000" w:themeColor="text1"/>
          <w:sz w:val="22"/>
          <w:szCs w:val="22"/>
        </w:rPr>
        <w:t>;</w:t>
      </w:r>
      <w:r w:rsidRPr="00B256C8">
        <w:rPr>
          <w:rFonts w:cstheme="minorHAnsi"/>
          <w:color w:val="000000" w:themeColor="text1"/>
          <w:sz w:val="22"/>
          <w:szCs w:val="22"/>
        </w:rPr>
        <w:t xml:space="preserve"> and </w:t>
      </w:r>
      <w:r w:rsidRPr="00B256C8">
        <w:rPr>
          <w:rFonts w:cstheme="minorHAnsi"/>
          <w:b/>
          <w:bCs/>
          <w:color w:val="000000" w:themeColor="text1"/>
          <w:sz w:val="22"/>
          <w:szCs w:val="22"/>
        </w:rPr>
        <w:t xml:space="preserve">c </w:t>
      </w:r>
      <w:r w:rsidRPr="00B256C8">
        <w:rPr>
          <w:rFonts w:cstheme="minorHAnsi"/>
          <w:color w:val="000000" w:themeColor="text1"/>
          <w:sz w:val="22"/>
          <w:szCs w:val="22"/>
        </w:rPr>
        <w:t xml:space="preserve">six </w:t>
      </w:r>
      <w:r w:rsidR="00135CF9">
        <w:rPr>
          <w:rFonts w:cstheme="minorHAnsi"/>
          <w:color w:val="000000" w:themeColor="text1"/>
          <w:sz w:val="22"/>
          <w:szCs w:val="22"/>
        </w:rPr>
        <w:t>(</w:t>
      </w:r>
      <w:r w:rsidR="00135CF9" w:rsidRPr="003916DD">
        <w:rPr>
          <w:rFonts w:cstheme="minorHAnsi"/>
          <w:i/>
          <w:iCs/>
          <w:color w:val="000000" w:themeColor="text1"/>
          <w:sz w:val="22"/>
          <w:szCs w:val="22"/>
        </w:rPr>
        <w:t>n</w:t>
      </w:r>
      <w:r w:rsidR="00135CF9">
        <w:rPr>
          <w:rFonts w:cstheme="minorHAnsi"/>
          <w:color w:val="000000" w:themeColor="text1"/>
          <w:sz w:val="22"/>
          <w:szCs w:val="22"/>
        </w:rPr>
        <w:t xml:space="preserve">=17) </w:t>
      </w:r>
      <w:r w:rsidRPr="00B256C8">
        <w:rPr>
          <w:rFonts w:cstheme="minorHAnsi"/>
          <w:color w:val="000000" w:themeColor="text1"/>
          <w:sz w:val="22"/>
          <w:szCs w:val="22"/>
        </w:rPr>
        <w:t>and eight days</w:t>
      </w:r>
      <w:r w:rsidR="00135CF9">
        <w:rPr>
          <w:rFonts w:cstheme="minorHAnsi"/>
          <w:color w:val="000000" w:themeColor="text1"/>
          <w:sz w:val="22"/>
          <w:szCs w:val="22"/>
        </w:rPr>
        <w:t xml:space="preserve"> (</w:t>
      </w:r>
      <w:r w:rsidR="00135CF9" w:rsidRPr="003916DD">
        <w:rPr>
          <w:rFonts w:cstheme="minorHAnsi"/>
          <w:i/>
          <w:iCs/>
          <w:color w:val="000000" w:themeColor="text1"/>
          <w:sz w:val="22"/>
          <w:szCs w:val="22"/>
        </w:rPr>
        <w:t>n</w:t>
      </w:r>
      <w:r w:rsidR="00135CF9">
        <w:rPr>
          <w:rFonts w:cstheme="minorHAnsi"/>
          <w:color w:val="000000" w:themeColor="text1"/>
          <w:sz w:val="22"/>
          <w:szCs w:val="22"/>
        </w:rPr>
        <w:t>=16)</w:t>
      </w:r>
      <w:r w:rsidRPr="00B256C8">
        <w:rPr>
          <w:rFonts w:cstheme="minorHAnsi"/>
          <w:color w:val="000000" w:themeColor="text1"/>
          <w:sz w:val="22"/>
          <w:szCs w:val="22"/>
        </w:rPr>
        <w:t>.</w:t>
      </w:r>
      <w:r w:rsidRPr="00B256C8">
        <w:rPr>
          <w:rFonts w:cstheme="minorHAnsi"/>
          <w:b/>
          <w:bCs/>
          <w:color w:val="000000" w:themeColor="text1"/>
          <w:sz w:val="22"/>
          <w:szCs w:val="22"/>
        </w:rPr>
        <w:t xml:space="preserve"> </w:t>
      </w:r>
      <w:r w:rsidR="0073667A" w:rsidRPr="007A55F0">
        <w:rPr>
          <w:rFonts w:cstheme="minorHAnsi"/>
          <w:color w:val="000000" w:themeColor="text1"/>
          <w:sz w:val="22"/>
          <w:szCs w:val="22"/>
        </w:rPr>
        <w:t>Data are represented as</w:t>
      </w:r>
      <w:r w:rsidR="0073667A">
        <w:rPr>
          <w:rFonts w:cstheme="minorHAnsi"/>
          <w:b/>
          <w:bCs/>
          <w:color w:val="000000" w:themeColor="text1"/>
          <w:sz w:val="22"/>
          <w:szCs w:val="22"/>
        </w:rPr>
        <w:t xml:space="preserve"> </w:t>
      </w:r>
      <w:r w:rsidR="0073667A">
        <w:rPr>
          <w:rFonts w:cstheme="minorHAnsi"/>
          <w:color w:val="000000" w:themeColor="text1"/>
          <w:sz w:val="22"/>
          <w:szCs w:val="22"/>
        </w:rPr>
        <w:t>b</w:t>
      </w:r>
      <w:r w:rsidRPr="00B256C8">
        <w:rPr>
          <w:rFonts w:cstheme="minorHAnsi"/>
          <w:color w:val="000000" w:themeColor="text1"/>
          <w:sz w:val="22"/>
          <w:szCs w:val="22"/>
        </w:rPr>
        <w:t>ox plot</w:t>
      </w:r>
      <w:r w:rsidR="0073667A">
        <w:rPr>
          <w:rFonts w:cstheme="minorHAnsi"/>
          <w:color w:val="000000" w:themeColor="text1"/>
          <w:sz w:val="22"/>
          <w:szCs w:val="22"/>
        </w:rPr>
        <w:t xml:space="preserve">s in </w:t>
      </w:r>
      <w:r w:rsidR="0073667A" w:rsidRPr="0073667A">
        <w:rPr>
          <w:rFonts w:cstheme="minorHAnsi"/>
          <w:b/>
          <w:bCs/>
          <w:color w:val="000000" w:themeColor="text1"/>
          <w:sz w:val="22"/>
          <w:szCs w:val="22"/>
        </w:rPr>
        <w:t>b</w:t>
      </w:r>
      <w:r w:rsidR="0073667A">
        <w:rPr>
          <w:rFonts w:cstheme="minorHAnsi"/>
          <w:color w:val="000000" w:themeColor="text1"/>
          <w:sz w:val="22"/>
          <w:szCs w:val="22"/>
        </w:rPr>
        <w:t xml:space="preserve"> and </w:t>
      </w:r>
      <w:r w:rsidR="0073667A" w:rsidRPr="0073667A">
        <w:rPr>
          <w:rFonts w:cstheme="minorHAnsi"/>
          <w:b/>
          <w:bCs/>
          <w:color w:val="000000" w:themeColor="text1"/>
          <w:sz w:val="22"/>
          <w:szCs w:val="22"/>
        </w:rPr>
        <w:t>c</w:t>
      </w:r>
      <w:r w:rsidR="0073667A">
        <w:rPr>
          <w:rFonts w:cstheme="minorHAnsi"/>
          <w:color w:val="000000" w:themeColor="text1"/>
          <w:sz w:val="22"/>
          <w:szCs w:val="22"/>
        </w:rPr>
        <w:t xml:space="preserve"> </w:t>
      </w:r>
      <w:r w:rsidRPr="00B256C8">
        <w:rPr>
          <w:rFonts w:cstheme="minorHAnsi"/>
          <w:color w:val="000000" w:themeColor="text1"/>
          <w:sz w:val="22"/>
          <w:szCs w:val="22"/>
        </w:rPr>
        <w:t>show</w:t>
      </w:r>
      <w:r w:rsidR="0073667A">
        <w:rPr>
          <w:rFonts w:cstheme="minorHAnsi"/>
          <w:color w:val="000000" w:themeColor="text1"/>
          <w:sz w:val="22"/>
          <w:szCs w:val="22"/>
        </w:rPr>
        <w:t>ing</w:t>
      </w:r>
      <w:r w:rsidR="007A55F0">
        <w:rPr>
          <w:rFonts w:cstheme="minorHAnsi"/>
          <w:color w:val="000000" w:themeColor="text1"/>
          <w:sz w:val="22"/>
          <w:szCs w:val="22"/>
        </w:rPr>
        <w:t xml:space="preserve"> </w:t>
      </w:r>
      <w:r w:rsidR="005C2729">
        <w:rPr>
          <w:rFonts w:cstheme="minorHAnsi"/>
          <w:color w:val="000000" w:themeColor="text1"/>
          <w:sz w:val="22"/>
          <w:szCs w:val="22"/>
        </w:rPr>
        <w:t xml:space="preserve">the median value, </w:t>
      </w:r>
      <w:r w:rsidRPr="00B256C8">
        <w:rPr>
          <w:rFonts w:cstheme="minorHAnsi"/>
          <w:color w:val="000000" w:themeColor="text1"/>
          <w:sz w:val="22"/>
          <w:szCs w:val="22"/>
        </w:rPr>
        <w:t>interquartile range and minimum and maximum values</w:t>
      </w:r>
      <w:r w:rsidR="0073667A">
        <w:rPr>
          <w:rFonts w:cstheme="minorHAnsi"/>
          <w:color w:val="000000" w:themeColor="text1"/>
          <w:sz w:val="22"/>
          <w:szCs w:val="22"/>
        </w:rPr>
        <w:t xml:space="preserve"> that were not outliers</w:t>
      </w:r>
      <w:r w:rsidRPr="00B256C8">
        <w:rPr>
          <w:rFonts w:cstheme="minorHAnsi"/>
          <w:color w:val="000000" w:themeColor="text1"/>
          <w:sz w:val="22"/>
          <w:szCs w:val="22"/>
        </w:rPr>
        <w:t xml:space="preserve">. Quadratic regression models for the average weight of participants </w:t>
      </w:r>
      <w:r w:rsidR="00D26FFF">
        <w:rPr>
          <w:rFonts w:cstheme="minorHAnsi"/>
          <w:color w:val="000000" w:themeColor="text1"/>
          <w:sz w:val="22"/>
          <w:szCs w:val="22"/>
        </w:rPr>
        <w:t xml:space="preserve">with RPs of 5 to 9 </w:t>
      </w:r>
      <w:r w:rsidRPr="00B256C8">
        <w:rPr>
          <w:rFonts w:cstheme="minorHAnsi"/>
          <w:color w:val="000000" w:themeColor="text1"/>
          <w:sz w:val="22"/>
          <w:szCs w:val="22"/>
        </w:rPr>
        <w:t xml:space="preserve">in </w:t>
      </w:r>
      <w:r w:rsidRPr="00B256C8">
        <w:rPr>
          <w:rFonts w:cstheme="minorHAnsi"/>
          <w:b/>
          <w:bCs/>
          <w:color w:val="000000" w:themeColor="text1"/>
          <w:sz w:val="22"/>
          <w:szCs w:val="22"/>
        </w:rPr>
        <w:t>d</w:t>
      </w:r>
      <w:r w:rsidRPr="00B256C8">
        <w:rPr>
          <w:rFonts w:cstheme="minorHAnsi"/>
          <w:color w:val="000000" w:themeColor="text1"/>
          <w:sz w:val="22"/>
          <w:szCs w:val="22"/>
        </w:rPr>
        <w:t xml:space="preserve"> August 2020</w:t>
      </w:r>
      <w:r w:rsidR="00A65224">
        <w:rPr>
          <w:rFonts w:cstheme="minorHAnsi"/>
          <w:color w:val="000000" w:themeColor="text1"/>
          <w:sz w:val="22"/>
          <w:szCs w:val="22"/>
        </w:rPr>
        <w:t xml:space="preserve"> (</w:t>
      </w:r>
      <w:r w:rsidR="00A65224" w:rsidRPr="00A65224">
        <w:rPr>
          <w:rFonts w:cstheme="minorHAnsi"/>
          <w:i/>
          <w:iCs/>
          <w:color w:val="000000" w:themeColor="text1"/>
          <w:sz w:val="22"/>
          <w:szCs w:val="22"/>
        </w:rPr>
        <w:t>n</w:t>
      </w:r>
      <w:r w:rsidR="00A65224">
        <w:rPr>
          <w:rFonts w:cstheme="minorHAnsi"/>
          <w:color w:val="000000" w:themeColor="text1"/>
          <w:sz w:val="22"/>
          <w:szCs w:val="22"/>
        </w:rPr>
        <w:t>=</w:t>
      </w:r>
      <w:r w:rsidR="00B61CA3">
        <w:rPr>
          <w:rFonts w:cstheme="minorHAnsi"/>
          <w:color w:val="000000" w:themeColor="text1"/>
          <w:sz w:val="22"/>
          <w:szCs w:val="22"/>
        </w:rPr>
        <w:t>4</w:t>
      </w:r>
      <w:r w:rsidR="00F77545">
        <w:rPr>
          <w:rFonts w:cstheme="minorHAnsi"/>
          <w:color w:val="000000" w:themeColor="text1"/>
          <w:sz w:val="22"/>
          <w:szCs w:val="22"/>
        </w:rPr>
        <w:t>4</w:t>
      </w:r>
      <w:r w:rsidR="00A65224">
        <w:rPr>
          <w:rFonts w:cstheme="minorHAnsi"/>
          <w:color w:val="000000" w:themeColor="text1"/>
          <w:sz w:val="22"/>
          <w:szCs w:val="22"/>
        </w:rPr>
        <w:t>)</w:t>
      </w:r>
      <w:r w:rsidRPr="00B256C8">
        <w:rPr>
          <w:rFonts w:cstheme="minorHAnsi"/>
          <w:color w:val="000000" w:themeColor="text1"/>
          <w:sz w:val="22"/>
          <w:szCs w:val="22"/>
        </w:rPr>
        <w:t>,</w:t>
      </w:r>
      <w:r w:rsidR="00A65224">
        <w:rPr>
          <w:rFonts w:cstheme="minorHAnsi"/>
          <w:color w:val="000000" w:themeColor="text1"/>
          <w:sz w:val="22"/>
          <w:szCs w:val="22"/>
        </w:rPr>
        <w:t xml:space="preserve"> </w:t>
      </w:r>
      <w:r w:rsidRPr="00B256C8">
        <w:rPr>
          <w:rFonts w:cstheme="minorHAnsi"/>
          <w:b/>
          <w:bCs/>
          <w:color w:val="000000" w:themeColor="text1"/>
          <w:sz w:val="22"/>
          <w:szCs w:val="22"/>
        </w:rPr>
        <w:t>e</w:t>
      </w:r>
      <w:r w:rsidRPr="00B256C8">
        <w:rPr>
          <w:rFonts w:cstheme="minorHAnsi"/>
          <w:color w:val="000000" w:themeColor="text1"/>
          <w:sz w:val="22"/>
          <w:szCs w:val="22"/>
        </w:rPr>
        <w:t xml:space="preserve"> September 2020</w:t>
      </w:r>
      <w:r w:rsidR="00A65224">
        <w:rPr>
          <w:rFonts w:cstheme="minorHAnsi"/>
          <w:color w:val="000000" w:themeColor="text1"/>
          <w:sz w:val="22"/>
          <w:szCs w:val="22"/>
        </w:rPr>
        <w:t xml:space="preserve"> (</w:t>
      </w:r>
      <w:r w:rsidR="00A65224" w:rsidRPr="00A65224">
        <w:rPr>
          <w:rFonts w:cstheme="minorHAnsi"/>
          <w:i/>
          <w:iCs/>
          <w:color w:val="000000" w:themeColor="text1"/>
          <w:sz w:val="22"/>
          <w:szCs w:val="22"/>
        </w:rPr>
        <w:t>n</w:t>
      </w:r>
      <w:r w:rsidR="00A65224">
        <w:rPr>
          <w:rFonts w:cstheme="minorHAnsi"/>
          <w:color w:val="000000" w:themeColor="text1"/>
          <w:sz w:val="22"/>
          <w:szCs w:val="22"/>
        </w:rPr>
        <w:t>=</w:t>
      </w:r>
      <w:r w:rsidR="00F77545">
        <w:rPr>
          <w:rFonts w:cstheme="minorHAnsi"/>
          <w:color w:val="000000" w:themeColor="text1"/>
          <w:sz w:val="22"/>
          <w:szCs w:val="22"/>
        </w:rPr>
        <w:t>46</w:t>
      </w:r>
      <w:r w:rsidR="00A65224">
        <w:rPr>
          <w:rFonts w:cstheme="minorHAnsi"/>
          <w:color w:val="000000" w:themeColor="text1"/>
          <w:sz w:val="22"/>
          <w:szCs w:val="22"/>
        </w:rPr>
        <w:t>)</w:t>
      </w:r>
      <w:r w:rsidRPr="00B256C8">
        <w:rPr>
          <w:rFonts w:cstheme="minorHAnsi"/>
          <w:color w:val="000000" w:themeColor="text1"/>
          <w:sz w:val="22"/>
          <w:szCs w:val="22"/>
        </w:rPr>
        <w:t xml:space="preserve">, and </w:t>
      </w:r>
      <w:r w:rsidR="00DB1EA1" w:rsidRPr="00DB1EA1">
        <w:rPr>
          <w:rFonts w:cstheme="minorHAnsi"/>
          <w:b/>
          <w:bCs/>
          <w:color w:val="000000" w:themeColor="text1"/>
          <w:sz w:val="22"/>
          <w:szCs w:val="22"/>
        </w:rPr>
        <w:t>f</w:t>
      </w:r>
      <w:r w:rsidR="00DB1EA1">
        <w:rPr>
          <w:rFonts w:cstheme="minorHAnsi"/>
          <w:color w:val="000000" w:themeColor="text1"/>
          <w:sz w:val="22"/>
          <w:szCs w:val="22"/>
        </w:rPr>
        <w:t xml:space="preserve"> </w:t>
      </w:r>
      <w:r w:rsidRPr="00B256C8">
        <w:rPr>
          <w:rFonts w:cstheme="minorHAnsi"/>
          <w:color w:val="000000" w:themeColor="text1"/>
          <w:sz w:val="22"/>
          <w:szCs w:val="22"/>
        </w:rPr>
        <w:t>October 2020</w:t>
      </w:r>
      <w:r w:rsidR="00A65224">
        <w:rPr>
          <w:rFonts w:cstheme="minorHAnsi"/>
          <w:color w:val="000000" w:themeColor="text1"/>
          <w:sz w:val="22"/>
          <w:szCs w:val="22"/>
        </w:rPr>
        <w:t xml:space="preserve"> (</w:t>
      </w:r>
      <w:r w:rsidR="00A65224" w:rsidRPr="00A65224">
        <w:rPr>
          <w:rFonts w:cstheme="minorHAnsi"/>
          <w:i/>
          <w:iCs/>
          <w:color w:val="000000" w:themeColor="text1"/>
          <w:sz w:val="22"/>
          <w:szCs w:val="22"/>
        </w:rPr>
        <w:t>n</w:t>
      </w:r>
      <w:r w:rsidR="00A65224">
        <w:rPr>
          <w:rFonts w:cstheme="minorHAnsi"/>
          <w:color w:val="000000" w:themeColor="text1"/>
          <w:sz w:val="22"/>
          <w:szCs w:val="22"/>
        </w:rPr>
        <w:t>=</w:t>
      </w:r>
      <w:r w:rsidR="00F77545">
        <w:rPr>
          <w:rFonts w:cstheme="minorHAnsi"/>
          <w:color w:val="000000" w:themeColor="text1"/>
          <w:sz w:val="22"/>
          <w:szCs w:val="22"/>
        </w:rPr>
        <w:t>5</w:t>
      </w:r>
      <w:r w:rsidR="00297078">
        <w:rPr>
          <w:rFonts w:cstheme="minorHAnsi"/>
          <w:color w:val="000000" w:themeColor="text1"/>
          <w:sz w:val="22"/>
          <w:szCs w:val="22"/>
        </w:rPr>
        <w:t>5</w:t>
      </w:r>
      <w:r w:rsidR="00A65224">
        <w:rPr>
          <w:rFonts w:cstheme="minorHAnsi"/>
          <w:color w:val="000000" w:themeColor="text1"/>
          <w:sz w:val="22"/>
          <w:szCs w:val="22"/>
        </w:rPr>
        <w:t>)</w:t>
      </w:r>
      <w:r w:rsidRPr="00B256C8">
        <w:rPr>
          <w:rFonts w:cstheme="minorHAnsi"/>
          <w:color w:val="000000" w:themeColor="text1"/>
          <w:sz w:val="22"/>
          <w:szCs w:val="22"/>
        </w:rPr>
        <w:t xml:space="preserve">. </w:t>
      </w:r>
    </w:p>
    <w:p w14:paraId="24CEC4E9" w14:textId="41AE1648" w:rsidR="0073667A" w:rsidRDefault="004970F9" w:rsidP="005820E3">
      <w:pPr>
        <w:spacing w:line="276" w:lineRule="auto"/>
        <w:jc w:val="both"/>
        <w:rPr>
          <w:rFonts w:cstheme="minorHAnsi"/>
          <w:color w:val="000000" w:themeColor="text1"/>
          <w:sz w:val="22"/>
          <w:szCs w:val="22"/>
        </w:rPr>
      </w:pPr>
      <w:r>
        <w:rPr>
          <w:rFonts w:cstheme="minorHAnsi"/>
          <w:color w:val="000000" w:themeColor="text1"/>
          <w:sz w:val="22"/>
          <w:szCs w:val="22"/>
        </w:rPr>
        <w:softHyphen/>
      </w:r>
      <w:r>
        <w:rPr>
          <w:rFonts w:cstheme="minorHAnsi"/>
          <w:color w:val="000000" w:themeColor="text1"/>
          <w:sz w:val="22"/>
          <w:szCs w:val="22"/>
        </w:rPr>
        <w:softHyphen/>
      </w:r>
    </w:p>
    <w:p w14:paraId="4E999A34" w14:textId="79501D19" w:rsidR="00E374C7" w:rsidRDefault="00E374C7" w:rsidP="005820E3">
      <w:pPr>
        <w:spacing w:line="276" w:lineRule="auto"/>
        <w:jc w:val="both"/>
        <w:rPr>
          <w:rFonts w:cstheme="minorHAnsi"/>
          <w:color w:val="000000" w:themeColor="text1"/>
          <w:sz w:val="22"/>
          <w:szCs w:val="22"/>
        </w:rPr>
      </w:pPr>
    </w:p>
    <w:p w14:paraId="11792E83" w14:textId="77777777" w:rsidR="00E374C7" w:rsidRDefault="00E374C7" w:rsidP="005820E3">
      <w:pPr>
        <w:spacing w:line="276" w:lineRule="auto"/>
        <w:jc w:val="both"/>
        <w:rPr>
          <w:rFonts w:cstheme="minorHAnsi"/>
          <w:color w:val="000000" w:themeColor="text1"/>
          <w:sz w:val="22"/>
          <w:szCs w:val="22"/>
        </w:rPr>
      </w:pPr>
    </w:p>
    <w:p w14:paraId="74424F86" w14:textId="77777777" w:rsidR="001774D3" w:rsidRPr="005820E3" w:rsidRDefault="001774D3" w:rsidP="005820E3">
      <w:pPr>
        <w:spacing w:line="276" w:lineRule="auto"/>
        <w:jc w:val="both"/>
        <w:rPr>
          <w:rFonts w:cstheme="minorHAnsi"/>
          <w:color w:val="000000" w:themeColor="text1"/>
          <w:sz w:val="22"/>
          <w:szCs w:val="22"/>
        </w:rPr>
      </w:pPr>
    </w:p>
    <w:p w14:paraId="73B18EE5" w14:textId="77777777" w:rsidR="00091421" w:rsidRPr="00801DEA" w:rsidRDefault="00091421" w:rsidP="00091421">
      <w:pPr>
        <w:spacing w:after="120"/>
        <w:jc w:val="both"/>
        <w:rPr>
          <w:rFonts w:cstheme="minorHAnsi"/>
          <w:b/>
          <w:bCs/>
          <w:color w:val="000000" w:themeColor="text1"/>
        </w:rPr>
      </w:pPr>
      <w:r w:rsidRPr="00B256C8">
        <w:rPr>
          <w:rFonts w:cstheme="minorHAnsi"/>
          <w:b/>
          <w:bCs/>
          <w:color w:val="000000" w:themeColor="text1"/>
        </w:rPr>
        <w:lastRenderedPageBreak/>
        <w:t>Fig. 5:</w:t>
      </w:r>
      <w:r w:rsidRPr="00B256C8">
        <w:rPr>
          <w:rFonts w:cstheme="minorHAnsi"/>
          <w:color w:val="000000" w:themeColor="text1"/>
        </w:rPr>
        <w:t xml:space="preserve"> </w:t>
      </w:r>
      <w:r w:rsidRPr="00B256C8">
        <w:rPr>
          <w:rFonts w:cstheme="minorHAnsi"/>
          <w:b/>
          <w:bCs/>
          <w:color w:val="000000" w:themeColor="text1"/>
        </w:rPr>
        <w:t>Sex differences in RP-biorhythm related to weight/BMI gain and total average weight</w:t>
      </w:r>
      <w:r>
        <w:rPr>
          <w:rFonts w:cstheme="minorHAnsi"/>
          <w:b/>
          <w:bCs/>
          <w:color w:val="000000" w:themeColor="text1"/>
        </w:rPr>
        <w:t>.</w:t>
      </w:r>
    </w:p>
    <w:p w14:paraId="65B55A51" w14:textId="372E76A5" w:rsidR="00EE75BA" w:rsidRPr="00B256C8" w:rsidRDefault="00091421" w:rsidP="00EE75BA">
      <w:pPr>
        <w:spacing w:line="276" w:lineRule="auto"/>
        <w:jc w:val="both"/>
        <w:rPr>
          <w:rFonts w:cstheme="minorHAnsi"/>
          <w:color w:val="000000" w:themeColor="text1"/>
          <w:sz w:val="22"/>
          <w:szCs w:val="22"/>
        </w:rPr>
      </w:pPr>
      <w:r w:rsidRPr="00B256C8">
        <w:rPr>
          <w:rFonts w:cstheme="minorHAnsi"/>
          <w:b/>
          <w:bCs/>
          <w:color w:val="000000" w:themeColor="text1"/>
          <w:sz w:val="22"/>
          <w:szCs w:val="22"/>
        </w:rPr>
        <w:t>a</w:t>
      </w:r>
      <w:r w:rsidRPr="00B256C8">
        <w:rPr>
          <w:rFonts w:cstheme="minorHAnsi"/>
          <w:color w:val="000000" w:themeColor="text1"/>
          <w:sz w:val="22"/>
          <w:szCs w:val="22"/>
        </w:rPr>
        <w:t xml:space="preserve"> Bar chart showing the percentage of male </w:t>
      </w:r>
      <w:r w:rsidR="007E2B88">
        <w:rPr>
          <w:rFonts w:cstheme="minorHAnsi"/>
          <w:color w:val="000000" w:themeColor="text1"/>
          <w:sz w:val="22"/>
          <w:szCs w:val="22"/>
        </w:rPr>
        <w:t xml:space="preserve">(n=27) </w:t>
      </w:r>
      <w:r w:rsidRPr="00B256C8">
        <w:rPr>
          <w:rFonts w:cstheme="minorHAnsi"/>
          <w:color w:val="000000" w:themeColor="text1"/>
          <w:sz w:val="22"/>
          <w:szCs w:val="22"/>
        </w:rPr>
        <w:t xml:space="preserve">and female </w:t>
      </w:r>
      <w:r w:rsidR="007E2B88">
        <w:rPr>
          <w:rFonts w:cstheme="minorHAnsi"/>
          <w:color w:val="000000" w:themeColor="text1"/>
          <w:sz w:val="22"/>
          <w:szCs w:val="22"/>
        </w:rPr>
        <w:t>(n=3</w:t>
      </w:r>
      <w:r w:rsidR="0081646B">
        <w:rPr>
          <w:rFonts w:cstheme="minorHAnsi"/>
          <w:color w:val="000000" w:themeColor="text1"/>
          <w:sz w:val="22"/>
          <w:szCs w:val="22"/>
        </w:rPr>
        <w:t>4</w:t>
      </w:r>
      <w:r w:rsidR="007E2B88">
        <w:rPr>
          <w:rFonts w:cstheme="minorHAnsi"/>
          <w:color w:val="000000" w:themeColor="text1"/>
          <w:sz w:val="22"/>
          <w:szCs w:val="22"/>
        </w:rPr>
        <w:t xml:space="preserve">) </w:t>
      </w:r>
      <w:r w:rsidRPr="00B256C8">
        <w:rPr>
          <w:rFonts w:cstheme="minorHAnsi"/>
          <w:color w:val="000000" w:themeColor="text1"/>
          <w:sz w:val="22"/>
          <w:szCs w:val="22"/>
        </w:rPr>
        <w:t>RP values</w:t>
      </w:r>
      <w:r w:rsidR="007A55F0">
        <w:rPr>
          <w:rFonts w:cstheme="minorHAnsi"/>
          <w:color w:val="000000" w:themeColor="text1"/>
          <w:sz w:val="22"/>
          <w:szCs w:val="22"/>
        </w:rPr>
        <w:t xml:space="preserve"> (also see Fig S3)</w:t>
      </w:r>
      <w:r w:rsidRPr="00B256C8">
        <w:rPr>
          <w:rFonts w:cstheme="minorHAnsi"/>
          <w:color w:val="000000" w:themeColor="text1"/>
          <w:sz w:val="22"/>
          <w:szCs w:val="22"/>
        </w:rPr>
        <w:t xml:space="preserve">. </w:t>
      </w:r>
      <w:r w:rsidRPr="00B256C8">
        <w:rPr>
          <w:rFonts w:cstheme="minorHAnsi"/>
          <w:b/>
          <w:bCs/>
          <w:color w:val="000000" w:themeColor="text1"/>
          <w:sz w:val="22"/>
          <w:szCs w:val="22"/>
        </w:rPr>
        <w:t>b</w:t>
      </w:r>
      <w:r w:rsidRPr="00B256C8">
        <w:rPr>
          <w:rFonts w:cstheme="minorHAnsi"/>
          <w:color w:val="000000" w:themeColor="text1"/>
          <w:sz w:val="22"/>
          <w:szCs w:val="22"/>
        </w:rPr>
        <w:t xml:space="preserve"> </w:t>
      </w:r>
      <w:r w:rsidRPr="00B256C8">
        <w:rPr>
          <w:rFonts w:cstheme="minorHAnsi"/>
          <w:noProof/>
          <w:color w:val="000000" w:themeColor="text1"/>
          <w:sz w:val="22"/>
          <w:szCs w:val="22"/>
        </w:rPr>
        <w:t>Line chart illustrating the sex difference in the relationship between RP and weight gained over 14 months.</w:t>
      </w:r>
      <w:r w:rsidRPr="00B256C8">
        <w:rPr>
          <w:rFonts w:cstheme="minorHAnsi"/>
          <w:color w:val="000000" w:themeColor="text1"/>
          <w:sz w:val="22"/>
          <w:szCs w:val="22"/>
        </w:rPr>
        <w:t xml:space="preserve"> </w:t>
      </w:r>
      <w:r w:rsidRPr="00C8161F">
        <w:rPr>
          <w:rFonts w:cstheme="minorHAnsi"/>
          <w:color w:val="000000" w:themeColor="text1"/>
          <w:sz w:val="22"/>
          <w:szCs w:val="22"/>
        </w:rPr>
        <w:t xml:space="preserve">Log-transformed RP values </w:t>
      </w:r>
      <w:r w:rsidRPr="00AA677B">
        <w:rPr>
          <w:rFonts w:cstheme="minorHAnsi"/>
          <w:color w:val="000000" w:themeColor="text1"/>
          <w:sz w:val="22"/>
          <w:szCs w:val="22"/>
        </w:rPr>
        <w:t xml:space="preserve">compared to </w:t>
      </w:r>
      <w:r w:rsidRPr="00AA677B">
        <w:rPr>
          <w:rFonts w:cstheme="minorHAnsi"/>
          <w:b/>
          <w:bCs/>
          <w:color w:val="000000" w:themeColor="text1"/>
          <w:sz w:val="22"/>
          <w:szCs w:val="22"/>
        </w:rPr>
        <w:t>c</w:t>
      </w:r>
      <w:r w:rsidRPr="00AA677B">
        <w:rPr>
          <w:rFonts w:cstheme="minorHAnsi"/>
          <w:color w:val="000000" w:themeColor="text1"/>
          <w:sz w:val="22"/>
          <w:szCs w:val="22"/>
        </w:rPr>
        <w:t xml:space="preserve"> log-transformed female weight gained </w:t>
      </w:r>
      <w:r w:rsidR="001E180B" w:rsidRPr="00AA677B">
        <w:rPr>
          <w:rFonts w:cstheme="minorHAnsi"/>
          <w:color w:val="000000" w:themeColor="text1"/>
          <w:sz w:val="22"/>
          <w:szCs w:val="22"/>
        </w:rPr>
        <w:t xml:space="preserve">(female RP </w:t>
      </w:r>
      <w:r w:rsidR="00906378" w:rsidRPr="00AA677B">
        <w:rPr>
          <w:rFonts w:cstheme="minorHAnsi"/>
          <w:color w:val="000000" w:themeColor="text1"/>
          <w:sz w:val="22"/>
          <w:szCs w:val="22"/>
        </w:rPr>
        <w:t xml:space="preserve">of </w:t>
      </w:r>
      <w:r w:rsidR="001E180B" w:rsidRPr="00AA677B">
        <w:rPr>
          <w:rFonts w:cstheme="minorHAnsi"/>
          <w:color w:val="000000" w:themeColor="text1"/>
          <w:sz w:val="22"/>
          <w:szCs w:val="22"/>
        </w:rPr>
        <w:t xml:space="preserve">6 </w:t>
      </w:r>
      <w:r w:rsidR="001E180B" w:rsidRPr="00AA677B">
        <w:rPr>
          <w:rFonts w:cstheme="minorHAnsi"/>
          <w:i/>
          <w:iCs/>
          <w:color w:val="000000" w:themeColor="text1"/>
          <w:sz w:val="22"/>
          <w:szCs w:val="22"/>
        </w:rPr>
        <w:t>n</w:t>
      </w:r>
      <w:r w:rsidR="001E180B" w:rsidRPr="00AA677B">
        <w:rPr>
          <w:rFonts w:cstheme="minorHAnsi"/>
          <w:color w:val="000000" w:themeColor="text1"/>
          <w:sz w:val="22"/>
          <w:szCs w:val="22"/>
        </w:rPr>
        <w:t>=</w:t>
      </w:r>
      <w:r w:rsidR="004A36A9">
        <w:rPr>
          <w:rFonts w:cstheme="minorHAnsi"/>
          <w:color w:val="000000" w:themeColor="text1"/>
          <w:sz w:val="22"/>
          <w:szCs w:val="22"/>
        </w:rPr>
        <w:t>7</w:t>
      </w:r>
      <w:r w:rsidR="001E180B" w:rsidRPr="00AA677B">
        <w:rPr>
          <w:rFonts w:cstheme="minorHAnsi"/>
          <w:color w:val="000000" w:themeColor="text1"/>
          <w:sz w:val="22"/>
          <w:szCs w:val="22"/>
        </w:rPr>
        <w:t xml:space="preserve">, RP </w:t>
      </w:r>
      <w:r w:rsidR="00906378" w:rsidRPr="00AA677B">
        <w:rPr>
          <w:rFonts w:cstheme="minorHAnsi"/>
          <w:color w:val="000000" w:themeColor="text1"/>
          <w:sz w:val="22"/>
          <w:szCs w:val="22"/>
        </w:rPr>
        <w:t xml:space="preserve">of </w:t>
      </w:r>
      <w:r w:rsidR="001E180B" w:rsidRPr="00AA677B">
        <w:rPr>
          <w:rFonts w:cstheme="minorHAnsi"/>
          <w:color w:val="000000" w:themeColor="text1"/>
          <w:sz w:val="22"/>
          <w:szCs w:val="22"/>
        </w:rPr>
        <w:t xml:space="preserve">7 </w:t>
      </w:r>
      <w:r w:rsidR="001E180B" w:rsidRPr="00AA677B">
        <w:rPr>
          <w:rFonts w:cstheme="minorHAnsi"/>
          <w:i/>
          <w:iCs/>
          <w:color w:val="000000" w:themeColor="text1"/>
          <w:sz w:val="22"/>
          <w:szCs w:val="22"/>
        </w:rPr>
        <w:t>n</w:t>
      </w:r>
      <w:r w:rsidR="001E180B" w:rsidRPr="00AA677B">
        <w:rPr>
          <w:rFonts w:cstheme="minorHAnsi"/>
          <w:color w:val="000000" w:themeColor="text1"/>
          <w:sz w:val="22"/>
          <w:szCs w:val="22"/>
        </w:rPr>
        <w:t xml:space="preserve">=6, RP </w:t>
      </w:r>
      <w:r w:rsidR="00906378" w:rsidRPr="00AA677B">
        <w:rPr>
          <w:rFonts w:cstheme="minorHAnsi"/>
          <w:color w:val="000000" w:themeColor="text1"/>
          <w:sz w:val="22"/>
          <w:szCs w:val="22"/>
        </w:rPr>
        <w:t xml:space="preserve">of </w:t>
      </w:r>
      <w:r w:rsidR="001E180B" w:rsidRPr="00AA677B">
        <w:rPr>
          <w:rFonts w:cstheme="minorHAnsi"/>
          <w:color w:val="000000" w:themeColor="text1"/>
          <w:sz w:val="22"/>
          <w:szCs w:val="22"/>
        </w:rPr>
        <w:t xml:space="preserve">8 </w:t>
      </w:r>
      <w:r w:rsidR="001E180B" w:rsidRPr="00AA677B">
        <w:rPr>
          <w:rFonts w:cstheme="minorHAnsi"/>
          <w:i/>
          <w:iCs/>
          <w:color w:val="000000" w:themeColor="text1"/>
          <w:sz w:val="22"/>
          <w:szCs w:val="22"/>
        </w:rPr>
        <w:t>n</w:t>
      </w:r>
      <w:r w:rsidR="001E180B" w:rsidRPr="00AA677B">
        <w:rPr>
          <w:rFonts w:cstheme="minorHAnsi"/>
          <w:color w:val="000000" w:themeColor="text1"/>
          <w:sz w:val="22"/>
          <w:szCs w:val="22"/>
        </w:rPr>
        <w:t>=</w:t>
      </w:r>
      <w:r w:rsidR="005952A6" w:rsidRPr="00AA677B">
        <w:rPr>
          <w:rFonts w:cstheme="minorHAnsi"/>
          <w:color w:val="000000" w:themeColor="text1"/>
          <w:sz w:val="22"/>
          <w:szCs w:val="22"/>
        </w:rPr>
        <w:t>9</w:t>
      </w:r>
      <w:r w:rsidR="001E180B" w:rsidRPr="00AA677B">
        <w:rPr>
          <w:rFonts w:cstheme="minorHAnsi"/>
          <w:color w:val="000000" w:themeColor="text1"/>
          <w:sz w:val="22"/>
          <w:szCs w:val="22"/>
        </w:rPr>
        <w:t xml:space="preserve">, RP </w:t>
      </w:r>
      <w:r w:rsidR="00906378" w:rsidRPr="00AA677B">
        <w:rPr>
          <w:rFonts w:cstheme="minorHAnsi"/>
          <w:color w:val="000000" w:themeColor="text1"/>
          <w:sz w:val="22"/>
          <w:szCs w:val="22"/>
        </w:rPr>
        <w:t xml:space="preserve">of </w:t>
      </w:r>
      <w:r w:rsidR="001E180B" w:rsidRPr="00AA677B">
        <w:rPr>
          <w:rFonts w:cstheme="minorHAnsi"/>
          <w:color w:val="000000" w:themeColor="text1"/>
          <w:sz w:val="22"/>
          <w:szCs w:val="22"/>
        </w:rPr>
        <w:t xml:space="preserve">9 </w:t>
      </w:r>
      <w:r w:rsidR="001E180B" w:rsidRPr="00AA677B">
        <w:rPr>
          <w:rFonts w:cstheme="minorHAnsi"/>
          <w:i/>
          <w:iCs/>
          <w:color w:val="000000" w:themeColor="text1"/>
          <w:sz w:val="22"/>
          <w:szCs w:val="22"/>
        </w:rPr>
        <w:t>n</w:t>
      </w:r>
      <w:r w:rsidR="001E180B" w:rsidRPr="00AA677B">
        <w:rPr>
          <w:rFonts w:cstheme="minorHAnsi"/>
          <w:color w:val="000000" w:themeColor="text1"/>
          <w:sz w:val="22"/>
          <w:szCs w:val="22"/>
        </w:rPr>
        <w:t>=</w:t>
      </w:r>
      <w:r w:rsidR="005952A6" w:rsidRPr="00AA677B">
        <w:rPr>
          <w:rFonts w:cstheme="minorHAnsi"/>
          <w:color w:val="000000" w:themeColor="text1"/>
          <w:sz w:val="22"/>
          <w:szCs w:val="22"/>
        </w:rPr>
        <w:t>5</w:t>
      </w:r>
      <w:r w:rsidR="001E180B" w:rsidRPr="00AA677B">
        <w:rPr>
          <w:rFonts w:cstheme="minorHAnsi"/>
          <w:color w:val="000000" w:themeColor="text1"/>
          <w:sz w:val="22"/>
          <w:szCs w:val="22"/>
        </w:rPr>
        <w:t xml:space="preserve">) </w:t>
      </w:r>
      <w:r w:rsidRPr="00AA677B">
        <w:rPr>
          <w:rFonts w:cstheme="minorHAnsi"/>
          <w:color w:val="000000" w:themeColor="text1"/>
          <w:sz w:val="22"/>
          <w:szCs w:val="22"/>
        </w:rPr>
        <w:t xml:space="preserve">and </w:t>
      </w:r>
      <w:r w:rsidRPr="00AA677B">
        <w:rPr>
          <w:rFonts w:cstheme="minorHAnsi"/>
          <w:b/>
          <w:bCs/>
          <w:color w:val="000000" w:themeColor="text1"/>
          <w:sz w:val="22"/>
          <w:szCs w:val="22"/>
        </w:rPr>
        <w:t>d</w:t>
      </w:r>
      <w:r w:rsidRPr="00AA677B">
        <w:rPr>
          <w:rFonts w:cstheme="minorHAnsi"/>
          <w:color w:val="000000" w:themeColor="text1"/>
          <w:sz w:val="22"/>
          <w:szCs w:val="22"/>
        </w:rPr>
        <w:t xml:space="preserve"> male weight gained over 14 months</w:t>
      </w:r>
      <w:r w:rsidR="001E180B" w:rsidRPr="00AA677B">
        <w:rPr>
          <w:rFonts w:cstheme="minorHAnsi"/>
          <w:color w:val="000000" w:themeColor="text1"/>
          <w:sz w:val="22"/>
          <w:szCs w:val="22"/>
        </w:rPr>
        <w:t xml:space="preserve"> (male RP 6 </w:t>
      </w:r>
      <w:r w:rsidR="001E180B" w:rsidRPr="00AA677B">
        <w:rPr>
          <w:rFonts w:cstheme="minorHAnsi"/>
          <w:i/>
          <w:iCs/>
          <w:color w:val="000000" w:themeColor="text1"/>
          <w:sz w:val="22"/>
          <w:szCs w:val="22"/>
        </w:rPr>
        <w:t>n</w:t>
      </w:r>
      <w:r w:rsidR="001E180B" w:rsidRPr="00AA677B">
        <w:rPr>
          <w:rFonts w:cstheme="minorHAnsi"/>
          <w:color w:val="000000" w:themeColor="text1"/>
          <w:sz w:val="22"/>
          <w:szCs w:val="22"/>
        </w:rPr>
        <w:t>=</w:t>
      </w:r>
      <w:r w:rsidR="005952A6" w:rsidRPr="00AA677B">
        <w:rPr>
          <w:rFonts w:cstheme="minorHAnsi"/>
          <w:color w:val="000000" w:themeColor="text1"/>
          <w:sz w:val="22"/>
          <w:szCs w:val="22"/>
        </w:rPr>
        <w:t>9</w:t>
      </w:r>
      <w:r w:rsidR="001E180B" w:rsidRPr="00AA677B">
        <w:rPr>
          <w:rFonts w:cstheme="minorHAnsi"/>
          <w:color w:val="000000" w:themeColor="text1"/>
          <w:sz w:val="22"/>
          <w:szCs w:val="22"/>
        </w:rPr>
        <w:t xml:space="preserve">, RP 7 </w:t>
      </w:r>
      <w:r w:rsidR="001E180B" w:rsidRPr="00AA677B">
        <w:rPr>
          <w:rFonts w:cstheme="minorHAnsi"/>
          <w:i/>
          <w:iCs/>
          <w:color w:val="000000" w:themeColor="text1"/>
          <w:sz w:val="22"/>
          <w:szCs w:val="22"/>
        </w:rPr>
        <w:t>n</w:t>
      </w:r>
      <w:r w:rsidR="001E180B" w:rsidRPr="00AA677B">
        <w:rPr>
          <w:rFonts w:cstheme="minorHAnsi"/>
          <w:color w:val="000000" w:themeColor="text1"/>
          <w:sz w:val="22"/>
          <w:szCs w:val="22"/>
        </w:rPr>
        <w:t xml:space="preserve">=6, RP 8 </w:t>
      </w:r>
      <w:r w:rsidR="001E180B" w:rsidRPr="00AA677B">
        <w:rPr>
          <w:rFonts w:cstheme="minorHAnsi"/>
          <w:i/>
          <w:iCs/>
          <w:color w:val="000000" w:themeColor="text1"/>
          <w:sz w:val="22"/>
          <w:szCs w:val="22"/>
        </w:rPr>
        <w:t>n</w:t>
      </w:r>
      <w:r w:rsidR="001E180B" w:rsidRPr="00AA677B">
        <w:rPr>
          <w:rFonts w:cstheme="minorHAnsi"/>
          <w:color w:val="000000" w:themeColor="text1"/>
          <w:sz w:val="22"/>
          <w:szCs w:val="22"/>
        </w:rPr>
        <w:t>=</w:t>
      </w:r>
      <w:r w:rsidR="005952A6" w:rsidRPr="00AA677B">
        <w:rPr>
          <w:rFonts w:cstheme="minorHAnsi"/>
          <w:color w:val="000000" w:themeColor="text1"/>
          <w:sz w:val="22"/>
          <w:szCs w:val="22"/>
        </w:rPr>
        <w:t>5</w:t>
      </w:r>
      <w:r w:rsidR="001E180B" w:rsidRPr="00AA677B">
        <w:rPr>
          <w:rFonts w:cstheme="minorHAnsi"/>
          <w:color w:val="000000" w:themeColor="text1"/>
          <w:sz w:val="22"/>
          <w:szCs w:val="22"/>
        </w:rPr>
        <w:t xml:space="preserve">, RP 9 </w:t>
      </w:r>
      <w:r w:rsidR="001E180B" w:rsidRPr="00AA677B">
        <w:rPr>
          <w:rFonts w:cstheme="minorHAnsi"/>
          <w:i/>
          <w:iCs/>
          <w:color w:val="000000" w:themeColor="text1"/>
          <w:sz w:val="22"/>
          <w:szCs w:val="22"/>
        </w:rPr>
        <w:t>n</w:t>
      </w:r>
      <w:r w:rsidR="001E180B" w:rsidRPr="00AA677B">
        <w:rPr>
          <w:rFonts w:cstheme="minorHAnsi"/>
          <w:color w:val="000000" w:themeColor="text1"/>
          <w:sz w:val="22"/>
          <w:szCs w:val="22"/>
        </w:rPr>
        <w:t>=3</w:t>
      </w:r>
      <w:r w:rsidR="001E1DE5">
        <w:rPr>
          <w:rFonts w:cstheme="minorHAnsi"/>
          <w:color w:val="000000" w:themeColor="text1"/>
          <w:sz w:val="22"/>
          <w:szCs w:val="22"/>
        </w:rPr>
        <w:t>; one outlier removed</w:t>
      </w:r>
      <w:r w:rsidR="001E180B" w:rsidRPr="00AA677B">
        <w:rPr>
          <w:rFonts w:cstheme="minorHAnsi"/>
          <w:color w:val="000000" w:themeColor="text1"/>
          <w:sz w:val="22"/>
          <w:szCs w:val="22"/>
        </w:rPr>
        <w:t>)</w:t>
      </w:r>
      <w:r w:rsidRPr="00AA677B">
        <w:rPr>
          <w:rFonts w:cstheme="minorHAnsi"/>
          <w:color w:val="000000" w:themeColor="text1"/>
          <w:sz w:val="22"/>
          <w:szCs w:val="22"/>
        </w:rPr>
        <w:t xml:space="preserve">. </w:t>
      </w:r>
      <w:r w:rsidRPr="00AA677B">
        <w:rPr>
          <w:rFonts w:cstheme="minorHAnsi"/>
          <w:b/>
          <w:bCs/>
          <w:color w:val="000000" w:themeColor="text1"/>
          <w:sz w:val="22"/>
          <w:szCs w:val="22"/>
        </w:rPr>
        <w:t>e</w:t>
      </w:r>
      <w:r w:rsidRPr="00AA677B">
        <w:rPr>
          <w:rFonts w:cstheme="minorHAnsi"/>
          <w:color w:val="000000" w:themeColor="text1"/>
          <w:sz w:val="22"/>
          <w:szCs w:val="22"/>
        </w:rPr>
        <w:t xml:space="preserve"> Log-transformed RP compared to log-transformed female BMI gained </w:t>
      </w:r>
      <w:r w:rsidR="00C37D9D" w:rsidRPr="00AA677B">
        <w:rPr>
          <w:rFonts w:cstheme="minorHAnsi"/>
          <w:color w:val="000000" w:themeColor="text1"/>
          <w:sz w:val="22"/>
          <w:szCs w:val="22"/>
        </w:rPr>
        <w:t xml:space="preserve">(female RP 6 </w:t>
      </w:r>
      <w:r w:rsidR="00C37D9D" w:rsidRPr="00AA677B">
        <w:rPr>
          <w:rFonts w:cstheme="minorHAnsi"/>
          <w:i/>
          <w:iCs/>
          <w:color w:val="000000" w:themeColor="text1"/>
          <w:sz w:val="22"/>
          <w:szCs w:val="22"/>
        </w:rPr>
        <w:t>n</w:t>
      </w:r>
      <w:r w:rsidR="00C37D9D" w:rsidRPr="00AA677B">
        <w:rPr>
          <w:rFonts w:cstheme="minorHAnsi"/>
          <w:color w:val="000000" w:themeColor="text1"/>
          <w:sz w:val="22"/>
          <w:szCs w:val="22"/>
        </w:rPr>
        <w:t>=</w:t>
      </w:r>
      <w:r w:rsidR="004A36A9">
        <w:rPr>
          <w:rFonts w:cstheme="minorHAnsi"/>
          <w:color w:val="000000" w:themeColor="text1"/>
          <w:sz w:val="22"/>
          <w:szCs w:val="22"/>
        </w:rPr>
        <w:t>5</w:t>
      </w:r>
      <w:r w:rsidR="00C37D9D" w:rsidRPr="00AA677B">
        <w:rPr>
          <w:rFonts w:cstheme="minorHAnsi"/>
          <w:color w:val="000000" w:themeColor="text1"/>
          <w:sz w:val="22"/>
          <w:szCs w:val="22"/>
        </w:rPr>
        <w:t xml:space="preserve">, RP 7 </w:t>
      </w:r>
      <w:r w:rsidR="00C37D9D" w:rsidRPr="00AA677B">
        <w:rPr>
          <w:rFonts w:cstheme="minorHAnsi"/>
          <w:i/>
          <w:iCs/>
          <w:color w:val="000000" w:themeColor="text1"/>
          <w:sz w:val="22"/>
          <w:szCs w:val="22"/>
        </w:rPr>
        <w:t>n</w:t>
      </w:r>
      <w:r w:rsidR="00C37D9D" w:rsidRPr="00AA677B">
        <w:rPr>
          <w:rFonts w:cstheme="minorHAnsi"/>
          <w:color w:val="000000" w:themeColor="text1"/>
          <w:sz w:val="22"/>
          <w:szCs w:val="22"/>
        </w:rPr>
        <w:t>=</w:t>
      </w:r>
      <w:r w:rsidR="005952A6" w:rsidRPr="00AA677B">
        <w:rPr>
          <w:rFonts w:cstheme="minorHAnsi"/>
          <w:color w:val="000000" w:themeColor="text1"/>
          <w:sz w:val="22"/>
          <w:szCs w:val="22"/>
        </w:rPr>
        <w:t>6</w:t>
      </w:r>
      <w:r w:rsidR="00C37D9D" w:rsidRPr="00AA677B">
        <w:rPr>
          <w:rFonts w:cstheme="minorHAnsi"/>
          <w:color w:val="000000" w:themeColor="text1"/>
          <w:sz w:val="22"/>
          <w:szCs w:val="22"/>
        </w:rPr>
        <w:t xml:space="preserve">, RP 8 </w:t>
      </w:r>
      <w:r w:rsidR="00C37D9D" w:rsidRPr="00AA677B">
        <w:rPr>
          <w:rFonts w:cstheme="minorHAnsi"/>
          <w:i/>
          <w:iCs/>
          <w:color w:val="000000" w:themeColor="text1"/>
          <w:sz w:val="22"/>
          <w:szCs w:val="22"/>
        </w:rPr>
        <w:t>n</w:t>
      </w:r>
      <w:r w:rsidR="00C37D9D" w:rsidRPr="00AA677B">
        <w:rPr>
          <w:rFonts w:cstheme="minorHAnsi"/>
          <w:color w:val="000000" w:themeColor="text1"/>
          <w:sz w:val="22"/>
          <w:szCs w:val="22"/>
        </w:rPr>
        <w:t xml:space="preserve">=9, RP 9 </w:t>
      </w:r>
      <w:r w:rsidR="00C37D9D" w:rsidRPr="00AA677B">
        <w:rPr>
          <w:rFonts w:cstheme="minorHAnsi"/>
          <w:i/>
          <w:iCs/>
          <w:color w:val="000000" w:themeColor="text1"/>
          <w:sz w:val="22"/>
          <w:szCs w:val="22"/>
        </w:rPr>
        <w:t>n</w:t>
      </w:r>
      <w:r w:rsidR="00C37D9D" w:rsidRPr="00AA677B">
        <w:rPr>
          <w:rFonts w:cstheme="minorHAnsi"/>
          <w:color w:val="000000" w:themeColor="text1"/>
          <w:sz w:val="22"/>
          <w:szCs w:val="22"/>
        </w:rPr>
        <w:t>=</w:t>
      </w:r>
      <w:r w:rsidR="005952A6" w:rsidRPr="00AA677B">
        <w:rPr>
          <w:rFonts w:cstheme="minorHAnsi"/>
          <w:color w:val="000000" w:themeColor="text1"/>
          <w:sz w:val="22"/>
          <w:szCs w:val="22"/>
        </w:rPr>
        <w:t>5</w:t>
      </w:r>
      <w:r w:rsidR="00C37D9D" w:rsidRPr="00AA677B">
        <w:rPr>
          <w:rFonts w:cstheme="minorHAnsi"/>
          <w:color w:val="000000" w:themeColor="text1"/>
          <w:sz w:val="22"/>
          <w:szCs w:val="22"/>
        </w:rPr>
        <w:t xml:space="preserve">) </w:t>
      </w:r>
      <w:r w:rsidRPr="00AA677B">
        <w:rPr>
          <w:rFonts w:cstheme="minorHAnsi"/>
          <w:color w:val="000000" w:themeColor="text1"/>
          <w:sz w:val="22"/>
          <w:szCs w:val="22"/>
        </w:rPr>
        <w:t xml:space="preserve">and </w:t>
      </w:r>
      <w:r w:rsidRPr="00AA677B">
        <w:rPr>
          <w:rFonts w:cstheme="minorHAnsi"/>
          <w:b/>
          <w:bCs/>
          <w:color w:val="000000" w:themeColor="text1"/>
          <w:sz w:val="22"/>
          <w:szCs w:val="22"/>
        </w:rPr>
        <w:t>f</w:t>
      </w:r>
      <w:r w:rsidRPr="00AA677B">
        <w:rPr>
          <w:rFonts w:cstheme="minorHAnsi"/>
          <w:color w:val="000000" w:themeColor="text1"/>
          <w:sz w:val="22"/>
          <w:szCs w:val="22"/>
        </w:rPr>
        <w:t xml:space="preserve"> male BMI gained over 14 months</w:t>
      </w:r>
      <w:r w:rsidR="00C37D9D" w:rsidRPr="00AA677B">
        <w:rPr>
          <w:rFonts w:cstheme="minorHAnsi"/>
          <w:color w:val="000000" w:themeColor="text1"/>
          <w:sz w:val="22"/>
          <w:szCs w:val="22"/>
        </w:rPr>
        <w:t xml:space="preserve"> (male RP</w:t>
      </w:r>
      <w:r w:rsidR="005952A6" w:rsidRPr="00AA677B">
        <w:rPr>
          <w:rFonts w:cstheme="minorHAnsi"/>
          <w:color w:val="000000" w:themeColor="text1"/>
          <w:sz w:val="22"/>
          <w:szCs w:val="22"/>
        </w:rPr>
        <w:t xml:space="preserve"> of</w:t>
      </w:r>
      <w:r w:rsidR="00C37D9D" w:rsidRPr="00AA677B">
        <w:rPr>
          <w:rFonts w:cstheme="minorHAnsi"/>
          <w:color w:val="000000" w:themeColor="text1"/>
          <w:sz w:val="22"/>
          <w:szCs w:val="22"/>
        </w:rPr>
        <w:t xml:space="preserve"> 6 </w:t>
      </w:r>
      <w:r w:rsidR="00C37D9D" w:rsidRPr="00AA677B">
        <w:rPr>
          <w:rFonts w:cstheme="minorHAnsi"/>
          <w:i/>
          <w:iCs/>
          <w:color w:val="000000" w:themeColor="text1"/>
          <w:sz w:val="22"/>
          <w:szCs w:val="22"/>
        </w:rPr>
        <w:t>n</w:t>
      </w:r>
      <w:r w:rsidR="00C37D9D" w:rsidRPr="00AA677B">
        <w:rPr>
          <w:rFonts w:cstheme="minorHAnsi"/>
          <w:color w:val="000000" w:themeColor="text1"/>
          <w:sz w:val="22"/>
          <w:szCs w:val="22"/>
        </w:rPr>
        <w:t>=</w:t>
      </w:r>
      <w:r w:rsidR="005952A6" w:rsidRPr="00AA677B">
        <w:rPr>
          <w:rFonts w:cstheme="minorHAnsi"/>
          <w:color w:val="000000" w:themeColor="text1"/>
          <w:sz w:val="22"/>
          <w:szCs w:val="22"/>
        </w:rPr>
        <w:t>9</w:t>
      </w:r>
      <w:r w:rsidR="00C37D9D" w:rsidRPr="00AA677B">
        <w:rPr>
          <w:rFonts w:cstheme="minorHAnsi"/>
          <w:color w:val="000000" w:themeColor="text1"/>
          <w:sz w:val="22"/>
          <w:szCs w:val="22"/>
        </w:rPr>
        <w:t xml:space="preserve">, RP </w:t>
      </w:r>
      <w:r w:rsidR="005952A6" w:rsidRPr="00AA677B">
        <w:rPr>
          <w:rFonts w:cstheme="minorHAnsi"/>
          <w:color w:val="000000" w:themeColor="text1"/>
          <w:sz w:val="22"/>
          <w:szCs w:val="22"/>
        </w:rPr>
        <w:t xml:space="preserve">of </w:t>
      </w:r>
      <w:r w:rsidR="00C37D9D" w:rsidRPr="00AA677B">
        <w:rPr>
          <w:rFonts w:cstheme="minorHAnsi"/>
          <w:color w:val="000000" w:themeColor="text1"/>
          <w:sz w:val="22"/>
          <w:szCs w:val="22"/>
        </w:rPr>
        <w:t xml:space="preserve">7 </w:t>
      </w:r>
      <w:r w:rsidR="00C37D9D" w:rsidRPr="00AA677B">
        <w:rPr>
          <w:rFonts w:cstheme="minorHAnsi"/>
          <w:i/>
          <w:iCs/>
          <w:color w:val="000000" w:themeColor="text1"/>
          <w:sz w:val="22"/>
          <w:szCs w:val="22"/>
        </w:rPr>
        <w:t>n</w:t>
      </w:r>
      <w:r w:rsidR="00C37D9D" w:rsidRPr="00AA677B">
        <w:rPr>
          <w:rFonts w:cstheme="minorHAnsi"/>
          <w:color w:val="000000" w:themeColor="text1"/>
          <w:sz w:val="22"/>
          <w:szCs w:val="22"/>
        </w:rPr>
        <w:t xml:space="preserve">=6, RP </w:t>
      </w:r>
      <w:r w:rsidR="005952A6" w:rsidRPr="00AA677B">
        <w:rPr>
          <w:rFonts w:cstheme="minorHAnsi"/>
          <w:color w:val="000000" w:themeColor="text1"/>
          <w:sz w:val="22"/>
          <w:szCs w:val="22"/>
        </w:rPr>
        <w:t xml:space="preserve">of </w:t>
      </w:r>
      <w:r w:rsidR="00C37D9D" w:rsidRPr="00AA677B">
        <w:rPr>
          <w:rFonts w:cstheme="minorHAnsi"/>
          <w:color w:val="000000" w:themeColor="text1"/>
          <w:sz w:val="22"/>
          <w:szCs w:val="22"/>
        </w:rPr>
        <w:t xml:space="preserve">8 </w:t>
      </w:r>
      <w:r w:rsidR="00C37D9D" w:rsidRPr="00AA677B">
        <w:rPr>
          <w:rFonts w:cstheme="minorHAnsi"/>
          <w:i/>
          <w:iCs/>
          <w:color w:val="000000" w:themeColor="text1"/>
          <w:sz w:val="22"/>
          <w:szCs w:val="22"/>
        </w:rPr>
        <w:t>n</w:t>
      </w:r>
      <w:r w:rsidR="00C37D9D" w:rsidRPr="00AA677B">
        <w:rPr>
          <w:rFonts w:cstheme="minorHAnsi"/>
          <w:color w:val="000000" w:themeColor="text1"/>
          <w:sz w:val="22"/>
          <w:szCs w:val="22"/>
        </w:rPr>
        <w:t>=</w:t>
      </w:r>
      <w:r w:rsidR="005952A6" w:rsidRPr="00AA677B">
        <w:rPr>
          <w:rFonts w:cstheme="minorHAnsi"/>
          <w:color w:val="000000" w:themeColor="text1"/>
          <w:sz w:val="22"/>
          <w:szCs w:val="22"/>
        </w:rPr>
        <w:t>5</w:t>
      </w:r>
      <w:r w:rsidR="00C37D9D" w:rsidRPr="00AA677B">
        <w:rPr>
          <w:rFonts w:cstheme="minorHAnsi"/>
          <w:color w:val="000000" w:themeColor="text1"/>
          <w:sz w:val="22"/>
          <w:szCs w:val="22"/>
        </w:rPr>
        <w:t xml:space="preserve">, RP 9 </w:t>
      </w:r>
      <w:r w:rsidR="00C37D9D" w:rsidRPr="00AA677B">
        <w:rPr>
          <w:rFonts w:cstheme="minorHAnsi"/>
          <w:i/>
          <w:iCs/>
          <w:color w:val="000000" w:themeColor="text1"/>
          <w:sz w:val="22"/>
          <w:szCs w:val="22"/>
        </w:rPr>
        <w:t>n</w:t>
      </w:r>
      <w:r w:rsidR="00C37D9D" w:rsidRPr="00AA677B">
        <w:rPr>
          <w:rFonts w:cstheme="minorHAnsi"/>
          <w:color w:val="000000" w:themeColor="text1"/>
          <w:sz w:val="22"/>
          <w:szCs w:val="22"/>
        </w:rPr>
        <w:t>=</w:t>
      </w:r>
      <w:r w:rsidR="005952A6" w:rsidRPr="00AA677B">
        <w:rPr>
          <w:rFonts w:cstheme="minorHAnsi"/>
          <w:color w:val="000000" w:themeColor="text1"/>
          <w:sz w:val="22"/>
          <w:szCs w:val="22"/>
        </w:rPr>
        <w:t>3</w:t>
      </w:r>
      <w:r w:rsidR="001E1DE5">
        <w:rPr>
          <w:rFonts w:cstheme="minorHAnsi"/>
          <w:color w:val="000000" w:themeColor="text1"/>
          <w:sz w:val="22"/>
          <w:szCs w:val="22"/>
        </w:rPr>
        <w:t>; one outlier removed</w:t>
      </w:r>
      <w:r w:rsidR="00C37D9D" w:rsidRPr="00AA677B">
        <w:rPr>
          <w:rFonts w:cstheme="minorHAnsi"/>
          <w:color w:val="000000" w:themeColor="text1"/>
          <w:sz w:val="22"/>
          <w:szCs w:val="22"/>
        </w:rPr>
        <w:t>)</w:t>
      </w:r>
      <w:r w:rsidRPr="00AA677B">
        <w:rPr>
          <w:rFonts w:cstheme="minorHAnsi"/>
          <w:color w:val="000000" w:themeColor="text1"/>
          <w:sz w:val="22"/>
          <w:szCs w:val="22"/>
        </w:rPr>
        <w:t>.</w:t>
      </w:r>
      <w:r w:rsidRPr="00AA677B">
        <w:rPr>
          <w:rFonts w:cstheme="minorHAnsi"/>
          <w:noProof/>
          <w:color w:val="000000" w:themeColor="text1"/>
          <w:sz w:val="22"/>
          <w:szCs w:val="22"/>
        </w:rPr>
        <w:t xml:space="preserve"> </w:t>
      </w:r>
      <w:r w:rsidRPr="00AA677B">
        <w:rPr>
          <w:rFonts w:cstheme="minorHAnsi"/>
          <w:b/>
          <w:bCs/>
          <w:color w:val="000000" w:themeColor="text1"/>
          <w:sz w:val="22"/>
          <w:szCs w:val="22"/>
        </w:rPr>
        <w:t>g</w:t>
      </w:r>
      <w:r w:rsidRPr="00AA677B">
        <w:rPr>
          <w:rFonts w:cstheme="minorHAnsi"/>
          <w:color w:val="000000" w:themeColor="text1"/>
          <w:sz w:val="22"/>
          <w:szCs w:val="22"/>
        </w:rPr>
        <w:t xml:space="preserve"> Log-transformed RP values compared to log-transformed female average weight over 14 months (outlier excluded</w:t>
      </w:r>
      <w:r w:rsidR="00412278" w:rsidRPr="00AA677B">
        <w:rPr>
          <w:rFonts w:cstheme="minorHAnsi"/>
          <w:color w:val="000000" w:themeColor="text1"/>
          <w:sz w:val="22"/>
          <w:szCs w:val="22"/>
        </w:rPr>
        <w:t xml:space="preserve">; female RP 6 </w:t>
      </w:r>
      <w:r w:rsidR="00412278" w:rsidRPr="00AA677B">
        <w:rPr>
          <w:rFonts w:cstheme="minorHAnsi"/>
          <w:i/>
          <w:iCs/>
          <w:color w:val="000000" w:themeColor="text1"/>
          <w:sz w:val="22"/>
          <w:szCs w:val="22"/>
        </w:rPr>
        <w:t>n</w:t>
      </w:r>
      <w:r w:rsidR="00412278" w:rsidRPr="00AA677B">
        <w:rPr>
          <w:rFonts w:cstheme="minorHAnsi"/>
          <w:color w:val="000000" w:themeColor="text1"/>
          <w:sz w:val="22"/>
          <w:szCs w:val="22"/>
        </w:rPr>
        <w:t xml:space="preserve">=6, RP 7 </w:t>
      </w:r>
      <w:r w:rsidR="00412278" w:rsidRPr="00AA677B">
        <w:rPr>
          <w:rFonts w:cstheme="minorHAnsi"/>
          <w:i/>
          <w:iCs/>
          <w:color w:val="000000" w:themeColor="text1"/>
          <w:sz w:val="22"/>
          <w:szCs w:val="22"/>
        </w:rPr>
        <w:t>n</w:t>
      </w:r>
      <w:r w:rsidR="00412278" w:rsidRPr="00AA677B">
        <w:rPr>
          <w:rFonts w:cstheme="minorHAnsi"/>
          <w:color w:val="000000" w:themeColor="text1"/>
          <w:sz w:val="22"/>
          <w:szCs w:val="22"/>
        </w:rPr>
        <w:t>=</w:t>
      </w:r>
      <w:r w:rsidR="00AA677B" w:rsidRPr="00AA677B">
        <w:rPr>
          <w:rFonts w:cstheme="minorHAnsi"/>
          <w:color w:val="000000" w:themeColor="text1"/>
          <w:sz w:val="22"/>
          <w:szCs w:val="22"/>
        </w:rPr>
        <w:t>6</w:t>
      </w:r>
      <w:r w:rsidR="00412278" w:rsidRPr="00AA677B">
        <w:rPr>
          <w:rFonts w:cstheme="minorHAnsi"/>
          <w:color w:val="000000" w:themeColor="text1"/>
          <w:sz w:val="22"/>
          <w:szCs w:val="22"/>
        </w:rPr>
        <w:t xml:space="preserve">, RP 8 </w:t>
      </w:r>
      <w:r w:rsidR="00412278" w:rsidRPr="00AA677B">
        <w:rPr>
          <w:rFonts w:cstheme="minorHAnsi"/>
          <w:i/>
          <w:iCs/>
          <w:color w:val="000000" w:themeColor="text1"/>
          <w:sz w:val="22"/>
          <w:szCs w:val="22"/>
        </w:rPr>
        <w:t>n</w:t>
      </w:r>
      <w:r w:rsidR="00412278" w:rsidRPr="00AA677B">
        <w:rPr>
          <w:rFonts w:cstheme="minorHAnsi"/>
          <w:color w:val="000000" w:themeColor="text1"/>
          <w:sz w:val="22"/>
          <w:szCs w:val="22"/>
        </w:rPr>
        <w:t>=1</w:t>
      </w:r>
      <w:r w:rsidR="00AA677B" w:rsidRPr="00AA677B">
        <w:rPr>
          <w:rFonts w:cstheme="minorHAnsi"/>
          <w:color w:val="000000" w:themeColor="text1"/>
          <w:sz w:val="22"/>
          <w:szCs w:val="22"/>
        </w:rPr>
        <w:t>0</w:t>
      </w:r>
      <w:r w:rsidR="00412278" w:rsidRPr="00AA677B">
        <w:rPr>
          <w:rFonts w:cstheme="minorHAnsi"/>
          <w:color w:val="000000" w:themeColor="text1"/>
          <w:sz w:val="22"/>
          <w:szCs w:val="22"/>
        </w:rPr>
        <w:t xml:space="preserve">, RP 9 </w:t>
      </w:r>
      <w:r w:rsidR="00412278" w:rsidRPr="00AA677B">
        <w:rPr>
          <w:rFonts w:cstheme="minorHAnsi"/>
          <w:i/>
          <w:iCs/>
          <w:color w:val="000000" w:themeColor="text1"/>
          <w:sz w:val="22"/>
          <w:szCs w:val="22"/>
        </w:rPr>
        <w:t>n</w:t>
      </w:r>
      <w:r w:rsidR="00412278" w:rsidRPr="00AA677B">
        <w:rPr>
          <w:rFonts w:cstheme="minorHAnsi"/>
          <w:color w:val="000000" w:themeColor="text1"/>
          <w:sz w:val="22"/>
          <w:szCs w:val="22"/>
        </w:rPr>
        <w:t>=</w:t>
      </w:r>
      <w:r w:rsidR="005562AC" w:rsidRPr="00AA677B">
        <w:rPr>
          <w:rFonts w:cstheme="minorHAnsi"/>
          <w:color w:val="000000" w:themeColor="text1"/>
          <w:sz w:val="22"/>
          <w:szCs w:val="22"/>
        </w:rPr>
        <w:t>5</w:t>
      </w:r>
      <w:r w:rsidR="00DB1EA1" w:rsidRPr="00AA677B">
        <w:rPr>
          <w:rFonts w:cstheme="minorHAnsi"/>
          <w:color w:val="000000" w:themeColor="text1"/>
          <w:sz w:val="22"/>
          <w:szCs w:val="22"/>
        </w:rPr>
        <w:t>)</w:t>
      </w:r>
      <w:r w:rsidRPr="00AA677B">
        <w:rPr>
          <w:rFonts w:cstheme="minorHAnsi"/>
          <w:color w:val="000000" w:themeColor="text1"/>
          <w:sz w:val="22"/>
          <w:szCs w:val="22"/>
        </w:rPr>
        <w:t>, and male average weight over 14 months</w:t>
      </w:r>
      <w:r w:rsidR="005562AC" w:rsidRPr="00AA677B">
        <w:rPr>
          <w:rFonts w:cstheme="minorHAnsi"/>
          <w:color w:val="000000" w:themeColor="text1"/>
          <w:sz w:val="22"/>
          <w:szCs w:val="22"/>
        </w:rPr>
        <w:t xml:space="preserve"> (male RP </w:t>
      </w:r>
      <w:r w:rsidR="00AA677B" w:rsidRPr="00AA677B">
        <w:rPr>
          <w:rFonts w:cstheme="minorHAnsi"/>
          <w:color w:val="000000" w:themeColor="text1"/>
          <w:sz w:val="22"/>
          <w:szCs w:val="22"/>
        </w:rPr>
        <w:t xml:space="preserve">of </w:t>
      </w:r>
      <w:r w:rsidR="005562AC" w:rsidRPr="00AA677B">
        <w:rPr>
          <w:rFonts w:cstheme="minorHAnsi"/>
          <w:color w:val="000000" w:themeColor="text1"/>
          <w:sz w:val="22"/>
          <w:szCs w:val="22"/>
        </w:rPr>
        <w:t xml:space="preserve">6 </w:t>
      </w:r>
      <w:r w:rsidR="005562AC" w:rsidRPr="00AA677B">
        <w:rPr>
          <w:rFonts w:cstheme="minorHAnsi"/>
          <w:i/>
          <w:iCs/>
          <w:color w:val="000000" w:themeColor="text1"/>
          <w:sz w:val="22"/>
          <w:szCs w:val="22"/>
        </w:rPr>
        <w:t>n</w:t>
      </w:r>
      <w:r w:rsidR="005562AC" w:rsidRPr="00AA677B">
        <w:rPr>
          <w:rFonts w:cstheme="minorHAnsi"/>
          <w:color w:val="000000" w:themeColor="text1"/>
          <w:sz w:val="22"/>
          <w:szCs w:val="22"/>
        </w:rPr>
        <w:t>=1</w:t>
      </w:r>
      <w:r w:rsidR="00AA677B" w:rsidRPr="00AA677B">
        <w:rPr>
          <w:rFonts w:cstheme="minorHAnsi"/>
          <w:color w:val="000000" w:themeColor="text1"/>
          <w:sz w:val="22"/>
          <w:szCs w:val="22"/>
        </w:rPr>
        <w:t>0</w:t>
      </w:r>
      <w:r w:rsidR="005562AC" w:rsidRPr="00AA677B">
        <w:rPr>
          <w:rFonts w:cstheme="minorHAnsi"/>
          <w:color w:val="000000" w:themeColor="text1"/>
          <w:sz w:val="22"/>
          <w:szCs w:val="22"/>
        </w:rPr>
        <w:t xml:space="preserve">, RP 7 </w:t>
      </w:r>
      <w:r w:rsidR="005562AC" w:rsidRPr="00AA677B">
        <w:rPr>
          <w:rFonts w:cstheme="minorHAnsi"/>
          <w:i/>
          <w:iCs/>
          <w:color w:val="000000" w:themeColor="text1"/>
          <w:sz w:val="22"/>
          <w:szCs w:val="22"/>
        </w:rPr>
        <w:t>n</w:t>
      </w:r>
      <w:r w:rsidR="005562AC" w:rsidRPr="00AA677B">
        <w:rPr>
          <w:rFonts w:cstheme="minorHAnsi"/>
          <w:color w:val="000000" w:themeColor="text1"/>
          <w:sz w:val="22"/>
          <w:szCs w:val="22"/>
        </w:rPr>
        <w:t xml:space="preserve">=6, RP 8 </w:t>
      </w:r>
      <w:r w:rsidR="005562AC" w:rsidRPr="00AA677B">
        <w:rPr>
          <w:rFonts w:cstheme="minorHAnsi"/>
          <w:i/>
          <w:iCs/>
          <w:color w:val="000000" w:themeColor="text1"/>
          <w:sz w:val="22"/>
          <w:szCs w:val="22"/>
        </w:rPr>
        <w:t>n</w:t>
      </w:r>
      <w:r w:rsidR="005562AC" w:rsidRPr="00AA677B">
        <w:rPr>
          <w:rFonts w:cstheme="minorHAnsi"/>
          <w:color w:val="000000" w:themeColor="text1"/>
          <w:sz w:val="22"/>
          <w:szCs w:val="22"/>
        </w:rPr>
        <w:t xml:space="preserve">=5, RP 9 </w:t>
      </w:r>
      <w:r w:rsidR="005562AC" w:rsidRPr="00AA677B">
        <w:rPr>
          <w:rFonts w:cstheme="minorHAnsi"/>
          <w:i/>
          <w:iCs/>
          <w:color w:val="000000" w:themeColor="text1"/>
          <w:sz w:val="22"/>
          <w:szCs w:val="22"/>
        </w:rPr>
        <w:t>n</w:t>
      </w:r>
      <w:r w:rsidR="005562AC" w:rsidRPr="00AA677B">
        <w:rPr>
          <w:rFonts w:cstheme="minorHAnsi"/>
          <w:color w:val="000000" w:themeColor="text1"/>
          <w:sz w:val="22"/>
          <w:szCs w:val="22"/>
        </w:rPr>
        <w:t>=3)</w:t>
      </w:r>
      <w:r w:rsidRPr="00AA677B">
        <w:rPr>
          <w:rFonts w:cstheme="minorHAnsi"/>
          <w:color w:val="000000" w:themeColor="text1"/>
          <w:sz w:val="22"/>
          <w:szCs w:val="22"/>
        </w:rPr>
        <w:t>.</w:t>
      </w:r>
      <w:r w:rsidRPr="00AA677B">
        <w:rPr>
          <w:rFonts w:eastAsiaTheme="minorEastAsia"/>
          <w:color w:val="000000" w:themeColor="text1"/>
          <w:sz w:val="22"/>
          <w:szCs w:val="22"/>
          <w:lang w:eastAsia="zh-CN"/>
        </w:rPr>
        <w:t xml:space="preserve"> *</w:t>
      </w:r>
      <w:r w:rsidRPr="00B256C8">
        <w:rPr>
          <w:rFonts w:eastAsiaTheme="minorEastAsia"/>
          <w:color w:val="000000" w:themeColor="text1"/>
          <w:sz w:val="22"/>
          <w:szCs w:val="22"/>
          <w:lang w:eastAsia="zh-CN"/>
        </w:rPr>
        <w:t>p &lt; 0.05</w:t>
      </w:r>
      <w:r w:rsidR="00EE75BA">
        <w:rPr>
          <w:rFonts w:eastAsiaTheme="minorEastAsia"/>
          <w:color w:val="000000" w:themeColor="text1"/>
          <w:sz w:val="22"/>
          <w:szCs w:val="22"/>
          <w:lang w:eastAsia="zh-CN"/>
        </w:rPr>
        <w:t xml:space="preserve">. </w:t>
      </w:r>
      <w:r w:rsidR="00EE75BA" w:rsidRPr="007D3583">
        <w:rPr>
          <w:rFonts w:eastAsiaTheme="minorEastAsia"/>
          <w:sz w:val="22"/>
          <w:szCs w:val="22"/>
        </w:rPr>
        <w:t xml:space="preserve">Data are represented as </w:t>
      </w:r>
      <w:r w:rsidR="00EE75BA">
        <w:rPr>
          <w:rFonts w:eastAsiaTheme="minorEastAsia"/>
          <w:sz w:val="22"/>
          <w:szCs w:val="22"/>
        </w:rPr>
        <w:t>box plots in</w:t>
      </w:r>
      <w:r w:rsidR="00EE75BA" w:rsidRPr="000C355E">
        <w:rPr>
          <w:rFonts w:eastAsiaTheme="minorEastAsia"/>
          <w:b/>
          <w:bCs/>
          <w:sz w:val="22"/>
          <w:szCs w:val="22"/>
        </w:rPr>
        <w:t xml:space="preserve"> </w:t>
      </w:r>
      <w:r w:rsidR="00EE75BA">
        <w:rPr>
          <w:rFonts w:eastAsiaTheme="minorEastAsia"/>
          <w:b/>
          <w:bCs/>
          <w:sz w:val="22"/>
          <w:szCs w:val="22"/>
        </w:rPr>
        <w:t>c</w:t>
      </w:r>
      <w:r w:rsidR="00EE75BA">
        <w:rPr>
          <w:rFonts w:eastAsiaTheme="minorEastAsia"/>
          <w:sz w:val="22"/>
          <w:szCs w:val="22"/>
        </w:rPr>
        <w:t xml:space="preserve">, </w:t>
      </w:r>
      <w:r w:rsidR="00EE75BA" w:rsidRPr="00EE75BA">
        <w:rPr>
          <w:rFonts w:eastAsiaTheme="minorEastAsia"/>
          <w:b/>
          <w:bCs/>
          <w:sz w:val="22"/>
          <w:szCs w:val="22"/>
        </w:rPr>
        <w:t>d</w:t>
      </w:r>
      <w:r w:rsidR="00EE75BA">
        <w:rPr>
          <w:rFonts w:eastAsiaTheme="minorEastAsia"/>
          <w:sz w:val="22"/>
          <w:szCs w:val="22"/>
        </w:rPr>
        <w:t xml:space="preserve">, </w:t>
      </w:r>
      <w:r w:rsidR="00EE75BA" w:rsidRPr="00EE75BA">
        <w:rPr>
          <w:rFonts w:eastAsiaTheme="minorEastAsia"/>
          <w:b/>
          <w:bCs/>
          <w:sz w:val="22"/>
          <w:szCs w:val="22"/>
        </w:rPr>
        <w:t>e</w:t>
      </w:r>
      <w:r w:rsidR="00EE75BA">
        <w:rPr>
          <w:rFonts w:eastAsiaTheme="minorEastAsia"/>
          <w:sz w:val="22"/>
          <w:szCs w:val="22"/>
        </w:rPr>
        <w:t xml:space="preserve">, </w:t>
      </w:r>
      <w:r w:rsidR="00EE75BA" w:rsidRPr="00EE75BA">
        <w:rPr>
          <w:rFonts w:eastAsiaTheme="minorEastAsia"/>
          <w:b/>
          <w:bCs/>
          <w:sz w:val="22"/>
          <w:szCs w:val="22"/>
        </w:rPr>
        <w:t>f</w:t>
      </w:r>
      <w:r w:rsidR="00EE75BA">
        <w:rPr>
          <w:rFonts w:eastAsiaTheme="minorEastAsia"/>
          <w:sz w:val="22"/>
          <w:szCs w:val="22"/>
        </w:rPr>
        <w:t xml:space="preserve">, </w:t>
      </w:r>
      <w:r w:rsidR="00EE75BA" w:rsidRPr="00EE75BA">
        <w:rPr>
          <w:rFonts w:eastAsiaTheme="minorEastAsia"/>
          <w:b/>
          <w:bCs/>
          <w:sz w:val="22"/>
          <w:szCs w:val="22"/>
        </w:rPr>
        <w:t>g</w:t>
      </w:r>
      <w:r w:rsidR="00EE75BA">
        <w:rPr>
          <w:rFonts w:eastAsiaTheme="minorEastAsia"/>
          <w:sz w:val="22"/>
          <w:szCs w:val="22"/>
        </w:rPr>
        <w:t xml:space="preserve">, and </w:t>
      </w:r>
      <w:r w:rsidR="00EE75BA" w:rsidRPr="00EE75BA">
        <w:rPr>
          <w:rFonts w:eastAsiaTheme="minorEastAsia"/>
          <w:b/>
          <w:bCs/>
          <w:sz w:val="22"/>
          <w:szCs w:val="22"/>
        </w:rPr>
        <w:t>h</w:t>
      </w:r>
      <w:r w:rsidR="00EE75BA">
        <w:rPr>
          <w:rFonts w:eastAsiaTheme="minorEastAsia"/>
          <w:sz w:val="22"/>
          <w:szCs w:val="22"/>
        </w:rPr>
        <w:t xml:space="preserve"> showing interquartile ranges, median value, and whiskers that illustrate the minimum and maximum values that were not outliers.</w:t>
      </w:r>
    </w:p>
    <w:p w14:paraId="561A07A2" w14:textId="77777777" w:rsidR="00091421" w:rsidRDefault="00091421" w:rsidP="00091421"/>
    <w:p w14:paraId="3FA3B834" w14:textId="77777777" w:rsidR="00091421" w:rsidRPr="00801DEA" w:rsidRDefault="00091421" w:rsidP="00091421">
      <w:pPr>
        <w:autoSpaceDE w:val="0"/>
        <w:autoSpaceDN w:val="0"/>
        <w:adjustRightInd w:val="0"/>
        <w:spacing w:after="120"/>
        <w:jc w:val="both"/>
      </w:pPr>
      <w:r w:rsidRPr="005B70D9">
        <w:rPr>
          <w:b/>
          <w:bCs/>
        </w:rPr>
        <w:t xml:space="preserve">Fig. </w:t>
      </w:r>
      <w:r>
        <w:rPr>
          <w:b/>
          <w:bCs/>
        </w:rPr>
        <w:t>6</w:t>
      </w:r>
      <w:r w:rsidRPr="005B70D9">
        <w:rPr>
          <w:b/>
          <w:bCs/>
        </w:rPr>
        <w:t xml:space="preserve">: </w:t>
      </w:r>
      <w:r>
        <w:rPr>
          <w:b/>
          <w:bCs/>
        </w:rPr>
        <w:t>B</w:t>
      </w:r>
      <w:r w:rsidRPr="005B70D9">
        <w:rPr>
          <w:b/>
          <w:bCs/>
        </w:rPr>
        <w:t xml:space="preserve">iorhythm in early childhood related to adolescent weight gain. </w:t>
      </w:r>
    </w:p>
    <w:p w14:paraId="48682A47" w14:textId="15E968EC" w:rsidR="00BB55DA" w:rsidRPr="00BB55DA" w:rsidRDefault="00091421" w:rsidP="00BB55DA">
      <w:pPr>
        <w:pStyle w:val="CommentText"/>
        <w:spacing w:line="276" w:lineRule="auto"/>
        <w:jc w:val="both"/>
        <w:rPr>
          <w:sz w:val="22"/>
          <w:szCs w:val="22"/>
        </w:rPr>
      </w:pPr>
      <w:r w:rsidRPr="00BB55DA">
        <w:rPr>
          <w:sz w:val="22"/>
          <w:szCs w:val="22"/>
        </w:rPr>
        <w:t xml:space="preserve">Evidence of the biorhythm is captured in primary molars within two years of birth, </w:t>
      </w:r>
      <w:r w:rsidR="00B1655C">
        <w:rPr>
          <w:sz w:val="22"/>
          <w:szCs w:val="22"/>
        </w:rPr>
        <w:t>as</w:t>
      </w:r>
      <w:r w:rsidRPr="00BB55DA">
        <w:rPr>
          <w:sz w:val="22"/>
          <w:szCs w:val="22"/>
        </w:rPr>
        <w:t xml:space="preserve"> primary molar enamel forms.  A faster biorhythm within two years of birth was related to smaller gains in weight and mass during early adolescence. A slower biorhythm related to greater gains.</w:t>
      </w:r>
      <w:r w:rsidR="00362C68" w:rsidRPr="00BB55DA">
        <w:rPr>
          <w:sz w:val="22"/>
          <w:szCs w:val="22"/>
        </w:rPr>
        <w:t xml:space="preserve"> </w:t>
      </w:r>
      <w:r w:rsidR="00861C9E">
        <w:rPr>
          <w:sz w:val="22"/>
          <w:szCs w:val="22"/>
        </w:rPr>
        <w:t xml:space="preserve">Part of </w:t>
      </w:r>
      <w:r w:rsidR="00362C68" w:rsidRPr="00BB55DA">
        <w:rPr>
          <w:color w:val="201F1E"/>
          <w:sz w:val="22"/>
          <w:szCs w:val="22"/>
          <w:bdr w:val="none" w:sz="0" w:space="0" w:color="auto" w:frame="1"/>
        </w:rPr>
        <w:t xml:space="preserve">Figure 6 </w:t>
      </w:r>
      <w:r w:rsidR="00B843BF">
        <w:rPr>
          <w:color w:val="201F1E"/>
          <w:sz w:val="22"/>
          <w:szCs w:val="22"/>
          <w:bdr w:val="none" w:sz="0" w:space="0" w:color="auto" w:frame="1"/>
        </w:rPr>
        <w:t xml:space="preserve">(lower panels) </w:t>
      </w:r>
      <w:r w:rsidR="00362C68" w:rsidRPr="00BB55DA">
        <w:rPr>
          <w:color w:val="201F1E"/>
          <w:sz w:val="22"/>
          <w:szCs w:val="22"/>
          <w:bdr w:val="none" w:sz="0" w:space="0" w:color="auto" w:frame="1"/>
        </w:rPr>
        <w:t>was</w:t>
      </w:r>
      <w:r w:rsidR="00BB55DA" w:rsidRPr="00BB55DA">
        <w:rPr>
          <w:color w:val="201F1E"/>
          <w:sz w:val="22"/>
          <w:szCs w:val="22"/>
          <w:bdr w:val="none" w:sz="0" w:space="0" w:color="auto" w:frame="1"/>
        </w:rPr>
        <w:t xml:space="preserve"> created using a template from BioRender.com (2022)</w:t>
      </w:r>
    </w:p>
    <w:p w14:paraId="06DE8161" w14:textId="088164CF" w:rsidR="00091421" w:rsidRPr="006F3B0A" w:rsidRDefault="00091421" w:rsidP="00091421">
      <w:pPr>
        <w:autoSpaceDE w:val="0"/>
        <w:autoSpaceDN w:val="0"/>
        <w:adjustRightInd w:val="0"/>
        <w:jc w:val="both"/>
        <w:rPr>
          <w:sz w:val="22"/>
          <w:szCs w:val="22"/>
        </w:rPr>
      </w:pPr>
    </w:p>
    <w:p w14:paraId="21161B97" w14:textId="7294B151" w:rsidR="00091421" w:rsidRDefault="00091421" w:rsidP="00091421">
      <w:pPr>
        <w:autoSpaceDE w:val="0"/>
        <w:autoSpaceDN w:val="0"/>
        <w:adjustRightInd w:val="0"/>
        <w:spacing w:line="360" w:lineRule="auto"/>
        <w:jc w:val="both"/>
        <w:rPr>
          <w:rFonts w:eastAsiaTheme="minorEastAsia"/>
          <w:color w:val="0070C0"/>
          <w:lang w:eastAsia="zh-CN"/>
        </w:rPr>
      </w:pPr>
    </w:p>
    <w:p w14:paraId="4D635282" w14:textId="3FE71EA0" w:rsidR="00DB1EA1" w:rsidRDefault="00DB1EA1" w:rsidP="00091421">
      <w:pPr>
        <w:autoSpaceDE w:val="0"/>
        <w:autoSpaceDN w:val="0"/>
        <w:adjustRightInd w:val="0"/>
        <w:spacing w:line="360" w:lineRule="auto"/>
        <w:jc w:val="both"/>
        <w:rPr>
          <w:rFonts w:eastAsiaTheme="minorEastAsia"/>
          <w:color w:val="0070C0"/>
          <w:lang w:eastAsia="zh-CN"/>
        </w:rPr>
      </w:pPr>
    </w:p>
    <w:p w14:paraId="208EC761" w14:textId="634690F9" w:rsidR="00DB1EA1" w:rsidRDefault="00DB1EA1" w:rsidP="00091421">
      <w:pPr>
        <w:autoSpaceDE w:val="0"/>
        <w:autoSpaceDN w:val="0"/>
        <w:adjustRightInd w:val="0"/>
        <w:spacing w:line="360" w:lineRule="auto"/>
        <w:jc w:val="both"/>
        <w:rPr>
          <w:rFonts w:eastAsiaTheme="minorEastAsia"/>
          <w:color w:val="0070C0"/>
          <w:lang w:eastAsia="zh-CN"/>
        </w:rPr>
      </w:pPr>
    </w:p>
    <w:p w14:paraId="25347FFE" w14:textId="0E656C3D" w:rsidR="00DB1EA1" w:rsidRDefault="00DB1EA1" w:rsidP="00091421">
      <w:pPr>
        <w:autoSpaceDE w:val="0"/>
        <w:autoSpaceDN w:val="0"/>
        <w:adjustRightInd w:val="0"/>
        <w:spacing w:line="360" w:lineRule="auto"/>
        <w:jc w:val="both"/>
        <w:rPr>
          <w:rFonts w:eastAsiaTheme="minorEastAsia"/>
          <w:color w:val="0070C0"/>
          <w:lang w:eastAsia="zh-CN"/>
        </w:rPr>
      </w:pPr>
    </w:p>
    <w:p w14:paraId="63F60612" w14:textId="484124B0" w:rsidR="00DB1EA1" w:rsidRDefault="00DB1EA1" w:rsidP="00091421">
      <w:pPr>
        <w:autoSpaceDE w:val="0"/>
        <w:autoSpaceDN w:val="0"/>
        <w:adjustRightInd w:val="0"/>
        <w:spacing w:line="360" w:lineRule="auto"/>
        <w:jc w:val="both"/>
        <w:rPr>
          <w:rFonts w:eastAsiaTheme="minorEastAsia"/>
          <w:color w:val="0070C0"/>
          <w:lang w:eastAsia="zh-CN"/>
        </w:rPr>
      </w:pPr>
    </w:p>
    <w:p w14:paraId="06294397" w14:textId="68FAD93F" w:rsidR="00DB1EA1" w:rsidRDefault="00DB1EA1" w:rsidP="00091421">
      <w:pPr>
        <w:autoSpaceDE w:val="0"/>
        <w:autoSpaceDN w:val="0"/>
        <w:adjustRightInd w:val="0"/>
        <w:spacing w:line="360" w:lineRule="auto"/>
        <w:jc w:val="both"/>
        <w:rPr>
          <w:rFonts w:eastAsiaTheme="minorEastAsia"/>
          <w:color w:val="0070C0"/>
          <w:lang w:eastAsia="zh-CN"/>
        </w:rPr>
      </w:pPr>
    </w:p>
    <w:p w14:paraId="7A6D3AB2" w14:textId="377CE9E5" w:rsidR="00DB1EA1" w:rsidRDefault="00DB1EA1" w:rsidP="00091421">
      <w:pPr>
        <w:autoSpaceDE w:val="0"/>
        <w:autoSpaceDN w:val="0"/>
        <w:adjustRightInd w:val="0"/>
        <w:spacing w:line="360" w:lineRule="auto"/>
        <w:jc w:val="both"/>
        <w:rPr>
          <w:rFonts w:eastAsiaTheme="minorEastAsia"/>
          <w:color w:val="0070C0"/>
          <w:lang w:eastAsia="zh-CN"/>
        </w:rPr>
      </w:pPr>
    </w:p>
    <w:p w14:paraId="4E25B8F4" w14:textId="52E9B381" w:rsidR="00DB1EA1" w:rsidRDefault="00DB1EA1" w:rsidP="00091421">
      <w:pPr>
        <w:autoSpaceDE w:val="0"/>
        <w:autoSpaceDN w:val="0"/>
        <w:adjustRightInd w:val="0"/>
        <w:spacing w:line="360" w:lineRule="auto"/>
        <w:jc w:val="both"/>
        <w:rPr>
          <w:rFonts w:eastAsiaTheme="minorEastAsia"/>
          <w:color w:val="0070C0"/>
          <w:lang w:eastAsia="zh-CN"/>
        </w:rPr>
      </w:pPr>
    </w:p>
    <w:p w14:paraId="6A9846A2" w14:textId="2DAA2C40" w:rsidR="00DB1EA1" w:rsidRDefault="00DB1EA1" w:rsidP="00091421">
      <w:pPr>
        <w:autoSpaceDE w:val="0"/>
        <w:autoSpaceDN w:val="0"/>
        <w:adjustRightInd w:val="0"/>
        <w:spacing w:line="360" w:lineRule="auto"/>
        <w:jc w:val="both"/>
        <w:rPr>
          <w:rFonts w:eastAsiaTheme="minorEastAsia"/>
          <w:color w:val="0070C0"/>
          <w:lang w:eastAsia="zh-CN"/>
        </w:rPr>
      </w:pPr>
    </w:p>
    <w:p w14:paraId="74705FE6" w14:textId="71182BA6" w:rsidR="00DB1EA1" w:rsidRDefault="00DB1EA1" w:rsidP="00091421">
      <w:pPr>
        <w:autoSpaceDE w:val="0"/>
        <w:autoSpaceDN w:val="0"/>
        <w:adjustRightInd w:val="0"/>
        <w:spacing w:line="360" w:lineRule="auto"/>
        <w:jc w:val="both"/>
        <w:rPr>
          <w:rFonts w:eastAsiaTheme="minorEastAsia"/>
          <w:color w:val="0070C0"/>
          <w:lang w:eastAsia="zh-CN"/>
        </w:rPr>
      </w:pPr>
    </w:p>
    <w:p w14:paraId="474F70F9" w14:textId="4813CDBB" w:rsidR="00DB1EA1" w:rsidRDefault="00DB1EA1" w:rsidP="00091421">
      <w:pPr>
        <w:autoSpaceDE w:val="0"/>
        <w:autoSpaceDN w:val="0"/>
        <w:adjustRightInd w:val="0"/>
        <w:spacing w:line="360" w:lineRule="auto"/>
        <w:jc w:val="both"/>
        <w:rPr>
          <w:rFonts w:eastAsiaTheme="minorEastAsia"/>
          <w:color w:val="0070C0"/>
          <w:lang w:eastAsia="zh-CN"/>
        </w:rPr>
      </w:pPr>
    </w:p>
    <w:p w14:paraId="3AC86776" w14:textId="7239A943" w:rsidR="00DB1EA1" w:rsidRDefault="00DB1EA1" w:rsidP="00091421">
      <w:pPr>
        <w:autoSpaceDE w:val="0"/>
        <w:autoSpaceDN w:val="0"/>
        <w:adjustRightInd w:val="0"/>
        <w:spacing w:line="360" w:lineRule="auto"/>
        <w:jc w:val="both"/>
        <w:rPr>
          <w:rFonts w:eastAsiaTheme="minorEastAsia"/>
          <w:color w:val="0070C0"/>
          <w:lang w:eastAsia="zh-CN"/>
        </w:rPr>
      </w:pPr>
    </w:p>
    <w:p w14:paraId="291F75D6" w14:textId="3D6C1E27" w:rsidR="00DB1EA1" w:rsidRDefault="00DB1EA1" w:rsidP="00091421">
      <w:pPr>
        <w:autoSpaceDE w:val="0"/>
        <w:autoSpaceDN w:val="0"/>
        <w:adjustRightInd w:val="0"/>
        <w:spacing w:line="360" w:lineRule="auto"/>
        <w:jc w:val="both"/>
        <w:rPr>
          <w:rFonts w:eastAsiaTheme="minorEastAsia"/>
          <w:color w:val="0070C0"/>
          <w:lang w:eastAsia="zh-CN"/>
        </w:rPr>
      </w:pPr>
    </w:p>
    <w:p w14:paraId="77CD942F" w14:textId="0545E27F" w:rsidR="00DB1EA1" w:rsidRDefault="00DB1EA1" w:rsidP="00091421">
      <w:pPr>
        <w:autoSpaceDE w:val="0"/>
        <w:autoSpaceDN w:val="0"/>
        <w:adjustRightInd w:val="0"/>
        <w:spacing w:line="360" w:lineRule="auto"/>
        <w:jc w:val="both"/>
        <w:rPr>
          <w:rFonts w:eastAsiaTheme="minorEastAsia"/>
          <w:color w:val="0070C0"/>
          <w:lang w:eastAsia="zh-CN"/>
        </w:rPr>
      </w:pPr>
    </w:p>
    <w:p w14:paraId="650EDAEE" w14:textId="133F5E02" w:rsidR="00DB1EA1" w:rsidRDefault="00DB1EA1" w:rsidP="00091421">
      <w:pPr>
        <w:autoSpaceDE w:val="0"/>
        <w:autoSpaceDN w:val="0"/>
        <w:adjustRightInd w:val="0"/>
        <w:spacing w:line="360" w:lineRule="auto"/>
        <w:jc w:val="both"/>
        <w:rPr>
          <w:rFonts w:eastAsiaTheme="minorEastAsia"/>
          <w:color w:val="0070C0"/>
          <w:lang w:eastAsia="zh-CN"/>
        </w:rPr>
      </w:pPr>
    </w:p>
    <w:p w14:paraId="01063A83" w14:textId="33EAD81E" w:rsidR="00DB1EA1" w:rsidRDefault="00DB1EA1" w:rsidP="00091421">
      <w:pPr>
        <w:autoSpaceDE w:val="0"/>
        <w:autoSpaceDN w:val="0"/>
        <w:adjustRightInd w:val="0"/>
        <w:spacing w:line="360" w:lineRule="auto"/>
        <w:jc w:val="both"/>
        <w:rPr>
          <w:rFonts w:eastAsiaTheme="minorEastAsia"/>
          <w:color w:val="0070C0"/>
          <w:lang w:eastAsia="zh-CN"/>
        </w:rPr>
      </w:pPr>
    </w:p>
    <w:p w14:paraId="5371CE6A" w14:textId="363EC379" w:rsidR="007062AF" w:rsidRDefault="007062AF" w:rsidP="00091421">
      <w:pPr>
        <w:autoSpaceDE w:val="0"/>
        <w:autoSpaceDN w:val="0"/>
        <w:adjustRightInd w:val="0"/>
        <w:spacing w:line="360" w:lineRule="auto"/>
        <w:jc w:val="both"/>
        <w:rPr>
          <w:rFonts w:eastAsiaTheme="minorEastAsia"/>
          <w:color w:val="0070C0"/>
          <w:lang w:eastAsia="zh-CN"/>
        </w:rPr>
      </w:pPr>
    </w:p>
    <w:p w14:paraId="20DDCF5A" w14:textId="1FF08860" w:rsidR="007062AF" w:rsidRDefault="007062AF" w:rsidP="00091421">
      <w:pPr>
        <w:autoSpaceDE w:val="0"/>
        <w:autoSpaceDN w:val="0"/>
        <w:adjustRightInd w:val="0"/>
        <w:spacing w:line="360" w:lineRule="auto"/>
        <w:jc w:val="both"/>
        <w:rPr>
          <w:rFonts w:eastAsiaTheme="minorEastAsia"/>
          <w:color w:val="0070C0"/>
          <w:lang w:eastAsia="zh-CN"/>
        </w:rPr>
      </w:pPr>
    </w:p>
    <w:p w14:paraId="69AC9A7C" w14:textId="3FF8D056" w:rsidR="007062AF" w:rsidRDefault="007062AF" w:rsidP="00091421">
      <w:pPr>
        <w:autoSpaceDE w:val="0"/>
        <w:autoSpaceDN w:val="0"/>
        <w:adjustRightInd w:val="0"/>
        <w:spacing w:line="360" w:lineRule="auto"/>
        <w:jc w:val="both"/>
        <w:rPr>
          <w:rFonts w:eastAsiaTheme="minorEastAsia"/>
          <w:color w:val="0070C0"/>
          <w:lang w:eastAsia="zh-CN"/>
        </w:rPr>
      </w:pPr>
    </w:p>
    <w:p w14:paraId="475D3FD2" w14:textId="36C02B06" w:rsidR="007062AF" w:rsidRDefault="007062AF" w:rsidP="00091421">
      <w:pPr>
        <w:autoSpaceDE w:val="0"/>
        <w:autoSpaceDN w:val="0"/>
        <w:adjustRightInd w:val="0"/>
        <w:spacing w:line="360" w:lineRule="auto"/>
        <w:jc w:val="both"/>
        <w:rPr>
          <w:rFonts w:eastAsiaTheme="minorEastAsia"/>
          <w:color w:val="0070C0"/>
          <w:lang w:eastAsia="zh-CN"/>
        </w:rPr>
      </w:pPr>
    </w:p>
    <w:p w14:paraId="053F5CC6" w14:textId="77777777" w:rsidR="007062AF" w:rsidRDefault="007062AF" w:rsidP="00091421">
      <w:pPr>
        <w:autoSpaceDE w:val="0"/>
        <w:autoSpaceDN w:val="0"/>
        <w:adjustRightInd w:val="0"/>
        <w:spacing w:line="360" w:lineRule="auto"/>
        <w:jc w:val="both"/>
        <w:rPr>
          <w:rFonts w:eastAsiaTheme="minorEastAsia"/>
          <w:color w:val="0070C0"/>
          <w:lang w:eastAsia="zh-CN"/>
        </w:rPr>
      </w:pPr>
    </w:p>
    <w:p w14:paraId="222789E7" w14:textId="388B3A12" w:rsidR="00DB1EA1" w:rsidRDefault="00DB1EA1" w:rsidP="00091421">
      <w:pPr>
        <w:autoSpaceDE w:val="0"/>
        <w:autoSpaceDN w:val="0"/>
        <w:adjustRightInd w:val="0"/>
        <w:spacing w:line="360" w:lineRule="auto"/>
        <w:jc w:val="both"/>
        <w:rPr>
          <w:rFonts w:eastAsiaTheme="minorEastAsia"/>
          <w:color w:val="0070C0"/>
          <w:lang w:eastAsia="zh-CN"/>
        </w:rPr>
      </w:pPr>
    </w:p>
    <w:p w14:paraId="503FA426" w14:textId="18E03E8A" w:rsidR="00DB1EA1" w:rsidRDefault="00DB1EA1" w:rsidP="00091421">
      <w:pPr>
        <w:autoSpaceDE w:val="0"/>
        <w:autoSpaceDN w:val="0"/>
        <w:adjustRightInd w:val="0"/>
        <w:spacing w:line="360" w:lineRule="auto"/>
        <w:jc w:val="both"/>
        <w:rPr>
          <w:rFonts w:eastAsiaTheme="minorEastAsia"/>
          <w:color w:val="0070C0"/>
          <w:lang w:eastAsia="zh-CN"/>
        </w:rPr>
      </w:pPr>
    </w:p>
    <w:p w14:paraId="4750AE33" w14:textId="55D379AD" w:rsidR="00DB1EA1" w:rsidRDefault="00DB1EA1" w:rsidP="00DB1EA1">
      <w:pPr>
        <w:spacing w:after="160" w:line="276" w:lineRule="auto"/>
        <w:rPr>
          <w:rFonts w:eastAsiaTheme="minorEastAsia"/>
          <w:b/>
          <w:bCs/>
          <w:sz w:val="28"/>
          <w:szCs w:val="28"/>
          <w:lang w:eastAsia="zh-CN"/>
        </w:rPr>
      </w:pPr>
      <w:r>
        <w:rPr>
          <w:rFonts w:eastAsiaTheme="minorEastAsia"/>
          <w:b/>
          <w:bCs/>
          <w:sz w:val="28"/>
          <w:szCs w:val="28"/>
          <w:lang w:eastAsia="zh-CN"/>
        </w:rPr>
        <w:lastRenderedPageBreak/>
        <w:t>TABLES</w:t>
      </w:r>
    </w:p>
    <w:p w14:paraId="10B05D3F" w14:textId="77777777" w:rsidR="009F07BB" w:rsidRPr="00B256C8" w:rsidRDefault="009F07BB" w:rsidP="009F07BB">
      <w:pPr>
        <w:spacing w:line="360" w:lineRule="exact"/>
        <w:rPr>
          <w:b/>
          <w:bCs/>
          <w:color w:val="000000" w:themeColor="text1"/>
        </w:rPr>
      </w:pPr>
      <w:r w:rsidRPr="00B256C8">
        <w:rPr>
          <w:b/>
          <w:bCs/>
          <w:color w:val="000000" w:themeColor="text1"/>
        </w:rPr>
        <w:t>Table 1 Descriptive statistics for RP-biorhythm and growth measures.</w:t>
      </w:r>
    </w:p>
    <w:tbl>
      <w:tblPr>
        <w:tblStyle w:val="TableGrid"/>
        <w:tblW w:w="10227" w:type="dxa"/>
        <w:tblInd w:w="-142" w:type="dxa"/>
        <w:tblBorders>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43"/>
        <w:gridCol w:w="496"/>
        <w:gridCol w:w="586"/>
        <w:gridCol w:w="855"/>
        <w:gridCol w:w="859"/>
        <w:gridCol w:w="509"/>
        <w:gridCol w:w="602"/>
        <w:gridCol w:w="509"/>
        <w:gridCol w:w="526"/>
        <w:gridCol w:w="781"/>
        <w:gridCol w:w="813"/>
        <w:gridCol w:w="813"/>
        <w:gridCol w:w="897"/>
        <w:gridCol w:w="173"/>
        <w:gridCol w:w="865"/>
      </w:tblGrid>
      <w:tr w:rsidR="009F07BB" w:rsidRPr="00B256C8" w14:paraId="27B42A98" w14:textId="77777777" w:rsidTr="00AC2126">
        <w:trPr>
          <w:trHeight w:val="629"/>
        </w:trPr>
        <w:tc>
          <w:tcPr>
            <w:tcW w:w="1439" w:type="dxa"/>
            <w:gridSpan w:val="2"/>
            <w:tcBorders>
              <w:top w:val="single" w:sz="4" w:space="0" w:color="auto"/>
              <w:bottom w:val="single" w:sz="4" w:space="0" w:color="auto"/>
            </w:tcBorders>
          </w:tcPr>
          <w:p w14:paraId="58F5FC1F" w14:textId="77777777" w:rsidR="009F07BB" w:rsidRPr="00B256C8" w:rsidRDefault="009F07BB" w:rsidP="00AC2126">
            <w:pPr>
              <w:rPr>
                <w:color w:val="000000" w:themeColor="text1"/>
              </w:rPr>
            </w:pPr>
            <w:r w:rsidRPr="00B256C8">
              <w:rPr>
                <w:color w:val="000000" w:themeColor="text1"/>
              </w:rPr>
              <w:t>Participants</w:t>
            </w:r>
          </w:p>
        </w:tc>
        <w:tc>
          <w:tcPr>
            <w:tcW w:w="1441" w:type="dxa"/>
            <w:gridSpan w:val="2"/>
            <w:tcBorders>
              <w:top w:val="single" w:sz="4" w:space="0" w:color="auto"/>
              <w:bottom w:val="single" w:sz="4" w:space="0" w:color="auto"/>
            </w:tcBorders>
          </w:tcPr>
          <w:p w14:paraId="6FD620FA" w14:textId="77777777" w:rsidR="009F07BB" w:rsidRPr="00B256C8" w:rsidRDefault="009F07BB" w:rsidP="00532556">
            <w:pPr>
              <w:jc w:val="center"/>
              <w:rPr>
                <w:color w:val="000000" w:themeColor="text1"/>
              </w:rPr>
            </w:pPr>
            <w:proofErr w:type="spellStart"/>
            <w:r w:rsidRPr="00B256C8">
              <w:rPr>
                <w:color w:val="000000" w:themeColor="text1"/>
              </w:rPr>
              <w:t>Retzius</w:t>
            </w:r>
            <w:proofErr w:type="spellEnd"/>
            <w:r w:rsidRPr="00B256C8">
              <w:rPr>
                <w:color w:val="000000" w:themeColor="text1"/>
              </w:rPr>
              <w:t xml:space="preserve"> periodicity</w:t>
            </w:r>
          </w:p>
        </w:tc>
        <w:tc>
          <w:tcPr>
            <w:tcW w:w="859" w:type="dxa"/>
            <w:tcBorders>
              <w:top w:val="single" w:sz="4" w:space="0" w:color="auto"/>
              <w:bottom w:val="single" w:sz="4" w:space="0" w:color="auto"/>
            </w:tcBorders>
          </w:tcPr>
          <w:p w14:paraId="04BC105C" w14:textId="77777777" w:rsidR="009F07BB" w:rsidRPr="00B256C8" w:rsidRDefault="009F07BB" w:rsidP="00532556">
            <w:pPr>
              <w:jc w:val="center"/>
              <w:rPr>
                <w:color w:val="000000" w:themeColor="text1"/>
              </w:rPr>
            </w:pPr>
            <w:r w:rsidRPr="00B256C8">
              <w:rPr>
                <w:color w:val="000000" w:themeColor="text1"/>
              </w:rPr>
              <w:t>Starting age</w:t>
            </w:r>
          </w:p>
        </w:tc>
        <w:tc>
          <w:tcPr>
            <w:tcW w:w="2146" w:type="dxa"/>
            <w:gridSpan w:val="4"/>
            <w:tcBorders>
              <w:top w:val="single" w:sz="4" w:space="0" w:color="auto"/>
              <w:bottom w:val="single" w:sz="4" w:space="0" w:color="auto"/>
            </w:tcBorders>
          </w:tcPr>
          <w:p w14:paraId="3DCC3E83" w14:textId="77777777" w:rsidR="009F07BB" w:rsidRPr="00B256C8" w:rsidRDefault="009F07BB" w:rsidP="00532556">
            <w:pPr>
              <w:jc w:val="center"/>
              <w:rPr>
                <w:color w:val="000000" w:themeColor="text1"/>
              </w:rPr>
            </w:pPr>
            <w:proofErr w:type="gramStart"/>
            <w:r w:rsidRPr="00B256C8">
              <w:rPr>
                <w:color w:val="000000" w:themeColor="text1"/>
              </w:rPr>
              <w:t xml:space="preserve">Maturation  </w:t>
            </w:r>
            <w:proofErr w:type="spellStart"/>
            <w:r w:rsidRPr="00B256C8">
              <w:rPr>
                <w:color w:val="000000" w:themeColor="text1"/>
              </w:rPr>
              <w:t>stage</w:t>
            </w:r>
            <w:r w:rsidRPr="00B256C8">
              <w:rPr>
                <w:color w:val="000000" w:themeColor="text1"/>
                <w:vertAlign w:val="superscript"/>
              </w:rPr>
              <w:t>a</w:t>
            </w:r>
            <w:proofErr w:type="spellEnd"/>
            <w:proofErr w:type="gramEnd"/>
          </w:p>
          <w:p w14:paraId="5F86FE0E" w14:textId="77777777" w:rsidR="009F07BB" w:rsidRPr="00B256C8" w:rsidRDefault="009F07BB" w:rsidP="00532556">
            <w:pPr>
              <w:rPr>
                <w:color w:val="000000" w:themeColor="text1"/>
              </w:rPr>
            </w:pPr>
            <w:r w:rsidRPr="00B256C8">
              <w:rPr>
                <w:color w:val="000000" w:themeColor="text1"/>
              </w:rPr>
              <w:t xml:space="preserve">  1.       2.       3.      4. </w:t>
            </w:r>
          </w:p>
        </w:tc>
        <w:tc>
          <w:tcPr>
            <w:tcW w:w="781" w:type="dxa"/>
            <w:tcBorders>
              <w:top w:val="single" w:sz="4" w:space="0" w:color="auto"/>
              <w:bottom w:val="single" w:sz="4" w:space="0" w:color="auto"/>
            </w:tcBorders>
          </w:tcPr>
          <w:p w14:paraId="58CD5074" w14:textId="77777777" w:rsidR="009F07BB" w:rsidRPr="00B256C8" w:rsidRDefault="009F07BB" w:rsidP="00532556">
            <w:pPr>
              <w:jc w:val="center"/>
              <w:rPr>
                <w:color w:val="000000" w:themeColor="text1"/>
              </w:rPr>
            </w:pPr>
          </w:p>
          <w:p w14:paraId="57944529" w14:textId="19E88575" w:rsidR="009F07BB" w:rsidRPr="00B256C8" w:rsidRDefault="009F07BB" w:rsidP="00532556">
            <w:pPr>
              <w:jc w:val="center"/>
              <w:rPr>
                <w:color w:val="000000" w:themeColor="text1"/>
              </w:rPr>
            </w:pPr>
            <w:r w:rsidRPr="00B256C8">
              <w:rPr>
                <w:color w:val="000000" w:themeColor="text1"/>
              </w:rPr>
              <w:t xml:space="preserve">Weight </w:t>
            </w:r>
          </w:p>
        </w:tc>
        <w:tc>
          <w:tcPr>
            <w:tcW w:w="813" w:type="dxa"/>
            <w:tcBorders>
              <w:top w:val="single" w:sz="4" w:space="0" w:color="auto"/>
              <w:bottom w:val="single" w:sz="4" w:space="0" w:color="auto"/>
            </w:tcBorders>
          </w:tcPr>
          <w:p w14:paraId="6E2E199F" w14:textId="0067A66E" w:rsidR="009F07BB" w:rsidRPr="00B256C8" w:rsidRDefault="008845DD" w:rsidP="00532556">
            <w:pPr>
              <w:jc w:val="center"/>
              <w:rPr>
                <w:color w:val="000000" w:themeColor="text1"/>
              </w:rPr>
            </w:pPr>
            <w:r>
              <w:rPr>
                <w:color w:val="000000" w:themeColor="text1"/>
              </w:rPr>
              <w:t xml:space="preserve"> </w:t>
            </w:r>
            <w:r w:rsidR="009F07BB" w:rsidRPr="00B256C8">
              <w:rPr>
                <w:color w:val="000000" w:themeColor="text1"/>
              </w:rPr>
              <w:t>Gain</w:t>
            </w:r>
            <w:r w:rsidR="009F07BB">
              <w:rPr>
                <w:color w:val="000000" w:themeColor="text1"/>
              </w:rPr>
              <w:t>s</w:t>
            </w:r>
          </w:p>
          <w:p w14:paraId="7999DFE5" w14:textId="2D74A221" w:rsidR="009F07BB" w:rsidRPr="00B256C8" w:rsidRDefault="008845DD" w:rsidP="00532556">
            <w:pPr>
              <w:jc w:val="center"/>
              <w:rPr>
                <w:color w:val="000000" w:themeColor="text1"/>
              </w:rPr>
            </w:pPr>
            <w:r>
              <w:rPr>
                <w:color w:val="000000" w:themeColor="text1"/>
              </w:rPr>
              <w:t xml:space="preserve"> </w:t>
            </w:r>
            <w:r w:rsidR="009F07BB" w:rsidRPr="00B256C8">
              <w:rPr>
                <w:color w:val="000000" w:themeColor="text1"/>
              </w:rPr>
              <w:t>Height</w:t>
            </w:r>
          </w:p>
        </w:tc>
        <w:tc>
          <w:tcPr>
            <w:tcW w:w="813" w:type="dxa"/>
            <w:tcBorders>
              <w:top w:val="single" w:sz="4" w:space="0" w:color="auto"/>
              <w:bottom w:val="single" w:sz="4" w:space="0" w:color="auto"/>
            </w:tcBorders>
          </w:tcPr>
          <w:p w14:paraId="1F2F4D34" w14:textId="77777777" w:rsidR="009F07BB" w:rsidRPr="00B256C8" w:rsidRDefault="009F07BB" w:rsidP="00532556">
            <w:pPr>
              <w:jc w:val="center"/>
              <w:rPr>
                <w:color w:val="000000" w:themeColor="text1"/>
              </w:rPr>
            </w:pPr>
          </w:p>
          <w:p w14:paraId="74B184DA" w14:textId="77777777" w:rsidR="009F07BB" w:rsidRPr="00B256C8" w:rsidRDefault="009F07BB" w:rsidP="00532556">
            <w:pPr>
              <w:jc w:val="center"/>
              <w:rPr>
                <w:color w:val="000000" w:themeColor="text1"/>
              </w:rPr>
            </w:pPr>
            <w:r w:rsidRPr="00B256C8">
              <w:rPr>
                <w:color w:val="000000" w:themeColor="text1"/>
              </w:rPr>
              <w:t xml:space="preserve">Leg </w:t>
            </w:r>
          </w:p>
        </w:tc>
        <w:tc>
          <w:tcPr>
            <w:tcW w:w="897" w:type="dxa"/>
            <w:tcBorders>
              <w:top w:val="single" w:sz="4" w:space="0" w:color="auto"/>
              <w:bottom w:val="single" w:sz="4" w:space="0" w:color="auto"/>
            </w:tcBorders>
          </w:tcPr>
          <w:p w14:paraId="59428B8A" w14:textId="77777777" w:rsidR="009F07BB" w:rsidRPr="00B256C8" w:rsidRDefault="009F07BB" w:rsidP="00532556">
            <w:pPr>
              <w:jc w:val="center"/>
              <w:rPr>
                <w:color w:val="000000" w:themeColor="text1"/>
              </w:rPr>
            </w:pPr>
            <w:r w:rsidRPr="00B256C8">
              <w:rPr>
                <w:color w:val="000000" w:themeColor="text1"/>
              </w:rPr>
              <w:t>Ending</w:t>
            </w:r>
          </w:p>
          <w:p w14:paraId="68F02025" w14:textId="77777777" w:rsidR="009F07BB" w:rsidRPr="00B256C8" w:rsidRDefault="009F07BB" w:rsidP="00532556">
            <w:pPr>
              <w:jc w:val="center"/>
              <w:rPr>
                <w:color w:val="000000" w:themeColor="text1"/>
              </w:rPr>
            </w:pPr>
            <w:r w:rsidRPr="00B256C8">
              <w:rPr>
                <w:color w:val="000000" w:themeColor="text1"/>
              </w:rPr>
              <w:t>BMI</w:t>
            </w:r>
          </w:p>
        </w:tc>
        <w:tc>
          <w:tcPr>
            <w:tcW w:w="1038" w:type="dxa"/>
            <w:gridSpan w:val="2"/>
            <w:tcBorders>
              <w:top w:val="single" w:sz="4" w:space="0" w:color="auto"/>
              <w:bottom w:val="single" w:sz="4" w:space="0" w:color="auto"/>
            </w:tcBorders>
          </w:tcPr>
          <w:p w14:paraId="5F0E24AC" w14:textId="77777777" w:rsidR="009F07BB" w:rsidRPr="00B256C8" w:rsidRDefault="009F07BB" w:rsidP="00532556">
            <w:pPr>
              <w:jc w:val="center"/>
              <w:rPr>
                <w:color w:val="000000" w:themeColor="text1"/>
              </w:rPr>
            </w:pPr>
            <w:r w:rsidRPr="00B256C8">
              <w:rPr>
                <w:color w:val="000000" w:themeColor="text1"/>
              </w:rPr>
              <w:t>Gain</w:t>
            </w:r>
          </w:p>
          <w:p w14:paraId="3CA1D6A4" w14:textId="77777777" w:rsidR="009F07BB" w:rsidRPr="00B256C8" w:rsidRDefault="009F07BB" w:rsidP="00532556">
            <w:pPr>
              <w:jc w:val="center"/>
              <w:rPr>
                <w:color w:val="000000" w:themeColor="text1"/>
              </w:rPr>
            </w:pPr>
            <w:r w:rsidRPr="00B256C8">
              <w:rPr>
                <w:color w:val="000000" w:themeColor="text1"/>
              </w:rPr>
              <w:t>BMI</w:t>
            </w:r>
          </w:p>
        </w:tc>
      </w:tr>
      <w:tr w:rsidR="009F07BB" w:rsidRPr="00B256C8" w14:paraId="2A709376" w14:textId="77777777" w:rsidTr="00AC2126">
        <w:trPr>
          <w:trHeight w:val="279"/>
        </w:trPr>
        <w:tc>
          <w:tcPr>
            <w:tcW w:w="943" w:type="dxa"/>
            <w:tcBorders>
              <w:top w:val="single" w:sz="4" w:space="0" w:color="auto"/>
              <w:bottom w:val="single" w:sz="4" w:space="0" w:color="auto"/>
            </w:tcBorders>
          </w:tcPr>
          <w:p w14:paraId="45D2DAF7" w14:textId="77777777" w:rsidR="009F07BB" w:rsidRPr="00B256C8" w:rsidRDefault="009F07BB" w:rsidP="00532556">
            <w:pPr>
              <w:jc w:val="center"/>
              <w:rPr>
                <w:color w:val="000000" w:themeColor="text1"/>
              </w:rPr>
            </w:pPr>
          </w:p>
        </w:tc>
        <w:tc>
          <w:tcPr>
            <w:tcW w:w="496" w:type="dxa"/>
            <w:tcBorders>
              <w:top w:val="single" w:sz="4" w:space="0" w:color="auto"/>
              <w:bottom w:val="single" w:sz="4" w:space="0" w:color="auto"/>
            </w:tcBorders>
          </w:tcPr>
          <w:p w14:paraId="45271617" w14:textId="2F7AE2CC" w:rsidR="009F07BB" w:rsidRPr="00B256C8" w:rsidRDefault="00AC2126" w:rsidP="00AC2126">
            <w:pPr>
              <w:rPr>
                <w:i/>
                <w:iCs/>
                <w:color w:val="000000" w:themeColor="text1"/>
              </w:rPr>
            </w:pPr>
            <w:r>
              <w:rPr>
                <w:i/>
                <w:iCs/>
                <w:color w:val="000000" w:themeColor="text1"/>
              </w:rPr>
              <w:t xml:space="preserve">  </w:t>
            </w:r>
            <w:r w:rsidR="009F07BB" w:rsidRPr="00B256C8">
              <w:rPr>
                <w:i/>
                <w:iCs/>
                <w:color w:val="000000" w:themeColor="text1"/>
              </w:rPr>
              <w:t>n</w:t>
            </w:r>
          </w:p>
        </w:tc>
        <w:tc>
          <w:tcPr>
            <w:tcW w:w="1441" w:type="dxa"/>
            <w:gridSpan w:val="2"/>
            <w:tcBorders>
              <w:top w:val="single" w:sz="4" w:space="0" w:color="auto"/>
              <w:bottom w:val="single" w:sz="4" w:space="0" w:color="auto"/>
            </w:tcBorders>
          </w:tcPr>
          <w:p w14:paraId="07873A77" w14:textId="185B7458" w:rsidR="009F07BB" w:rsidRPr="00B256C8" w:rsidRDefault="009F07BB" w:rsidP="00532556">
            <w:pPr>
              <w:rPr>
                <w:color w:val="000000" w:themeColor="text1"/>
              </w:rPr>
            </w:pPr>
            <w:r w:rsidRPr="00B256C8">
              <w:rPr>
                <w:color w:val="000000" w:themeColor="text1"/>
              </w:rPr>
              <w:t xml:space="preserve">mode  </w:t>
            </w:r>
            <w:r w:rsidR="00AC2126">
              <w:rPr>
                <w:color w:val="000000" w:themeColor="text1"/>
              </w:rPr>
              <w:t xml:space="preserve"> </w:t>
            </w:r>
            <w:r w:rsidRPr="00B256C8">
              <w:rPr>
                <w:color w:val="000000" w:themeColor="text1"/>
              </w:rPr>
              <w:t xml:space="preserve"> mean            </w:t>
            </w:r>
          </w:p>
        </w:tc>
        <w:tc>
          <w:tcPr>
            <w:tcW w:w="859" w:type="dxa"/>
            <w:tcBorders>
              <w:top w:val="single" w:sz="4" w:space="0" w:color="auto"/>
              <w:bottom w:val="single" w:sz="4" w:space="0" w:color="auto"/>
            </w:tcBorders>
          </w:tcPr>
          <w:p w14:paraId="69DA8CFE" w14:textId="77777777" w:rsidR="009F07BB" w:rsidRPr="00B256C8" w:rsidRDefault="009F07BB" w:rsidP="00532556">
            <w:pPr>
              <w:jc w:val="center"/>
              <w:rPr>
                <w:color w:val="000000" w:themeColor="text1"/>
              </w:rPr>
            </w:pPr>
            <w:proofErr w:type="spellStart"/>
            <w:r w:rsidRPr="00B256C8">
              <w:rPr>
                <w:color w:val="000000" w:themeColor="text1"/>
              </w:rPr>
              <w:t>yrs</w:t>
            </w:r>
            <w:proofErr w:type="spellEnd"/>
          </w:p>
        </w:tc>
        <w:tc>
          <w:tcPr>
            <w:tcW w:w="2146" w:type="dxa"/>
            <w:gridSpan w:val="4"/>
            <w:tcBorders>
              <w:top w:val="single" w:sz="4" w:space="0" w:color="auto"/>
              <w:bottom w:val="single" w:sz="4" w:space="0" w:color="auto"/>
            </w:tcBorders>
          </w:tcPr>
          <w:p w14:paraId="005FDB19" w14:textId="0226EC09" w:rsidR="009F07BB" w:rsidRPr="00B256C8" w:rsidRDefault="00AC0DA4" w:rsidP="00AC0DA4">
            <w:pPr>
              <w:rPr>
                <w:color w:val="000000" w:themeColor="text1"/>
              </w:rPr>
            </w:pPr>
            <w:r>
              <w:rPr>
                <w:color w:val="000000" w:themeColor="text1"/>
              </w:rPr>
              <w:t xml:space="preserve"> </w:t>
            </w:r>
            <w:proofErr w:type="gramStart"/>
            <w:r w:rsidR="009F07BB" w:rsidRPr="00B256C8">
              <w:rPr>
                <w:color w:val="000000" w:themeColor="text1"/>
              </w:rPr>
              <w:t>pre  early</w:t>
            </w:r>
            <w:proofErr w:type="gramEnd"/>
            <w:r w:rsidR="009F07BB" w:rsidRPr="00B256C8">
              <w:rPr>
                <w:color w:val="000000" w:themeColor="text1"/>
              </w:rPr>
              <w:t xml:space="preserve">   peak </w:t>
            </w:r>
            <w:r>
              <w:rPr>
                <w:color w:val="000000" w:themeColor="text1"/>
              </w:rPr>
              <w:t xml:space="preserve"> </w:t>
            </w:r>
            <w:r w:rsidR="009F07BB" w:rsidRPr="00B256C8">
              <w:rPr>
                <w:color w:val="000000" w:themeColor="text1"/>
              </w:rPr>
              <w:t xml:space="preserve">late </w:t>
            </w:r>
            <w:r w:rsidR="009F07BB" w:rsidRPr="00B256C8">
              <w:rPr>
                <w:i/>
                <w:iCs/>
                <w:color w:val="000000" w:themeColor="text1"/>
              </w:rPr>
              <w:t xml:space="preserve">              </w:t>
            </w:r>
          </w:p>
        </w:tc>
        <w:tc>
          <w:tcPr>
            <w:tcW w:w="781" w:type="dxa"/>
            <w:tcBorders>
              <w:top w:val="single" w:sz="4" w:space="0" w:color="auto"/>
              <w:bottom w:val="single" w:sz="4" w:space="0" w:color="auto"/>
            </w:tcBorders>
          </w:tcPr>
          <w:p w14:paraId="7864F3FE" w14:textId="77777777" w:rsidR="009F07BB" w:rsidRPr="00B256C8" w:rsidRDefault="009F07BB" w:rsidP="00532556">
            <w:pPr>
              <w:jc w:val="center"/>
              <w:rPr>
                <w:color w:val="000000" w:themeColor="text1"/>
              </w:rPr>
            </w:pPr>
            <w:r w:rsidRPr="00B256C8">
              <w:rPr>
                <w:color w:val="000000" w:themeColor="text1"/>
              </w:rPr>
              <w:t>kg</w:t>
            </w:r>
          </w:p>
        </w:tc>
        <w:tc>
          <w:tcPr>
            <w:tcW w:w="813" w:type="dxa"/>
            <w:tcBorders>
              <w:top w:val="single" w:sz="4" w:space="0" w:color="auto"/>
              <w:bottom w:val="single" w:sz="4" w:space="0" w:color="auto"/>
            </w:tcBorders>
          </w:tcPr>
          <w:p w14:paraId="53F15408" w14:textId="77777777" w:rsidR="009F07BB" w:rsidRPr="00B256C8" w:rsidRDefault="009F07BB" w:rsidP="00532556">
            <w:pPr>
              <w:jc w:val="center"/>
              <w:rPr>
                <w:color w:val="000000" w:themeColor="text1"/>
              </w:rPr>
            </w:pPr>
            <w:r w:rsidRPr="00B256C8">
              <w:rPr>
                <w:color w:val="000000" w:themeColor="text1"/>
              </w:rPr>
              <w:t>cm</w:t>
            </w:r>
          </w:p>
        </w:tc>
        <w:tc>
          <w:tcPr>
            <w:tcW w:w="813" w:type="dxa"/>
            <w:tcBorders>
              <w:top w:val="single" w:sz="4" w:space="0" w:color="auto"/>
              <w:bottom w:val="single" w:sz="4" w:space="0" w:color="auto"/>
            </w:tcBorders>
          </w:tcPr>
          <w:p w14:paraId="6C318966" w14:textId="77777777" w:rsidR="009F07BB" w:rsidRPr="00B256C8" w:rsidRDefault="009F07BB" w:rsidP="00532556">
            <w:pPr>
              <w:jc w:val="center"/>
              <w:rPr>
                <w:color w:val="000000" w:themeColor="text1"/>
              </w:rPr>
            </w:pPr>
            <w:r w:rsidRPr="00B256C8">
              <w:rPr>
                <w:color w:val="000000" w:themeColor="text1"/>
              </w:rPr>
              <w:t>cm</w:t>
            </w:r>
          </w:p>
        </w:tc>
        <w:tc>
          <w:tcPr>
            <w:tcW w:w="1070" w:type="dxa"/>
            <w:gridSpan w:val="2"/>
            <w:tcBorders>
              <w:top w:val="single" w:sz="4" w:space="0" w:color="auto"/>
              <w:bottom w:val="single" w:sz="4" w:space="0" w:color="auto"/>
            </w:tcBorders>
          </w:tcPr>
          <w:p w14:paraId="43710DBC" w14:textId="77777777" w:rsidR="009F07BB" w:rsidRPr="00B256C8" w:rsidRDefault="009F07BB" w:rsidP="00532556">
            <w:pPr>
              <w:jc w:val="center"/>
              <w:rPr>
                <w:color w:val="000000" w:themeColor="text1"/>
              </w:rPr>
            </w:pPr>
            <w:r w:rsidRPr="00B256C8">
              <w:rPr>
                <w:color w:val="000000" w:themeColor="text1"/>
              </w:rPr>
              <w:t>percentile</w:t>
            </w:r>
          </w:p>
        </w:tc>
        <w:tc>
          <w:tcPr>
            <w:tcW w:w="865" w:type="dxa"/>
            <w:tcBorders>
              <w:top w:val="single" w:sz="4" w:space="0" w:color="auto"/>
              <w:bottom w:val="single" w:sz="4" w:space="0" w:color="auto"/>
            </w:tcBorders>
          </w:tcPr>
          <w:p w14:paraId="6328AC8D" w14:textId="77777777" w:rsidR="009F07BB" w:rsidRPr="00B256C8" w:rsidRDefault="009F07BB" w:rsidP="00532556">
            <w:pPr>
              <w:jc w:val="center"/>
              <w:rPr>
                <w:color w:val="000000" w:themeColor="text1"/>
              </w:rPr>
            </w:pPr>
            <w:r w:rsidRPr="00B256C8">
              <w:rPr>
                <w:color w:val="000000" w:themeColor="text1"/>
              </w:rPr>
              <w:t>kg/m</w:t>
            </w:r>
            <w:r w:rsidRPr="00B256C8">
              <w:rPr>
                <w:color w:val="000000" w:themeColor="text1"/>
                <w:vertAlign w:val="superscript"/>
              </w:rPr>
              <w:t>2</w:t>
            </w:r>
          </w:p>
        </w:tc>
      </w:tr>
      <w:tr w:rsidR="009F07BB" w:rsidRPr="00B256C8" w14:paraId="062630CE" w14:textId="77777777" w:rsidTr="00AC2126">
        <w:trPr>
          <w:trHeight w:val="178"/>
        </w:trPr>
        <w:tc>
          <w:tcPr>
            <w:tcW w:w="943" w:type="dxa"/>
            <w:tcBorders>
              <w:top w:val="single" w:sz="4" w:space="0" w:color="auto"/>
            </w:tcBorders>
          </w:tcPr>
          <w:p w14:paraId="3BD5E178" w14:textId="77777777" w:rsidR="009F07BB" w:rsidRPr="00B256C8" w:rsidRDefault="009F07BB" w:rsidP="00532556">
            <w:pPr>
              <w:rPr>
                <w:color w:val="000000" w:themeColor="text1"/>
                <w:sz w:val="12"/>
                <w:szCs w:val="12"/>
              </w:rPr>
            </w:pPr>
          </w:p>
        </w:tc>
        <w:tc>
          <w:tcPr>
            <w:tcW w:w="496" w:type="dxa"/>
            <w:tcBorders>
              <w:top w:val="single" w:sz="4" w:space="0" w:color="auto"/>
            </w:tcBorders>
          </w:tcPr>
          <w:p w14:paraId="17379D00" w14:textId="77777777" w:rsidR="009F07BB" w:rsidRPr="00B256C8" w:rsidRDefault="009F07BB" w:rsidP="00532556">
            <w:pPr>
              <w:jc w:val="center"/>
              <w:rPr>
                <w:color w:val="000000" w:themeColor="text1"/>
                <w:sz w:val="12"/>
                <w:szCs w:val="12"/>
              </w:rPr>
            </w:pPr>
          </w:p>
        </w:tc>
        <w:tc>
          <w:tcPr>
            <w:tcW w:w="586" w:type="dxa"/>
            <w:tcBorders>
              <w:top w:val="single" w:sz="4" w:space="0" w:color="auto"/>
            </w:tcBorders>
          </w:tcPr>
          <w:p w14:paraId="4B8ECBC3" w14:textId="77777777" w:rsidR="009F07BB" w:rsidRPr="00B256C8" w:rsidRDefault="009F07BB" w:rsidP="00532556">
            <w:pPr>
              <w:jc w:val="center"/>
              <w:rPr>
                <w:color w:val="000000" w:themeColor="text1"/>
                <w:sz w:val="12"/>
                <w:szCs w:val="12"/>
              </w:rPr>
            </w:pPr>
          </w:p>
        </w:tc>
        <w:tc>
          <w:tcPr>
            <w:tcW w:w="855" w:type="dxa"/>
            <w:tcBorders>
              <w:top w:val="single" w:sz="4" w:space="0" w:color="auto"/>
            </w:tcBorders>
          </w:tcPr>
          <w:p w14:paraId="402BCB9C" w14:textId="77777777" w:rsidR="009F07BB" w:rsidRPr="00B256C8" w:rsidRDefault="009F07BB" w:rsidP="00532556">
            <w:pPr>
              <w:jc w:val="center"/>
              <w:rPr>
                <w:color w:val="000000" w:themeColor="text1"/>
                <w:sz w:val="12"/>
                <w:szCs w:val="12"/>
              </w:rPr>
            </w:pPr>
          </w:p>
        </w:tc>
        <w:tc>
          <w:tcPr>
            <w:tcW w:w="859" w:type="dxa"/>
          </w:tcPr>
          <w:p w14:paraId="6B2EFC5B" w14:textId="77777777" w:rsidR="009F07BB" w:rsidRPr="00B256C8" w:rsidRDefault="009F07BB" w:rsidP="00532556">
            <w:pPr>
              <w:jc w:val="center"/>
              <w:rPr>
                <w:color w:val="000000" w:themeColor="text1"/>
                <w:sz w:val="12"/>
                <w:szCs w:val="12"/>
              </w:rPr>
            </w:pPr>
          </w:p>
        </w:tc>
        <w:tc>
          <w:tcPr>
            <w:tcW w:w="509" w:type="dxa"/>
          </w:tcPr>
          <w:p w14:paraId="0494235A" w14:textId="77777777" w:rsidR="009F07BB" w:rsidRPr="00B256C8" w:rsidRDefault="009F07BB" w:rsidP="00532556">
            <w:pPr>
              <w:jc w:val="center"/>
              <w:rPr>
                <w:color w:val="000000" w:themeColor="text1"/>
                <w:sz w:val="12"/>
                <w:szCs w:val="12"/>
              </w:rPr>
            </w:pPr>
          </w:p>
        </w:tc>
        <w:tc>
          <w:tcPr>
            <w:tcW w:w="602" w:type="dxa"/>
          </w:tcPr>
          <w:p w14:paraId="421CE393" w14:textId="77777777" w:rsidR="009F07BB" w:rsidRPr="00B256C8" w:rsidRDefault="009F07BB" w:rsidP="00532556">
            <w:pPr>
              <w:jc w:val="center"/>
              <w:rPr>
                <w:color w:val="000000" w:themeColor="text1"/>
                <w:sz w:val="12"/>
                <w:szCs w:val="12"/>
              </w:rPr>
            </w:pPr>
          </w:p>
        </w:tc>
        <w:tc>
          <w:tcPr>
            <w:tcW w:w="509" w:type="dxa"/>
          </w:tcPr>
          <w:p w14:paraId="69535ADD" w14:textId="77777777" w:rsidR="009F07BB" w:rsidRPr="00B256C8" w:rsidRDefault="009F07BB" w:rsidP="00532556">
            <w:pPr>
              <w:jc w:val="center"/>
              <w:rPr>
                <w:color w:val="000000" w:themeColor="text1"/>
                <w:sz w:val="12"/>
                <w:szCs w:val="12"/>
              </w:rPr>
            </w:pPr>
          </w:p>
        </w:tc>
        <w:tc>
          <w:tcPr>
            <w:tcW w:w="526" w:type="dxa"/>
          </w:tcPr>
          <w:p w14:paraId="3DD1AFAB" w14:textId="77777777" w:rsidR="009F07BB" w:rsidRPr="00B256C8" w:rsidRDefault="009F07BB" w:rsidP="00532556">
            <w:pPr>
              <w:jc w:val="center"/>
              <w:rPr>
                <w:color w:val="000000" w:themeColor="text1"/>
                <w:sz w:val="12"/>
                <w:szCs w:val="12"/>
              </w:rPr>
            </w:pPr>
          </w:p>
        </w:tc>
        <w:tc>
          <w:tcPr>
            <w:tcW w:w="781" w:type="dxa"/>
          </w:tcPr>
          <w:p w14:paraId="304D15BA" w14:textId="77777777" w:rsidR="009F07BB" w:rsidRPr="00B256C8" w:rsidRDefault="009F07BB" w:rsidP="00532556">
            <w:pPr>
              <w:jc w:val="center"/>
              <w:rPr>
                <w:color w:val="000000" w:themeColor="text1"/>
                <w:sz w:val="12"/>
                <w:szCs w:val="12"/>
              </w:rPr>
            </w:pPr>
          </w:p>
        </w:tc>
        <w:tc>
          <w:tcPr>
            <w:tcW w:w="813" w:type="dxa"/>
          </w:tcPr>
          <w:p w14:paraId="18475BE9" w14:textId="77777777" w:rsidR="009F07BB" w:rsidRPr="00B256C8" w:rsidRDefault="009F07BB" w:rsidP="00532556">
            <w:pPr>
              <w:jc w:val="center"/>
              <w:rPr>
                <w:color w:val="000000" w:themeColor="text1"/>
                <w:sz w:val="12"/>
                <w:szCs w:val="12"/>
              </w:rPr>
            </w:pPr>
          </w:p>
        </w:tc>
        <w:tc>
          <w:tcPr>
            <w:tcW w:w="813" w:type="dxa"/>
          </w:tcPr>
          <w:p w14:paraId="049DBD3C" w14:textId="77777777" w:rsidR="009F07BB" w:rsidRPr="00B256C8" w:rsidRDefault="009F07BB" w:rsidP="00532556">
            <w:pPr>
              <w:jc w:val="center"/>
              <w:rPr>
                <w:color w:val="000000" w:themeColor="text1"/>
                <w:sz w:val="12"/>
                <w:szCs w:val="12"/>
              </w:rPr>
            </w:pPr>
          </w:p>
        </w:tc>
        <w:tc>
          <w:tcPr>
            <w:tcW w:w="1070" w:type="dxa"/>
            <w:gridSpan w:val="2"/>
          </w:tcPr>
          <w:p w14:paraId="32715421" w14:textId="77777777" w:rsidR="009F07BB" w:rsidRPr="00B256C8" w:rsidRDefault="009F07BB" w:rsidP="00532556">
            <w:pPr>
              <w:jc w:val="center"/>
              <w:rPr>
                <w:color w:val="000000" w:themeColor="text1"/>
                <w:sz w:val="12"/>
                <w:szCs w:val="12"/>
              </w:rPr>
            </w:pPr>
          </w:p>
        </w:tc>
        <w:tc>
          <w:tcPr>
            <w:tcW w:w="865" w:type="dxa"/>
          </w:tcPr>
          <w:p w14:paraId="40B54BB5" w14:textId="77777777" w:rsidR="009F07BB" w:rsidRPr="00B256C8" w:rsidRDefault="009F07BB" w:rsidP="00532556">
            <w:pPr>
              <w:jc w:val="center"/>
              <w:rPr>
                <w:color w:val="000000" w:themeColor="text1"/>
                <w:sz w:val="12"/>
                <w:szCs w:val="12"/>
              </w:rPr>
            </w:pPr>
          </w:p>
        </w:tc>
      </w:tr>
      <w:tr w:rsidR="009F07BB" w:rsidRPr="00B256C8" w14:paraId="0F5D603D" w14:textId="77777777" w:rsidTr="00AC2126">
        <w:trPr>
          <w:trHeight w:val="924"/>
        </w:trPr>
        <w:tc>
          <w:tcPr>
            <w:tcW w:w="943" w:type="dxa"/>
          </w:tcPr>
          <w:p w14:paraId="022AFE58" w14:textId="77777777" w:rsidR="009F07BB" w:rsidRPr="00B256C8" w:rsidRDefault="009F07BB" w:rsidP="00532556">
            <w:pPr>
              <w:spacing w:line="276" w:lineRule="auto"/>
              <w:rPr>
                <w:color w:val="000000" w:themeColor="text1"/>
              </w:rPr>
            </w:pPr>
            <w:r w:rsidRPr="00B256C8">
              <w:rPr>
                <w:color w:val="000000" w:themeColor="text1"/>
              </w:rPr>
              <w:t>All</w:t>
            </w:r>
          </w:p>
        </w:tc>
        <w:tc>
          <w:tcPr>
            <w:tcW w:w="496" w:type="dxa"/>
          </w:tcPr>
          <w:p w14:paraId="466C2F97" w14:textId="77777777" w:rsidR="009F07BB" w:rsidRPr="00B256C8" w:rsidRDefault="009F07BB" w:rsidP="00532556">
            <w:pPr>
              <w:spacing w:line="276" w:lineRule="auto"/>
              <w:jc w:val="center"/>
              <w:rPr>
                <w:color w:val="000000" w:themeColor="text1"/>
              </w:rPr>
            </w:pPr>
            <w:r w:rsidRPr="00B256C8">
              <w:rPr>
                <w:color w:val="000000" w:themeColor="text1"/>
              </w:rPr>
              <w:t>61</w:t>
            </w:r>
          </w:p>
        </w:tc>
        <w:tc>
          <w:tcPr>
            <w:tcW w:w="586" w:type="dxa"/>
          </w:tcPr>
          <w:p w14:paraId="3F6A817C" w14:textId="77777777" w:rsidR="009F07BB" w:rsidRPr="00B256C8" w:rsidRDefault="009F07BB" w:rsidP="00532556">
            <w:pPr>
              <w:spacing w:line="276" w:lineRule="auto"/>
              <w:jc w:val="center"/>
              <w:rPr>
                <w:color w:val="000000" w:themeColor="text1"/>
              </w:rPr>
            </w:pPr>
            <w:r w:rsidRPr="00B256C8">
              <w:rPr>
                <w:color w:val="000000" w:themeColor="text1"/>
              </w:rPr>
              <w:t>6</w:t>
            </w:r>
          </w:p>
        </w:tc>
        <w:tc>
          <w:tcPr>
            <w:tcW w:w="855" w:type="dxa"/>
          </w:tcPr>
          <w:p w14:paraId="73F6436B" w14:textId="77777777" w:rsidR="009F07BB" w:rsidRPr="00B256C8" w:rsidRDefault="009F07BB" w:rsidP="00532556">
            <w:pPr>
              <w:spacing w:line="276" w:lineRule="auto"/>
              <w:jc w:val="center"/>
              <w:rPr>
                <w:color w:val="000000" w:themeColor="text1"/>
              </w:rPr>
            </w:pPr>
            <w:r w:rsidRPr="00B256C8">
              <w:rPr>
                <w:color w:val="000000" w:themeColor="text1"/>
              </w:rPr>
              <w:t>7.26</w:t>
            </w:r>
          </w:p>
          <w:p w14:paraId="498543C0"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1.31</w:t>
            </w:r>
          </w:p>
        </w:tc>
        <w:tc>
          <w:tcPr>
            <w:tcW w:w="859" w:type="dxa"/>
          </w:tcPr>
          <w:p w14:paraId="1884FB89" w14:textId="77777777" w:rsidR="009F07BB" w:rsidRPr="00B256C8" w:rsidRDefault="009F07BB" w:rsidP="00532556">
            <w:pPr>
              <w:spacing w:line="276" w:lineRule="auto"/>
              <w:jc w:val="center"/>
              <w:rPr>
                <w:color w:val="000000" w:themeColor="text1"/>
              </w:rPr>
            </w:pPr>
            <w:r w:rsidRPr="00B256C8">
              <w:rPr>
                <w:color w:val="000000" w:themeColor="text1"/>
              </w:rPr>
              <w:t>10.33</w:t>
            </w:r>
          </w:p>
          <w:p w14:paraId="40B287FE"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0.57</w:t>
            </w:r>
          </w:p>
        </w:tc>
        <w:tc>
          <w:tcPr>
            <w:tcW w:w="509" w:type="dxa"/>
          </w:tcPr>
          <w:p w14:paraId="1C17F138" w14:textId="77777777" w:rsidR="009F07BB" w:rsidRPr="00B256C8" w:rsidRDefault="009F07BB" w:rsidP="00532556">
            <w:pPr>
              <w:spacing w:line="276" w:lineRule="auto"/>
              <w:jc w:val="center"/>
              <w:rPr>
                <w:color w:val="000000" w:themeColor="text1"/>
              </w:rPr>
            </w:pPr>
            <w:r w:rsidRPr="00B256C8">
              <w:rPr>
                <w:color w:val="000000" w:themeColor="text1"/>
              </w:rPr>
              <w:t>9</w:t>
            </w:r>
          </w:p>
        </w:tc>
        <w:tc>
          <w:tcPr>
            <w:tcW w:w="602" w:type="dxa"/>
          </w:tcPr>
          <w:p w14:paraId="5D8DB1EE" w14:textId="77777777" w:rsidR="009F07BB" w:rsidRPr="00B256C8" w:rsidRDefault="009F07BB" w:rsidP="00532556">
            <w:pPr>
              <w:spacing w:line="276" w:lineRule="auto"/>
              <w:jc w:val="center"/>
              <w:rPr>
                <w:color w:val="000000" w:themeColor="text1"/>
              </w:rPr>
            </w:pPr>
            <w:r w:rsidRPr="00B256C8">
              <w:rPr>
                <w:color w:val="000000" w:themeColor="text1"/>
              </w:rPr>
              <w:t>20</w:t>
            </w:r>
          </w:p>
        </w:tc>
        <w:tc>
          <w:tcPr>
            <w:tcW w:w="509" w:type="dxa"/>
          </w:tcPr>
          <w:p w14:paraId="1FEFE755" w14:textId="77777777" w:rsidR="009F07BB" w:rsidRPr="00B256C8" w:rsidRDefault="009F07BB" w:rsidP="00532556">
            <w:pPr>
              <w:spacing w:line="276" w:lineRule="auto"/>
              <w:jc w:val="center"/>
              <w:rPr>
                <w:color w:val="000000" w:themeColor="text1"/>
              </w:rPr>
            </w:pPr>
            <w:r w:rsidRPr="00B256C8">
              <w:rPr>
                <w:color w:val="000000" w:themeColor="text1"/>
              </w:rPr>
              <w:t>27</w:t>
            </w:r>
          </w:p>
        </w:tc>
        <w:tc>
          <w:tcPr>
            <w:tcW w:w="526" w:type="dxa"/>
          </w:tcPr>
          <w:p w14:paraId="518A629F" w14:textId="77777777" w:rsidR="009F07BB" w:rsidRPr="00B256C8" w:rsidRDefault="009F07BB" w:rsidP="00532556">
            <w:pPr>
              <w:spacing w:line="276" w:lineRule="auto"/>
              <w:jc w:val="center"/>
              <w:rPr>
                <w:color w:val="000000" w:themeColor="text1"/>
              </w:rPr>
            </w:pPr>
            <w:r w:rsidRPr="00B256C8">
              <w:rPr>
                <w:color w:val="000000" w:themeColor="text1"/>
              </w:rPr>
              <w:t>3</w:t>
            </w:r>
          </w:p>
        </w:tc>
        <w:tc>
          <w:tcPr>
            <w:tcW w:w="781" w:type="dxa"/>
          </w:tcPr>
          <w:p w14:paraId="44F65730" w14:textId="77777777" w:rsidR="009F07BB" w:rsidRPr="00B256C8" w:rsidRDefault="009F07BB" w:rsidP="00532556">
            <w:pPr>
              <w:spacing w:line="276" w:lineRule="auto"/>
              <w:jc w:val="center"/>
              <w:rPr>
                <w:color w:val="000000" w:themeColor="text1"/>
              </w:rPr>
            </w:pPr>
            <w:r w:rsidRPr="00B256C8">
              <w:rPr>
                <w:color w:val="000000" w:themeColor="text1"/>
              </w:rPr>
              <w:t>6.3</w:t>
            </w:r>
            <w:r>
              <w:rPr>
                <w:color w:val="000000" w:themeColor="text1"/>
              </w:rPr>
              <w:t>3</w:t>
            </w:r>
          </w:p>
          <w:p w14:paraId="397B95B8"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2.79</w:t>
            </w:r>
          </w:p>
        </w:tc>
        <w:tc>
          <w:tcPr>
            <w:tcW w:w="813" w:type="dxa"/>
          </w:tcPr>
          <w:p w14:paraId="552B800B" w14:textId="77777777" w:rsidR="009F07BB" w:rsidRPr="00B256C8" w:rsidRDefault="009F07BB" w:rsidP="00532556">
            <w:pPr>
              <w:spacing w:line="276" w:lineRule="auto"/>
              <w:jc w:val="center"/>
              <w:rPr>
                <w:color w:val="000000" w:themeColor="text1"/>
              </w:rPr>
            </w:pPr>
            <w:r w:rsidRPr="00B256C8">
              <w:rPr>
                <w:color w:val="000000" w:themeColor="text1"/>
              </w:rPr>
              <w:t>6.92</w:t>
            </w:r>
          </w:p>
          <w:p w14:paraId="00DC1BCA"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1.39</w:t>
            </w:r>
          </w:p>
        </w:tc>
        <w:tc>
          <w:tcPr>
            <w:tcW w:w="813" w:type="dxa"/>
          </w:tcPr>
          <w:p w14:paraId="1722B62E" w14:textId="77777777" w:rsidR="009F07BB" w:rsidRPr="00B256C8" w:rsidRDefault="009F07BB" w:rsidP="00532556">
            <w:pPr>
              <w:spacing w:line="276" w:lineRule="auto"/>
              <w:jc w:val="center"/>
              <w:rPr>
                <w:color w:val="000000" w:themeColor="text1"/>
              </w:rPr>
            </w:pPr>
            <w:r w:rsidRPr="00B256C8">
              <w:rPr>
                <w:color w:val="000000" w:themeColor="text1"/>
              </w:rPr>
              <w:t>2.3</w:t>
            </w:r>
            <w:r>
              <w:rPr>
                <w:color w:val="000000" w:themeColor="text1"/>
              </w:rPr>
              <w:t>7</w:t>
            </w:r>
          </w:p>
          <w:p w14:paraId="29B3B31E"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0.57</w:t>
            </w:r>
          </w:p>
        </w:tc>
        <w:tc>
          <w:tcPr>
            <w:tcW w:w="1070" w:type="dxa"/>
            <w:gridSpan w:val="2"/>
          </w:tcPr>
          <w:p w14:paraId="6DEB51E9" w14:textId="77777777" w:rsidR="009F07BB" w:rsidRPr="00B256C8" w:rsidRDefault="009F07BB" w:rsidP="00532556">
            <w:pPr>
              <w:spacing w:line="276" w:lineRule="auto"/>
              <w:jc w:val="center"/>
              <w:rPr>
                <w:color w:val="000000" w:themeColor="text1"/>
              </w:rPr>
            </w:pPr>
            <w:r w:rsidRPr="00B256C8">
              <w:rPr>
                <w:color w:val="000000" w:themeColor="text1"/>
              </w:rPr>
              <w:t>69.06</w:t>
            </w:r>
          </w:p>
          <w:p w14:paraId="77B24F31"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25.44</w:t>
            </w:r>
          </w:p>
        </w:tc>
        <w:tc>
          <w:tcPr>
            <w:tcW w:w="865" w:type="dxa"/>
          </w:tcPr>
          <w:p w14:paraId="0E94F07B" w14:textId="77777777" w:rsidR="009F07BB" w:rsidRPr="00B256C8" w:rsidRDefault="009F07BB" w:rsidP="00532556">
            <w:pPr>
              <w:spacing w:line="276" w:lineRule="auto"/>
              <w:jc w:val="center"/>
              <w:rPr>
                <w:color w:val="000000" w:themeColor="text1"/>
              </w:rPr>
            </w:pPr>
            <w:r w:rsidRPr="00B256C8">
              <w:rPr>
                <w:color w:val="000000" w:themeColor="text1"/>
              </w:rPr>
              <w:t>1.13</w:t>
            </w:r>
          </w:p>
          <w:p w14:paraId="02DA64E5"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1.04</w:t>
            </w:r>
          </w:p>
        </w:tc>
      </w:tr>
      <w:tr w:rsidR="009F07BB" w:rsidRPr="00B256C8" w14:paraId="38FEE512" w14:textId="77777777" w:rsidTr="00AC2126">
        <w:trPr>
          <w:trHeight w:val="924"/>
        </w:trPr>
        <w:tc>
          <w:tcPr>
            <w:tcW w:w="943" w:type="dxa"/>
          </w:tcPr>
          <w:p w14:paraId="0C41BCBD" w14:textId="77777777" w:rsidR="009F07BB" w:rsidRPr="00B256C8" w:rsidRDefault="009F07BB" w:rsidP="00532556">
            <w:pPr>
              <w:spacing w:line="276" w:lineRule="auto"/>
              <w:rPr>
                <w:color w:val="000000" w:themeColor="text1"/>
              </w:rPr>
            </w:pPr>
            <w:proofErr w:type="spellStart"/>
            <w:r w:rsidRPr="00B256C8">
              <w:rPr>
                <w:color w:val="000000" w:themeColor="text1"/>
              </w:rPr>
              <w:t>Female</w:t>
            </w:r>
            <w:r w:rsidRPr="00B256C8">
              <w:rPr>
                <w:color w:val="000000" w:themeColor="text1"/>
                <w:vertAlign w:val="superscript"/>
              </w:rPr>
              <w:t>b</w:t>
            </w:r>
            <w:proofErr w:type="spellEnd"/>
          </w:p>
        </w:tc>
        <w:tc>
          <w:tcPr>
            <w:tcW w:w="496" w:type="dxa"/>
          </w:tcPr>
          <w:p w14:paraId="50F24818" w14:textId="77777777" w:rsidR="009F07BB" w:rsidRPr="00B256C8" w:rsidRDefault="009F07BB" w:rsidP="00532556">
            <w:pPr>
              <w:spacing w:line="276" w:lineRule="auto"/>
              <w:jc w:val="center"/>
              <w:rPr>
                <w:color w:val="000000" w:themeColor="text1"/>
              </w:rPr>
            </w:pPr>
            <w:r w:rsidRPr="00B256C8">
              <w:rPr>
                <w:color w:val="000000" w:themeColor="text1"/>
              </w:rPr>
              <w:t>34</w:t>
            </w:r>
          </w:p>
        </w:tc>
        <w:tc>
          <w:tcPr>
            <w:tcW w:w="586" w:type="dxa"/>
          </w:tcPr>
          <w:p w14:paraId="79C4ABB7" w14:textId="77777777" w:rsidR="009F07BB" w:rsidRPr="00B256C8" w:rsidRDefault="009F07BB" w:rsidP="00532556">
            <w:pPr>
              <w:spacing w:line="276" w:lineRule="auto"/>
              <w:jc w:val="center"/>
              <w:rPr>
                <w:color w:val="000000" w:themeColor="text1"/>
              </w:rPr>
            </w:pPr>
            <w:r w:rsidRPr="00B256C8">
              <w:rPr>
                <w:color w:val="000000" w:themeColor="text1"/>
              </w:rPr>
              <w:t>8</w:t>
            </w:r>
          </w:p>
        </w:tc>
        <w:tc>
          <w:tcPr>
            <w:tcW w:w="855" w:type="dxa"/>
          </w:tcPr>
          <w:p w14:paraId="08FC7402" w14:textId="77777777" w:rsidR="009F07BB" w:rsidRPr="00B256C8" w:rsidRDefault="009F07BB" w:rsidP="00532556">
            <w:pPr>
              <w:spacing w:line="276" w:lineRule="auto"/>
              <w:jc w:val="center"/>
              <w:rPr>
                <w:color w:val="000000" w:themeColor="text1"/>
              </w:rPr>
            </w:pPr>
            <w:r w:rsidRPr="00B256C8">
              <w:rPr>
                <w:color w:val="000000" w:themeColor="text1"/>
              </w:rPr>
              <w:t xml:space="preserve">7.50 </w:t>
            </w:r>
            <w:r w:rsidRPr="00B256C8">
              <w:rPr>
                <w:color w:val="000000" w:themeColor="text1"/>
                <w:shd w:val="clear" w:color="auto" w:fill="FFFFFF"/>
              </w:rPr>
              <w:t>±</w:t>
            </w:r>
            <w:r w:rsidRPr="00B256C8">
              <w:rPr>
                <w:color w:val="000000" w:themeColor="text1"/>
              </w:rPr>
              <w:t>1.33</w:t>
            </w:r>
          </w:p>
        </w:tc>
        <w:tc>
          <w:tcPr>
            <w:tcW w:w="859" w:type="dxa"/>
          </w:tcPr>
          <w:p w14:paraId="57FB3330" w14:textId="77777777" w:rsidR="009F07BB" w:rsidRPr="00B256C8" w:rsidRDefault="009F07BB" w:rsidP="00532556">
            <w:pPr>
              <w:spacing w:line="276" w:lineRule="auto"/>
              <w:jc w:val="center"/>
              <w:rPr>
                <w:color w:val="000000" w:themeColor="text1"/>
              </w:rPr>
            </w:pPr>
            <w:r w:rsidRPr="00B256C8">
              <w:rPr>
                <w:color w:val="000000" w:themeColor="text1"/>
              </w:rPr>
              <w:t>10.30</w:t>
            </w:r>
          </w:p>
          <w:p w14:paraId="5AE796B2"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0.59</w:t>
            </w:r>
          </w:p>
        </w:tc>
        <w:tc>
          <w:tcPr>
            <w:tcW w:w="509" w:type="dxa"/>
          </w:tcPr>
          <w:p w14:paraId="018D17D7" w14:textId="77777777" w:rsidR="009F07BB" w:rsidRPr="00B256C8" w:rsidRDefault="009F07BB" w:rsidP="00532556">
            <w:pPr>
              <w:spacing w:line="276" w:lineRule="auto"/>
              <w:jc w:val="center"/>
              <w:rPr>
                <w:color w:val="000000" w:themeColor="text1"/>
              </w:rPr>
            </w:pPr>
            <w:r w:rsidRPr="00B256C8">
              <w:rPr>
                <w:color w:val="000000" w:themeColor="text1"/>
              </w:rPr>
              <w:t>1</w:t>
            </w:r>
          </w:p>
        </w:tc>
        <w:tc>
          <w:tcPr>
            <w:tcW w:w="602" w:type="dxa"/>
          </w:tcPr>
          <w:p w14:paraId="1CD8392C" w14:textId="77777777" w:rsidR="009F07BB" w:rsidRPr="00B256C8" w:rsidRDefault="009F07BB" w:rsidP="00532556">
            <w:pPr>
              <w:spacing w:line="276" w:lineRule="auto"/>
              <w:jc w:val="center"/>
              <w:rPr>
                <w:color w:val="000000" w:themeColor="text1"/>
              </w:rPr>
            </w:pPr>
            <w:r w:rsidRPr="00B256C8">
              <w:rPr>
                <w:color w:val="000000" w:themeColor="text1"/>
              </w:rPr>
              <w:t>2</w:t>
            </w:r>
          </w:p>
        </w:tc>
        <w:tc>
          <w:tcPr>
            <w:tcW w:w="509" w:type="dxa"/>
          </w:tcPr>
          <w:p w14:paraId="2E160AF4" w14:textId="77777777" w:rsidR="009F07BB" w:rsidRPr="00B256C8" w:rsidRDefault="009F07BB" w:rsidP="00532556">
            <w:pPr>
              <w:spacing w:line="276" w:lineRule="auto"/>
              <w:jc w:val="center"/>
              <w:rPr>
                <w:color w:val="000000" w:themeColor="text1"/>
              </w:rPr>
            </w:pPr>
            <w:r w:rsidRPr="00B256C8">
              <w:rPr>
                <w:color w:val="000000" w:themeColor="text1"/>
              </w:rPr>
              <w:t>26</w:t>
            </w:r>
          </w:p>
        </w:tc>
        <w:tc>
          <w:tcPr>
            <w:tcW w:w="526" w:type="dxa"/>
          </w:tcPr>
          <w:p w14:paraId="1EAEF9F0" w14:textId="77777777" w:rsidR="009F07BB" w:rsidRPr="00B256C8" w:rsidRDefault="009F07BB" w:rsidP="00532556">
            <w:pPr>
              <w:spacing w:line="276" w:lineRule="auto"/>
              <w:jc w:val="center"/>
              <w:rPr>
                <w:color w:val="000000" w:themeColor="text1"/>
              </w:rPr>
            </w:pPr>
            <w:r w:rsidRPr="00B256C8">
              <w:rPr>
                <w:color w:val="000000" w:themeColor="text1"/>
              </w:rPr>
              <w:t>3</w:t>
            </w:r>
          </w:p>
        </w:tc>
        <w:tc>
          <w:tcPr>
            <w:tcW w:w="781" w:type="dxa"/>
          </w:tcPr>
          <w:p w14:paraId="39B72C5D" w14:textId="77777777" w:rsidR="009F07BB" w:rsidRPr="00B256C8" w:rsidRDefault="009F07BB" w:rsidP="00532556">
            <w:pPr>
              <w:spacing w:line="276" w:lineRule="auto"/>
              <w:jc w:val="center"/>
              <w:rPr>
                <w:color w:val="000000" w:themeColor="text1"/>
              </w:rPr>
            </w:pPr>
            <w:r w:rsidRPr="00B256C8">
              <w:rPr>
                <w:color w:val="000000" w:themeColor="text1"/>
              </w:rPr>
              <w:t xml:space="preserve">6.97 </w:t>
            </w:r>
          </w:p>
          <w:p w14:paraId="432DC882"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2.82</w:t>
            </w:r>
          </w:p>
        </w:tc>
        <w:tc>
          <w:tcPr>
            <w:tcW w:w="813" w:type="dxa"/>
          </w:tcPr>
          <w:p w14:paraId="4E7207C8" w14:textId="77777777" w:rsidR="009F07BB" w:rsidRPr="00B256C8" w:rsidRDefault="009F07BB" w:rsidP="00532556">
            <w:pPr>
              <w:spacing w:line="276" w:lineRule="auto"/>
              <w:jc w:val="center"/>
              <w:rPr>
                <w:color w:val="000000" w:themeColor="text1"/>
              </w:rPr>
            </w:pPr>
            <w:r w:rsidRPr="00B256C8">
              <w:rPr>
                <w:color w:val="000000" w:themeColor="text1"/>
              </w:rPr>
              <w:t>7.39</w:t>
            </w:r>
          </w:p>
          <w:p w14:paraId="07A1545C"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1.55</w:t>
            </w:r>
          </w:p>
        </w:tc>
        <w:tc>
          <w:tcPr>
            <w:tcW w:w="813" w:type="dxa"/>
          </w:tcPr>
          <w:p w14:paraId="532DF296" w14:textId="77777777" w:rsidR="009F07BB" w:rsidRPr="00B256C8" w:rsidRDefault="009F07BB" w:rsidP="00532556">
            <w:pPr>
              <w:spacing w:line="276" w:lineRule="auto"/>
              <w:jc w:val="center"/>
              <w:rPr>
                <w:color w:val="000000" w:themeColor="text1"/>
              </w:rPr>
            </w:pPr>
            <w:r w:rsidRPr="00B256C8">
              <w:rPr>
                <w:color w:val="000000" w:themeColor="text1"/>
              </w:rPr>
              <w:t>2.41</w:t>
            </w:r>
          </w:p>
          <w:p w14:paraId="24C041EE"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0.47</w:t>
            </w:r>
          </w:p>
        </w:tc>
        <w:tc>
          <w:tcPr>
            <w:tcW w:w="1070" w:type="dxa"/>
            <w:gridSpan w:val="2"/>
          </w:tcPr>
          <w:p w14:paraId="7EAE0E57" w14:textId="77777777" w:rsidR="009F07BB" w:rsidRPr="00B256C8" w:rsidRDefault="009F07BB" w:rsidP="00532556">
            <w:pPr>
              <w:spacing w:line="276" w:lineRule="auto"/>
              <w:jc w:val="center"/>
              <w:rPr>
                <w:color w:val="000000" w:themeColor="text1"/>
              </w:rPr>
            </w:pPr>
            <w:r w:rsidRPr="00B256C8">
              <w:rPr>
                <w:color w:val="000000" w:themeColor="text1"/>
              </w:rPr>
              <w:t xml:space="preserve">69.19 </w:t>
            </w:r>
            <w:r w:rsidRPr="00B256C8">
              <w:rPr>
                <w:color w:val="000000" w:themeColor="text1"/>
                <w:shd w:val="clear" w:color="auto" w:fill="FFFFFF"/>
              </w:rPr>
              <w:t>±</w:t>
            </w:r>
            <w:r w:rsidRPr="00B256C8">
              <w:rPr>
                <w:color w:val="000000" w:themeColor="text1"/>
              </w:rPr>
              <w:t>25.64</w:t>
            </w:r>
          </w:p>
        </w:tc>
        <w:tc>
          <w:tcPr>
            <w:tcW w:w="865" w:type="dxa"/>
          </w:tcPr>
          <w:p w14:paraId="7669195C" w14:textId="77777777" w:rsidR="009F07BB" w:rsidRPr="00B256C8" w:rsidRDefault="009F07BB" w:rsidP="00532556">
            <w:pPr>
              <w:spacing w:line="276" w:lineRule="auto"/>
              <w:jc w:val="center"/>
              <w:rPr>
                <w:color w:val="000000" w:themeColor="text1"/>
              </w:rPr>
            </w:pPr>
            <w:r w:rsidRPr="00B256C8">
              <w:rPr>
                <w:color w:val="000000" w:themeColor="text1"/>
              </w:rPr>
              <w:t xml:space="preserve">1.31 </w:t>
            </w:r>
            <w:r w:rsidRPr="00B256C8">
              <w:rPr>
                <w:color w:val="000000" w:themeColor="text1"/>
                <w:shd w:val="clear" w:color="auto" w:fill="FFFFFF"/>
              </w:rPr>
              <w:t>±</w:t>
            </w:r>
            <w:r w:rsidRPr="00B256C8">
              <w:rPr>
                <w:color w:val="000000" w:themeColor="text1"/>
              </w:rPr>
              <w:t>1.06</w:t>
            </w:r>
          </w:p>
        </w:tc>
      </w:tr>
      <w:tr w:rsidR="009F07BB" w:rsidRPr="00B256C8" w14:paraId="21ED2C40" w14:textId="77777777" w:rsidTr="00AC2126">
        <w:trPr>
          <w:trHeight w:val="568"/>
        </w:trPr>
        <w:tc>
          <w:tcPr>
            <w:tcW w:w="943" w:type="dxa"/>
          </w:tcPr>
          <w:p w14:paraId="25A6A6C0" w14:textId="77777777" w:rsidR="009F07BB" w:rsidRPr="00B256C8" w:rsidRDefault="009F07BB" w:rsidP="00532556">
            <w:pPr>
              <w:spacing w:line="276" w:lineRule="auto"/>
              <w:rPr>
                <w:color w:val="000000" w:themeColor="text1"/>
              </w:rPr>
            </w:pPr>
            <w:r w:rsidRPr="00B256C8">
              <w:rPr>
                <w:color w:val="000000" w:themeColor="text1"/>
              </w:rPr>
              <w:t>Male</w:t>
            </w:r>
          </w:p>
        </w:tc>
        <w:tc>
          <w:tcPr>
            <w:tcW w:w="496" w:type="dxa"/>
          </w:tcPr>
          <w:p w14:paraId="0557EAF8" w14:textId="77777777" w:rsidR="009F07BB" w:rsidRPr="00B256C8" w:rsidRDefault="009F07BB" w:rsidP="00532556">
            <w:pPr>
              <w:spacing w:line="276" w:lineRule="auto"/>
              <w:jc w:val="center"/>
              <w:rPr>
                <w:color w:val="000000" w:themeColor="text1"/>
              </w:rPr>
            </w:pPr>
            <w:r w:rsidRPr="00B256C8">
              <w:rPr>
                <w:color w:val="000000" w:themeColor="text1"/>
              </w:rPr>
              <w:t>27</w:t>
            </w:r>
          </w:p>
        </w:tc>
        <w:tc>
          <w:tcPr>
            <w:tcW w:w="586" w:type="dxa"/>
          </w:tcPr>
          <w:p w14:paraId="18DDF00E" w14:textId="77777777" w:rsidR="009F07BB" w:rsidRPr="00B256C8" w:rsidRDefault="009F07BB" w:rsidP="00532556">
            <w:pPr>
              <w:spacing w:line="276" w:lineRule="auto"/>
              <w:jc w:val="center"/>
              <w:rPr>
                <w:color w:val="000000" w:themeColor="text1"/>
              </w:rPr>
            </w:pPr>
            <w:r w:rsidRPr="00B256C8">
              <w:rPr>
                <w:color w:val="000000" w:themeColor="text1"/>
              </w:rPr>
              <w:t>6</w:t>
            </w:r>
          </w:p>
        </w:tc>
        <w:tc>
          <w:tcPr>
            <w:tcW w:w="855" w:type="dxa"/>
          </w:tcPr>
          <w:p w14:paraId="154F1943" w14:textId="77777777" w:rsidR="009F07BB" w:rsidRPr="00B256C8" w:rsidRDefault="009F07BB" w:rsidP="00532556">
            <w:pPr>
              <w:spacing w:line="276" w:lineRule="auto"/>
              <w:jc w:val="center"/>
              <w:rPr>
                <w:color w:val="000000" w:themeColor="text1"/>
              </w:rPr>
            </w:pPr>
            <w:r w:rsidRPr="00B256C8">
              <w:rPr>
                <w:color w:val="000000" w:themeColor="text1"/>
              </w:rPr>
              <w:t>6.9</w:t>
            </w:r>
            <w:r>
              <w:rPr>
                <w:color w:val="000000" w:themeColor="text1"/>
              </w:rPr>
              <w:t>6</w:t>
            </w:r>
            <w:r w:rsidRPr="00B256C8">
              <w:rPr>
                <w:color w:val="000000" w:themeColor="text1"/>
              </w:rPr>
              <w:t xml:space="preserve"> </w:t>
            </w:r>
            <w:r w:rsidRPr="00B256C8">
              <w:rPr>
                <w:color w:val="000000" w:themeColor="text1"/>
                <w:shd w:val="clear" w:color="auto" w:fill="FFFFFF"/>
              </w:rPr>
              <w:t>±</w:t>
            </w:r>
            <w:r w:rsidRPr="00B256C8">
              <w:rPr>
                <w:color w:val="000000" w:themeColor="text1"/>
              </w:rPr>
              <w:t>1.25</w:t>
            </w:r>
          </w:p>
        </w:tc>
        <w:tc>
          <w:tcPr>
            <w:tcW w:w="859" w:type="dxa"/>
          </w:tcPr>
          <w:p w14:paraId="1688E075" w14:textId="77777777" w:rsidR="009F07BB" w:rsidRPr="00B256C8" w:rsidRDefault="009F07BB" w:rsidP="00532556">
            <w:pPr>
              <w:spacing w:line="276" w:lineRule="auto"/>
              <w:jc w:val="center"/>
              <w:rPr>
                <w:color w:val="000000" w:themeColor="text1"/>
              </w:rPr>
            </w:pPr>
            <w:r w:rsidRPr="00B256C8">
              <w:rPr>
                <w:color w:val="000000" w:themeColor="text1"/>
              </w:rPr>
              <w:t>10.36</w:t>
            </w:r>
          </w:p>
          <w:p w14:paraId="1C179610"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0.56</w:t>
            </w:r>
          </w:p>
        </w:tc>
        <w:tc>
          <w:tcPr>
            <w:tcW w:w="509" w:type="dxa"/>
          </w:tcPr>
          <w:p w14:paraId="4FE4A812" w14:textId="77777777" w:rsidR="009F07BB" w:rsidRPr="00B256C8" w:rsidRDefault="009F07BB" w:rsidP="00532556">
            <w:pPr>
              <w:spacing w:line="276" w:lineRule="auto"/>
              <w:jc w:val="center"/>
              <w:rPr>
                <w:color w:val="000000" w:themeColor="text1"/>
              </w:rPr>
            </w:pPr>
            <w:r w:rsidRPr="00B256C8">
              <w:rPr>
                <w:color w:val="000000" w:themeColor="text1"/>
              </w:rPr>
              <w:t>8</w:t>
            </w:r>
          </w:p>
        </w:tc>
        <w:tc>
          <w:tcPr>
            <w:tcW w:w="602" w:type="dxa"/>
          </w:tcPr>
          <w:p w14:paraId="1210A697" w14:textId="77777777" w:rsidR="009F07BB" w:rsidRPr="00B256C8" w:rsidRDefault="009F07BB" w:rsidP="00532556">
            <w:pPr>
              <w:spacing w:line="276" w:lineRule="auto"/>
              <w:jc w:val="center"/>
              <w:rPr>
                <w:color w:val="000000" w:themeColor="text1"/>
              </w:rPr>
            </w:pPr>
            <w:r w:rsidRPr="00B256C8">
              <w:rPr>
                <w:color w:val="000000" w:themeColor="text1"/>
              </w:rPr>
              <w:t>18</w:t>
            </w:r>
          </w:p>
        </w:tc>
        <w:tc>
          <w:tcPr>
            <w:tcW w:w="509" w:type="dxa"/>
          </w:tcPr>
          <w:p w14:paraId="23D39F7C" w14:textId="77777777" w:rsidR="009F07BB" w:rsidRPr="00B256C8" w:rsidRDefault="009F07BB" w:rsidP="00532556">
            <w:pPr>
              <w:spacing w:line="276" w:lineRule="auto"/>
              <w:jc w:val="center"/>
              <w:rPr>
                <w:color w:val="000000" w:themeColor="text1"/>
              </w:rPr>
            </w:pPr>
            <w:r w:rsidRPr="00B256C8">
              <w:rPr>
                <w:color w:val="000000" w:themeColor="text1"/>
              </w:rPr>
              <w:t>1</w:t>
            </w:r>
          </w:p>
        </w:tc>
        <w:tc>
          <w:tcPr>
            <w:tcW w:w="526" w:type="dxa"/>
          </w:tcPr>
          <w:p w14:paraId="089A2D78" w14:textId="77777777" w:rsidR="009F07BB" w:rsidRPr="00B256C8" w:rsidRDefault="009F07BB" w:rsidP="00532556">
            <w:pPr>
              <w:spacing w:line="276" w:lineRule="auto"/>
              <w:jc w:val="center"/>
              <w:rPr>
                <w:color w:val="000000" w:themeColor="text1"/>
              </w:rPr>
            </w:pPr>
            <w:r w:rsidRPr="00B256C8">
              <w:rPr>
                <w:color w:val="000000" w:themeColor="text1"/>
              </w:rPr>
              <w:t>0</w:t>
            </w:r>
          </w:p>
        </w:tc>
        <w:tc>
          <w:tcPr>
            <w:tcW w:w="781" w:type="dxa"/>
          </w:tcPr>
          <w:p w14:paraId="1DCF0AC5" w14:textId="77777777" w:rsidR="009F07BB" w:rsidRPr="00B256C8" w:rsidRDefault="009F07BB" w:rsidP="00532556">
            <w:pPr>
              <w:spacing w:line="276" w:lineRule="auto"/>
              <w:jc w:val="center"/>
              <w:rPr>
                <w:color w:val="000000" w:themeColor="text1"/>
              </w:rPr>
            </w:pPr>
            <w:r w:rsidRPr="00B256C8">
              <w:rPr>
                <w:color w:val="000000" w:themeColor="text1"/>
              </w:rPr>
              <w:t>5.56</w:t>
            </w:r>
          </w:p>
          <w:p w14:paraId="2ADCE78F"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2.60</w:t>
            </w:r>
          </w:p>
        </w:tc>
        <w:tc>
          <w:tcPr>
            <w:tcW w:w="813" w:type="dxa"/>
          </w:tcPr>
          <w:p w14:paraId="77AC1111" w14:textId="77777777" w:rsidR="009F07BB" w:rsidRPr="00B256C8" w:rsidRDefault="009F07BB" w:rsidP="00532556">
            <w:pPr>
              <w:spacing w:line="276" w:lineRule="auto"/>
              <w:jc w:val="center"/>
              <w:rPr>
                <w:color w:val="000000" w:themeColor="text1"/>
              </w:rPr>
            </w:pPr>
            <w:r w:rsidRPr="00B256C8">
              <w:rPr>
                <w:color w:val="000000" w:themeColor="text1"/>
              </w:rPr>
              <w:t>6.3</w:t>
            </w:r>
            <w:r>
              <w:rPr>
                <w:color w:val="000000" w:themeColor="text1"/>
              </w:rPr>
              <w:t>7</w:t>
            </w:r>
          </w:p>
          <w:p w14:paraId="1F17BB41"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0.92</w:t>
            </w:r>
          </w:p>
        </w:tc>
        <w:tc>
          <w:tcPr>
            <w:tcW w:w="813" w:type="dxa"/>
          </w:tcPr>
          <w:p w14:paraId="6C776CAD" w14:textId="77777777" w:rsidR="009F07BB" w:rsidRPr="00B256C8" w:rsidRDefault="009F07BB" w:rsidP="00532556">
            <w:pPr>
              <w:spacing w:line="276" w:lineRule="auto"/>
              <w:jc w:val="center"/>
              <w:rPr>
                <w:color w:val="000000" w:themeColor="text1"/>
              </w:rPr>
            </w:pPr>
            <w:r w:rsidRPr="00B256C8">
              <w:rPr>
                <w:color w:val="000000" w:themeColor="text1"/>
              </w:rPr>
              <w:t>2.3</w:t>
            </w:r>
            <w:r>
              <w:rPr>
                <w:color w:val="000000" w:themeColor="text1"/>
              </w:rPr>
              <w:t>2</w:t>
            </w:r>
          </w:p>
          <w:p w14:paraId="3C910E4D" w14:textId="77777777" w:rsidR="009F07BB" w:rsidRPr="00B256C8" w:rsidRDefault="009F07BB" w:rsidP="00532556">
            <w:pPr>
              <w:spacing w:line="276" w:lineRule="auto"/>
              <w:jc w:val="center"/>
              <w:rPr>
                <w:color w:val="000000" w:themeColor="text1"/>
              </w:rPr>
            </w:pPr>
            <w:r w:rsidRPr="00B256C8">
              <w:rPr>
                <w:color w:val="000000" w:themeColor="text1"/>
                <w:shd w:val="clear" w:color="auto" w:fill="FFFFFF"/>
              </w:rPr>
              <w:t>±</w:t>
            </w:r>
            <w:r w:rsidRPr="00B256C8">
              <w:rPr>
                <w:color w:val="000000" w:themeColor="text1"/>
              </w:rPr>
              <w:t>0.67</w:t>
            </w:r>
          </w:p>
        </w:tc>
        <w:tc>
          <w:tcPr>
            <w:tcW w:w="1070" w:type="dxa"/>
            <w:gridSpan w:val="2"/>
          </w:tcPr>
          <w:p w14:paraId="23DE77B7" w14:textId="77777777" w:rsidR="009F07BB" w:rsidRPr="00B256C8" w:rsidRDefault="009F07BB" w:rsidP="00532556">
            <w:pPr>
              <w:spacing w:line="276" w:lineRule="auto"/>
              <w:jc w:val="center"/>
              <w:rPr>
                <w:color w:val="000000" w:themeColor="text1"/>
              </w:rPr>
            </w:pPr>
            <w:r w:rsidRPr="00B256C8">
              <w:rPr>
                <w:color w:val="000000" w:themeColor="text1"/>
              </w:rPr>
              <w:t xml:space="preserve">68.91 </w:t>
            </w:r>
            <w:r w:rsidRPr="00B256C8">
              <w:rPr>
                <w:color w:val="000000" w:themeColor="text1"/>
                <w:shd w:val="clear" w:color="auto" w:fill="FFFFFF"/>
              </w:rPr>
              <w:t>±</w:t>
            </w:r>
            <w:r w:rsidRPr="00B256C8">
              <w:rPr>
                <w:color w:val="000000" w:themeColor="text1"/>
              </w:rPr>
              <w:t>25.69</w:t>
            </w:r>
          </w:p>
        </w:tc>
        <w:tc>
          <w:tcPr>
            <w:tcW w:w="865" w:type="dxa"/>
          </w:tcPr>
          <w:p w14:paraId="28A375DB" w14:textId="196F56A6" w:rsidR="009F07BB" w:rsidRPr="00B256C8" w:rsidRDefault="009F07BB" w:rsidP="00532556">
            <w:pPr>
              <w:spacing w:line="276" w:lineRule="auto"/>
              <w:jc w:val="center"/>
              <w:rPr>
                <w:color w:val="000000" w:themeColor="text1"/>
              </w:rPr>
            </w:pPr>
            <w:r w:rsidRPr="00B256C8">
              <w:rPr>
                <w:color w:val="000000" w:themeColor="text1"/>
              </w:rPr>
              <w:t>0.9</w:t>
            </w:r>
            <w:r w:rsidR="009028D7">
              <w:rPr>
                <w:color w:val="000000" w:themeColor="text1"/>
              </w:rPr>
              <w:t>5</w:t>
            </w:r>
            <w:r w:rsidRPr="00B256C8">
              <w:rPr>
                <w:color w:val="000000" w:themeColor="text1"/>
              </w:rPr>
              <w:t xml:space="preserve"> </w:t>
            </w:r>
            <w:r w:rsidRPr="00B256C8">
              <w:rPr>
                <w:color w:val="000000" w:themeColor="text1"/>
                <w:shd w:val="clear" w:color="auto" w:fill="FFFFFF"/>
              </w:rPr>
              <w:t>±</w:t>
            </w:r>
            <w:r w:rsidRPr="00B256C8">
              <w:rPr>
                <w:color w:val="000000" w:themeColor="text1"/>
              </w:rPr>
              <w:t>1.01</w:t>
            </w:r>
          </w:p>
        </w:tc>
      </w:tr>
      <w:tr w:rsidR="009F07BB" w:rsidRPr="00B256C8" w14:paraId="106FB500" w14:textId="77777777" w:rsidTr="00AC2126">
        <w:trPr>
          <w:trHeight w:val="97"/>
        </w:trPr>
        <w:tc>
          <w:tcPr>
            <w:tcW w:w="943" w:type="dxa"/>
          </w:tcPr>
          <w:p w14:paraId="22C756FD" w14:textId="77777777" w:rsidR="009F07BB" w:rsidRPr="00B256C8" w:rsidRDefault="009F07BB" w:rsidP="00532556">
            <w:pPr>
              <w:rPr>
                <w:color w:val="000000" w:themeColor="text1"/>
                <w:sz w:val="6"/>
                <w:szCs w:val="6"/>
              </w:rPr>
            </w:pPr>
          </w:p>
        </w:tc>
        <w:tc>
          <w:tcPr>
            <w:tcW w:w="496" w:type="dxa"/>
          </w:tcPr>
          <w:p w14:paraId="5460E32D" w14:textId="77777777" w:rsidR="009F07BB" w:rsidRPr="00B256C8" w:rsidRDefault="009F07BB" w:rsidP="00532556">
            <w:pPr>
              <w:jc w:val="center"/>
              <w:rPr>
                <w:color w:val="000000" w:themeColor="text1"/>
                <w:sz w:val="6"/>
                <w:szCs w:val="6"/>
              </w:rPr>
            </w:pPr>
          </w:p>
        </w:tc>
        <w:tc>
          <w:tcPr>
            <w:tcW w:w="586" w:type="dxa"/>
          </w:tcPr>
          <w:p w14:paraId="23F82930" w14:textId="77777777" w:rsidR="009F07BB" w:rsidRPr="00B256C8" w:rsidRDefault="009F07BB" w:rsidP="00532556">
            <w:pPr>
              <w:jc w:val="center"/>
              <w:rPr>
                <w:color w:val="000000" w:themeColor="text1"/>
                <w:sz w:val="6"/>
                <w:szCs w:val="6"/>
              </w:rPr>
            </w:pPr>
          </w:p>
        </w:tc>
        <w:tc>
          <w:tcPr>
            <w:tcW w:w="855" w:type="dxa"/>
          </w:tcPr>
          <w:p w14:paraId="0250E93D" w14:textId="77777777" w:rsidR="009F07BB" w:rsidRPr="00B256C8" w:rsidRDefault="009F07BB" w:rsidP="00532556">
            <w:pPr>
              <w:jc w:val="center"/>
              <w:rPr>
                <w:color w:val="000000" w:themeColor="text1"/>
                <w:sz w:val="6"/>
                <w:szCs w:val="6"/>
              </w:rPr>
            </w:pPr>
          </w:p>
        </w:tc>
        <w:tc>
          <w:tcPr>
            <w:tcW w:w="859" w:type="dxa"/>
          </w:tcPr>
          <w:p w14:paraId="7510719E" w14:textId="77777777" w:rsidR="009F07BB" w:rsidRPr="00B256C8" w:rsidRDefault="009F07BB" w:rsidP="00532556">
            <w:pPr>
              <w:jc w:val="center"/>
              <w:rPr>
                <w:color w:val="000000" w:themeColor="text1"/>
                <w:sz w:val="6"/>
                <w:szCs w:val="6"/>
              </w:rPr>
            </w:pPr>
          </w:p>
        </w:tc>
        <w:tc>
          <w:tcPr>
            <w:tcW w:w="509" w:type="dxa"/>
          </w:tcPr>
          <w:p w14:paraId="12E3BDE7" w14:textId="77777777" w:rsidR="009F07BB" w:rsidRPr="00B256C8" w:rsidRDefault="009F07BB" w:rsidP="00532556">
            <w:pPr>
              <w:jc w:val="center"/>
              <w:rPr>
                <w:color w:val="000000" w:themeColor="text1"/>
                <w:sz w:val="6"/>
                <w:szCs w:val="6"/>
              </w:rPr>
            </w:pPr>
          </w:p>
        </w:tc>
        <w:tc>
          <w:tcPr>
            <w:tcW w:w="602" w:type="dxa"/>
          </w:tcPr>
          <w:p w14:paraId="45F908EE" w14:textId="77777777" w:rsidR="009F07BB" w:rsidRPr="00B256C8" w:rsidRDefault="009F07BB" w:rsidP="00532556">
            <w:pPr>
              <w:jc w:val="center"/>
              <w:rPr>
                <w:color w:val="000000" w:themeColor="text1"/>
                <w:sz w:val="6"/>
                <w:szCs w:val="6"/>
              </w:rPr>
            </w:pPr>
          </w:p>
        </w:tc>
        <w:tc>
          <w:tcPr>
            <w:tcW w:w="509" w:type="dxa"/>
          </w:tcPr>
          <w:p w14:paraId="7DD86D45" w14:textId="77777777" w:rsidR="009F07BB" w:rsidRPr="00B256C8" w:rsidRDefault="009F07BB" w:rsidP="00532556">
            <w:pPr>
              <w:jc w:val="center"/>
              <w:rPr>
                <w:color w:val="000000" w:themeColor="text1"/>
                <w:sz w:val="6"/>
                <w:szCs w:val="6"/>
              </w:rPr>
            </w:pPr>
          </w:p>
        </w:tc>
        <w:tc>
          <w:tcPr>
            <w:tcW w:w="526" w:type="dxa"/>
          </w:tcPr>
          <w:p w14:paraId="72E4F5F6" w14:textId="77777777" w:rsidR="009F07BB" w:rsidRPr="00B256C8" w:rsidRDefault="009F07BB" w:rsidP="00532556">
            <w:pPr>
              <w:jc w:val="center"/>
              <w:rPr>
                <w:color w:val="000000" w:themeColor="text1"/>
                <w:sz w:val="6"/>
                <w:szCs w:val="6"/>
              </w:rPr>
            </w:pPr>
          </w:p>
        </w:tc>
        <w:tc>
          <w:tcPr>
            <w:tcW w:w="781" w:type="dxa"/>
          </w:tcPr>
          <w:p w14:paraId="54BCCEFC" w14:textId="77777777" w:rsidR="009F07BB" w:rsidRPr="00B256C8" w:rsidRDefault="009F07BB" w:rsidP="00532556">
            <w:pPr>
              <w:jc w:val="center"/>
              <w:rPr>
                <w:color w:val="000000" w:themeColor="text1"/>
                <w:sz w:val="6"/>
                <w:szCs w:val="6"/>
              </w:rPr>
            </w:pPr>
          </w:p>
        </w:tc>
        <w:tc>
          <w:tcPr>
            <w:tcW w:w="813" w:type="dxa"/>
          </w:tcPr>
          <w:p w14:paraId="6A5D73AF" w14:textId="77777777" w:rsidR="009F07BB" w:rsidRPr="00B256C8" w:rsidRDefault="009F07BB" w:rsidP="00532556">
            <w:pPr>
              <w:jc w:val="center"/>
              <w:rPr>
                <w:color w:val="000000" w:themeColor="text1"/>
                <w:sz w:val="6"/>
                <w:szCs w:val="6"/>
              </w:rPr>
            </w:pPr>
          </w:p>
        </w:tc>
        <w:tc>
          <w:tcPr>
            <w:tcW w:w="813" w:type="dxa"/>
          </w:tcPr>
          <w:p w14:paraId="1E2BEE1F" w14:textId="77777777" w:rsidR="009F07BB" w:rsidRPr="00B256C8" w:rsidRDefault="009F07BB" w:rsidP="00532556">
            <w:pPr>
              <w:jc w:val="center"/>
              <w:rPr>
                <w:color w:val="000000" w:themeColor="text1"/>
                <w:sz w:val="6"/>
                <w:szCs w:val="6"/>
              </w:rPr>
            </w:pPr>
          </w:p>
        </w:tc>
        <w:tc>
          <w:tcPr>
            <w:tcW w:w="1070" w:type="dxa"/>
            <w:gridSpan w:val="2"/>
          </w:tcPr>
          <w:p w14:paraId="165AE42B" w14:textId="77777777" w:rsidR="009F07BB" w:rsidRPr="00B256C8" w:rsidRDefault="009F07BB" w:rsidP="00532556">
            <w:pPr>
              <w:jc w:val="center"/>
              <w:rPr>
                <w:color w:val="000000" w:themeColor="text1"/>
                <w:sz w:val="6"/>
                <w:szCs w:val="6"/>
              </w:rPr>
            </w:pPr>
          </w:p>
        </w:tc>
        <w:tc>
          <w:tcPr>
            <w:tcW w:w="865" w:type="dxa"/>
          </w:tcPr>
          <w:p w14:paraId="37F01558" w14:textId="77777777" w:rsidR="009F07BB" w:rsidRPr="00B256C8" w:rsidRDefault="009F07BB" w:rsidP="00532556">
            <w:pPr>
              <w:jc w:val="center"/>
              <w:rPr>
                <w:color w:val="000000" w:themeColor="text1"/>
                <w:sz w:val="6"/>
                <w:szCs w:val="6"/>
              </w:rPr>
            </w:pPr>
          </w:p>
        </w:tc>
      </w:tr>
    </w:tbl>
    <w:p w14:paraId="287F8749" w14:textId="77777777" w:rsidR="009F07BB" w:rsidRPr="00B256C8" w:rsidRDefault="009F07BB" w:rsidP="009F07BB">
      <w:pPr>
        <w:rPr>
          <w:color w:val="000000" w:themeColor="text1"/>
          <w:sz w:val="20"/>
          <w:szCs w:val="20"/>
        </w:rPr>
      </w:pPr>
      <w:r w:rsidRPr="009A1B3A">
        <w:rPr>
          <w:b/>
          <w:bCs/>
          <w:color w:val="000000" w:themeColor="text1"/>
          <w:sz w:val="20"/>
          <w:szCs w:val="20"/>
        </w:rPr>
        <w:t>a</w:t>
      </w:r>
      <w:r w:rsidRPr="00B256C8">
        <w:rPr>
          <w:color w:val="000000" w:themeColor="text1"/>
          <w:sz w:val="20"/>
          <w:szCs w:val="20"/>
        </w:rPr>
        <w:t xml:space="preserve">= </w:t>
      </w:r>
      <w:r>
        <w:rPr>
          <w:color w:val="000000" w:themeColor="text1"/>
          <w:sz w:val="20"/>
          <w:szCs w:val="20"/>
        </w:rPr>
        <w:t>D</w:t>
      </w:r>
      <w:r w:rsidRPr="00B256C8">
        <w:rPr>
          <w:color w:val="000000" w:themeColor="text1"/>
          <w:sz w:val="20"/>
          <w:szCs w:val="20"/>
        </w:rPr>
        <w:t>etermined from longitudinal measurements of height and weight modelled using fixed bandwidth kernel weighted robust 3</w:t>
      </w:r>
      <w:r w:rsidRPr="00B256C8">
        <w:rPr>
          <w:color w:val="000000" w:themeColor="text1"/>
          <w:sz w:val="20"/>
          <w:szCs w:val="20"/>
          <w:vertAlign w:val="superscript"/>
        </w:rPr>
        <w:t>rd</w:t>
      </w:r>
      <w:r w:rsidRPr="00B256C8">
        <w:rPr>
          <w:color w:val="000000" w:themeColor="text1"/>
          <w:sz w:val="20"/>
          <w:szCs w:val="20"/>
        </w:rPr>
        <w:t xml:space="preserve"> degree polynomial regression smoothing. </w:t>
      </w:r>
      <w:r w:rsidRPr="009A1B3A">
        <w:rPr>
          <w:b/>
          <w:bCs/>
          <w:color w:val="000000" w:themeColor="text1"/>
          <w:sz w:val="20"/>
          <w:szCs w:val="20"/>
        </w:rPr>
        <w:t>b</w:t>
      </w:r>
      <w:r w:rsidRPr="00B256C8">
        <w:rPr>
          <w:color w:val="000000" w:themeColor="text1"/>
          <w:sz w:val="20"/>
          <w:szCs w:val="20"/>
        </w:rPr>
        <w:t>=We were unable to assign a maturation stage to two females.</w:t>
      </w:r>
    </w:p>
    <w:p w14:paraId="22F4E539" w14:textId="7FC91D4D" w:rsidR="009F07BB" w:rsidRDefault="009F07BB" w:rsidP="009F07BB">
      <w:pPr>
        <w:spacing w:line="360" w:lineRule="auto"/>
        <w:jc w:val="both"/>
        <w:rPr>
          <w:b/>
          <w:bCs/>
          <w:color w:val="000000" w:themeColor="text1"/>
          <w:sz w:val="26"/>
          <w:szCs w:val="26"/>
        </w:rPr>
      </w:pPr>
    </w:p>
    <w:p w14:paraId="61761B57" w14:textId="6BDD9A78" w:rsidR="00DF6647" w:rsidRDefault="00DF6647" w:rsidP="009F07BB">
      <w:pPr>
        <w:spacing w:line="360" w:lineRule="auto"/>
        <w:jc w:val="both"/>
        <w:rPr>
          <w:b/>
          <w:bCs/>
          <w:color w:val="000000" w:themeColor="text1"/>
          <w:sz w:val="26"/>
          <w:szCs w:val="26"/>
        </w:rPr>
      </w:pPr>
    </w:p>
    <w:p w14:paraId="2F7BDEBD" w14:textId="7CCB9D82" w:rsidR="00DF6647" w:rsidRDefault="00DF6647" w:rsidP="009F07BB">
      <w:pPr>
        <w:spacing w:line="360" w:lineRule="auto"/>
        <w:jc w:val="both"/>
        <w:rPr>
          <w:b/>
          <w:bCs/>
          <w:color w:val="000000" w:themeColor="text1"/>
          <w:sz w:val="26"/>
          <w:szCs w:val="26"/>
        </w:rPr>
      </w:pPr>
    </w:p>
    <w:p w14:paraId="2A667CF0" w14:textId="28A51361" w:rsidR="00DF6647" w:rsidRDefault="00DF6647" w:rsidP="009F07BB">
      <w:pPr>
        <w:spacing w:line="360" w:lineRule="auto"/>
        <w:jc w:val="both"/>
        <w:rPr>
          <w:b/>
          <w:bCs/>
          <w:color w:val="000000" w:themeColor="text1"/>
          <w:sz w:val="26"/>
          <w:szCs w:val="26"/>
        </w:rPr>
      </w:pPr>
    </w:p>
    <w:p w14:paraId="5FE54235" w14:textId="66856B75" w:rsidR="00DF6647" w:rsidRDefault="00DF6647" w:rsidP="009F07BB">
      <w:pPr>
        <w:spacing w:line="360" w:lineRule="auto"/>
        <w:jc w:val="both"/>
        <w:rPr>
          <w:b/>
          <w:bCs/>
          <w:color w:val="000000" w:themeColor="text1"/>
          <w:sz w:val="26"/>
          <w:szCs w:val="26"/>
        </w:rPr>
      </w:pPr>
    </w:p>
    <w:p w14:paraId="27784671" w14:textId="603821A6" w:rsidR="00DF6647" w:rsidRDefault="00DF6647" w:rsidP="009F07BB">
      <w:pPr>
        <w:spacing w:line="360" w:lineRule="auto"/>
        <w:jc w:val="both"/>
        <w:rPr>
          <w:b/>
          <w:bCs/>
          <w:color w:val="000000" w:themeColor="text1"/>
          <w:sz w:val="26"/>
          <w:szCs w:val="26"/>
        </w:rPr>
      </w:pPr>
    </w:p>
    <w:p w14:paraId="646FD5A3" w14:textId="77777777" w:rsidR="00DF6647" w:rsidRPr="00B256C8" w:rsidRDefault="00DF6647" w:rsidP="009F07BB">
      <w:pPr>
        <w:spacing w:line="360" w:lineRule="auto"/>
        <w:jc w:val="both"/>
        <w:rPr>
          <w:b/>
          <w:bCs/>
          <w:color w:val="000000" w:themeColor="text1"/>
          <w:sz w:val="26"/>
          <w:szCs w:val="26"/>
        </w:rPr>
      </w:pPr>
    </w:p>
    <w:p w14:paraId="280A74E1" w14:textId="77777777" w:rsidR="009F07BB" w:rsidRPr="00B256C8" w:rsidRDefault="009F07BB" w:rsidP="009F07BB">
      <w:pPr>
        <w:rPr>
          <w:rFonts w:cstheme="minorHAnsi"/>
          <w:b/>
          <w:bCs/>
          <w:color w:val="000000" w:themeColor="text1"/>
        </w:rPr>
      </w:pPr>
      <w:r w:rsidRPr="00B256C8">
        <w:rPr>
          <w:rFonts w:cstheme="minorHAnsi"/>
          <w:b/>
          <w:bCs/>
          <w:color w:val="000000" w:themeColor="text1"/>
        </w:rPr>
        <w:t xml:space="preserve">Table 2. Regression analyses of log transformed gains in weight and body mass index and their association with log transformed </w:t>
      </w:r>
      <w:proofErr w:type="spellStart"/>
      <w:r w:rsidRPr="00B256C8">
        <w:rPr>
          <w:rFonts w:cstheme="minorHAnsi"/>
          <w:b/>
          <w:bCs/>
          <w:color w:val="000000" w:themeColor="text1"/>
        </w:rPr>
        <w:t>Retzius</w:t>
      </w:r>
      <w:proofErr w:type="spellEnd"/>
      <w:r w:rsidRPr="00B256C8">
        <w:rPr>
          <w:rFonts w:cstheme="minorHAnsi"/>
          <w:b/>
          <w:bCs/>
          <w:color w:val="000000" w:themeColor="text1"/>
        </w:rPr>
        <w:t xml:space="preserve"> periodicity.</w:t>
      </w:r>
    </w:p>
    <w:tbl>
      <w:tblPr>
        <w:tblStyle w:val="TableGrid"/>
        <w:tblpPr w:leftFromText="180" w:rightFromText="180" w:vertAnchor="text" w:tblpY="1"/>
        <w:tblOverlap w:val="never"/>
        <w:tblW w:w="9202" w:type="dxa"/>
        <w:tblLook w:val="04A0" w:firstRow="1" w:lastRow="0" w:firstColumn="1" w:lastColumn="0" w:noHBand="0" w:noVBand="1"/>
      </w:tblPr>
      <w:tblGrid>
        <w:gridCol w:w="970"/>
        <w:gridCol w:w="907"/>
        <w:gridCol w:w="968"/>
        <w:gridCol w:w="1004"/>
        <w:gridCol w:w="224"/>
        <w:gridCol w:w="1276"/>
        <w:gridCol w:w="970"/>
        <w:gridCol w:w="907"/>
        <w:gridCol w:w="968"/>
        <w:gridCol w:w="1008"/>
      </w:tblGrid>
      <w:tr w:rsidR="009F07BB" w:rsidRPr="000D4BBD" w14:paraId="17A2EEEE" w14:textId="77777777" w:rsidTr="00532556">
        <w:trPr>
          <w:trHeight w:val="121"/>
        </w:trPr>
        <w:tc>
          <w:tcPr>
            <w:tcW w:w="4073" w:type="dxa"/>
            <w:gridSpan w:val="5"/>
            <w:tcBorders>
              <w:top w:val="single" w:sz="4" w:space="0" w:color="auto"/>
              <w:left w:val="nil"/>
              <w:bottom w:val="nil"/>
              <w:right w:val="nil"/>
            </w:tcBorders>
          </w:tcPr>
          <w:p w14:paraId="3432A5EB" w14:textId="77777777" w:rsidR="009F07BB" w:rsidRPr="00A3342A" w:rsidRDefault="009F07BB" w:rsidP="00532556">
            <w:pPr>
              <w:jc w:val="center"/>
              <w:rPr>
                <w:rFonts w:cstheme="minorHAnsi"/>
              </w:rPr>
            </w:pPr>
          </w:p>
        </w:tc>
        <w:tc>
          <w:tcPr>
            <w:tcW w:w="5129" w:type="dxa"/>
            <w:gridSpan w:val="5"/>
            <w:tcBorders>
              <w:top w:val="single" w:sz="4" w:space="0" w:color="auto"/>
              <w:left w:val="nil"/>
              <w:bottom w:val="nil"/>
              <w:right w:val="nil"/>
            </w:tcBorders>
          </w:tcPr>
          <w:p w14:paraId="1613FB78" w14:textId="77777777" w:rsidR="009F07BB" w:rsidRPr="00A3342A" w:rsidRDefault="009F07BB" w:rsidP="00532556">
            <w:pPr>
              <w:jc w:val="center"/>
              <w:rPr>
                <w:rFonts w:cstheme="minorHAnsi"/>
              </w:rPr>
            </w:pPr>
            <w:r w:rsidRPr="00A3342A">
              <w:rPr>
                <w:rFonts w:cstheme="minorHAnsi"/>
              </w:rPr>
              <w:t>Quadratic curve</w:t>
            </w:r>
          </w:p>
        </w:tc>
      </w:tr>
      <w:tr w:rsidR="009F07BB" w:rsidRPr="008B5B9A" w14:paraId="709AEEBA" w14:textId="77777777" w:rsidTr="00532556">
        <w:trPr>
          <w:trHeight w:val="91"/>
        </w:trPr>
        <w:tc>
          <w:tcPr>
            <w:tcW w:w="4073" w:type="dxa"/>
            <w:gridSpan w:val="5"/>
            <w:tcBorders>
              <w:top w:val="nil"/>
              <w:left w:val="nil"/>
              <w:bottom w:val="single" w:sz="4" w:space="0" w:color="auto"/>
              <w:right w:val="nil"/>
            </w:tcBorders>
          </w:tcPr>
          <w:p w14:paraId="60B4ED1C" w14:textId="77777777" w:rsidR="009F07BB" w:rsidRPr="00F725C7" w:rsidRDefault="009F07BB" w:rsidP="00532556">
            <w:pPr>
              <w:rPr>
                <w:rFonts w:cstheme="minorHAnsi"/>
              </w:rPr>
            </w:pPr>
            <w:r w:rsidRPr="00F725C7">
              <w:t>RP in days vs:</w:t>
            </w:r>
          </w:p>
        </w:tc>
        <w:tc>
          <w:tcPr>
            <w:tcW w:w="1276" w:type="dxa"/>
            <w:tcBorders>
              <w:top w:val="nil"/>
              <w:left w:val="nil"/>
              <w:bottom w:val="single" w:sz="4" w:space="0" w:color="auto"/>
              <w:right w:val="nil"/>
            </w:tcBorders>
          </w:tcPr>
          <w:p w14:paraId="17F94469" w14:textId="77777777" w:rsidR="009F07BB" w:rsidRPr="00A3342A" w:rsidRDefault="009F07BB" w:rsidP="00532556">
            <w:pPr>
              <w:jc w:val="center"/>
              <w:rPr>
                <w:rFonts w:cstheme="minorHAnsi"/>
              </w:rPr>
            </w:pPr>
            <w:r w:rsidRPr="00A3342A">
              <w:rPr>
                <w:rFonts w:cstheme="minorHAnsi"/>
              </w:rPr>
              <w:t>Intercept</w:t>
            </w:r>
          </w:p>
        </w:tc>
        <w:tc>
          <w:tcPr>
            <w:tcW w:w="970" w:type="dxa"/>
            <w:tcBorders>
              <w:top w:val="nil"/>
              <w:left w:val="nil"/>
              <w:bottom w:val="single" w:sz="4" w:space="0" w:color="auto"/>
              <w:right w:val="nil"/>
            </w:tcBorders>
          </w:tcPr>
          <w:p w14:paraId="50C21F93" w14:textId="77777777" w:rsidR="009F07BB" w:rsidRPr="00A3342A" w:rsidRDefault="009F07BB" w:rsidP="00532556">
            <w:pPr>
              <w:jc w:val="center"/>
              <w:rPr>
                <w:rFonts w:cstheme="minorHAnsi"/>
              </w:rPr>
            </w:pPr>
            <w:r w:rsidRPr="00A3342A">
              <w:rPr>
                <w:rFonts w:cstheme="minorHAnsi"/>
              </w:rPr>
              <w:t>Slope</w:t>
            </w:r>
          </w:p>
        </w:tc>
        <w:tc>
          <w:tcPr>
            <w:tcW w:w="907" w:type="dxa"/>
            <w:tcBorders>
              <w:top w:val="nil"/>
              <w:left w:val="nil"/>
              <w:bottom w:val="single" w:sz="4" w:space="0" w:color="auto"/>
              <w:right w:val="nil"/>
            </w:tcBorders>
          </w:tcPr>
          <w:p w14:paraId="4242236B" w14:textId="77777777" w:rsidR="009F07BB" w:rsidRPr="00A3342A" w:rsidRDefault="009F07BB" w:rsidP="00532556">
            <w:pPr>
              <w:jc w:val="center"/>
              <w:rPr>
                <w:rFonts w:cstheme="minorHAnsi"/>
              </w:rPr>
            </w:pPr>
            <w:r w:rsidRPr="00A3342A">
              <w:rPr>
                <w:rFonts w:cstheme="minorHAnsi"/>
              </w:rPr>
              <w:t>r</w:t>
            </w:r>
          </w:p>
        </w:tc>
        <w:tc>
          <w:tcPr>
            <w:tcW w:w="968" w:type="dxa"/>
            <w:tcBorders>
              <w:top w:val="nil"/>
              <w:left w:val="nil"/>
              <w:bottom w:val="single" w:sz="4" w:space="0" w:color="auto"/>
              <w:right w:val="nil"/>
            </w:tcBorders>
          </w:tcPr>
          <w:p w14:paraId="7E55919D" w14:textId="77777777" w:rsidR="009F07BB" w:rsidRPr="00A3342A" w:rsidRDefault="009F07BB" w:rsidP="00532556">
            <w:pPr>
              <w:jc w:val="center"/>
              <w:rPr>
                <w:rFonts w:cstheme="minorHAnsi"/>
              </w:rPr>
            </w:pPr>
            <w:r w:rsidRPr="00A3342A">
              <w:rPr>
                <w:rFonts w:cstheme="minorHAnsi"/>
              </w:rPr>
              <w:t>r</w:t>
            </w:r>
            <w:r w:rsidRPr="00A3342A">
              <w:rPr>
                <w:rFonts w:cstheme="minorHAnsi"/>
                <w:vertAlign w:val="superscript"/>
              </w:rPr>
              <w:t>2</w:t>
            </w:r>
          </w:p>
        </w:tc>
        <w:tc>
          <w:tcPr>
            <w:tcW w:w="1008" w:type="dxa"/>
            <w:tcBorders>
              <w:top w:val="nil"/>
              <w:left w:val="nil"/>
              <w:bottom w:val="single" w:sz="4" w:space="0" w:color="auto"/>
              <w:right w:val="nil"/>
            </w:tcBorders>
          </w:tcPr>
          <w:p w14:paraId="33C03AC2" w14:textId="77777777" w:rsidR="009F07BB" w:rsidRPr="00A3342A" w:rsidRDefault="009F07BB" w:rsidP="00532556">
            <w:pPr>
              <w:jc w:val="center"/>
              <w:rPr>
                <w:rFonts w:cstheme="minorHAnsi"/>
                <w:i/>
                <w:iCs/>
              </w:rPr>
            </w:pPr>
            <w:r w:rsidRPr="00A3342A">
              <w:rPr>
                <w:rFonts w:cstheme="minorHAnsi"/>
                <w:i/>
                <w:iCs/>
              </w:rPr>
              <w:t>p</w:t>
            </w:r>
          </w:p>
        </w:tc>
      </w:tr>
      <w:tr w:rsidR="009F07BB" w:rsidRPr="003B6B85" w14:paraId="129F9E29" w14:textId="77777777" w:rsidTr="00532556">
        <w:trPr>
          <w:gridAfter w:val="6"/>
          <w:wAfter w:w="5353" w:type="dxa"/>
          <w:trHeight w:val="67"/>
        </w:trPr>
        <w:tc>
          <w:tcPr>
            <w:tcW w:w="970" w:type="dxa"/>
            <w:tcBorders>
              <w:top w:val="single" w:sz="4" w:space="0" w:color="auto"/>
              <w:left w:val="nil"/>
              <w:bottom w:val="nil"/>
              <w:right w:val="nil"/>
            </w:tcBorders>
          </w:tcPr>
          <w:p w14:paraId="02C55600" w14:textId="77777777" w:rsidR="009F07BB" w:rsidRPr="001B3718" w:rsidRDefault="009F07BB" w:rsidP="00532556">
            <w:pPr>
              <w:rPr>
                <w:rFonts w:cstheme="minorHAnsi"/>
                <w:sz w:val="12"/>
                <w:szCs w:val="12"/>
              </w:rPr>
            </w:pPr>
          </w:p>
        </w:tc>
        <w:tc>
          <w:tcPr>
            <w:tcW w:w="907" w:type="dxa"/>
            <w:tcBorders>
              <w:top w:val="single" w:sz="4" w:space="0" w:color="auto"/>
              <w:left w:val="nil"/>
              <w:bottom w:val="nil"/>
              <w:right w:val="nil"/>
            </w:tcBorders>
          </w:tcPr>
          <w:p w14:paraId="6780FE5C" w14:textId="77777777" w:rsidR="009F07BB" w:rsidRPr="003B6B85" w:rsidRDefault="009F07BB" w:rsidP="00532556">
            <w:pPr>
              <w:rPr>
                <w:rFonts w:cstheme="minorHAnsi"/>
                <w:sz w:val="8"/>
                <w:szCs w:val="8"/>
              </w:rPr>
            </w:pPr>
          </w:p>
        </w:tc>
        <w:tc>
          <w:tcPr>
            <w:tcW w:w="968" w:type="dxa"/>
            <w:tcBorders>
              <w:top w:val="single" w:sz="4" w:space="0" w:color="auto"/>
              <w:left w:val="nil"/>
              <w:bottom w:val="nil"/>
              <w:right w:val="nil"/>
            </w:tcBorders>
          </w:tcPr>
          <w:p w14:paraId="5AAB10C0" w14:textId="77777777" w:rsidR="009F07BB" w:rsidRPr="003B6B85" w:rsidRDefault="009F07BB" w:rsidP="00532556">
            <w:pPr>
              <w:rPr>
                <w:rFonts w:cstheme="minorHAnsi"/>
                <w:sz w:val="8"/>
                <w:szCs w:val="8"/>
              </w:rPr>
            </w:pPr>
          </w:p>
        </w:tc>
        <w:tc>
          <w:tcPr>
            <w:tcW w:w="1004" w:type="dxa"/>
            <w:tcBorders>
              <w:top w:val="single" w:sz="4" w:space="0" w:color="auto"/>
              <w:left w:val="nil"/>
              <w:bottom w:val="nil"/>
              <w:right w:val="nil"/>
            </w:tcBorders>
          </w:tcPr>
          <w:p w14:paraId="6FAE73DB" w14:textId="77777777" w:rsidR="009F07BB" w:rsidRPr="003B6B85" w:rsidRDefault="009F07BB" w:rsidP="00532556">
            <w:pPr>
              <w:rPr>
                <w:rFonts w:cstheme="minorHAnsi"/>
                <w:b/>
                <w:bCs/>
                <w:sz w:val="8"/>
                <w:szCs w:val="8"/>
              </w:rPr>
            </w:pPr>
          </w:p>
        </w:tc>
      </w:tr>
      <w:tr w:rsidR="009F07BB" w:rsidRPr="000D4BBD" w14:paraId="5112B151" w14:textId="77777777" w:rsidTr="00532556">
        <w:trPr>
          <w:trHeight w:val="144"/>
        </w:trPr>
        <w:tc>
          <w:tcPr>
            <w:tcW w:w="5349" w:type="dxa"/>
            <w:gridSpan w:val="6"/>
            <w:tcBorders>
              <w:top w:val="nil"/>
              <w:left w:val="nil"/>
              <w:bottom w:val="nil"/>
              <w:right w:val="nil"/>
            </w:tcBorders>
            <w:noWrap/>
          </w:tcPr>
          <w:p w14:paraId="10833947" w14:textId="77777777" w:rsidR="009F07BB" w:rsidRPr="00F725C7" w:rsidRDefault="009F07BB" w:rsidP="00532556">
            <w:pPr>
              <w:spacing w:line="280" w:lineRule="exact"/>
            </w:pPr>
            <w:r w:rsidRPr="00F725C7">
              <w:t xml:space="preserve">Total weight gained in kg </w:t>
            </w:r>
          </w:p>
        </w:tc>
        <w:tc>
          <w:tcPr>
            <w:tcW w:w="970" w:type="dxa"/>
            <w:tcBorders>
              <w:top w:val="nil"/>
              <w:left w:val="nil"/>
              <w:bottom w:val="nil"/>
              <w:right w:val="nil"/>
            </w:tcBorders>
            <w:noWrap/>
          </w:tcPr>
          <w:p w14:paraId="15391CFB" w14:textId="77777777" w:rsidR="009F07BB" w:rsidRPr="00A3342A" w:rsidRDefault="009F07BB" w:rsidP="00532556">
            <w:pPr>
              <w:spacing w:line="280" w:lineRule="exact"/>
            </w:pPr>
          </w:p>
        </w:tc>
        <w:tc>
          <w:tcPr>
            <w:tcW w:w="907" w:type="dxa"/>
            <w:tcBorders>
              <w:top w:val="nil"/>
              <w:left w:val="nil"/>
              <w:bottom w:val="nil"/>
              <w:right w:val="nil"/>
            </w:tcBorders>
            <w:noWrap/>
          </w:tcPr>
          <w:p w14:paraId="4B1987E6" w14:textId="77777777" w:rsidR="009F07BB" w:rsidRPr="00A3342A" w:rsidRDefault="009F07BB" w:rsidP="00532556">
            <w:pPr>
              <w:spacing w:line="280" w:lineRule="exact"/>
            </w:pPr>
          </w:p>
        </w:tc>
        <w:tc>
          <w:tcPr>
            <w:tcW w:w="968" w:type="dxa"/>
            <w:tcBorders>
              <w:top w:val="nil"/>
              <w:left w:val="nil"/>
              <w:bottom w:val="nil"/>
              <w:right w:val="nil"/>
            </w:tcBorders>
            <w:noWrap/>
          </w:tcPr>
          <w:p w14:paraId="2D7F5DAB" w14:textId="77777777" w:rsidR="009F07BB" w:rsidRPr="00A3342A" w:rsidRDefault="009F07BB" w:rsidP="00532556">
            <w:pPr>
              <w:spacing w:line="280" w:lineRule="exact"/>
            </w:pPr>
          </w:p>
        </w:tc>
        <w:tc>
          <w:tcPr>
            <w:tcW w:w="1008" w:type="dxa"/>
            <w:tcBorders>
              <w:top w:val="nil"/>
              <w:left w:val="nil"/>
              <w:bottom w:val="nil"/>
              <w:right w:val="nil"/>
            </w:tcBorders>
            <w:noWrap/>
          </w:tcPr>
          <w:p w14:paraId="0A393E2B" w14:textId="77777777" w:rsidR="009F07BB" w:rsidRPr="00A3342A" w:rsidRDefault="009F07BB" w:rsidP="00532556">
            <w:pPr>
              <w:spacing w:line="280" w:lineRule="exact"/>
              <w:rPr>
                <w:b/>
                <w:bCs/>
              </w:rPr>
            </w:pPr>
          </w:p>
        </w:tc>
      </w:tr>
      <w:tr w:rsidR="009F07BB" w:rsidRPr="000D4BBD" w14:paraId="26D9FE13" w14:textId="77777777" w:rsidTr="00532556">
        <w:trPr>
          <w:trHeight w:val="144"/>
        </w:trPr>
        <w:tc>
          <w:tcPr>
            <w:tcW w:w="4073" w:type="dxa"/>
            <w:gridSpan w:val="5"/>
            <w:tcBorders>
              <w:top w:val="nil"/>
              <w:left w:val="nil"/>
              <w:bottom w:val="nil"/>
              <w:right w:val="nil"/>
            </w:tcBorders>
            <w:noWrap/>
          </w:tcPr>
          <w:p w14:paraId="55294505" w14:textId="77777777" w:rsidR="009F07BB" w:rsidRPr="00F725C7" w:rsidRDefault="009F07BB" w:rsidP="00532556">
            <w:pPr>
              <w:spacing w:line="280" w:lineRule="exact"/>
              <w:ind w:left="462"/>
            </w:pPr>
            <w:r>
              <w:t xml:space="preserve">  </w:t>
            </w:r>
            <w:r w:rsidRPr="00772821">
              <w:rPr>
                <w:b/>
                <w:bCs/>
              </w:rPr>
              <w:t xml:space="preserve">Sept 2019 </w:t>
            </w:r>
            <w:r w:rsidRPr="00F725C7">
              <w:t>to Aug 2020</w:t>
            </w:r>
          </w:p>
        </w:tc>
        <w:tc>
          <w:tcPr>
            <w:tcW w:w="1276" w:type="dxa"/>
            <w:tcBorders>
              <w:top w:val="nil"/>
              <w:left w:val="nil"/>
              <w:bottom w:val="nil"/>
              <w:right w:val="nil"/>
            </w:tcBorders>
            <w:noWrap/>
          </w:tcPr>
          <w:p w14:paraId="2B49AD6E" w14:textId="77777777" w:rsidR="009F07BB" w:rsidRPr="00F725C7" w:rsidRDefault="009F07BB" w:rsidP="00532556">
            <w:pPr>
              <w:spacing w:line="280" w:lineRule="exact"/>
              <w:jc w:val="center"/>
            </w:pPr>
            <w:r w:rsidRPr="00F725C7">
              <w:t>-5.530</w:t>
            </w:r>
          </w:p>
        </w:tc>
        <w:tc>
          <w:tcPr>
            <w:tcW w:w="970" w:type="dxa"/>
            <w:tcBorders>
              <w:top w:val="nil"/>
              <w:left w:val="nil"/>
              <w:bottom w:val="nil"/>
              <w:right w:val="nil"/>
            </w:tcBorders>
            <w:noWrap/>
          </w:tcPr>
          <w:p w14:paraId="448F1BEB" w14:textId="77777777" w:rsidR="009F07BB" w:rsidRPr="00A3342A" w:rsidRDefault="009F07BB" w:rsidP="00532556">
            <w:pPr>
              <w:spacing w:line="280" w:lineRule="exact"/>
              <w:jc w:val="center"/>
            </w:pPr>
            <w:r w:rsidRPr="00A3342A">
              <w:t>7.593</w:t>
            </w:r>
          </w:p>
        </w:tc>
        <w:tc>
          <w:tcPr>
            <w:tcW w:w="907" w:type="dxa"/>
            <w:tcBorders>
              <w:top w:val="nil"/>
              <w:left w:val="nil"/>
              <w:bottom w:val="nil"/>
              <w:right w:val="nil"/>
            </w:tcBorders>
            <w:noWrap/>
          </w:tcPr>
          <w:p w14:paraId="412EE0BC" w14:textId="77777777" w:rsidR="009F07BB" w:rsidRPr="00A3342A" w:rsidRDefault="009F07BB" w:rsidP="00532556">
            <w:pPr>
              <w:spacing w:line="280" w:lineRule="exact"/>
              <w:jc w:val="center"/>
            </w:pPr>
            <w:r w:rsidRPr="00A3342A">
              <w:t>0.492</w:t>
            </w:r>
          </w:p>
        </w:tc>
        <w:tc>
          <w:tcPr>
            <w:tcW w:w="968" w:type="dxa"/>
            <w:tcBorders>
              <w:top w:val="nil"/>
              <w:left w:val="nil"/>
              <w:bottom w:val="nil"/>
              <w:right w:val="nil"/>
            </w:tcBorders>
            <w:noWrap/>
          </w:tcPr>
          <w:p w14:paraId="3E706862" w14:textId="77777777" w:rsidR="009F07BB" w:rsidRPr="00A3342A" w:rsidRDefault="009F07BB" w:rsidP="00532556">
            <w:pPr>
              <w:spacing w:line="280" w:lineRule="exact"/>
              <w:jc w:val="center"/>
            </w:pPr>
            <w:r w:rsidRPr="00A3342A">
              <w:t>0.243</w:t>
            </w:r>
          </w:p>
        </w:tc>
        <w:tc>
          <w:tcPr>
            <w:tcW w:w="1008" w:type="dxa"/>
            <w:tcBorders>
              <w:top w:val="nil"/>
              <w:left w:val="nil"/>
              <w:bottom w:val="nil"/>
              <w:right w:val="nil"/>
            </w:tcBorders>
            <w:noWrap/>
          </w:tcPr>
          <w:p w14:paraId="79615A81" w14:textId="4F3F1BA7" w:rsidR="009F07BB" w:rsidRPr="004058F4" w:rsidRDefault="009F07BB" w:rsidP="00532556">
            <w:pPr>
              <w:spacing w:line="280" w:lineRule="exact"/>
              <w:jc w:val="center"/>
            </w:pPr>
            <w:r w:rsidRPr="004058F4">
              <w:t>0.012</w:t>
            </w:r>
            <w:r w:rsidR="00023CA8">
              <w:t>*</w:t>
            </w:r>
          </w:p>
        </w:tc>
      </w:tr>
      <w:tr w:rsidR="009F07BB" w:rsidRPr="00F5351F" w14:paraId="5F3F920D" w14:textId="77777777" w:rsidTr="00532556">
        <w:trPr>
          <w:trHeight w:val="144"/>
        </w:trPr>
        <w:tc>
          <w:tcPr>
            <w:tcW w:w="4073" w:type="dxa"/>
            <w:gridSpan w:val="5"/>
            <w:tcBorders>
              <w:top w:val="nil"/>
              <w:left w:val="nil"/>
              <w:bottom w:val="nil"/>
              <w:right w:val="nil"/>
            </w:tcBorders>
            <w:noWrap/>
          </w:tcPr>
          <w:p w14:paraId="13F4F872" w14:textId="77777777" w:rsidR="009F07BB" w:rsidRPr="00A50C28" w:rsidRDefault="009F07BB" w:rsidP="00532556">
            <w:pPr>
              <w:spacing w:line="280" w:lineRule="exact"/>
              <w:ind w:left="1599" w:hanging="1137"/>
            </w:pPr>
            <w:r w:rsidRPr="00A50C28">
              <w:t xml:space="preserve">                    to Sep 2020</w:t>
            </w:r>
          </w:p>
        </w:tc>
        <w:tc>
          <w:tcPr>
            <w:tcW w:w="1276" w:type="dxa"/>
            <w:tcBorders>
              <w:top w:val="nil"/>
              <w:left w:val="nil"/>
              <w:bottom w:val="nil"/>
              <w:right w:val="nil"/>
            </w:tcBorders>
            <w:noWrap/>
          </w:tcPr>
          <w:p w14:paraId="37EBE337" w14:textId="77777777" w:rsidR="009F07BB" w:rsidRPr="00A50C28" w:rsidRDefault="009F07BB" w:rsidP="00532556">
            <w:pPr>
              <w:spacing w:line="280" w:lineRule="exact"/>
              <w:jc w:val="center"/>
            </w:pPr>
            <w:r w:rsidRPr="00A50C28">
              <w:t>0.721</w:t>
            </w:r>
          </w:p>
        </w:tc>
        <w:tc>
          <w:tcPr>
            <w:tcW w:w="970" w:type="dxa"/>
            <w:tcBorders>
              <w:top w:val="nil"/>
              <w:left w:val="nil"/>
              <w:bottom w:val="nil"/>
              <w:right w:val="nil"/>
            </w:tcBorders>
            <w:noWrap/>
          </w:tcPr>
          <w:p w14:paraId="6F78787D" w14:textId="77777777" w:rsidR="009F07BB" w:rsidRPr="00A50C28" w:rsidRDefault="009F07BB" w:rsidP="00532556">
            <w:pPr>
              <w:spacing w:line="280" w:lineRule="exact"/>
              <w:jc w:val="center"/>
            </w:pPr>
            <w:r w:rsidRPr="00A50C28">
              <w:t>-1.474</w:t>
            </w:r>
          </w:p>
        </w:tc>
        <w:tc>
          <w:tcPr>
            <w:tcW w:w="907" w:type="dxa"/>
            <w:tcBorders>
              <w:top w:val="nil"/>
              <w:left w:val="nil"/>
              <w:bottom w:val="nil"/>
              <w:right w:val="nil"/>
            </w:tcBorders>
            <w:noWrap/>
          </w:tcPr>
          <w:p w14:paraId="7BB3467F" w14:textId="77777777" w:rsidR="009F07BB" w:rsidRPr="00A50C28" w:rsidRDefault="009F07BB" w:rsidP="00532556">
            <w:pPr>
              <w:spacing w:line="280" w:lineRule="exact"/>
              <w:jc w:val="center"/>
            </w:pPr>
            <w:r w:rsidRPr="00A50C28">
              <w:t>0.498</w:t>
            </w:r>
          </w:p>
        </w:tc>
        <w:tc>
          <w:tcPr>
            <w:tcW w:w="968" w:type="dxa"/>
            <w:tcBorders>
              <w:top w:val="nil"/>
              <w:left w:val="nil"/>
              <w:bottom w:val="nil"/>
              <w:right w:val="nil"/>
            </w:tcBorders>
            <w:noWrap/>
          </w:tcPr>
          <w:p w14:paraId="27A47657" w14:textId="77777777" w:rsidR="009F07BB" w:rsidRPr="00A50C28" w:rsidRDefault="009F07BB" w:rsidP="00532556">
            <w:pPr>
              <w:spacing w:line="280" w:lineRule="exact"/>
              <w:jc w:val="center"/>
            </w:pPr>
            <w:r w:rsidRPr="00A50C28">
              <w:t>0.248</w:t>
            </w:r>
          </w:p>
        </w:tc>
        <w:tc>
          <w:tcPr>
            <w:tcW w:w="1008" w:type="dxa"/>
            <w:tcBorders>
              <w:top w:val="nil"/>
              <w:left w:val="nil"/>
              <w:bottom w:val="nil"/>
              <w:right w:val="nil"/>
            </w:tcBorders>
            <w:noWrap/>
          </w:tcPr>
          <w:p w14:paraId="6B5CB95A" w14:textId="77777777" w:rsidR="009F07BB" w:rsidRPr="00A50C28" w:rsidRDefault="009F07BB" w:rsidP="00532556">
            <w:pPr>
              <w:spacing w:line="280" w:lineRule="exact"/>
              <w:jc w:val="center"/>
            </w:pPr>
            <w:r w:rsidRPr="00A50C28">
              <w:t>0.007*</w:t>
            </w:r>
          </w:p>
        </w:tc>
      </w:tr>
      <w:tr w:rsidR="009F07BB" w:rsidRPr="000D4BBD" w14:paraId="74332B69" w14:textId="77777777" w:rsidTr="00532556">
        <w:trPr>
          <w:trHeight w:val="144"/>
        </w:trPr>
        <w:tc>
          <w:tcPr>
            <w:tcW w:w="4073" w:type="dxa"/>
            <w:gridSpan w:val="5"/>
            <w:tcBorders>
              <w:top w:val="nil"/>
              <w:left w:val="nil"/>
              <w:bottom w:val="nil"/>
              <w:right w:val="nil"/>
            </w:tcBorders>
            <w:noWrap/>
          </w:tcPr>
          <w:p w14:paraId="24D2ED58" w14:textId="77777777" w:rsidR="009F07BB" w:rsidRPr="00A50C28" w:rsidRDefault="009F07BB" w:rsidP="00532556">
            <w:pPr>
              <w:spacing w:line="280" w:lineRule="exact"/>
              <w:ind w:left="462"/>
              <w:rPr>
                <w:b/>
                <w:bCs/>
              </w:rPr>
            </w:pPr>
            <w:r w:rsidRPr="00A50C28">
              <w:rPr>
                <w:b/>
                <w:bCs/>
              </w:rPr>
              <w:t xml:space="preserve">                    to Oct 2020</w:t>
            </w:r>
            <w:r w:rsidRPr="00A50C28">
              <w:rPr>
                <w:b/>
                <w:bCs/>
                <w:vertAlign w:val="superscript"/>
              </w:rPr>
              <w:t>a</w:t>
            </w:r>
          </w:p>
        </w:tc>
        <w:tc>
          <w:tcPr>
            <w:tcW w:w="1276" w:type="dxa"/>
            <w:tcBorders>
              <w:top w:val="nil"/>
              <w:left w:val="nil"/>
              <w:bottom w:val="nil"/>
              <w:right w:val="nil"/>
            </w:tcBorders>
            <w:noWrap/>
          </w:tcPr>
          <w:p w14:paraId="4AE7FCAB" w14:textId="77777777" w:rsidR="009F07BB" w:rsidRPr="00A50C28" w:rsidRDefault="009F07BB" w:rsidP="00532556">
            <w:pPr>
              <w:spacing w:line="280" w:lineRule="exact"/>
              <w:jc w:val="center"/>
              <w:rPr>
                <w:b/>
                <w:bCs/>
              </w:rPr>
            </w:pPr>
            <w:r w:rsidRPr="00A50C28">
              <w:rPr>
                <w:b/>
                <w:bCs/>
              </w:rPr>
              <w:t>-2.876</w:t>
            </w:r>
          </w:p>
        </w:tc>
        <w:tc>
          <w:tcPr>
            <w:tcW w:w="970" w:type="dxa"/>
            <w:tcBorders>
              <w:top w:val="nil"/>
              <w:left w:val="nil"/>
              <w:bottom w:val="nil"/>
              <w:right w:val="nil"/>
            </w:tcBorders>
            <w:noWrap/>
          </w:tcPr>
          <w:p w14:paraId="40D512B3" w14:textId="77777777" w:rsidR="009F07BB" w:rsidRPr="00A50C28" w:rsidRDefault="009F07BB" w:rsidP="00532556">
            <w:pPr>
              <w:spacing w:line="280" w:lineRule="exact"/>
              <w:jc w:val="center"/>
              <w:rPr>
                <w:b/>
                <w:bCs/>
              </w:rPr>
            </w:pPr>
            <w:r w:rsidRPr="00A50C28">
              <w:rPr>
                <w:b/>
                <w:bCs/>
              </w:rPr>
              <w:t>7.526</w:t>
            </w:r>
          </w:p>
        </w:tc>
        <w:tc>
          <w:tcPr>
            <w:tcW w:w="907" w:type="dxa"/>
            <w:tcBorders>
              <w:top w:val="nil"/>
              <w:left w:val="nil"/>
              <w:bottom w:val="nil"/>
              <w:right w:val="nil"/>
            </w:tcBorders>
            <w:noWrap/>
          </w:tcPr>
          <w:p w14:paraId="493B2A0E" w14:textId="77777777" w:rsidR="009F07BB" w:rsidRPr="00A50C28" w:rsidRDefault="009F07BB" w:rsidP="00532556">
            <w:pPr>
              <w:spacing w:line="280" w:lineRule="exact"/>
              <w:jc w:val="center"/>
              <w:rPr>
                <w:b/>
                <w:bCs/>
              </w:rPr>
            </w:pPr>
            <w:r w:rsidRPr="00A50C28">
              <w:rPr>
                <w:b/>
                <w:bCs/>
              </w:rPr>
              <w:t>0.476</w:t>
            </w:r>
          </w:p>
        </w:tc>
        <w:tc>
          <w:tcPr>
            <w:tcW w:w="968" w:type="dxa"/>
            <w:tcBorders>
              <w:top w:val="nil"/>
              <w:left w:val="nil"/>
              <w:bottom w:val="nil"/>
              <w:right w:val="nil"/>
            </w:tcBorders>
            <w:noWrap/>
          </w:tcPr>
          <w:p w14:paraId="7DC92A6E" w14:textId="77777777" w:rsidR="009F07BB" w:rsidRPr="00A50C28" w:rsidRDefault="009F07BB" w:rsidP="00532556">
            <w:pPr>
              <w:spacing w:line="280" w:lineRule="exact"/>
              <w:jc w:val="center"/>
              <w:rPr>
                <w:b/>
                <w:bCs/>
              </w:rPr>
            </w:pPr>
            <w:r w:rsidRPr="00A50C28">
              <w:rPr>
                <w:b/>
                <w:bCs/>
              </w:rPr>
              <w:t>0.227</w:t>
            </w:r>
          </w:p>
        </w:tc>
        <w:tc>
          <w:tcPr>
            <w:tcW w:w="1008" w:type="dxa"/>
            <w:tcBorders>
              <w:top w:val="nil"/>
              <w:left w:val="nil"/>
              <w:bottom w:val="nil"/>
              <w:right w:val="nil"/>
            </w:tcBorders>
            <w:noWrap/>
          </w:tcPr>
          <w:p w14:paraId="296DCBE0" w14:textId="77777777" w:rsidR="009F07BB" w:rsidRPr="00A50C28" w:rsidRDefault="009F07BB" w:rsidP="00532556">
            <w:pPr>
              <w:spacing w:line="280" w:lineRule="exact"/>
              <w:jc w:val="center"/>
              <w:rPr>
                <w:b/>
                <w:bCs/>
              </w:rPr>
            </w:pPr>
            <w:r w:rsidRPr="00A50C28">
              <w:rPr>
                <w:b/>
                <w:bCs/>
              </w:rPr>
              <w:t>0.001*</w:t>
            </w:r>
          </w:p>
        </w:tc>
      </w:tr>
      <w:tr w:rsidR="009F07BB" w:rsidRPr="000D4BBD" w14:paraId="5870F180" w14:textId="77777777" w:rsidTr="00532556">
        <w:trPr>
          <w:trHeight w:val="144"/>
        </w:trPr>
        <w:tc>
          <w:tcPr>
            <w:tcW w:w="4073" w:type="dxa"/>
            <w:gridSpan w:val="5"/>
            <w:tcBorders>
              <w:top w:val="nil"/>
              <w:left w:val="nil"/>
              <w:bottom w:val="nil"/>
              <w:right w:val="nil"/>
            </w:tcBorders>
            <w:noWrap/>
          </w:tcPr>
          <w:p w14:paraId="6A154F95" w14:textId="77777777" w:rsidR="009F07BB" w:rsidRPr="00F725C7" w:rsidRDefault="009F07BB" w:rsidP="00532556">
            <w:pPr>
              <w:spacing w:line="280" w:lineRule="exact"/>
              <w:ind w:left="462"/>
            </w:pPr>
            <w:r>
              <w:t xml:space="preserve">                    to Nov 2020</w:t>
            </w:r>
          </w:p>
        </w:tc>
        <w:tc>
          <w:tcPr>
            <w:tcW w:w="1276" w:type="dxa"/>
            <w:tcBorders>
              <w:top w:val="nil"/>
              <w:left w:val="nil"/>
              <w:bottom w:val="nil"/>
              <w:right w:val="nil"/>
            </w:tcBorders>
            <w:noWrap/>
          </w:tcPr>
          <w:p w14:paraId="4E9AEB75" w14:textId="77777777" w:rsidR="009F07BB" w:rsidRPr="00F725C7" w:rsidRDefault="009F07BB" w:rsidP="00532556">
            <w:pPr>
              <w:spacing w:line="280" w:lineRule="exact"/>
              <w:jc w:val="center"/>
            </w:pPr>
            <w:r>
              <w:t>-3.390</w:t>
            </w:r>
          </w:p>
        </w:tc>
        <w:tc>
          <w:tcPr>
            <w:tcW w:w="970" w:type="dxa"/>
            <w:tcBorders>
              <w:top w:val="nil"/>
              <w:left w:val="nil"/>
              <w:bottom w:val="nil"/>
              <w:right w:val="nil"/>
            </w:tcBorders>
            <w:noWrap/>
          </w:tcPr>
          <w:p w14:paraId="2847C9A9" w14:textId="77777777" w:rsidR="009F07BB" w:rsidRDefault="009F07BB" w:rsidP="00532556">
            <w:pPr>
              <w:spacing w:line="280" w:lineRule="exact"/>
              <w:jc w:val="center"/>
            </w:pPr>
            <w:r>
              <w:t>8.861</w:t>
            </w:r>
          </w:p>
        </w:tc>
        <w:tc>
          <w:tcPr>
            <w:tcW w:w="907" w:type="dxa"/>
            <w:tcBorders>
              <w:top w:val="nil"/>
              <w:left w:val="nil"/>
              <w:bottom w:val="nil"/>
              <w:right w:val="nil"/>
            </w:tcBorders>
            <w:noWrap/>
          </w:tcPr>
          <w:p w14:paraId="65103049" w14:textId="77777777" w:rsidR="009F07BB" w:rsidRPr="00A3342A" w:rsidRDefault="009F07BB" w:rsidP="00532556">
            <w:pPr>
              <w:spacing w:line="280" w:lineRule="exact"/>
              <w:jc w:val="center"/>
            </w:pPr>
            <w:r>
              <w:t>0.524</w:t>
            </w:r>
          </w:p>
        </w:tc>
        <w:tc>
          <w:tcPr>
            <w:tcW w:w="968" w:type="dxa"/>
            <w:tcBorders>
              <w:top w:val="nil"/>
              <w:left w:val="nil"/>
              <w:bottom w:val="nil"/>
              <w:right w:val="nil"/>
            </w:tcBorders>
            <w:noWrap/>
          </w:tcPr>
          <w:p w14:paraId="39193CD5" w14:textId="77777777" w:rsidR="009F07BB" w:rsidRPr="00A3342A" w:rsidRDefault="009F07BB" w:rsidP="00532556">
            <w:pPr>
              <w:spacing w:line="280" w:lineRule="exact"/>
              <w:jc w:val="center"/>
            </w:pPr>
            <w:r>
              <w:t>0.275</w:t>
            </w:r>
          </w:p>
        </w:tc>
        <w:tc>
          <w:tcPr>
            <w:tcW w:w="1008" w:type="dxa"/>
            <w:tcBorders>
              <w:top w:val="nil"/>
              <w:left w:val="nil"/>
              <w:bottom w:val="nil"/>
              <w:right w:val="nil"/>
            </w:tcBorders>
            <w:noWrap/>
          </w:tcPr>
          <w:p w14:paraId="183F88D4" w14:textId="77777777" w:rsidR="009F07BB" w:rsidRPr="00E5784B" w:rsidRDefault="009F07BB" w:rsidP="00532556">
            <w:pPr>
              <w:spacing w:line="280" w:lineRule="exact"/>
              <w:jc w:val="center"/>
            </w:pPr>
            <w:r w:rsidRPr="00E5784B">
              <w:t>0.002*</w:t>
            </w:r>
          </w:p>
        </w:tc>
      </w:tr>
      <w:tr w:rsidR="009F07BB" w:rsidRPr="001B3718" w14:paraId="321BB79D" w14:textId="77777777" w:rsidTr="00532556">
        <w:trPr>
          <w:trHeight w:val="64"/>
        </w:trPr>
        <w:tc>
          <w:tcPr>
            <w:tcW w:w="5349" w:type="dxa"/>
            <w:gridSpan w:val="6"/>
            <w:tcBorders>
              <w:top w:val="nil"/>
              <w:left w:val="nil"/>
              <w:bottom w:val="nil"/>
              <w:right w:val="nil"/>
            </w:tcBorders>
            <w:noWrap/>
          </w:tcPr>
          <w:p w14:paraId="7FED9616" w14:textId="77777777" w:rsidR="009F07BB" w:rsidRPr="001B3718" w:rsidRDefault="009F07BB" w:rsidP="00532556">
            <w:pPr>
              <w:spacing w:line="280" w:lineRule="exact"/>
              <w:rPr>
                <w:sz w:val="8"/>
                <w:szCs w:val="8"/>
              </w:rPr>
            </w:pPr>
          </w:p>
        </w:tc>
        <w:tc>
          <w:tcPr>
            <w:tcW w:w="970" w:type="dxa"/>
            <w:tcBorders>
              <w:top w:val="nil"/>
              <w:left w:val="nil"/>
              <w:bottom w:val="nil"/>
              <w:right w:val="nil"/>
            </w:tcBorders>
            <w:noWrap/>
          </w:tcPr>
          <w:p w14:paraId="58A3BAFC" w14:textId="77777777" w:rsidR="009F07BB" w:rsidRPr="001B3718" w:rsidRDefault="009F07BB" w:rsidP="00532556">
            <w:pPr>
              <w:spacing w:line="280" w:lineRule="exact"/>
              <w:jc w:val="center"/>
              <w:rPr>
                <w:sz w:val="8"/>
                <w:szCs w:val="8"/>
              </w:rPr>
            </w:pPr>
          </w:p>
        </w:tc>
        <w:tc>
          <w:tcPr>
            <w:tcW w:w="907" w:type="dxa"/>
            <w:tcBorders>
              <w:top w:val="nil"/>
              <w:left w:val="nil"/>
              <w:bottom w:val="nil"/>
              <w:right w:val="nil"/>
            </w:tcBorders>
            <w:noWrap/>
          </w:tcPr>
          <w:p w14:paraId="1C492C17" w14:textId="77777777" w:rsidR="009F07BB" w:rsidRPr="001B3718" w:rsidRDefault="009F07BB" w:rsidP="00532556">
            <w:pPr>
              <w:spacing w:line="280" w:lineRule="exact"/>
              <w:jc w:val="center"/>
              <w:rPr>
                <w:sz w:val="8"/>
                <w:szCs w:val="8"/>
              </w:rPr>
            </w:pPr>
          </w:p>
        </w:tc>
        <w:tc>
          <w:tcPr>
            <w:tcW w:w="968" w:type="dxa"/>
            <w:tcBorders>
              <w:top w:val="nil"/>
              <w:left w:val="nil"/>
              <w:bottom w:val="nil"/>
              <w:right w:val="nil"/>
            </w:tcBorders>
            <w:noWrap/>
          </w:tcPr>
          <w:p w14:paraId="3E2D4054" w14:textId="77777777" w:rsidR="009F07BB" w:rsidRPr="001B3718" w:rsidRDefault="009F07BB" w:rsidP="00532556">
            <w:pPr>
              <w:spacing w:line="280" w:lineRule="exact"/>
              <w:jc w:val="center"/>
              <w:rPr>
                <w:sz w:val="8"/>
                <w:szCs w:val="8"/>
              </w:rPr>
            </w:pPr>
          </w:p>
        </w:tc>
        <w:tc>
          <w:tcPr>
            <w:tcW w:w="1008" w:type="dxa"/>
            <w:tcBorders>
              <w:top w:val="nil"/>
              <w:left w:val="nil"/>
              <w:bottom w:val="nil"/>
              <w:right w:val="nil"/>
            </w:tcBorders>
            <w:noWrap/>
          </w:tcPr>
          <w:p w14:paraId="6909A56A" w14:textId="77777777" w:rsidR="009F07BB" w:rsidRPr="00E5784B" w:rsidRDefault="009F07BB" w:rsidP="00532556">
            <w:pPr>
              <w:spacing w:line="280" w:lineRule="exact"/>
              <w:jc w:val="center"/>
              <w:rPr>
                <w:sz w:val="8"/>
                <w:szCs w:val="8"/>
              </w:rPr>
            </w:pPr>
          </w:p>
        </w:tc>
      </w:tr>
      <w:tr w:rsidR="009F07BB" w:rsidRPr="000D4BBD" w14:paraId="6D4FBB80" w14:textId="77777777" w:rsidTr="00532556">
        <w:trPr>
          <w:trHeight w:val="144"/>
        </w:trPr>
        <w:tc>
          <w:tcPr>
            <w:tcW w:w="5349" w:type="dxa"/>
            <w:gridSpan w:val="6"/>
            <w:tcBorders>
              <w:top w:val="nil"/>
              <w:left w:val="nil"/>
              <w:bottom w:val="nil"/>
              <w:right w:val="nil"/>
            </w:tcBorders>
            <w:noWrap/>
          </w:tcPr>
          <w:p w14:paraId="6C5FCF49" w14:textId="77777777" w:rsidR="009F07BB" w:rsidRPr="00F725C7" w:rsidRDefault="009F07BB" w:rsidP="00532556">
            <w:pPr>
              <w:spacing w:line="280" w:lineRule="exact"/>
            </w:pPr>
            <w:r w:rsidRPr="00F725C7">
              <w:t xml:space="preserve">Total </w:t>
            </w:r>
            <w:r>
              <w:t xml:space="preserve">adjusted </w:t>
            </w:r>
            <w:r w:rsidRPr="00F725C7">
              <w:t xml:space="preserve">maximum weight gained in </w:t>
            </w:r>
            <w:proofErr w:type="spellStart"/>
            <w:r w:rsidRPr="00F725C7">
              <w:t>kg</w:t>
            </w:r>
            <w:r w:rsidRPr="00DF6647">
              <w:rPr>
                <w:b/>
                <w:bCs/>
                <w:vertAlign w:val="superscript"/>
              </w:rPr>
              <w:t>b</w:t>
            </w:r>
            <w:proofErr w:type="spellEnd"/>
          </w:p>
        </w:tc>
        <w:tc>
          <w:tcPr>
            <w:tcW w:w="970" w:type="dxa"/>
            <w:tcBorders>
              <w:top w:val="nil"/>
              <w:left w:val="nil"/>
              <w:bottom w:val="nil"/>
              <w:right w:val="nil"/>
            </w:tcBorders>
            <w:noWrap/>
          </w:tcPr>
          <w:p w14:paraId="32A007C6" w14:textId="77777777" w:rsidR="009F07BB" w:rsidRPr="00A3342A" w:rsidRDefault="009F07BB" w:rsidP="00532556">
            <w:pPr>
              <w:spacing w:line="280" w:lineRule="exact"/>
              <w:jc w:val="center"/>
            </w:pPr>
          </w:p>
        </w:tc>
        <w:tc>
          <w:tcPr>
            <w:tcW w:w="907" w:type="dxa"/>
            <w:tcBorders>
              <w:top w:val="nil"/>
              <w:left w:val="nil"/>
              <w:bottom w:val="nil"/>
              <w:right w:val="nil"/>
            </w:tcBorders>
            <w:noWrap/>
          </w:tcPr>
          <w:p w14:paraId="40571245" w14:textId="77777777" w:rsidR="009F07BB" w:rsidRPr="00A3342A" w:rsidRDefault="009F07BB" w:rsidP="00532556">
            <w:pPr>
              <w:spacing w:line="280" w:lineRule="exact"/>
              <w:jc w:val="center"/>
            </w:pPr>
          </w:p>
        </w:tc>
        <w:tc>
          <w:tcPr>
            <w:tcW w:w="968" w:type="dxa"/>
            <w:tcBorders>
              <w:top w:val="nil"/>
              <w:left w:val="nil"/>
              <w:bottom w:val="nil"/>
              <w:right w:val="nil"/>
            </w:tcBorders>
            <w:noWrap/>
          </w:tcPr>
          <w:p w14:paraId="6764A4A6" w14:textId="77777777" w:rsidR="009F07BB" w:rsidRPr="00A3342A" w:rsidRDefault="009F07BB" w:rsidP="00532556">
            <w:pPr>
              <w:spacing w:line="280" w:lineRule="exact"/>
              <w:jc w:val="center"/>
            </w:pPr>
          </w:p>
        </w:tc>
        <w:tc>
          <w:tcPr>
            <w:tcW w:w="1008" w:type="dxa"/>
            <w:tcBorders>
              <w:top w:val="nil"/>
              <w:left w:val="nil"/>
              <w:bottom w:val="nil"/>
              <w:right w:val="nil"/>
            </w:tcBorders>
            <w:noWrap/>
          </w:tcPr>
          <w:p w14:paraId="1B0D6E5E" w14:textId="77777777" w:rsidR="009F07BB" w:rsidRPr="00E5784B" w:rsidRDefault="009F07BB" w:rsidP="00532556">
            <w:pPr>
              <w:spacing w:line="280" w:lineRule="exact"/>
              <w:jc w:val="center"/>
            </w:pPr>
          </w:p>
        </w:tc>
      </w:tr>
      <w:tr w:rsidR="009F07BB" w:rsidRPr="000D4BBD" w14:paraId="0FB07A5F" w14:textId="77777777" w:rsidTr="00532556">
        <w:trPr>
          <w:trHeight w:val="144"/>
        </w:trPr>
        <w:tc>
          <w:tcPr>
            <w:tcW w:w="4073" w:type="dxa"/>
            <w:gridSpan w:val="5"/>
            <w:tcBorders>
              <w:top w:val="nil"/>
              <w:left w:val="nil"/>
              <w:bottom w:val="nil"/>
              <w:right w:val="nil"/>
            </w:tcBorders>
            <w:noWrap/>
          </w:tcPr>
          <w:p w14:paraId="26D915E9" w14:textId="77777777" w:rsidR="009F07BB" w:rsidRPr="00F725C7" w:rsidRDefault="009F07BB" w:rsidP="00532556">
            <w:pPr>
              <w:spacing w:line="280" w:lineRule="exact"/>
              <w:ind w:left="462"/>
            </w:pPr>
            <w:r>
              <w:t xml:space="preserve">                   </w:t>
            </w:r>
            <w:r w:rsidRPr="00F725C7">
              <w:t>Sept 2019 to Oct 2020</w:t>
            </w:r>
            <w:r w:rsidRPr="00DF6647">
              <w:rPr>
                <w:b/>
                <w:bCs/>
                <w:vertAlign w:val="superscript"/>
              </w:rPr>
              <w:t>c</w:t>
            </w:r>
          </w:p>
        </w:tc>
        <w:tc>
          <w:tcPr>
            <w:tcW w:w="1276" w:type="dxa"/>
            <w:tcBorders>
              <w:top w:val="nil"/>
              <w:left w:val="nil"/>
              <w:bottom w:val="nil"/>
              <w:right w:val="nil"/>
            </w:tcBorders>
            <w:noWrap/>
          </w:tcPr>
          <w:p w14:paraId="712A6196" w14:textId="77777777" w:rsidR="009F07BB" w:rsidRPr="00F725C7" w:rsidRDefault="009F07BB" w:rsidP="00532556">
            <w:pPr>
              <w:spacing w:line="280" w:lineRule="exact"/>
              <w:jc w:val="center"/>
            </w:pPr>
            <w:r w:rsidRPr="00F725C7">
              <w:t>-3.126</w:t>
            </w:r>
          </w:p>
        </w:tc>
        <w:tc>
          <w:tcPr>
            <w:tcW w:w="970" w:type="dxa"/>
            <w:tcBorders>
              <w:top w:val="nil"/>
              <w:left w:val="nil"/>
              <w:bottom w:val="nil"/>
              <w:right w:val="nil"/>
            </w:tcBorders>
            <w:noWrap/>
          </w:tcPr>
          <w:p w14:paraId="01EE9E73" w14:textId="77777777" w:rsidR="009F07BB" w:rsidRPr="00A3342A" w:rsidRDefault="009F07BB" w:rsidP="00532556">
            <w:pPr>
              <w:spacing w:line="280" w:lineRule="exact"/>
              <w:jc w:val="center"/>
            </w:pPr>
            <w:r w:rsidRPr="00A3342A">
              <w:t>7.</w:t>
            </w:r>
            <w:r>
              <w:t>849</w:t>
            </w:r>
          </w:p>
        </w:tc>
        <w:tc>
          <w:tcPr>
            <w:tcW w:w="907" w:type="dxa"/>
            <w:tcBorders>
              <w:top w:val="nil"/>
              <w:left w:val="nil"/>
              <w:bottom w:val="nil"/>
              <w:right w:val="nil"/>
            </w:tcBorders>
            <w:noWrap/>
          </w:tcPr>
          <w:p w14:paraId="3A414512" w14:textId="77777777" w:rsidR="009F07BB" w:rsidRPr="00A3342A" w:rsidRDefault="009F07BB" w:rsidP="00532556">
            <w:pPr>
              <w:spacing w:line="280" w:lineRule="exact"/>
              <w:jc w:val="center"/>
            </w:pPr>
            <w:r w:rsidRPr="00A3342A">
              <w:t>0.4</w:t>
            </w:r>
            <w:r>
              <w:t>83</w:t>
            </w:r>
          </w:p>
        </w:tc>
        <w:tc>
          <w:tcPr>
            <w:tcW w:w="968" w:type="dxa"/>
            <w:tcBorders>
              <w:top w:val="nil"/>
              <w:left w:val="nil"/>
              <w:bottom w:val="nil"/>
              <w:right w:val="nil"/>
            </w:tcBorders>
            <w:noWrap/>
          </w:tcPr>
          <w:p w14:paraId="75038C38" w14:textId="77777777" w:rsidR="009F07BB" w:rsidRPr="00A3342A" w:rsidRDefault="009F07BB" w:rsidP="00532556">
            <w:pPr>
              <w:spacing w:line="280" w:lineRule="exact"/>
              <w:jc w:val="center"/>
            </w:pPr>
            <w:r w:rsidRPr="00A3342A">
              <w:t>0.2</w:t>
            </w:r>
            <w:r>
              <w:t>33</w:t>
            </w:r>
          </w:p>
        </w:tc>
        <w:tc>
          <w:tcPr>
            <w:tcW w:w="1008" w:type="dxa"/>
            <w:tcBorders>
              <w:top w:val="nil"/>
              <w:left w:val="nil"/>
              <w:bottom w:val="nil"/>
              <w:right w:val="nil"/>
            </w:tcBorders>
            <w:noWrap/>
          </w:tcPr>
          <w:p w14:paraId="24273888" w14:textId="77777777" w:rsidR="009F07BB" w:rsidRPr="00E5784B" w:rsidRDefault="009F07BB" w:rsidP="00532556">
            <w:pPr>
              <w:spacing w:line="280" w:lineRule="exact"/>
              <w:jc w:val="center"/>
            </w:pPr>
            <w:r w:rsidRPr="00E5784B">
              <w:t>0.000*</w:t>
            </w:r>
          </w:p>
        </w:tc>
      </w:tr>
      <w:tr w:rsidR="009F07BB" w:rsidRPr="000D4BBD" w14:paraId="59C4EE9F" w14:textId="77777777" w:rsidTr="00532556">
        <w:trPr>
          <w:trHeight w:val="144"/>
        </w:trPr>
        <w:tc>
          <w:tcPr>
            <w:tcW w:w="5349" w:type="dxa"/>
            <w:gridSpan w:val="6"/>
            <w:tcBorders>
              <w:top w:val="nil"/>
              <w:left w:val="nil"/>
              <w:bottom w:val="nil"/>
              <w:right w:val="nil"/>
            </w:tcBorders>
            <w:noWrap/>
          </w:tcPr>
          <w:p w14:paraId="00535480" w14:textId="77777777" w:rsidR="009F07BB" w:rsidRPr="00F725C7" w:rsidRDefault="009F07BB" w:rsidP="00532556">
            <w:pPr>
              <w:spacing w:line="280" w:lineRule="exact"/>
            </w:pPr>
          </w:p>
        </w:tc>
        <w:tc>
          <w:tcPr>
            <w:tcW w:w="970" w:type="dxa"/>
            <w:tcBorders>
              <w:top w:val="nil"/>
              <w:left w:val="nil"/>
              <w:bottom w:val="nil"/>
              <w:right w:val="nil"/>
            </w:tcBorders>
            <w:noWrap/>
          </w:tcPr>
          <w:p w14:paraId="17DD58A4" w14:textId="77777777" w:rsidR="009F07BB" w:rsidRPr="00A3342A" w:rsidRDefault="009F07BB" w:rsidP="00532556">
            <w:pPr>
              <w:spacing w:line="280" w:lineRule="exact"/>
              <w:jc w:val="center"/>
            </w:pPr>
          </w:p>
        </w:tc>
        <w:tc>
          <w:tcPr>
            <w:tcW w:w="907" w:type="dxa"/>
            <w:tcBorders>
              <w:top w:val="nil"/>
              <w:left w:val="nil"/>
              <w:bottom w:val="nil"/>
              <w:right w:val="nil"/>
            </w:tcBorders>
            <w:noWrap/>
          </w:tcPr>
          <w:p w14:paraId="219E5084" w14:textId="77777777" w:rsidR="009F07BB" w:rsidRPr="00A3342A" w:rsidRDefault="009F07BB" w:rsidP="00532556">
            <w:pPr>
              <w:spacing w:line="280" w:lineRule="exact"/>
              <w:jc w:val="center"/>
            </w:pPr>
          </w:p>
        </w:tc>
        <w:tc>
          <w:tcPr>
            <w:tcW w:w="968" w:type="dxa"/>
            <w:tcBorders>
              <w:top w:val="nil"/>
              <w:left w:val="nil"/>
              <w:bottom w:val="nil"/>
              <w:right w:val="nil"/>
            </w:tcBorders>
            <w:noWrap/>
          </w:tcPr>
          <w:p w14:paraId="51839DFE" w14:textId="77777777" w:rsidR="009F07BB" w:rsidRPr="00A3342A" w:rsidRDefault="009F07BB" w:rsidP="00532556">
            <w:pPr>
              <w:spacing w:line="280" w:lineRule="exact"/>
              <w:jc w:val="center"/>
            </w:pPr>
          </w:p>
        </w:tc>
        <w:tc>
          <w:tcPr>
            <w:tcW w:w="1008" w:type="dxa"/>
            <w:tcBorders>
              <w:top w:val="nil"/>
              <w:left w:val="nil"/>
              <w:bottom w:val="nil"/>
              <w:right w:val="nil"/>
            </w:tcBorders>
            <w:noWrap/>
          </w:tcPr>
          <w:p w14:paraId="4150F49C" w14:textId="77777777" w:rsidR="009F07BB" w:rsidRPr="00E5784B" w:rsidRDefault="009F07BB" w:rsidP="00532556">
            <w:pPr>
              <w:spacing w:line="280" w:lineRule="exact"/>
              <w:jc w:val="center"/>
            </w:pPr>
          </w:p>
        </w:tc>
      </w:tr>
      <w:tr w:rsidR="009F07BB" w:rsidRPr="000D4BBD" w14:paraId="4153943F" w14:textId="77777777" w:rsidTr="00532556">
        <w:trPr>
          <w:trHeight w:val="144"/>
        </w:trPr>
        <w:tc>
          <w:tcPr>
            <w:tcW w:w="5349" w:type="dxa"/>
            <w:gridSpan w:val="6"/>
            <w:tcBorders>
              <w:top w:val="nil"/>
              <w:left w:val="nil"/>
              <w:bottom w:val="nil"/>
              <w:right w:val="nil"/>
            </w:tcBorders>
            <w:noWrap/>
          </w:tcPr>
          <w:p w14:paraId="73031D74" w14:textId="77777777" w:rsidR="009F07BB" w:rsidRPr="00F725C7" w:rsidRDefault="009F07BB" w:rsidP="00532556">
            <w:pPr>
              <w:spacing w:line="280" w:lineRule="exact"/>
            </w:pPr>
            <w:r w:rsidRPr="00F725C7">
              <w:t xml:space="preserve">Total change in body mass </w:t>
            </w:r>
            <w:proofErr w:type="spellStart"/>
            <w:r w:rsidRPr="00F725C7">
              <w:t>index</w:t>
            </w:r>
            <w:r w:rsidRPr="00DF6647">
              <w:rPr>
                <w:b/>
                <w:bCs/>
                <w:vertAlign w:val="superscript"/>
              </w:rPr>
              <w:t>d</w:t>
            </w:r>
            <w:proofErr w:type="spellEnd"/>
            <w:r w:rsidRPr="0065513E">
              <w:rPr>
                <w:vertAlign w:val="superscript"/>
              </w:rPr>
              <w:t xml:space="preserve"> </w:t>
            </w:r>
            <w:r w:rsidRPr="00F725C7">
              <w:rPr>
                <w:rFonts w:cstheme="minorHAnsi"/>
              </w:rPr>
              <w:t>in kg/m</w:t>
            </w:r>
            <w:r w:rsidRPr="00F725C7">
              <w:rPr>
                <w:rFonts w:cstheme="minorHAnsi"/>
                <w:vertAlign w:val="superscript"/>
              </w:rPr>
              <w:t>2</w:t>
            </w:r>
          </w:p>
        </w:tc>
        <w:tc>
          <w:tcPr>
            <w:tcW w:w="970" w:type="dxa"/>
            <w:tcBorders>
              <w:top w:val="nil"/>
              <w:left w:val="nil"/>
              <w:bottom w:val="nil"/>
              <w:right w:val="nil"/>
            </w:tcBorders>
            <w:noWrap/>
          </w:tcPr>
          <w:p w14:paraId="598DE738" w14:textId="77777777" w:rsidR="009F07BB" w:rsidRPr="00A3342A" w:rsidRDefault="009F07BB" w:rsidP="00532556">
            <w:pPr>
              <w:spacing w:line="280" w:lineRule="exact"/>
              <w:jc w:val="center"/>
            </w:pPr>
          </w:p>
        </w:tc>
        <w:tc>
          <w:tcPr>
            <w:tcW w:w="907" w:type="dxa"/>
            <w:tcBorders>
              <w:top w:val="nil"/>
              <w:left w:val="nil"/>
              <w:bottom w:val="nil"/>
              <w:right w:val="nil"/>
            </w:tcBorders>
            <w:noWrap/>
          </w:tcPr>
          <w:p w14:paraId="33EC47C1" w14:textId="77777777" w:rsidR="009F07BB" w:rsidRPr="00A3342A" w:rsidRDefault="009F07BB" w:rsidP="00532556">
            <w:pPr>
              <w:spacing w:line="280" w:lineRule="exact"/>
              <w:jc w:val="center"/>
            </w:pPr>
          </w:p>
        </w:tc>
        <w:tc>
          <w:tcPr>
            <w:tcW w:w="968" w:type="dxa"/>
            <w:tcBorders>
              <w:top w:val="nil"/>
              <w:left w:val="nil"/>
              <w:bottom w:val="nil"/>
              <w:right w:val="nil"/>
            </w:tcBorders>
            <w:noWrap/>
          </w:tcPr>
          <w:p w14:paraId="0A898CFC" w14:textId="77777777" w:rsidR="009F07BB" w:rsidRPr="00A3342A" w:rsidRDefault="009F07BB" w:rsidP="00532556">
            <w:pPr>
              <w:spacing w:line="280" w:lineRule="exact"/>
              <w:jc w:val="center"/>
            </w:pPr>
          </w:p>
        </w:tc>
        <w:tc>
          <w:tcPr>
            <w:tcW w:w="1008" w:type="dxa"/>
            <w:tcBorders>
              <w:top w:val="nil"/>
              <w:left w:val="nil"/>
              <w:bottom w:val="nil"/>
              <w:right w:val="nil"/>
            </w:tcBorders>
            <w:noWrap/>
          </w:tcPr>
          <w:p w14:paraId="59F2592A" w14:textId="77777777" w:rsidR="009F07BB" w:rsidRPr="00E5784B" w:rsidRDefault="009F07BB" w:rsidP="00532556">
            <w:pPr>
              <w:spacing w:line="280" w:lineRule="exact"/>
              <w:jc w:val="center"/>
            </w:pPr>
          </w:p>
        </w:tc>
      </w:tr>
      <w:tr w:rsidR="009F07BB" w:rsidRPr="000D4BBD" w14:paraId="5A55A69E" w14:textId="77777777" w:rsidTr="00532556">
        <w:trPr>
          <w:trHeight w:val="144"/>
        </w:trPr>
        <w:tc>
          <w:tcPr>
            <w:tcW w:w="4073" w:type="dxa"/>
            <w:gridSpan w:val="5"/>
            <w:tcBorders>
              <w:top w:val="nil"/>
              <w:left w:val="nil"/>
              <w:bottom w:val="nil"/>
              <w:right w:val="nil"/>
            </w:tcBorders>
            <w:noWrap/>
          </w:tcPr>
          <w:p w14:paraId="3E6B159F" w14:textId="77777777" w:rsidR="009F07BB" w:rsidRPr="00772821" w:rsidRDefault="009F07BB" w:rsidP="00532556">
            <w:pPr>
              <w:spacing w:line="280" w:lineRule="exact"/>
              <w:ind w:left="462" w:hanging="462"/>
            </w:pPr>
            <w:r w:rsidRPr="00772821">
              <w:t xml:space="preserve">                           Sept 2019 to Oct 2020</w:t>
            </w:r>
          </w:p>
        </w:tc>
        <w:tc>
          <w:tcPr>
            <w:tcW w:w="1276" w:type="dxa"/>
            <w:tcBorders>
              <w:top w:val="nil"/>
              <w:left w:val="nil"/>
              <w:bottom w:val="nil"/>
              <w:right w:val="nil"/>
            </w:tcBorders>
            <w:noWrap/>
          </w:tcPr>
          <w:p w14:paraId="2D293B58" w14:textId="77777777" w:rsidR="009F07BB" w:rsidRPr="00772821" w:rsidRDefault="009F07BB" w:rsidP="00532556">
            <w:pPr>
              <w:spacing w:line="280" w:lineRule="exact"/>
              <w:jc w:val="center"/>
            </w:pPr>
            <w:r w:rsidRPr="00772821">
              <w:t>-2.864</w:t>
            </w:r>
          </w:p>
        </w:tc>
        <w:tc>
          <w:tcPr>
            <w:tcW w:w="970" w:type="dxa"/>
            <w:tcBorders>
              <w:top w:val="nil"/>
              <w:left w:val="nil"/>
              <w:bottom w:val="nil"/>
              <w:right w:val="nil"/>
            </w:tcBorders>
            <w:noWrap/>
          </w:tcPr>
          <w:p w14:paraId="21D67CDB" w14:textId="77777777" w:rsidR="009F07BB" w:rsidRPr="00772821" w:rsidRDefault="009F07BB" w:rsidP="00532556">
            <w:pPr>
              <w:spacing w:line="280" w:lineRule="exact"/>
              <w:jc w:val="center"/>
            </w:pPr>
            <w:r w:rsidRPr="00772821">
              <w:t>7.351</w:t>
            </w:r>
          </w:p>
        </w:tc>
        <w:tc>
          <w:tcPr>
            <w:tcW w:w="907" w:type="dxa"/>
            <w:tcBorders>
              <w:top w:val="nil"/>
              <w:left w:val="nil"/>
              <w:bottom w:val="nil"/>
              <w:right w:val="nil"/>
            </w:tcBorders>
            <w:noWrap/>
          </w:tcPr>
          <w:p w14:paraId="3C80A7E3" w14:textId="77777777" w:rsidR="009F07BB" w:rsidRPr="00772821" w:rsidRDefault="009F07BB" w:rsidP="00532556">
            <w:pPr>
              <w:spacing w:line="280" w:lineRule="exact"/>
              <w:jc w:val="center"/>
            </w:pPr>
            <w:r w:rsidRPr="00772821">
              <w:t>0.441</w:t>
            </w:r>
          </w:p>
        </w:tc>
        <w:tc>
          <w:tcPr>
            <w:tcW w:w="968" w:type="dxa"/>
            <w:tcBorders>
              <w:top w:val="nil"/>
              <w:left w:val="nil"/>
              <w:bottom w:val="nil"/>
              <w:right w:val="nil"/>
            </w:tcBorders>
            <w:noWrap/>
          </w:tcPr>
          <w:p w14:paraId="2EB59080" w14:textId="47F67673" w:rsidR="009F07BB" w:rsidRPr="00772821" w:rsidRDefault="009F07BB" w:rsidP="00532556">
            <w:pPr>
              <w:spacing w:line="280" w:lineRule="exact"/>
              <w:jc w:val="center"/>
            </w:pPr>
            <w:r w:rsidRPr="00772821">
              <w:t>0.19</w:t>
            </w:r>
            <w:r w:rsidR="00D402E8">
              <w:t>0</w:t>
            </w:r>
          </w:p>
        </w:tc>
        <w:tc>
          <w:tcPr>
            <w:tcW w:w="1008" w:type="dxa"/>
            <w:tcBorders>
              <w:top w:val="nil"/>
              <w:left w:val="nil"/>
              <w:bottom w:val="nil"/>
              <w:right w:val="nil"/>
            </w:tcBorders>
            <w:noWrap/>
          </w:tcPr>
          <w:p w14:paraId="06753A99" w14:textId="77777777" w:rsidR="009F07BB" w:rsidRPr="00772821" w:rsidRDefault="009F07BB" w:rsidP="00532556">
            <w:pPr>
              <w:spacing w:line="280" w:lineRule="exact"/>
              <w:jc w:val="center"/>
            </w:pPr>
            <w:r w:rsidRPr="00772821">
              <w:t>0.005*</w:t>
            </w:r>
          </w:p>
        </w:tc>
      </w:tr>
      <w:tr w:rsidR="009F07BB" w:rsidRPr="003B6B85" w14:paraId="778F5D79" w14:textId="77777777" w:rsidTr="00532556">
        <w:trPr>
          <w:trHeight w:val="64"/>
        </w:trPr>
        <w:tc>
          <w:tcPr>
            <w:tcW w:w="4073" w:type="dxa"/>
            <w:gridSpan w:val="5"/>
            <w:tcBorders>
              <w:top w:val="nil"/>
              <w:left w:val="nil"/>
              <w:bottom w:val="single" w:sz="4" w:space="0" w:color="auto"/>
              <w:right w:val="nil"/>
            </w:tcBorders>
          </w:tcPr>
          <w:p w14:paraId="22E5ED97" w14:textId="77777777" w:rsidR="009F07BB" w:rsidRPr="00F725C7" w:rsidRDefault="009F07BB" w:rsidP="00532556"/>
        </w:tc>
        <w:tc>
          <w:tcPr>
            <w:tcW w:w="1276" w:type="dxa"/>
            <w:tcBorders>
              <w:top w:val="nil"/>
              <w:left w:val="nil"/>
              <w:bottom w:val="single" w:sz="4" w:space="0" w:color="auto"/>
              <w:right w:val="nil"/>
            </w:tcBorders>
          </w:tcPr>
          <w:p w14:paraId="69D88CCD" w14:textId="77777777" w:rsidR="009F07BB" w:rsidRPr="003B6B85" w:rsidRDefault="009F07BB" w:rsidP="00532556">
            <w:pPr>
              <w:rPr>
                <w:rFonts w:cstheme="minorHAnsi"/>
                <w:sz w:val="12"/>
                <w:szCs w:val="12"/>
              </w:rPr>
            </w:pPr>
          </w:p>
        </w:tc>
        <w:tc>
          <w:tcPr>
            <w:tcW w:w="970" w:type="dxa"/>
            <w:tcBorders>
              <w:top w:val="nil"/>
              <w:left w:val="nil"/>
              <w:bottom w:val="single" w:sz="4" w:space="0" w:color="auto"/>
              <w:right w:val="nil"/>
            </w:tcBorders>
          </w:tcPr>
          <w:p w14:paraId="339E713C" w14:textId="77777777" w:rsidR="009F07BB" w:rsidRPr="003B6B85" w:rsidRDefault="009F07BB" w:rsidP="00532556">
            <w:pPr>
              <w:rPr>
                <w:rFonts w:cstheme="minorHAnsi"/>
                <w:sz w:val="8"/>
                <w:szCs w:val="8"/>
              </w:rPr>
            </w:pPr>
          </w:p>
        </w:tc>
        <w:tc>
          <w:tcPr>
            <w:tcW w:w="907" w:type="dxa"/>
            <w:tcBorders>
              <w:top w:val="nil"/>
              <w:left w:val="nil"/>
              <w:bottom w:val="single" w:sz="4" w:space="0" w:color="auto"/>
              <w:right w:val="nil"/>
            </w:tcBorders>
          </w:tcPr>
          <w:p w14:paraId="606ADFB0" w14:textId="77777777" w:rsidR="009F07BB" w:rsidRPr="003B6B85" w:rsidRDefault="009F07BB" w:rsidP="00532556">
            <w:pPr>
              <w:rPr>
                <w:rFonts w:cstheme="minorHAnsi"/>
                <w:sz w:val="8"/>
                <w:szCs w:val="8"/>
              </w:rPr>
            </w:pPr>
          </w:p>
        </w:tc>
        <w:tc>
          <w:tcPr>
            <w:tcW w:w="968" w:type="dxa"/>
            <w:tcBorders>
              <w:top w:val="nil"/>
              <w:left w:val="nil"/>
              <w:bottom w:val="single" w:sz="4" w:space="0" w:color="auto"/>
              <w:right w:val="nil"/>
            </w:tcBorders>
          </w:tcPr>
          <w:p w14:paraId="7F145B6B" w14:textId="77777777" w:rsidR="009F07BB" w:rsidRPr="003B6B85" w:rsidRDefault="009F07BB" w:rsidP="00532556">
            <w:pPr>
              <w:rPr>
                <w:rFonts w:cstheme="minorHAnsi"/>
                <w:sz w:val="8"/>
                <w:szCs w:val="8"/>
              </w:rPr>
            </w:pPr>
          </w:p>
        </w:tc>
        <w:tc>
          <w:tcPr>
            <w:tcW w:w="1008" w:type="dxa"/>
            <w:tcBorders>
              <w:top w:val="nil"/>
              <w:left w:val="nil"/>
              <w:bottom w:val="single" w:sz="4" w:space="0" w:color="auto"/>
              <w:right w:val="nil"/>
            </w:tcBorders>
          </w:tcPr>
          <w:p w14:paraId="4B041B12" w14:textId="77777777" w:rsidR="009F07BB" w:rsidRPr="003B6B85" w:rsidRDefault="009F07BB" w:rsidP="00532556">
            <w:pPr>
              <w:rPr>
                <w:rFonts w:cstheme="minorHAnsi"/>
                <w:b/>
                <w:bCs/>
                <w:sz w:val="8"/>
                <w:szCs w:val="8"/>
              </w:rPr>
            </w:pPr>
          </w:p>
        </w:tc>
      </w:tr>
    </w:tbl>
    <w:p w14:paraId="5201E64A" w14:textId="673352E0" w:rsidR="009F07BB" w:rsidRDefault="009F07BB" w:rsidP="009F07BB">
      <w:pPr>
        <w:pStyle w:val="CommentText"/>
        <w:spacing w:line="200" w:lineRule="exact"/>
        <w:jc w:val="both"/>
        <w:rPr>
          <w:color w:val="000000" w:themeColor="text1"/>
          <w:sz w:val="18"/>
          <w:szCs w:val="18"/>
        </w:rPr>
      </w:pPr>
      <w:r>
        <w:rPr>
          <w:b/>
          <w:bCs/>
          <w:color w:val="000000" w:themeColor="text1"/>
          <w:sz w:val="18"/>
          <w:szCs w:val="18"/>
        </w:rPr>
        <w:br w:type="textWrapping" w:clear="all"/>
      </w:r>
      <w:r w:rsidRPr="00C523B9">
        <w:rPr>
          <w:b/>
          <w:bCs/>
          <w:color w:val="000000" w:themeColor="text1"/>
          <w:sz w:val="18"/>
          <w:szCs w:val="18"/>
        </w:rPr>
        <w:t>a</w:t>
      </w:r>
      <w:r w:rsidRPr="00C523B9">
        <w:rPr>
          <w:color w:val="000000" w:themeColor="text1"/>
          <w:sz w:val="18"/>
          <w:szCs w:val="18"/>
        </w:rPr>
        <w:t>=</w:t>
      </w:r>
      <w:r>
        <w:rPr>
          <w:color w:val="000000" w:themeColor="text1"/>
          <w:sz w:val="18"/>
          <w:szCs w:val="18"/>
        </w:rPr>
        <w:t>E</w:t>
      </w:r>
      <w:r w:rsidRPr="00C523B9">
        <w:rPr>
          <w:color w:val="000000" w:themeColor="text1"/>
          <w:sz w:val="18"/>
          <w:szCs w:val="18"/>
        </w:rPr>
        <w:t>xcludes one extreme outlie</w:t>
      </w:r>
      <w:r>
        <w:rPr>
          <w:color w:val="000000" w:themeColor="text1"/>
          <w:sz w:val="18"/>
          <w:szCs w:val="18"/>
        </w:rPr>
        <w:t>r</w:t>
      </w:r>
      <w:r w:rsidRPr="00C523B9">
        <w:rPr>
          <w:color w:val="000000" w:themeColor="text1"/>
          <w:sz w:val="18"/>
          <w:szCs w:val="18"/>
        </w:rPr>
        <w:t xml:space="preserve">. </w:t>
      </w:r>
      <w:r>
        <w:rPr>
          <w:b/>
          <w:bCs/>
          <w:color w:val="000000" w:themeColor="text1"/>
          <w:sz w:val="18"/>
          <w:szCs w:val="18"/>
        </w:rPr>
        <w:t>b</w:t>
      </w:r>
      <w:r w:rsidRPr="00C523B9">
        <w:rPr>
          <w:color w:val="000000" w:themeColor="text1"/>
          <w:sz w:val="18"/>
          <w:szCs w:val="18"/>
        </w:rPr>
        <w:t xml:space="preserve">=Last minus first measurement / time interval. </w:t>
      </w:r>
      <w:r>
        <w:rPr>
          <w:b/>
          <w:bCs/>
          <w:color w:val="000000" w:themeColor="text1"/>
          <w:sz w:val="18"/>
          <w:szCs w:val="18"/>
        </w:rPr>
        <w:t>c</w:t>
      </w:r>
      <w:r w:rsidRPr="00C523B9">
        <w:rPr>
          <w:color w:val="000000" w:themeColor="text1"/>
          <w:sz w:val="18"/>
          <w:szCs w:val="18"/>
        </w:rPr>
        <w:t xml:space="preserve">=Excludes one extreme outlier. </w:t>
      </w:r>
      <w:r>
        <w:rPr>
          <w:b/>
          <w:bCs/>
          <w:color w:val="000000" w:themeColor="text1"/>
          <w:sz w:val="18"/>
          <w:szCs w:val="18"/>
        </w:rPr>
        <w:t>d</w:t>
      </w:r>
      <w:r w:rsidRPr="00C523B9">
        <w:rPr>
          <w:color w:val="000000" w:themeColor="text1"/>
          <w:sz w:val="18"/>
          <w:szCs w:val="18"/>
        </w:rPr>
        <w:t>=</w:t>
      </w:r>
      <w:r>
        <w:rPr>
          <w:color w:val="000000" w:themeColor="text1"/>
          <w:sz w:val="18"/>
          <w:szCs w:val="18"/>
        </w:rPr>
        <w:t>Excludes</w:t>
      </w:r>
      <w:r w:rsidRPr="00C523B9">
        <w:rPr>
          <w:color w:val="000000" w:themeColor="text1"/>
          <w:sz w:val="18"/>
          <w:szCs w:val="18"/>
        </w:rPr>
        <w:t xml:space="preserve"> </w:t>
      </w:r>
      <w:r>
        <w:rPr>
          <w:color w:val="000000" w:themeColor="text1"/>
          <w:sz w:val="18"/>
          <w:szCs w:val="18"/>
        </w:rPr>
        <w:t xml:space="preserve">one </w:t>
      </w:r>
      <w:r w:rsidRPr="00C523B9">
        <w:rPr>
          <w:color w:val="000000" w:themeColor="text1"/>
          <w:sz w:val="18"/>
          <w:szCs w:val="18"/>
        </w:rPr>
        <w:t>outlier. Variable reflected and then log transformed</w:t>
      </w:r>
      <w:r>
        <w:rPr>
          <w:color w:val="000000" w:themeColor="text1"/>
          <w:sz w:val="18"/>
          <w:szCs w:val="18"/>
        </w:rPr>
        <w:t xml:space="preserve">. </w:t>
      </w:r>
      <w:r w:rsidR="00D402E8">
        <w:rPr>
          <w:color w:val="000000" w:themeColor="text1"/>
          <w:sz w:val="18"/>
          <w:szCs w:val="18"/>
        </w:rPr>
        <w:t xml:space="preserve">Excludes RP of 10 (n=2). </w:t>
      </w:r>
      <w:r>
        <w:rPr>
          <w:color w:val="000000" w:themeColor="text1"/>
          <w:sz w:val="18"/>
          <w:szCs w:val="18"/>
        </w:rPr>
        <w:t>*Statistically significant with p &lt; 0.05.</w:t>
      </w:r>
    </w:p>
    <w:p w14:paraId="2DEC7E20" w14:textId="77777777" w:rsidR="009F07BB" w:rsidRPr="00EF32E7" w:rsidRDefault="009F07BB" w:rsidP="009F07BB">
      <w:pPr>
        <w:pStyle w:val="CommentText"/>
        <w:spacing w:line="200" w:lineRule="exact"/>
        <w:jc w:val="both"/>
        <w:rPr>
          <w:color w:val="000000" w:themeColor="text1"/>
          <w:sz w:val="18"/>
          <w:szCs w:val="18"/>
        </w:rPr>
      </w:pPr>
    </w:p>
    <w:p w14:paraId="34E65201" w14:textId="4A4DE4AB" w:rsidR="009F07BB" w:rsidRDefault="009F07BB" w:rsidP="009F07BB">
      <w:pPr>
        <w:spacing w:line="276" w:lineRule="auto"/>
        <w:jc w:val="both"/>
        <w:rPr>
          <w:rFonts w:cstheme="minorHAnsi"/>
          <w:b/>
          <w:bCs/>
          <w:color w:val="000000" w:themeColor="text1"/>
          <w:sz w:val="22"/>
          <w:szCs w:val="22"/>
        </w:rPr>
      </w:pPr>
    </w:p>
    <w:p w14:paraId="294A5D79" w14:textId="2F312C4A" w:rsidR="00AD1B07" w:rsidRDefault="00AD1B07" w:rsidP="009F07BB">
      <w:pPr>
        <w:spacing w:line="276" w:lineRule="auto"/>
        <w:jc w:val="both"/>
        <w:rPr>
          <w:rFonts w:cstheme="minorHAnsi"/>
          <w:b/>
          <w:bCs/>
          <w:color w:val="000000" w:themeColor="text1"/>
          <w:sz w:val="22"/>
          <w:szCs w:val="22"/>
        </w:rPr>
      </w:pPr>
    </w:p>
    <w:p w14:paraId="0C7CCC35" w14:textId="162B2884" w:rsidR="00AD1B07" w:rsidRDefault="00AD1B07" w:rsidP="009F07BB">
      <w:pPr>
        <w:spacing w:line="276" w:lineRule="auto"/>
        <w:jc w:val="both"/>
        <w:rPr>
          <w:rFonts w:cstheme="minorHAnsi"/>
          <w:b/>
          <w:bCs/>
          <w:color w:val="000000" w:themeColor="text1"/>
          <w:sz w:val="22"/>
          <w:szCs w:val="22"/>
        </w:rPr>
      </w:pPr>
    </w:p>
    <w:p w14:paraId="10BE1CAF" w14:textId="4C41883C" w:rsidR="00AD1B07" w:rsidRDefault="00AD1B07" w:rsidP="009F07BB">
      <w:pPr>
        <w:spacing w:line="276" w:lineRule="auto"/>
        <w:jc w:val="both"/>
        <w:rPr>
          <w:rFonts w:cstheme="minorHAnsi"/>
          <w:b/>
          <w:bCs/>
          <w:color w:val="000000" w:themeColor="text1"/>
          <w:sz w:val="22"/>
          <w:szCs w:val="22"/>
        </w:rPr>
      </w:pPr>
    </w:p>
    <w:p w14:paraId="02E4BB98" w14:textId="77777777" w:rsidR="009F07BB" w:rsidRPr="00B256C8" w:rsidRDefault="009F07BB" w:rsidP="009F07BB">
      <w:pPr>
        <w:rPr>
          <w:rFonts w:cstheme="minorHAnsi"/>
          <w:b/>
          <w:bCs/>
          <w:color w:val="000000" w:themeColor="text1"/>
        </w:rPr>
      </w:pPr>
      <w:r w:rsidRPr="00B256C8">
        <w:rPr>
          <w:rFonts w:cstheme="minorHAnsi"/>
          <w:b/>
          <w:bCs/>
          <w:color w:val="000000" w:themeColor="text1"/>
        </w:rPr>
        <w:lastRenderedPageBreak/>
        <w:t xml:space="preserve">Table 3. Regression analyses of log transformed average total weight and associations with log transformed </w:t>
      </w:r>
      <w:proofErr w:type="spellStart"/>
      <w:r w:rsidRPr="00B256C8">
        <w:rPr>
          <w:rFonts w:cstheme="minorHAnsi"/>
          <w:b/>
          <w:bCs/>
          <w:color w:val="000000" w:themeColor="text1"/>
        </w:rPr>
        <w:t>Retzius</w:t>
      </w:r>
      <w:proofErr w:type="spellEnd"/>
      <w:r w:rsidRPr="00B256C8">
        <w:rPr>
          <w:rFonts w:cstheme="minorHAnsi"/>
          <w:b/>
          <w:bCs/>
          <w:color w:val="000000" w:themeColor="text1"/>
        </w:rPr>
        <w:t xml:space="preserve"> periodicity.</w:t>
      </w:r>
    </w:p>
    <w:tbl>
      <w:tblPr>
        <w:tblStyle w:val="TableGrid"/>
        <w:tblW w:w="9202" w:type="dxa"/>
        <w:tblLook w:val="04A0" w:firstRow="1" w:lastRow="0" w:firstColumn="1" w:lastColumn="0" w:noHBand="0" w:noVBand="1"/>
      </w:tblPr>
      <w:tblGrid>
        <w:gridCol w:w="970"/>
        <w:gridCol w:w="907"/>
        <w:gridCol w:w="968"/>
        <w:gridCol w:w="1004"/>
        <w:gridCol w:w="224"/>
        <w:gridCol w:w="1276"/>
        <w:gridCol w:w="970"/>
        <w:gridCol w:w="907"/>
        <w:gridCol w:w="968"/>
        <w:gridCol w:w="1008"/>
      </w:tblGrid>
      <w:tr w:rsidR="009F07BB" w:rsidRPr="00B256C8" w14:paraId="3858CE15" w14:textId="77777777" w:rsidTr="00532556">
        <w:trPr>
          <w:trHeight w:val="121"/>
        </w:trPr>
        <w:tc>
          <w:tcPr>
            <w:tcW w:w="4073" w:type="dxa"/>
            <w:gridSpan w:val="5"/>
            <w:tcBorders>
              <w:top w:val="single" w:sz="4" w:space="0" w:color="auto"/>
              <w:left w:val="nil"/>
              <w:bottom w:val="nil"/>
              <w:right w:val="nil"/>
            </w:tcBorders>
          </w:tcPr>
          <w:p w14:paraId="1BFD77C9" w14:textId="77777777" w:rsidR="009F07BB" w:rsidRPr="00B256C8" w:rsidRDefault="009F07BB" w:rsidP="00532556">
            <w:pPr>
              <w:jc w:val="center"/>
              <w:rPr>
                <w:rFonts w:cstheme="minorHAnsi"/>
                <w:color w:val="000000" w:themeColor="text1"/>
              </w:rPr>
            </w:pPr>
          </w:p>
        </w:tc>
        <w:tc>
          <w:tcPr>
            <w:tcW w:w="5129" w:type="dxa"/>
            <w:gridSpan w:val="5"/>
            <w:tcBorders>
              <w:top w:val="single" w:sz="4" w:space="0" w:color="auto"/>
              <w:left w:val="nil"/>
              <w:bottom w:val="nil"/>
              <w:right w:val="nil"/>
            </w:tcBorders>
          </w:tcPr>
          <w:p w14:paraId="65E90B06" w14:textId="77777777" w:rsidR="009F07BB" w:rsidRPr="00B256C8" w:rsidRDefault="009F07BB" w:rsidP="00532556">
            <w:pPr>
              <w:jc w:val="center"/>
              <w:rPr>
                <w:rFonts w:cstheme="minorHAnsi"/>
                <w:color w:val="000000" w:themeColor="text1"/>
              </w:rPr>
            </w:pPr>
            <w:r w:rsidRPr="00B256C8">
              <w:rPr>
                <w:rFonts w:cstheme="minorHAnsi"/>
                <w:color w:val="000000" w:themeColor="text1"/>
              </w:rPr>
              <w:t>Quadratic curve</w:t>
            </w:r>
          </w:p>
        </w:tc>
      </w:tr>
      <w:tr w:rsidR="009F07BB" w:rsidRPr="00B256C8" w14:paraId="1AF9295D" w14:textId="77777777" w:rsidTr="00532556">
        <w:trPr>
          <w:trHeight w:val="91"/>
        </w:trPr>
        <w:tc>
          <w:tcPr>
            <w:tcW w:w="4073" w:type="dxa"/>
            <w:gridSpan w:val="5"/>
            <w:tcBorders>
              <w:top w:val="nil"/>
              <w:left w:val="nil"/>
              <w:bottom w:val="single" w:sz="4" w:space="0" w:color="auto"/>
              <w:right w:val="nil"/>
            </w:tcBorders>
          </w:tcPr>
          <w:p w14:paraId="41E6BA7E" w14:textId="77777777" w:rsidR="009F07BB" w:rsidRPr="00B256C8" w:rsidRDefault="009F07BB" w:rsidP="00532556">
            <w:pPr>
              <w:rPr>
                <w:rFonts w:cstheme="minorHAnsi"/>
                <w:color w:val="000000" w:themeColor="text1"/>
              </w:rPr>
            </w:pPr>
            <w:r w:rsidRPr="00B256C8">
              <w:rPr>
                <w:color w:val="000000" w:themeColor="text1"/>
              </w:rPr>
              <w:t>RP in days vs:</w:t>
            </w:r>
          </w:p>
        </w:tc>
        <w:tc>
          <w:tcPr>
            <w:tcW w:w="1276" w:type="dxa"/>
            <w:tcBorders>
              <w:top w:val="nil"/>
              <w:left w:val="nil"/>
              <w:bottom w:val="single" w:sz="4" w:space="0" w:color="auto"/>
              <w:right w:val="nil"/>
            </w:tcBorders>
          </w:tcPr>
          <w:p w14:paraId="4B8D5CD3" w14:textId="77777777" w:rsidR="009F07BB" w:rsidRPr="00B256C8" w:rsidRDefault="009F07BB" w:rsidP="00532556">
            <w:pPr>
              <w:jc w:val="center"/>
              <w:rPr>
                <w:rFonts w:cstheme="minorHAnsi"/>
                <w:color w:val="000000" w:themeColor="text1"/>
              </w:rPr>
            </w:pPr>
            <w:r w:rsidRPr="00B256C8">
              <w:rPr>
                <w:rFonts w:cstheme="minorHAnsi"/>
                <w:color w:val="000000" w:themeColor="text1"/>
              </w:rPr>
              <w:t>Intercept</w:t>
            </w:r>
          </w:p>
        </w:tc>
        <w:tc>
          <w:tcPr>
            <w:tcW w:w="970" w:type="dxa"/>
            <w:tcBorders>
              <w:top w:val="nil"/>
              <w:left w:val="nil"/>
              <w:bottom w:val="single" w:sz="4" w:space="0" w:color="auto"/>
              <w:right w:val="nil"/>
            </w:tcBorders>
          </w:tcPr>
          <w:p w14:paraId="092ED775" w14:textId="77777777" w:rsidR="009F07BB" w:rsidRPr="00B256C8" w:rsidRDefault="009F07BB" w:rsidP="00532556">
            <w:pPr>
              <w:jc w:val="center"/>
              <w:rPr>
                <w:rFonts w:cstheme="minorHAnsi"/>
                <w:color w:val="000000" w:themeColor="text1"/>
              </w:rPr>
            </w:pPr>
            <w:r w:rsidRPr="00B256C8">
              <w:rPr>
                <w:rFonts w:cstheme="minorHAnsi"/>
                <w:color w:val="000000" w:themeColor="text1"/>
              </w:rPr>
              <w:t>Slope</w:t>
            </w:r>
          </w:p>
        </w:tc>
        <w:tc>
          <w:tcPr>
            <w:tcW w:w="907" w:type="dxa"/>
            <w:tcBorders>
              <w:top w:val="nil"/>
              <w:left w:val="nil"/>
              <w:bottom w:val="single" w:sz="4" w:space="0" w:color="auto"/>
              <w:right w:val="nil"/>
            </w:tcBorders>
          </w:tcPr>
          <w:p w14:paraId="650C5DF2" w14:textId="77777777" w:rsidR="009F07BB" w:rsidRPr="00B256C8" w:rsidRDefault="009F07BB" w:rsidP="00532556">
            <w:pPr>
              <w:jc w:val="center"/>
              <w:rPr>
                <w:rFonts w:cstheme="minorHAnsi"/>
                <w:color w:val="000000" w:themeColor="text1"/>
              </w:rPr>
            </w:pPr>
            <w:r w:rsidRPr="00B256C8">
              <w:rPr>
                <w:rFonts w:cstheme="minorHAnsi"/>
                <w:color w:val="000000" w:themeColor="text1"/>
              </w:rPr>
              <w:t>r</w:t>
            </w:r>
          </w:p>
        </w:tc>
        <w:tc>
          <w:tcPr>
            <w:tcW w:w="968" w:type="dxa"/>
            <w:tcBorders>
              <w:top w:val="nil"/>
              <w:left w:val="nil"/>
              <w:bottom w:val="single" w:sz="4" w:space="0" w:color="auto"/>
              <w:right w:val="nil"/>
            </w:tcBorders>
          </w:tcPr>
          <w:p w14:paraId="267D00D4" w14:textId="77777777" w:rsidR="009F07BB" w:rsidRPr="00B256C8" w:rsidRDefault="009F07BB" w:rsidP="00532556">
            <w:pPr>
              <w:jc w:val="center"/>
              <w:rPr>
                <w:rFonts w:cstheme="minorHAnsi"/>
                <w:color w:val="000000" w:themeColor="text1"/>
              </w:rPr>
            </w:pPr>
            <w:r w:rsidRPr="00B256C8">
              <w:rPr>
                <w:rFonts w:cstheme="minorHAnsi"/>
                <w:color w:val="000000" w:themeColor="text1"/>
              </w:rPr>
              <w:t>r</w:t>
            </w:r>
            <w:r w:rsidRPr="00B256C8">
              <w:rPr>
                <w:rFonts w:cstheme="minorHAnsi"/>
                <w:color w:val="000000" w:themeColor="text1"/>
                <w:vertAlign w:val="superscript"/>
              </w:rPr>
              <w:t>2</w:t>
            </w:r>
          </w:p>
        </w:tc>
        <w:tc>
          <w:tcPr>
            <w:tcW w:w="1008" w:type="dxa"/>
            <w:tcBorders>
              <w:top w:val="nil"/>
              <w:left w:val="nil"/>
              <w:bottom w:val="single" w:sz="4" w:space="0" w:color="auto"/>
              <w:right w:val="nil"/>
            </w:tcBorders>
          </w:tcPr>
          <w:p w14:paraId="24959EC8" w14:textId="77777777" w:rsidR="009F07BB" w:rsidRPr="00B256C8" w:rsidRDefault="009F07BB" w:rsidP="00532556">
            <w:pPr>
              <w:jc w:val="center"/>
              <w:rPr>
                <w:rFonts w:cstheme="minorHAnsi"/>
                <w:i/>
                <w:iCs/>
                <w:color w:val="000000" w:themeColor="text1"/>
              </w:rPr>
            </w:pPr>
            <w:r w:rsidRPr="00B256C8">
              <w:rPr>
                <w:rFonts w:cstheme="minorHAnsi"/>
                <w:i/>
                <w:iCs/>
                <w:color w:val="000000" w:themeColor="text1"/>
              </w:rPr>
              <w:t>p</w:t>
            </w:r>
          </w:p>
        </w:tc>
      </w:tr>
      <w:tr w:rsidR="009F07BB" w:rsidRPr="00B256C8" w14:paraId="6033BB8D" w14:textId="77777777" w:rsidTr="00532556">
        <w:trPr>
          <w:gridAfter w:val="6"/>
          <w:wAfter w:w="5353" w:type="dxa"/>
          <w:trHeight w:val="67"/>
        </w:trPr>
        <w:tc>
          <w:tcPr>
            <w:tcW w:w="970" w:type="dxa"/>
            <w:tcBorders>
              <w:top w:val="single" w:sz="4" w:space="0" w:color="auto"/>
              <w:left w:val="nil"/>
              <w:bottom w:val="nil"/>
              <w:right w:val="nil"/>
            </w:tcBorders>
          </w:tcPr>
          <w:p w14:paraId="63B48BEE" w14:textId="77777777" w:rsidR="009F07BB" w:rsidRPr="00B256C8" w:rsidRDefault="009F07BB" w:rsidP="00532556">
            <w:pPr>
              <w:rPr>
                <w:rFonts w:cstheme="minorHAnsi"/>
                <w:color w:val="000000" w:themeColor="text1"/>
                <w:sz w:val="8"/>
                <w:szCs w:val="8"/>
              </w:rPr>
            </w:pPr>
          </w:p>
        </w:tc>
        <w:tc>
          <w:tcPr>
            <w:tcW w:w="907" w:type="dxa"/>
            <w:tcBorders>
              <w:top w:val="single" w:sz="4" w:space="0" w:color="auto"/>
              <w:left w:val="nil"/>
              <w:bottom w:val="nil"/>
              <w:right w:val="nil"/>
            </w:tcBorders>
          </w:tcPr>
          <w:p w14:paraId="20691DAD" w14:textId="77777777" w:rsidR="009F07BB" w:rsidRPr="00B256C8" w:rsidRDefault="009F07BB" w:rsidP="00532556">
            <w:pPr>
              <w:rPr>
                <w:rFonts w:cstheme="minorHAnsi"/>
                <w:color w:val="000000" w:themeColor="text1"/>
                <w:sz w:val="8"/>
                <w:szCs w:val="8"/>
              </w:rPr>
            </w:pPr>
          </w:p>
        </w:tc>
        <w:tc>
          <w:tcPr>
            <w:tcW w:w="968" w:type="dxa"/>
            <w:tcBorders>
              <w:top w:val="single" w:sz="4" w:space="0" w:color="auto"/>
              <w:left w:val="nil"/>
              <w:bottom w:val="nil"/>
              <w:right w:val="nil"/>
            </w:tcBorders>
          </w:tcPr>
          <w:p w14:paraId="7BA4451E" w14:textId="77777777" w:rsidR="009F07BB" w:rsidRPr="00B256C8" w:rsidRDefault="009F07BB" w:rsidP="00532556">
            <w:pPr>
              <w:rPr>
                <w:rFonts w:cstheme="minorHAnsi"/>
                <w:color w:val="000000" w:themeColor="text1"/>
                <w:sz w:val="8"/>
                <w:szCs w:val="8"/>
              </w:rPr>
            </w:pPr>
          </w:p>
        </w:tc>
        <w:tc>
          <w:tcPr>
            <w:tcW w:w="1004" w:type="dxa"/>
            <w:tcBorders>
              <w:top w:val="single" w:sz="4" w:space="0" w:color="auto"/>
              <w:left w:val="nil"/>
              <w:bottom w:val="nil"/>
              <w:right w:val="nil"/>
            </w:tcBorders>
          </w:tcPr>
          <w:p w14:paraId="67FC96D8" w14:textId="77777777" w:rsidR="009F07BB" w:rsidRPr="00B256C8" w:rsidRDefault="009F07BB" w:rsidP="00532556">
            <w:pPr>
              <w:rPr>
                <w:rFonts w:cstheme="minorHAnsi"/>
                <w:b/>
                <w:bCs/>
                <w:color w:val="000000" w:themeColor="text1"/>
                <w:sz w:val="8"/>
                <w:szCs w:val="8"/>
              </w:rPr>
            </w:pPr>
          </w:p>
        </w:tc>
      </w:tr>
      <w:tr w:rsidR="009F07BB" w:rsidRPr="00B256C8" w14:paraId="76803564" w14:textId="77777777" w:rsidTr="00532556">
        <w:trPr>
          <w:trHeight w:hRule="exact" w:val="113"/>
        </w:trPr>
        <w:tc>
          <w:tcPr>
            <w:tcW w:w="4073" w:type="dxa"/>
            <w:gridSpan w:val="5"/>
            <w:tcBorders>
              <w:top w:val="nil"/>
              <w:left w:val="nil"/>
              <w:bottom w:val="nil"/>
              <w:right w:val="nil"/>
            </w:tcBorders>
            <w:noWrap/>
          </w:tcPr>
          <w:p w14:paraId="3BAEFD52" w14:textId="77777777" w:rsidR="009F07BB" w:rsidRPr="00B256C8" w:rsidRDefault="009F07BB" w:rsidP="00532556">
            <w:pPr>
              <w:spacing w:line="280" w:lineRule="exact"/>
              <w:ind w:left="462" w:hanging="462"/>
              <w:rPr>
                <w:color w:val="000000" w:themeColor="text1"/>
                <w:sz w:val="6"/>
                <w:szCs w:val="6"/>
              </w:rPr>
            </w:pPr>
          </w:p>
        </w:tc>
        <w:tc>
          <w:tcPr>
            <w:tcW w:w="1276" w:type="dxa"/>
            <w:tcBorders>
              <w:top w:val="nil"/>
              <w:left w:val="nil"/>
              <w:bottom w:val="nil"/>
              <w:right w:val="nil"/>
            </w:tcBorders>
            <w:noWrap/>
          </w:tcPr>
          <w:p w14:paraId="4338F83F" w14:textId="77777777" w:rsidR="009F07BB" w:rsidRPr="00B256C8" w:rsidRDefault="009F07BB" w:rsidP="00532556">
            <w:pPr>
              <w:spacing w:line="280" w:lineRule="exact"/>
              <w:jc w:val="center"/>
              <w:rPr>
                <w:color w:val="000000" w:themeColor="text1"/>
                <w:sz w:val="6"/>
                <w:szCs w:val="6"/>
              </w:rPr>
            </w:pPr>
          </w:p>
        </w:tc>
        <w:tc>
          <w:tcPr>
            <w:tcW w:w="970" w:type="dxa"/>
            <w:tcBorders>
              <w:top w:val="nil"/>
              <w:left w:val="nil"/>
              <w:bottom w:val="nil"/>
              <w:right w:val="nil"/>
            </w:tcBorders>
            <w:noWrap/>
          </w:tcPr>
          <w:p w14:paraId="7B987155" w14:textId="77777777" w:rsidR="009F07BB" w:rsidRPr="00B256C8" w:rsidRDefault="009F07BB" w:rsidP="00532556">
            <w:pPr>
              <w:spacing w:line="280" w:lineRule="exact"/>
              <w:jc w:val="center"/>
              <w:rPr>
                <w:color w:val="000000" w:themeColor="text1"/>
                <w:sz w:val="6"/>
                <w:szCs w:val="6"/>
              </w:rPr>
            </w:pPr>
          </w:p>
        </w:tc>
        <w:tc>
          <w:tcPr>
            <w:tcW w:w="907" w:type="dxa"/>
            <w:tcBorders>
              <w:top w:val="nil"/>
              <w:left w:val="nil"/>
              <w:bottom w:val="nil"/>
              <w:right w:val="nil"/>
            </w:tcBorders>
            <w:noWrap/>
          </w:tcPr>
          <w:p w14:paraId="2240D207" w14:textId="77777777" w:rsidR="009F07BB" w:rsidRPr="00B256C8" w:rsidRDefault="009F07BB" w:rsidP="00532556">
            <w:pPr>
              <w:spacing w:line="280" w:lineRule="exact"/>
              <w:jc w:val="center"/>
              <w:rPr>
                <w:color w:val="000000" w:themeColor="text1"/>
                <w:sz w:val="6"/>
                <w:szCs w:val="6"/>
              </w:rPr>
            </w:pPr>
          </w:p>
        </w:tc>
        <w:tc>
          <w:tcPr>
            <w:tcW w:w="968" w:type="dxa"/>
            <w:tcBorders>
              <w:top w:val="nil"/>
              <w:left w:val="nil"/>
              <w:bottom w:val="nil"/>
              <w:right w:val="nil"/>
            </w:tcBorders>
            <w:noWrap/>
          </w:tcPr>
          <w:p w14:paraId="2BC60BAB" w14:textId="77777777" w:rsidR="009F07BB" w:rsidRPr="00B256C8" w:rsidRDefault="009F07BB" w:rsidP="00532556">
            <w:pPr>
              <w:spacing w:line="280" w:lineRule="exact"/>
              <w:jc w:val="center"/>
              <w:rPr>
                <w:color w:val="000000" w:themeColor="text1"/>
                <w:sz w:val="6"/>
                <w:szCs w:val="6"/>
              </w:rPr>
            </w:pPr>
          </w:p>
        </w:tc>
        <w:tc>
          <w:tcPr>
            <w:tcW w:w="1008" w:type="dxa"/>
            <w:tcBorders>
              <w:top w:val="nil"/>
              <w:left w:val="nil"/>
              <w:bottom w:val="nil"/>
              <w:right w:val="nil"/>
            </w:tcBorders>
            <w:noWrap/>
          </w:tcPr>
          <w:p w14:paraId="67BA70A4" w14:textId="77777777" w:rsidR="009F07BB" w:rsidRPr="00B256C8" w:rsidRDefault="009F07BB" w:rsidP="00532556">
            <w:pPr>
              <w:spacing w:line="280" w:lineRule="exact"/>
              <w:jc w:val="center"/>
              <w:rPr>
                <w:b/>
                <w:bCs/>
                <w:color w:val="000000" w:themeColor="text1"/>
                <w:sz w:val="6"/>
                <w:szCs w:val="6"/>
              </w:rPr>
            </w:pPr>
          </w:p>
        </w:tc>
      </w:tr>
      <w:tr w:rsidR="009F07BB" w:rsidRPr="00B256C8" w14:paraId="586B4963" w14:textId="77777777" w:rsidTr="00532556">
        <w:trPr>
          <w:trHeight w:val="144"/>
        </w:trPr>
        <w:tc>
          <w:tcPr>
            <w:tcW w:w="4073" w:type="dxa"/>
            <w:gridSpan w:val="5"/>
            <w:tcBorders>
              <w:top w:val="nil"/>
              <w:left w:val="nil"/>
              <w:bottom w:val="nil"/>
              <w:right w:val="nil"/>
            </w:tcBorders>
            <w:noWrap/>
          </w:tcPr>
          <w:p w14:paraId="2F8D3A29" w14:textId="77777777" w:rsidR="009F07BB" w:rsidRPr="00E5784B" w:rsidRDefault="009F07BB" w:rsidP="00532556">
            <w:pPr>
              <w:spacing w:line="280" w:lineRule="exact"/>
              <w:ind w:left="462" w:hanging="462"/>
              <w:rPr>
                <w:color w:val="000000" w:themeColor="text1"/>
              </w:rPr>
            </w:pPr>
            <w:r w:rsidRPr="00E5784B">
              <w:rPr>
                <w:color w:val="000000" w:themeColor="text1"/>
              </w:rPr>
              <w:t xml:space="preserve">Average weight over 14 months in kg </w:t>
            </w:r>
          </w:p>
        </w:tc>
        <w:tc>
          <w:tcPr>
            <w:tcW w:w="1276" w:type="dxa"/>
            <w:tcBorders>
              <w:top w:val="nil"/>
              <w:left w:val="nil"/>
              <w:bottom w:val="nil"/>
              <w:right w:val="nil"/>
            </w:tcBorders>
            <w:noWrap/>
          </w:tcPr>
          <w:p w14:paraId="57FD020C" w14:textId="77777777" w:rsidR="009F07BB" w:rsidRPr="00B256C8" w:rsidRDefault="009F07BB" w:rsidP="00532556">
            <w:pPr>
              <w:spacing w:line="280" w:lineRule="exact"/>
              <w:jc w:val="center"/>
              <w:rPr>
                <w:color w:val="000000" w:themeColor="text1"/>
              </w:rPr>
            </w:pPr>
          </w:p>
        </w:tc>
        <w:tc>
          <w:tcPr>
            <w:tcW w:w="970" w:type="dxa"/>
            <w:tcBorders>
              <w:top w:val="nil"/>
              <w:left w:val="nil"/>
              <w:bottom w:val="nil"/>
              <w:right w:val="nil"/>
            </w:tcBorders>
            <w:noWrap/>
          </w:tcPr>
          <w:p w14:paraId="20446752" w14:textId="77777777" w:rsidR="009F07BB" w:rsidRPr="00B256C8" w:rsidRDefault="009F07BB" w:rsidP="00532556">
            <w:pPr>
              <w:spacing w:line="280" w:lineRule="exact"/>
              <w:jc w:val="center"/>
              <w:rPr>
                <w:color w:val="000000" w:themeColor="text1"/>
              </w:rPr>
            </w:pPr>
          </w:p>
        </w:tc>
        <w:tc>
          <w:tcPr>
            <w:tcW w:w="907" w:type="dxa"/>
            <w:tcBorders>
              <w:top w:val="nil"/>
              <w:left w:val="nil"/>
              <w:bottom w:val="nil"/>
              <w:right w:val="nil"/>
            </w:tcBorders>
            <w:noWrap/>
          </w:tcPr>
          <w:p w14:paraId="7B3C69E9" w14:textId="77777777" w:rsidR="009F07BB" w:rsidRPr="00B256C8" w:rsidRDefault="009F07BB" w:rsidP="00532556">
            <w:pPr>
              <w:spacing w:line="280" w:lineRule="exact"/>
              <w:jc w:val="center"/>
              <w:rPr>
                <w:color w:val="000000" w:themeColor="text1"/>
              </w:rPr>
            </w:pPr>
          </w:p>
        </w:tc>
        <w:tc>
          <w:tcPr>
            <w:tcW w:w="968" w:type="dxa"/>
            <w:tcBorders>
              <w:top w:val="nil"/>
              <w:left w:val="nil"/>
              <w:bottom w:val="nil"/>
              <w:right w:val="nil"/>
            </w:tcBorders>
            <w:noWrap/>
          </w:tcPr>
          <w:p w14:paraId="57B80787" w14:textId="77777777" w:rsidR="009F07BB" w:rsidRPr="00B256C8" w:rsidRDefault="009F07BB" w:rsidP="00532556">
            <w:pPr>
              <w:spacing w:line="280" w:lineRule="exact"/>
              <w:jc w:val="center"/>
              <w:rPr>
                <w:color w:val="000000" w:themeColor="text1"/>
              </w:rPr>
            </w:pPr>
          </w:p>
        </w:tc>
        <w:tc>
          <w:tcPr>
            <w:tcW w:w="1008" w:type="dxa"/>
            <w:tcBorders>
              <w:top w:val="nil"/>
              <w:left w:val="nil"/>
              <w:bottom w:val="nil"/>
              <w:right w:val="nil"/>
            </w:tcBorders>
            <w:noWrap/>
          </w:tcPr>
          <w:p w14:paraId="4A05B7DC" w14:textId="77777777" w:rsidR="009F07BB" w:rsidRPr="00B256C8" w:rsidRDefault="009F07BB" w:rsidP="00532556">
            <w:pPr>
              <w:spacing w:line="280" w:lineRule="exact"/>
              <w:jc w:val="center"/>
              <w:rPr>
                <w:b/>
                <w:bCs/>
                <w:color w:val="000000" w:themeColor="text1"/>
              </w:rPr>
            </w:pPr>
          </w:p>
        </w:tc>
      </w:tr>
      <w:tr w:rsidR="009F07BB" w:rsidRPr="00B256C8" w14:paraId="222C40DD" w14:textId="77777777" w:rsidTr="00532556">
        <w:trPr>
          <w:trHeight w:val="144"/>
        </w:trPr>
        <w:tc>
          <w:tcPr>
            <w:tcW w:w="4073" w:type="dxa"/>
            <w:gridSpan w:val="5"/>
            <w:tcBorders>
              <w:top w:val="nil"/>
              <w:left w:val="nil"/>
              <w:bottom w:val="nil"/>
              <w:right w:val="nil"/>
            </w:tcBorders>
            <w:noWrap/>
          </w:tcPr>
          <w:p w14:paraId="26EB4C55" w14:textId="77777777" w:rsidR="009F07BB" w:rsidRPr="00E5784B" w:rsidRDefault="009F07BB" w:rsidP="00532556">
            <w:pPr>
              <w:spacing w:line="280" w:lineRule="exact"/>
              <w:ind w:left="462" w:hanging="462"/>
              <w:rPr>
                <w:color w:val="000000" w:themeColor="text1"/>
              </w:rPr>
            </w:pPr>
          </w:p>
        </w:tc>
        <w:tc>
          <w:tcPr>
            <w:tcW w:w="1276" w:type="dxa"/>
            <w:tcBorders>
              <w:top w:val="nil"/>
              <w:left w:val="nil"/>
              <w:bottom w:val="nil"/>
              <w:right w:val="nil"/>
            </w:tcBorders>
            <w:noWrap/>
          </w:tcPr>
          <w:p w14:paraId="2BDC2BE7" w14:textId="77777777" w:rsidR="009F07BB" w:rsidRPr="00B256C8" w:rsidRDefault="009F07BB" w:rsidP="00532556">
            <w:pPr>
              <w:spacing w:line="280" w:lineRule="exact"/>
              <w:jc w:val="center"/>
              <w:rPr>
                <w:color w:val="000000" w:themeColor="text1"/>
              </w:rPr>
            </w:pPr>
            <w:r w:rsidRPr="00B256C8">
              <w:rPr>
                <w:color w:val="000000" w:themeColor="text1"/>
              </w:rPr>
              <w:t>-0.</w:t>
            </w:r>
            <w:r>
              <w:rPr>
                <w:color w:val="000000" w:themeColor="text1"/>
              </w:rPr>
              <w:t>375</w:t>
            </w:r>
          </w:p>
        </w:tc>
        <w:tc>
          <w:tcPr>
            <w:tcW w:w="970" w:type="dxa"/>
            <w:tcBorders>
              <w:top w:val="nil"/>
              <w:left w:val="nil"/>
              <w:bottom w:val="nil"/>
              <w:right w:val="nil"/>
            </w:tcBorders>
            <w:noWrap/>
          </w:tcPr>
          <w:p w14:paraId="388CFA49" w14:textId="77777777" w:rsidR="009F07BB" w:rsidRPr="00B256C8" w:rsidRDefault="009F07BB" w:rsidP="00532556">
            <w:pPr>
              <w:spacing w:line="280" w:lineRule="exact"/>
              <w:jc w:val="center"/>
              <w:rPr>
                <w:color w:val="000000" w:themeColor="text1"/>
              </w:rPr>
            </w:pPr>
            <w:r>
              <w:rPr>
                <w:color w:val="000000" w:themeColor="text1"/>
              </w:rPr>
              <w:t>4.431</w:t>
            </w:r>
          </w:p>
        </w:tc>
        <w:tc>
          <w:tcPr>
            <w:tcW w:w="907" w:type="dxa"/>
            <w:tcBorders>
              <w:top w:val="nil"/>
              <w:left w:val="nil"/>
              <w:bottom w:val="nil"/>
              <w:right w:val="nil"/>
            </w:tcBorders>
            <w:noWrap/>
          </w:tcPr>
          <w:p w14:paraId="136A934C" w14:textId="77777777" w:rsidR="009F07BB" w:rsidRPr="00B256C8" w:rsidRDefault="009F07BB" w:rsidP="00532556">
            <w:pPr>
              <w:spacing w:line="280" w:lineRule="exact"/>
              <w:jc w:val="center"/>
              <w:rPr>
                <w:color w:val="000000" w:themeColor="text1"/>
              </w:rPr>
            </w:pPr>
            <w:r w:rsidRPr="00B256C8">
              <w:rPr>
                <w:color w:val="000000" w:themeColor="text1"/>
              </w:rPr>
              <w:t>0.</w:t>
            </w:r>
            <w:r>
              <w:rPr>
                <w:color w:val="000000" w:themeColor="text1"/>
              </w:rPr>
              <w:t>333</w:t>
            </w:r>
          </w:p>
        </w:tc>
        <w:tc>
          <w:tcPr>
            <w:tcW w:w="968" w:type="dxa"/>
            <w:tcBorders>
              <w:top w:val="nil"/>
              <w:left w:val="nil"/>
              <w:bottom w:val="nil"/>
              <w:right w:val="nil"/>
            </w:tcBorders>
            <w:noWrap/>
          </w:tcPr>
          <w:p w14:paraId="7AA176BD" w14:textId="77777777" w:rsidR="009F07BB" w:rsidRPr="00B256C8" w:rsidRDefault="009F07BB" w:rsidP="00532556">
            <w:pPr>
              <w:spacing w:line="280" w:lineRule="exact"/>
              <w:jc w:val="center"/>
              <w:rPr>
                <w:color w:val="000000" w:themeColor="text1"/>
              </w:rPr>
            </w:pPr>
            <w:r w:rsidRPr="00B256C8">
              <w:rPr>
                <w:color w:val="000000" w:themeColor="text1"/>
              </w:rPr>
              <w:t>0.1</w:t>
            </w:r>
            <w:r>
              <w:rPr>
                <w:color w:val="000000" w:themeColor="text1"/>
              </w:rPr>
              <w:t>11</w:t>
            </w:r>
          </w:p>
        </w:tc>
        <w:tc>
          <w:tcPr>
            <w:tcW w:w="1008" w:type="dxa"/>
            <w:tcBorders>
              <w:top w:val="nil"/>
              <w:left w:val="nil"/>
              <w:bottom w:val="nil"/>
              <w:right w:val="nil"/>
            </w:tcBorders>
            <w:noWrap/>
          </w:tcPr>
          <w:p w14:paraId="1F553057" w14:textId="77777777" w:rsidR="009F07BB" w:rsidRPr="00E5784B" w:rsidRDefault="009F07BB" w:rsidP="00532556">
            <w:pPr>
              <w:spacing w:line="280" w:lineRule="exact"/>
              <w:jc w:val="center"/>
              <w:rPr>
                <w:color w:val="000000" w:themeColor="text1"/>
              </w:rPr>
            </w:pPr>
            <w:r w:rsidRPr="00E5784B">
              <w:rPr>
                <w:color w:val="000000" w:themeColor="text1"/>
              </w:rPr>
              <w:t>0.</w:t>
            </w:r>
            <w:r>
              <w:rPr>
                <w:color w:val="000000" w:themeColor="text1"/>
              </w:rPr>
              <w:t>035</w:t>
            </w:r>
            <w:r w:rsidRPr="00E5784B">
              <w:rPr>
                <w:color w:val="000000" w:themeColor="text1"/>
              </w:rPr>
              <w:t>*</w:t>
            </w:r>
          </w:p>
        </w:tc>
      </w:tr>
      <w:tr w:rsidR="009F07BB" w:rsidRPr="00B256C8" w14:paraId="1923AED5" w14:textId="77777777" w:rsidTr="00532556">
        <w:trPr>
          <w:trHeight w:val="144"/>
        </w:trPr>
        <w:tc>
          <w:tcPr>
            <w:tcW w:w="4073" w:type="dxa"/>
            <w:gridSpan w:val="5"/>
            <w:tcBorders>
              <w:top w:val="nil"/>
              <w:left w:val="nil"/>
              <w:bottom w:val="nil"/>
              <w:right w:val="nil"/>
            </w:tcBorders>
            <w:noWrap/>
          </w:tcPr>
          <w:p w14:paraId="16C12E29" w14:textId="0CD18AC6" w:rsidR="009F07BB" w:rsidRPr="00E5784B" w:rsidRDefault="009F07BB" w:rsidP="00532556">
            <w:pPr>
              <w:spacing w:line="280" w:lineRule="exact"/>
              <w:ind w:left="462" w:hanging="462"/>
              <w:rPr>
                <w:color w:val="000000" w:themeColor="text1"/>
              </w:rPr>
            </w:pPr>
            <w:r w:rsidRPr="00E5784B">
              <w:rPr>
                <w:color w:val="000000" w:themeColor="text1"/>
              </w:rPr>
              <w:t xml:space="preserve">Average monthly weight in </w:t>
            </w:r>
            <w:proofErr w:type="spellStart"/>
            <w:r w:rsidRPr="00E5784B">
              <w:rPr>
                <w:color w:val="000000" w:themeColor="text1"/>
              </w:rPr>
              <w:t>kg</w:t>
            </w:r>
            <w:r w:rsidR="00D51C51" w:rsidRPr="00DF6647">
              <w:rPr>
                <w:b/>
                <w:bCs/>
                <w:color w:val="000000" w:themeColor="text1"/>
                <w:vertAlign w:val="superscript"/>
              </w:rPr>
              <w:t>a</w:t>
            </w:r>
            <w:proofErr w:type="spellEnd"/>
          </w:p>
        </w:tc>
        <w:tc>
          <w:tcPr>
            <w:tcW w:w="1276" w:type="dxa"/>
            <w:tcBorders>
              <w:top w:val="nil"/>
              <w:left w:val="nil"/>
              <w:bottom w:val="nil"/>
              <w:right w:val="nil"/>
            </w:tcBorders>
            <w:noWrap/>
          </w:tcPr>
          <w:p w14:paraId="0C14A680" w14:textId="77777777" w:rsidR="009F07BB" w:rsidRPr="00B256C8" w:rsidRDefault="009F07BB" w:rsidP="00532556">
            <w:pPr>
              <w:spacing w:line="280" w:lineRule="exact"/>
              <w:jc w:val="center"/>
              <w:rPr>
                <w:color w:val="000000" w:themeColor="text1"/>
              </w:rPr>
            </w:pPr>
          </w:p>
        </w:tc>
        <w:tc>
          <w:tcPr>
            <w:tcW w:w="970" w:type="dxa"/>
            <w:tcBorders>
              <w:top w:val="nil"/>
              <w:left w:val="nil"/>
              <w:bottom w:val="nil"/>
              <w:right w:val="nil"/>
            </w:tcBorders>
            <w:noWrap/>
          </w:tcPr>
          <w:p w14:paraId="0F443A8B" w14:textId="77777777" w:rsidR="009F07BB" w:rsidRPr="00B256C8" w:rsidRDefault="009F07BB" w:rsidP="00532556">
            <w:pPr>
              <w:spacing w:line="280" w:lineRule="exact"/>
              <w:jc w:val="center"/>
              <w:rPr>
                <w:color w:val="000000" w:themeColor="text1"/>
              </w:rPr>
            </w:pPr>
          </w:p>
        </w:tc>
        <w:tc>
          <w:tcPr>
            <w:tcW w:w="907" w:type="dxa"/>
            <w:tcBorders>
              <w:top w:val="nil"/>
              <w:left w:val="nil"/>
              <w:bottom w:val="nil"/>
              <w:right w:val="nil"/>
            </w:tcBorders>
            <w:noWrap/>
          </w:tcPr>
          <w:p w14:paraId="4786A942" w14:textId="77777777" w:rsidR="009F07BB" w:rsidRPr="00B256C8" w:rsidRDefault="009F07BB" w:rsidP="00532556">
            <w:pPr>
              <w:spacing w:line="280" w:lineRule="exact"/>
              <w:jc w:val="center"/>
              <w:rPr>
                <w:color w:val="000000" w:themeColor="text1"/>
              </w:rPr>
            </w:pPr>
          </w:p>
        </w:tc>
        <w:tc>
          <w:tcPr>
            <w:tcW w:w="968" w:type="dxa"/>
            <w:tcBorders>
              <w:top w:val="nil"/>
              <w:left w:val="nil"/>
              <w:bottom w:val="nil"/>
              <w:right w:val="nil"/>
            </w:tcBorders>
            <w:noWrap/>
          </w:tcPr>
          <w:p w14:paraId="14181CC0" w14:textId="77777777" w:rsidR="009F07BB" w:rsidRPr="00B256C8" w:rsidRDefault="009F07BB" w:rsidP="00532556">
            <w:pPr>
              <w:spacing w:line="280" w:lineRule="exact"/>
              <w:jc w:val="center"/>
              <w:rPr>
                <w:color w:val="000000" w:themeColor="text1"/>
              </w:rPr>
            </w:pPr>
          </w:p>
        </w:tc>
        <w:tc>
          <w:tcPr>
            <w:tcW w:w="1008" w:type="dxa"/>
            <w:tcBorders>
              <w:top w:val="nil"/>
              <w:left w:val="nil"/>
              <w:bottom w:val="nil"/>
              <w:right w:val="nil"/>
            </w:tcBorders>
            <w:noWrap/>
          </w:tcPr>
          <w:p w14:paraId="7C13A812" w14:textId="77777777" w:rsidR="009F07BB" w:rsidRPr="00E5784B" w:rsidRDefault="009F07BB" w:rsidP="00532556">
            <w:pPr>
              <w:spacing w:line="280" w:lineRule="exact"/>
              <w:jc w:val="center"/>
              <w:rPr>
                <w:color w:val="000000" w:themeColor="text1"/>
              </w:rPr>
            </w:pPr>
          </w:p>
        </w:tc>
      </w:tr>
      <w:tr w:rsidR="009F07BB" w:rsidRPr="00B256C8" w14:paraId="220F0A6C" w14:textId="77777777" w:rsidTr="00532556">
        <w:trPr>
          <w:trHeight w:val="144"/>
        </w:trPr>
        <w:tc>
          <w:tcPr>
            <w:tcW w:w="4073" w:type="dxa"/>
            <w:gridSpan w:val="5"/>
            <w:tcBorders>
              <w:top w:val="nil"/>
              <w:left w:val="nil"/>
              <w:bottom w:val="nil"/>
              <w:right w:val="nil"/>
            </w:tcBorders>
            <w:noWrap/>
          </w:tcPr>
          <w:p w14:paraId="08F6D143" w14:textId="3C6C55FA" w:rsidR="009F07BB" w:rsidRPr="00B256C8" w:rsidRDefault="009F07BB" w:rsidP="00532556">
            <w:pPr>
              <w:spacing w:line="280" w:lineRule="exact"/>
              <w:ind w:left="462" w:hanging="462"/>
              <w:jc w:val="center"/>
              <w:rPr>
                <w:color w:val="000000" w:themeColor="text1"/>
              </w:rPr>
            </w:pPr>
            <w:r w:rsidRPr="00B256C8">
              <w:rPr>
                <w:color w:val="000000" w:themeColor="text1"/>
              </w:rPr>
              <w:t xml:space="preserve"> </w:t>
            </w:r>
            <w:r w:rsidR="00AD1B07">
              <w:rPr>
                <w:color w:val="000000" w:themeColor="text1"/>
              </w:rPr>
              <w:t xml:space="preserve">     </w:t>
            </w:r>
            <w:r w:rsidRPr="00B256C8">
              <w:rPr>
                <w:color w:val="000000" w:themeColor="text1"/>
              </w:rPr>
              <w:t>Aug 2020</w:t>
            </w:r>
          </w:p>
        </w:tc>
        <w:tc>
          <w:tcPr>
            <w:tcW w:w="1276" w:type="dxa"/>
            <w:tcBorders>
              <w:top w:val="nil"/>
              <w:left w:val="nil"/>
              <w:bottom w:val="nil"/>
              <w:right w:val="nil"/>
            </w:tcBorders>
            <w:noWrap/>
          </w:tcPr>
          <w:p w14:paraId="7FC6AD6F" w14:textId="77777777" w:rsidR="009F07BB" w:rsidRPr="00B256C8" w:rsidRDefault="009F07BB" w:rsidP="00532556">
            <w:pPr>
              <w:spacing w:line="280" w:lineRule="exact"/>
              <w:jc w:val="center"/>
              <w:rPr>
                <w:color w:val="000000" w:themeColor="text1"/>
              </w:rPr>
            </w:pPr>
            <w:r w:rsidRPr="00B256C8">
              <w:rPr>
                <w:color w:val="000000" w:themeColor="text1"/>
              </w:rPr>
              <w:t>-2.1</w:t>
            </w:r>
            <w:r>
              <w:rPr>
                <w:color w:val="000000" w:themeColor="text1"/>
              </w:rPr>
              <w:t>32</w:t>
            </w:r>
          </w:p>
        </w:tc>
        <w:tc>
          <w:tcPr>
            <w:tcW w:w="970" w:type="dxa"/>
            <w:tcBorders>
              <w:top w:val="nil"/>
              <w:left w:val="nil"/>
              <w:bottom w:val="nil"/>
              <w:right w:val="nil"/>
            </w:tcBorders>
            <w:noWrap/>
          </w:tcPr>
          <w:p w14:paraId="03F88113" w14:textId="77777777" w:rsidR="009F07BB" w:rsidRPr="00B256C8" w:rsidRDefault="009F07BB" w:rsidP="00532556">
            <w:pPr>
              <w:spacing w:line="280" w:lineRule="exact"/>
              <w:jc w:val="center"/>
              <w:rPr>
                <w:color w:val="000000" w:themeColor="text1"/>
              </w:rPr>
            </w:pPr>
            <w:r w:rsidRPr="00B256C8">
              <w:rPr>
                <w:color w:val="000000" w:themeColor="text1"/>
              </w:rPr>
              <w:t>8.</w:t>
            </w:r>
            <w:r>
              <w:rPr>
                <w:color w:val="000000" w:themeColor="text1"/>
              </w:rPr>
              <w:t>829</w:t>
            </w:r>
          </w:p>
        </w:tc>
        <w:tc>
          <w:tcPr>
            <w:tcW w:w="907" w:type="dxa"/>
            <w:tcBorders>
              <w:top w:val="nil"/>
              <w:left w:val="nil"/>
              <w:bottom w:val="nil"/>
              <w:right w:val="nil"/>
            </w:tcBorders>
            <w:noWrap/>
          </w:tcPr>
          <w:p w14:paraId="6F7C7238" w14:textId="77777777" w:rsidR="009F07BB" w:rsidRPr="00B256C8" w:rsidRDefault="009F07BB" w:rsidP="00532556">
            <w:pPr>
              <w:spacing w:line="280" w:lineRule="exact"/>
              <w:jc w:val="center"/>
              <w:rPr>
                <w:color w:val="000000" w:themeColor="text1"/>
              </w:rPr>
            </w:pPr>
            <w:r w:rsidRPr="00B256C8">
              <w:rPr>
                <w:color w:val="000000" w:themeColor="text1"/>
              </w:rPr>
              <w:t>0</w:t>
            </w:r>
            <w:r>
              <w:rPr>
                <w:color w:val="000000" w:themeColor="text1"/>
              </w:rPr>
              <w:t>.401</w:t>
            </w:r>
          </w:p>
        </w:tc>
        <w:tc>
          <w:tcPr>
            <w:tcW w:w="968" w:type="dxa"/>
            <w:tcBorders>
              <w:top w:val="nil"/>
              <w:left w:val="nil"/>
              <w:bottom w:val="nil"/>
              <w:right w:val="nil"/>
            </w:tcBorders>
            <w:noWrap/>
          </w:tcPr>
          <w:p w14:paraId="1436B0A7" w14:textId="77777777" w:rsidR="009F07BB" w:rsidRPr="00B256C8" w:rsidRDefault="009F07BB" w:rsidP="00532556">
            <w:pPr>
              <w:spacing w:line="280" w:lineRule="exact"/>
              <w:jc w:val="center"/>
              <w:rPr>
                <w:color w:val="000000" w:themeColor="text1"/>
              </w:rPr>
            </w:pPr>
            <w:r w:rsidRPr="00B256C8">
              <w:rPr>
                <w:color w:val="000000" w:themeColor="text1"/>
              </w:rPr>
              <w:t>0.1</w:t>
            </w:r>
            <w:r>
              <w:rPr>
                <w:color w:val="000000" w:themeColor="text1"/>
              </w:rPr>
              <w:t>61</w:t>
            </w:r>
          </w:p>
        </w:tc>
        <w:tc>
          <w:tcPr>
            <w:tcW w:w="1008" w:type="dxa"/>
            <w:tcBorders>
              <w:top w:val="nil"/>
              <w:left w:val="nil"/>
              <w:bottom w:val="nil"/>
              <w:right w:val="nil"/>
            </w:tcBorders>
            <w:noWrap/>
          </w:tcPr>
          <w:p w14:paraId="1123B623" w14:textId="77777777" w:rsidR="009F07BB" w:rsidRPr="00E5784B" w:rsidRDefault="009F07BB" w:rsidP="00532556">
            <w:pPr>
              <w:spacing w:line="280" w:lineRule="exact"/>
              <w:jc w:val="center"/>
              <w:rPr>
                <w:color w:val="000000" w:themeColor="text1"/>
              </w:rPr>
            </w:pPr>
            <w:r w:rsidRPr="00E5784B">
              <w:rPr>
                <w:color w:val="000000" w:themeColor="text1"/>
              </w:rPr>
              <w:t>0.</w:t>
            </w:r>
            <w:r>
              <w:rPr>
                <w:color w:val="000000" w:themeColor="text1"/>
              </w:rPr>
              <w:t>026*</w:t>
            </w:r>
          </w:p>
        </w:tc>
      </w:tr>
      <w:tr w:rsidR="009F07BB" w:rsidRPr="00B256C8" w14:paraId="05817122" w14:textId="77777777" w:rsidTr="00532556">
        <w:trPr>
          <w:trHeight w:val="144"/>
        </w:trPr>
        <w:tc>
          <w:tcPr>
            <w:tcW w:w="4073" w:type="dxa"/>
            <w:gridSpan w:val="5"/>
            <w:tcBorders>
              <w:top w:val="nil"/>
              <w:left w:val="nil"/>
              <w:bottom w:val="nil"/>
              <w:right w:val="nil"/>
            </w:tcBorders>
            <w:noWrap/>
          </w:tcPr>
          <w:p w14:paraId="360FA36F" w14:textId="77777777" w:rsidR="009F07BB" w:rsidRPr="00B256C8" w:rsidRDefault="009F07BB" w:rsidP="00532556">
            <w:pPr>
              <w:spacing w:line="280" w:lineRule="exact"/>
              <w:ind w:left="462" w:hanging="462"/>
              <w:rPr>
                <w:color w:val="000000" w:themeColor="text1"/>
              </w:rPr>
            </w:pPr>
            <w:r w:rsidRPr="00B256C8">
              <w:rPr>
                <w:color w:val="000000" w:themeColor="text1"/>
              </w:rPr>
              <w:t xml:space="preserve">                            Sep 2020</w:t>
            </w:r>
          </w:p>
        </w:tc>
        <w:tc>
          <w:tcPr>
            <w:tcW w:w="1276" w:type="dxa"/>
            <w:tcBorders>
              <w:top w:val="nil"/>
              <w:left w:val="nil"/>
              <w:bottom w:val="nil"/>
              <w:right w:val="nil"/>
            </w:tcBorders>
            <w:noWrap/>
          </w:tcPr>
          <w:p w14:paraId="10FD96C5" w14:textId="77777777" w:rsidR="009F07BB" w:rsidRPr="00B256C8" w:rsidRDefault="009F07BB" w:rsidP="00532556">
            <w:pPr>
              <w:spacing w:line="280" w:lineRule="exact"/>
              <w:jc w:val="center"/>
              <w:rPr>
                <w:color w:val="000000" w:themeColor="text1"/>
              </w:rPr>
            </w:pPr>
            <w:r w:rsidRPr="00B256C8">
              <w:rPr>
                <w:color w:val="000000" w:themeColor="text1"/>
              </w:rPr>
              <w:t>-1.20</w:t>
            </w:r>
            <w:r>
              <w:rPr>
                <w:color w:val="000000" w:themeColor="text1"/>
              </w:rPr>
              <w:t>5</w:t>
            </w:r>
          </w:p>
        </w:tc>
        <w:tc>
          <w:tcPr>
            <w:tcW w:w="970" w:type="dxa"/>
            <w:tcBorders>
              <w:top w:val="nil"/>
              <w:left w:val="nil"/>
              <w:bottom w:val="nil"/>
              <w:right w:val="nil"/>
            </w:tcBorders>
            <w:noWrap/>
          </w:tcPr>
          <w:p w14:paraId="6B8DB4F1" w14:textId="77777777" w:rsidR="009F07BB" w:rsidRPr="00B256C8" w:rsidRDefault="009F07BB" w:rsidP="00532556">
            <w:pPr>
              <w:spacing w:line="280" w:lineRule="exact"/>
              <w:jc w:val="center"/>
              <w:rPr>
                <w:color w:val="000000" w:themeColor="text1"/>
              </w:rPr>
            </w:pPr>
            <w:r w:rsidRPr="00B256C8">
              <w:rPr>
                <w:color w:val="000000" w:themeColor="text1"/>
              </w:rPr>
              <w:t>6.5</w:t>
            </w:r>
            <w:r>
              <w:rPr>
                <w:color w:val="000000" w:themeColor="text1"/>
              </w:rPr>
              <w:t>07</w:t>
            </w:r>
          </w:p>
        </w:tc>
        <w:tc>
          <w:tcPr>
            <w:tcW w:w="907" w:type="dxa"/>
            <w:tcBorders>
              <w:top w:val="nil"/>
              <w:left w:val="nil"/>
              <w:bottom w:val="nil"/>
              <w:right w:val="nil"/>
            </w:tcBorders>
            <w:noWrap/>
          </w:tcPr>
          <w:p w14:paraId="3663764A" w14:textId="77777777" w:rsidR="009F07BB" w:rsidRPr="00B256C8" w:rsidRDefault="009F07BB" w:rsidP="00532556">
            <w:pPr>
              <w:spacing w:line="280" w:lineRule="exact"/>
              <w:jc w:val="center"/>
              <w:rPr>
                <w:color w:val="000000" w:themeColor="text1"/>
              </w:rPr>
            </w:pPr>
            <w:r w:rsidRPr="00B256C8">
              <w:rPr>
                <w:color w:val="000000" w:themeColor="text1"/>
              </w:rPr>
              <w:t>0.</w:t>
            </w:r>
            <w:r>
              <w:rPr>
                <w:color w:val="000000" w:themeColor="text1"/>
              </w:rPr>
              <w:t>404</w:t>
            </w:r>
          </w:p>
        </w:tc>
        <w:tc>
          <w:tcPr>
            <w:tcW w:w="968" w:type="dxa"/>
            <w:tcBorders>
              <w:top w:val="nil"/>
              <w:left w:val="nil"/>
              <w:bottom w:val="nil"/>
              <w:right w:val="nil"/>
            </w:tcBorders>
            <w:noWrap/>
          </w:tcPr>
          <w:p w14:paraId="20BDCEB9" w14:textId="77777777" w:rsidR="009F07BB" w:rsidRPr="00B256C8" w:rsidRDefault="009F07BB" w:rsidP="00532556">
            <w:pPr>
              <w:spacing w:line="280" w:lineRule="exact"/>
              <w:jc w:val="center"/>
              <w:rPr>
                <w:color w:val="000000" w:themeColor="text1"/>
              </w:rPr>
            </w:pPr>
            <w:r w:rsidRPr="00B256C8">
              <w:rPr>
                <w:color w:val="000000" w:themeColor="text1"/>
              </w:rPr>
              <w:t>0.1</w:t>
            </w:r>
            <w:r>
              <w:rPr>
                <w:color w:val="000000" w:themeColor="text1"/>
              </w:rPr>
              <w:t>63</w:t>
            </w:r>
          </w:p>
        </w:tc>
        <w:tc>
          <w:tcPr>
            <w:tcW w:w="1008" w:type="dxa"/>
            <w:tcBorders>
              <w:top w:val="nil"/>
              <w:left w:val="nil"/>
              <w:bottom w:val="nil"/>
              <w:right w:val="nil"/>
            </w:tcBorders>
            <w:noWrap/>
          </w:tcPr>
          <w:p w14:paraId="2CB060E1" w14:textId="77777777" w:rsidR="009F07BB" w:rsidRPr="00E5784B" w:rsidRDefault="009F07BB" w:rsidP="00532556">
            <w:pPr>
              <w:spacing w:line="280" w:lineRule="exact"/>
              <w:jc w:val="center"/>
              <w:rPr>
                <w:color w:val="000000" w:themeColor="text1"/>
              </w:rPr>
            </w:pPr>
            <w:r w:rsidRPr="00E5784B">
              <w:rPr>
                <w:color w:val="000000" w:themeColor="text1"/>
              </w:rPr>
              <w:t>0.0</w:t>
            </w:r>
            <w:r>
              <w:rPr>
                <w:color w:val="000000" w:themeColor="text1"/>
              </w:rPr>
              <w:t>22</w:t>
            </w:r>
            <w:r w:rsidRPr="00E5784B">
              <w:rPr>
                <w:color w:val="000000" w:themeColor="text1"/>
              </w:rPr>
              <w:t>*</w:t>
            </w:r>
          </w:p>
        </w:tc>
      </w:tr>
      <w:tr w:rsidR="009F07BB" w:rsidRPr="00B256C8" w14:paraId="7B3D1D01" w14:textId="77777777" w:rsidTr="00532556">
        <w:trPr>
          <w:trHeight w:val="64"/>
        </w:trPr>
        <w:tc>
          <w:tcPr>
            <w:tcW w:w="4073" w:type="dxa"/>
            <w:gridSpan w:val="5"/>
            <w:tcBorders>
              <w:top w:val="nil"/>
              <w:left w:val="nil"/>
              <w:bottom w:val="nil"/>
              <w:right w:val="nil"/>
            </w:tcBorders>
          </w:tcPr>
          <w:p w14:paraId="51DDCD36" w14:textId="77777777" w:rsidR="009F07BB" w:rsidRPr="00B256C8" w:rsidRDefault="009F07BB" w:rsidP="00532556">
            <w:pPr>
              <w:rPr>
                <w:rFonts w:cstheme="minorHAnsi"/>
                <w:color w:val="000000" w:themeColor="text1"/>
              </w:rPr>
            </w:pPr>
            <w:r w:rsidRPr="00B256C8">
              <w:rPr>
                <w:color w:val="000000" w:themeColor="text1"/>
              </w:rPr>
              <w:t xml:space="preserve">                            Oct 2020</w:t>
            </w:r>
          </w:p>
        </w:tc>
        <w:tc>
          <w:tcPr>
            <w:tcW w:w="1276" w:type="dxa"/>
            <w:tcBorders>
              <w:top w:val="nil"/>
              <w:left w:val="nil"/>
              <w:bottom w:val="nil"/>
              <w:right w:val="nil"/>
            </w:tcBorders>
          </w:tcPr>
          <w:p w14:paraId="451682BC" w14:textId="77777777" w:rsidR="009F07BB" w:rsidRPr="00B256C8" w:rsidRDefault="009F07BB" w:rsidP="00532556">
            <w:pPr>
              <w:jc w:val="center"/>
              <w:rPr>
                <w:rFonts w:cstheme="minorHAnsi"/>
                <w:color w:val="000000" w:themeColor="text1"/>
              </w:rPr>
            </w:pPr>
            <w:r w:rsidRPr="00B256C8">
              <w:rPr>
                <w:rFonts w:cstheme="minorHAnsi"/>
                <w:color w:val="000000" w:themeColor="text1"/>
              </w:rPr>
              <w:t>-</w:t>
            </w:r>
            <w:r>
              <w:rPr>
                <w:rFonts w:cstheme="minorHAnsi"/>
                <w:color w:val="000000" w:themeColor="text1"/>
              </w:rPr>
              <w:t>1.379</w:t>
            </w:r>
          </w:p>
        </w:tc>
        <w:tc>
          <w:tcPr>
            <w:tcW w:w="970" w:type="dxa"/>
            <w:tcBorders>
              <w:top w:val="nil"/>
              <w:left w:val="nil"/>
              <w:bottom w:val="nil"/>
              <w:right w:val="nil"/>
            </w:tcBorders>
          </w:tcPr>
          <w:p w14:paraId="0BA23247" w14:textId="77777777" w:rsidR="009F07BB" w:rsidRPr="00B256C8" w:rsidRDefault="009F07BB" w:rsidP="00532556">
            <w:pPr>
              <w:jc w:val="center"/>
              <w:rPr>
                <w:rFonts w:cstheme="minorHAnsi"/>
                <w:color w:val="000000" w:themeColor="text1"/>
              </w:rPr>
            </w:pPr>
            <w:r>
              <w:rPr>
                <w:rFonts w:cstheme="minorHAnsi"/>
                <w:color w:val="000000" w:themeColor="text1"/>
              </w:rPr>
              <w:t>6.908</w:t>
            </w:r>
          </w:p>
        </w:tc>
        <w:tc>
          <w:tcPr>
            <w:tcW w:w="907" w:type="dxa"/>
            <w:tcBorders>
              <w:top w:val="nil"/>
              <w:left w:val="nil"/>
              <w:bottom w:val="nil"/>
              <w:right w:val="nil"/>
            </w:tcBorders>
          </w:tcPr>
          <w:p w14:paraId="686F884F" w14:textId="77777777" w:rsidR="009F07BB" w:rsidRPr="00B256C8" w:rsidRDefault="009F07BB" w:rsidP="00532556">
            <w:pPr>
              <w:jc w:val="center"/>
              <w:rPr>
                <w:rFonts w:cstheme="minorHAnsi"/>
                <w:color w:val="000000" w:themeColor="text1"/>
              </w:rPr>
            </w:pPr>
            <w:r w:rsidRPr="00B256C8">
              <w:rPr>
                <w:rFonts w:cstheme="minorHAnsi"/>
                <w:color w:val="000000" w:themeColor="text1"/>
              </w:rPr>
              <w:t>0.</w:t>
            </w:r>
            <w:r>
              <w:rPr>
                <w:rFonts w:cstheme="minorHAnsi"/>
                <w:color w:val="000000" w:themeColor="text1"/>
              </w:rPr>
              <w:t>397</w:t>
            </w:r>
          </w:p>
        </w:tc>
        <w:tc>
          <w:tcPr>
            <w:tcW w:w="968" w:type="dxa"/>
            <w:tcBorders>
              <w:top w:val="nil"/>
              <w:left w:val="nil"/>
              <w:bottom w:val="nil"/>
              <w:right w:val="nil"/>
            </w:tcBorders>
          </w:tcPr>
          <w:p w14:paraId="19CD3996" w14:textId="77777777" w:rsidR="009F07BB" w:rsidRPr="00B256C8" w:rsidRDefault="009F07BB" w:rsidP="00532556">
            <w:pPr>
              <w:jc w:val="center"/>
              <w:rPr>
                <w:rFonts w:cstheme="minorHAnsi"/>
                <w:color w:val="000000" w:themeColor="text1"/>
              </w:rPr>
            </w:pPr>
            <w:r w:rsidRPr="00B256C8">
              <w:rPr>
                <w:rFonts w:cstheme="minorHAnsi"/>
                <w:color w:val="000000" w:themeColor="text1"/>
              </w:rPr>
              <w:t>0.1</w:t>
            </w:r>
            <w:r>
              <w:rPr>
                <w:rFonts w:cstheme="minorHAnsi"/>
                <w:color w:val="000000" w:themeColor="text1"/>
              </w:rPr>
              <w:t>57</w:t>
            </w:r>
          </w:p>
        </w:tc>
        <w:tc>
          <w:tcPr>
            <w:tcW w:w="1008" w:type="dxa"/>
            <w:tcBorders>
              <w:top w:val="nil"/>
              <w:left w:val="nil"/>
              <w:bottom w:val="nil"/>
              <w:right w:val="nil"/>
            </w:tcBorders>
          </w:tcPr>
          <w:p w14:paraId="7126DEC5" w14:textId="77777777" w:rsidR="009F07BB" w:rsidRPr="00E5784B" w:rsidRDefault="009F07BB" w:rsidP="00532556">
            <w:pPr>
              <w:jc w:val="center"/>
              <w:rPr>
                <w:rFonts w:cstheme="minorHAnsi"/>
                <w:color w:val="000000" w:themeColor="text1"/>
              </w:rPr>
            </w:pPr>
            <w:r w:rsidRPr="00E5784B">
              <w:rPr>
                <w:rFonts w:cstheme="minorHAnsi"/>
                <w:color w:val="000000" w:themeColor="text1"/>
              </w:rPr>
              <w:t>0.0</w:t>
            </w:r>
            <w:r>
              <w:rPr>
                <w:rFonts w:cstheme="minorHAnsi"/>
                <w:color w:val="000000" w:themeColor="text1"/>
              </w:rPr>
              <w:t>12</w:t>
            </w:r>
            <w:r w:rsidRPr="00E5784B">
              <w:rPr>
                <w:rFonts w:cstheme="minorHAnsi"/>
                <w:color w:val="000000" w:themeColor="text1"/>
              </w:rPr>
              <w:t>*</w:t>
            </w:r>
          </w:p>
        </w:tc>
      </w:tr>
      <w:tr w:rsidR="009F07BB" w:rsidRPr="00B256C8" w14:paraId="4817184C" w14:textId="77777777" w:rsidTr="00532556">
        <w:trPr>
          <w:trHeight w:hRule="exact" w:val="170"/>
        </w:trPr>
        <w:tc>
          <w:tcPr>
            <w:tcW w:w="4073" w:type="dxa"/>
            <w:gridSpan w:val="5"/>
            <w:tcBorders>
              <w:top w:val="nil"/>
              <w:left w:val="nil"/>
              <w:bottom w:val="single" w:sz="4" w:space="0" w:color="auto"/>
              <w:right w:val="nil"/>
            </w:tcBorders>
          </w:tcPr>
          <w:p w14:paraId="728EAFDD" w14:textId="77777777" w:rsidR="009F07BB" w:rsidRPr="00B256C8" w:rsidRDefault="009F07BB" w:rsidP="00532556">
            <w:pPr>
              <w:rPr>
                <w:color w:val="000000" w:themeColor="text1"/>
              </w:rPr>
            </w:pPr>
          </w:p>
        </w:tc>
        <w:tc>
          <w:tcPr>
            <w:tcW w:w="1276" w:type="dxa"/>
            <w:tcBorders>
              <w:top w:val="nil"/>
              <w:left w:val="nil"/>
              <w:bottom w:val="single" w:sz="4" w:space="0" w:color="auto"/>
              <w:right w:val="nil"/>
            </w:tcBorders>
          </w:tcPr>
          <w:p w14:paraId="66FD9EE7" w14:textId="77777777" w:rsidR="009F07BB" w:rsidRPr="00B256C8" w:rsidRDefault="009F07BB" w:rsidP="00532556">
            <w:pPr>
              <w:rPr>
                <w:rFonts w:cstheme="minorHAnsi"/>
                <w:color w:val="000000" w:themeColor="text1"/>
                <w:sz w:val="12"/>
                <w:szCs w:val="12"/>
              </w:rPr>
            </w:pPr>
          </w:p>
        </w:tc>
        <w:tc>
          <w:tcPr>
            <w:tcW w:w="970" w:type="dxa"/>
            <w:tcBorders>
              <w:top w:val="nil"/>
              <w:left w:val="nil"/>
              <w:bottom w:val="single" w:sz="4" w:space="0" w:color="auto"/>
              <w:right w:val="nil"/>
            </w:tcBorders>
          </w:tcPr>
          <w:p w14:paraId="2AC5FA3B" w14:textId="77777777" w:rsidR="009F07BB" w:rsidRPr="00B256C8" w:rsidRDefault="009F07BB" w:rsidP="00532556">
            <w:pPr>
              <w:rPr>
                <w:rFonts w:cstheme="minorHAnsi"/>
                <w:color w:val="000000" w:themeColor="text1"/>
                <w:sz w:val="8"/>
                <w:szCs w:val="8"/>
              </w:rPr>
            </w:pPr>
          </w:p>
        </w:tc>
        <w:tc>
          <w:tcPr>
            <w:tcW w:w="907" w:type="dxa"/>
            <w:tcBorders>
              <w:top w:val="nil"/>
              <w:left w:val="nil"/>
              <w:bottom w:val="single" w:sz="4" w:space="0" w:color="auto"/>
              <w:right w:val="nil"/>
            </w:tcBorders>
          </w:tcPr>
          <w:p w14:paraId="081D7C02" w14:textId="77777777" w:rsidR="009F07BB" w:rsidRPr="00B256C8" w:rsidRDefault="009F07BB" w:rsidP="00532556">
            <w:pPr>
              <w:rPr>
                <w:rFonts w:cstheme="minorHAnsi"/>
                <w:color w:val="000000" w:themeColor="text1"/>
                <w:sz w:val="8"/>
                <w:szCs w:val="8"/>
              </w:rPr>
            </w:pPr>
          </w:p>
        </w:tc>
        <w:tc>
          <w:tcPr>
            <w:tcW w:w="968" w:type="dxa"/>
            <w:tcBorders>
              <w:top w:val="nil"/>
              <w:left w:val="nil"/>
              <w:bottom w:val="single" w:sz="4" w:space="0" w:color="auto"/>
              <w:right w:val="nil"/>
            </w:tcBorders>
          </w:tcPr>
          <w:p w14:paraId="6E2B12A5" w14:textId="77777777" w:rsidR="009F07BB" w:rsidRPr="00B256C8" w:rsidRDefault="009F07BB" w:rsidP="00532556">
            <w:pPr>
              <w:rPr>
                <w:rFonts w:cstheme="minorHAnsi"/>
                <w:color w:val="000000" w:themeColor="text1"/>
                <w:sz w:val="8"/>
                <w:szCs w:val="8"/>
              </w:rPr>
            </w:pPr>
          </w:p>
        </w:tc>
        <w:tc>
          <w:tcPr>
            <w:tcW w:w="1008" w:type="dxa"/>
            <w:tcBorders>
              <w:top w:val="nil"/>
              <w:left w:val="nil"/>
              <w:bottom w:val="single" w:sz="4" w:space="0" w:color="auto"/>
              <w:right w:val="nil"/>
            </w:tcBorders>
          </w:tcPr>
          <w:p w14:paraId="05772D72" w14:textId="77777777" w:rsidR="009F07BB" w:rsidRPr="00B256C8" w:rsidRDefault="009F07BB" w:rsidP="00532556">
            <w:pPr>
              <w:rPr>
                <w:rFonts w:cstheme="minorHAnsi"/>
                <w:b/>
                <w:bCs/>
                <w:color w:val="000000" w:themeColor="text1"/>
                <w:sz w:val="8"/>
                <w:szCs w:val="8"/>
              </w:rPr>
            </w:pPr>
          </w:p>
        </w:tc>
      </w:tr>
    </w:tbl>
    <w:p w14:paraId="2A59583F" w14:textId="3BC38784" w:rsidR="009F07BB" w:rsidRPr="009F07BB" w:rsidRDefault="00D51C51" w:rsidP="009F07BB">
      <w:pPr>
        <w:pStyle w:val="CommentText"/>
        <w:spacing w:line="200" w:lineRule="exact"/>
        <w:jc w:val="both"/>
        <w:rPr>
          <w:color w:val="000000" w:themeColor="text1"/>
          <w:sz w:val="18"/>
          <w:szCs w:val="18"/>
        </w:rPr>
      </w:pPr>
      <w:r w:rsidRPr="00DF6647">
        <w:rPr>
          <w:b/>
          <w:bCs/>
          <w:color w:val="000000" w:themeColor="text1"/>
          <w:sz w:val="18"/>
          <w:szCs w:val="18"/>
        </w:rPr>
        <w:t>a</w:t>
      </w:r>
      <w:r>
        <w:rPr>
          <w:color w:val="000000" w:themeColor="text1"/>
          <w:sz w:val="18"/>
          <w:szCs w:val="18"/>
        </w:rPr>
        <w:t>=</w:t>
      </w:r>
      <w:proofErr w:type="spellStart"/>
      <w:r>
        <w:rPr>
          <w:color w:val="000000" w:themeColor="text1"/>
          <w:sz w:val="18"/>
          <w:szCs w:val="18"/>
        </w:rPr>
        <w:t>Retzius</w:t>
      </w:r>
      <w:proofErr w:type="spellEnd"/>
      <w:r>
        <w:rPr>
          <w:color w:val="000000" w:themeColor="text1"/>
          <w:sz w:val="18"/>
          <w:szCs w:val="18"/>
        </w:rPr>
        <w:t xml:space="preserve"> periodicities of 5 to 9.  </w:t>
      </w:r>
      <w:r w:rsidR="009F07BB">
        <w:rPr>
          <w:color w:val="000000" w:themeColor="text1"/>
          <w:sz w:val="18"/>
          <w:szCs w:val="18"/>
        </w:rPr>
        <w:t>*Statistically significant with p &lt; 0.05.</w:t>
      </w:r>
    </w:p>
    <w:sectPr w:rsidR="009F07BB" w:rsidRPr="009F07BB" w:rsidSect="007F1303">
      <w:footerReference w:type="even" r:id="rId10"/>
      <w:footerReference w:type="default" r:id="rId11"/>
      <w:pgSz w:w="11906" w:h="16838"/>
      <w:pgMar w:top="737" w:right="1021" w:bottom="249" w:left="1021" w:header="709" w:footer="709"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F746" w14:textId="77777777" w:rsidR="00530708" w:rsidRDefault="00530708" w:rsidP="004519C1">
      <w:r>
        <w:separator/>
      </w:r>
    </w:p>
  </w:endnote>
  <w:endnote w:type="continuationSeparator" w:id="0">
    <w:p w14:paraId="4F34D3CA" w14:textId="77777777" w:rsidR="00530708" w:rsidRDefault="00530708" w:rsidP="0045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4208297"/>
      <w:docPartObj>
        <w:docPartGallery w:val="Page Numbers (Bottom of Page)"/>
        <w:docPartUnique/>
      </w:docPartObj>
    </w:sdtPr>
    <w:sdtEndPr>
      <w:rPr>
        <w:rStyle w:val="PageNumber"/>
      </w:rPr>
    </w:sdtEndPr>
    <w:sdtContent>
      <w:p w14:paraId="7E6C74C0" w14:textId="0A7BA904" w:rsidR="007A07A7" w:rsidRDefault="007A07A7" w:rsidP="000574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826FC" w14:textId="77777777" w:rsidR="007A07A7" w:rsidRDefault="007A07A7" w:rsidP="004519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279821"/>
      <w:docPartObj>
        <w:docPartGallery w:val="Page Numbers (Bottom of Page)"/>
        <w:docPartUnique/>
      </w:docPartObj>
    </w:sdtPr>
    <w:sdtEndPr>
      <w:rPr>
        <w:rStyle w:val="PageNumber"/>
      </w:rPr>
    </w:sdtEndPr>
    <w:sdtContent>
      <w:p w14:paraId="5FCE4C6F" w14:textId="4A190814" w:rsidR="007A07A7" w:rsidRDefault="007A07A7" w:rsidP="000574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37769D" w14:textId="77777777" w:rsidR="007A07A7" w:rsidRDefault="007A07A7" w:rsidP="004519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B7B5" w14:textId="77777777" w:rsidR="00530708" w:rsidRDefault="00530708" w:rsidP="004519C1">
      <w:r>
        <w:separator/>
      </w:r>
    </w:p>
  </w:footnote>
  <w:footnote w:type="continuationSeparator" w:id="0">
    <w:p w14:paraId="3BBE057C" w14:textId="77777777" w:rsidR="00530708" w:rsidRDefault="00530708" w:rsidP="00451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A65"/>
    <w:multiLevelType w:val="hybridMultilevel"/>
    <w:tmpl w:val="5F92D638"/>
    <w:lvl w:ilvl="0" w:tplc="CA4A0A32">
      <w:start w:val="6"/>
      <w:numFmt w:val="bullet"/>
      <w:lvlText w:val="-"/>
      <w:lvlJc w:val="left"/>
      <w:pPr>
        <w:ind w:left="1145" w:hanging="360"/>
      </w:pPr>
      <w:rPr>
        <w:rFonts w:ascii="Calibri" w:eastAsiaTheme="minorEastAsia"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5652792"/>
    <w:multiLevelType w:val="hybridMultilevel"/>
    <w:tmpl w:val="FB4C3294"/>
    <w:lvl w:ilvl="0" w:tplc="763C3CBA">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653D67"/>
    <w:multiLevelType w:val="hybridMultilevel"/>
    <w:tmpl w:val="D0EC6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D08A9"/>
    <w:multiLevelType w:val="hybridMultilevel"/>
    <w:tmpl w:val="A762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B68DC"/>
    <w:multiLevelType w:val="hybridMultilevel"/>
    <w:tmpl w:val="B928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B6E27"/>
    <w:multiLevelType w:val="hybridMultilevel"/>
    <w:tmpl w:val="9F9A5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F0432"/>
    <w:multiLevelType w:val="hybridMultilevel"/>
    <w:tmpl w:val="5CE6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641B6"/>
    <w:multiLevelType w:val="hybridMultilevel"/>
    <w:tmpl w:val="4B34688E"/>
    <w:lvl w:ilvl="0" w:tplc="427E286E">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3263C6"/>
    <w:multiLevelType w:val="multilevel"/>
    <w:tmpl w:val="E3E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A62AF"/>
    <w:multiLevelType w:val="hybridMultilevel"/>
    <w:tmpl w:val="36FE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10D07"/>
    <w:multiLevelType w:val="hybridMultilevel"/>
    <w:tmpl w:val="4276239A"/>
    <w:lvl w:ilvl="0" w:tplc="DDA6EC94">
      <w:start w:val="6"/>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75C4AF8"/>
    <w:multiLevelType w:val="hybridMultilevel"/>
    <w:tmpl w:val="81B46108"/>
    <w:lvl w:ilvl="0" w:tplc="E4367F2C">
      <w:start w:val="1"/>
      <w:numFmt w:val="bullet"/>
      <w:lvlText w:val="•"/>
      <w:lvlJc w:val="left"/>
      <w:pPr>
        <w:tabs>
          <w:tab w:val="num" w:pos="720"/>
        </w:tabs>
        <w:ind w:left="720" w:hanging="360"/>
      </w:pPr>
      <w:rPr>
        <w:rFonts w:ascii="Arial" w:hAnsi="Arial" w:hint="default"/>
      </w:rPr>
    </w:lvl>
    <w:lvl w:ilvl="1" w:tplc="2B746C7E" w:tentative="1">
      <w:start w:val="1"/>
      <w:numFmt w:val="bullet"/>
      <w:lvlText w:val="•"/>
      <w:lvlJc w:val="left"/>
      <w:pPr>
        <w:tabs>
          <w:tab w:val="num" w:pos="1440"/>
        </w:tabs>
        <w:ind w:left="1440" w:hanging="360"/>
      </w:pPr>
      <w:rPr>
        <w:rFonts w:ascii="Arial" w:hAnsi="Arial" w:hint="default"/>
      </w:rPr>
    </w:lvl>
    <w:lvl w:ilvl="2" w:tplc="8DB6F2CA" w:tentative="1">
      <w:start w:val="1"/>
      <w:numFmt w:val="bullet"/>
      <w:lvlText w:val="•"/>
      <w:lvlJc w:val="left"/>
      <w:pPr>
        <w:tabs>
          <w:tab w:val="num" w:pos="2160"/>
        </w:tabs>
        <w:ind w:left="2160" w:hanging="360"/>
      </w:pPr>
      <w:rPr>
        <w:rFonts w:ascii="Arial" w:hAnsi="Arial" w:hint="default"/>
      </w:rPr>
    </w:lvl>
    <w:lvl w:ilvl="3" w:tplc="E6B2F7F0" w:tentative="1">
      <w:start w:val="1"/>
      <w:numFmt w:val="bullet"/>
      <w:lvlText w:val="•"/>
      <w:lvlJc w:val="left"/>
      <w:pPr>
        <w:tabs>
          <w:tab w:val="num" w:pos="2880"/>
        </w:tabs>
        <w:ind w:left="2880" w:hanging="360"/>
      </w:pPr>
      <w:rPr>
        <w:rFonts w:ascii="Arial" w:hAnsi="Arial" w:hint="default"/>
      </w:rPr>
    </w:lvl>
    <w:lvl w:ilvl="4" w:tplc="3B965E60" w:tentative="1">
      <w:start w:val="1"/>
      <w:numFmt w:val="bullet"/>
      <w:lvlText w:val="•"/>
      <w:lvlJc w:val="left"/>
      <w:pPr>
        <w:tabs>
          <w:tab w:val="num" w:pos="3600"/>
        </w:tabs>
        <w:ind w:left="3600" w:hanging="360"/>
      </w:pPr>
      <w:rPr>
        <w:rFonts w:ascii="Arial" w:hAnsi="Arial" w:hint="default"/>
      </w:rPr>
    </w:lvl>
    <w:lvl w:ilvl="5" w:tplc="DCCC081C" w:tentative="1">
      <w:start w:val="1"/>
      <w:numFmt w:val="bullet"/>
      <w:lvlText w:val="•"/>
      <w:lvlJc w:val="left"/>
      <w:pPr>
        <w:tabs>
          <w:tab w:val="num" w:pos="4320"/>
        </w:tabs>
        <w:ind w:left="4320" w:hanging="360"/>
      </w:pPr>
      <w:rPr>
        <w:rFonts w:ascii="Arial" w:hAnsi="Arial" w:hint="default"/>
      </w:rPr>
    </w:lvl>
    <w:lvl w:ilvl="6" w:tplc="74D0EB7E" w:tentative="1">
      <w:start w:val="1"/>
      <w:numFmt w:val="bullet"/>
      <w:lvlText w:val="•"/>
      <w:lvlJc w:val="left"/>
      <w:pPr>
        <w:tabs>
          <w:tab w:val="num" w:pos="5040"/>
        </w:tabs>
        <w:ind w:left="5040" w:hanging="360"/>
      </w:pPr>
      <w:rPr>
        <w:rFonts w:ascii="Arial" w:hAnsi="Arial" w:hint="default"/>
      </w:rPr>
    </w:lvl>
    <w:lvl w:ilvl="7" w:tplc="DDD28166" w:tentative="1">
      <w:start w:val="1"/>
      <w:numFmt w:val="bullet"/>
      <w:lvlText w:val="•"/>
      <w:lvlJc w:val="left"/>
      <w:pPr>
        <w:tabs>
          <w:tab w:val="num" w:pos="5760"/>
        </w:tabs>
        <w:ind w:left="5760" w:hanging="360"/>
      </w:pPr>
      <w:rPr>
        <w:rFonts w:ascii="Arial" w:hAnsi="Arial" w:hint="default"/>
      </w:rPr>
    </w:lvl>
    <w:lvl w:ilvl="8" w:tplc="C14887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BA7E70"/>
    <w:multiLevelType w:val="multilevel"/>
    <w:tmpl w:val="CD4ED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6E4542"/>
    <w:multiLevelType w:val="hybridMultilevel"/>
    <w:tmpl w:val="DD72ED7A"/>
    <w:lvl w:ilvl="0" w:tplc="39BEBDEE">
      <w:start w:val="5"/>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AB0411"/>
    <w:multiLevelType w:val="hybridMultilevel"/>
    <w:tmpl w:val="D43EE8BC"/>
    <w:lvl w:ilvl="0" w:tplc="47D045D8">
      <w:numFmt w:val="bullet"/>
      <w:lvlText w:val="-"/>
      <w:lvlJc w:val="left"/>
      <w:pPr>
        <w:ind w:left="1080" w:hanging="360"/>
      </w:pPr>
      <w:rPr>
        <w:rFonts w:ascii="Calibri" w:eastAsiaTheme="minorEastAsia" w:hAnsi="Calibri" w:cs="Calibri" w:hint="default"/>
        <w:b w:val="0"/>
        <w:color w:val="auto"/>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06635B"/>
    <w:multiLevelType w:val="hybridMultilevel"/>
    <w:tmpl w:val="F7B44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132D37"/>
    <w:multiLevelType w:val="hybridMultilevel"/>
    <w:tmpl w:val="21C4E572"/>
    <w:lvl w:ilvl="0" w:tplc="E7CAEE0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2B38D2"/>
    <w:multiLevelType w:val="hybridMultilevel"/>
    <w:tmpl w:val="2E2A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23688"/>
    <w:multiLevelType w:val="hybridMultilevel"/>
    <w:tmpl w:val="7A3CC9C6"/>
    <w:lvl w:ilvl="0" w:tplc="A12EDA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8538E"/>
    <w:multiLevelType w:val="hybridMultilevel"/>
    <w:tmpl w:val="885EEB9C"/>
    <w:lvl w:ilvl="0" w:tplc="DDA6EC94">
      <w:start w:val="6"/>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72561"/>
    <w:multiLevelType w:val="hybridMultilevel"/>
    <w:tmpl w:val="F7B44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427D1"/>
    <w:multiLevelType w:val="hybridMultilevel"/>
    <w:tmpl w:val="F7B44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3E5DF0"/>
    <w:multiLevelType w:val="hybridMultilevel"/>
    <w:tmpl w:val="F7B44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A3578B"/>
    <w:multiLevelType w:val="hybridMultilevel"/>
    <w:tmpl w:val="D0EC6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1F758F"/>
    <w:multiLevelType w:val="hybridMultilevel"/>
    <w:tmpl w:val="F6C47918"/>
    <w:lvl w:ilvl="0" w:tplc="D178A614">
      <w:start w:val="1"/>
      <w:numFmt w:val="bullet"/>
      <w:lvlText w:val="-"/>
      <w:lvlJc w:val="left"/>
      <w:pPr>
        <w:ind w:left="2520" w:hanging="360"/>
      </w:pPr>
      <w:rPr>
        <w:rFonts w:ascii="Calibri" w:eastAsiaTheme="minorEastAsia"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4E6676BF"/>
    <w:multiLevelType w:val="multilevel"/>
    <w:tmpl w:val="80B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A6AAA"/>
    <w:multiLevelType w:val="hybridMultilevel"/>
    <w:tmpl w:val="63D2D2B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64D54"/>
    <w:multiLevelType w:val="hybridMultilevel"/>
    <w:tmpl w:val="8A46382E"/>
    <w:lvl w:ilvl="0" w:tplc="B9A8F81E">
      <w:start w:val="1"/>
      <w:numFmt w:val="bullet"/>
      <w:lvlText w:val="•"/>
      <w:lvlJc w:val="left"/>
      <w:pPr>
        <w:tabs>
          <w:tab w:val="num" w:pos="720"/>
        </w:tabs>
        <w:ind w:left="720" w:hanging="360"/>
      </w:pPr>
      <w:rPr>
        <w:rFonts w:ascii="Arial" w:hAnsi="Arial" w:hint="default"/>
      </w:rPr>
    </w:lvl>
    <w:lvl w:ilvl="1" w:tplc="49E64D7C" w:tentative="1">
      <w:start w:val="1"/>
      <w:numFmt w:val="bullet"/>
      <w:lvlText w:val="•"/>
      <w:lvlJc w:val="left"/>
      <w:pPr>
        <w:tabs>
          <w:tab w:val="num" w:pos="1440"/>
        </w:tabs>
        <w:ind w:left="1440" w:hanging="360"/>
      </w:pPr>
      <w:rPr>
        <w:rFonts w:ascii="Arial" w:hAnsi="Arial" w:hint="default"/>
      </w:rPr>
    </w:lvl>
    <w:lvl w:ilvl="2" w:tplc="FF66B8AA" w:tentative="1">
      <w:start w:val="1"/>
      <w:numFmt w:val="bullet"/>
      <w:lvlText w:val="•"/>
      <w:lvlJc w:val="left"/>
      <w:pPr>
        <w:tabs>
          <w:tab w:val="num" w:pos="2160"/>
        </w:tabs>
        <w:ind w:left="2160" w:hanging="360"/>
      </w:pPr>
      <w:rPr>
        <w:rFonts w:ascii="Arial" w:hAnsi="Arial" w:hint="default"/>
      </w:rPr>
    </w:lvl>
    <w:lvl w:ilvl="3" w:tplc="06B6F3D8" w:tentative="1">
      <w:start w:val="1"/>
      <w:numFmt w:val="bullet"/>
      <w:lvlText w:val="•"/>
      <w:lvlJc w:val="left"/>
      <w:pPr>
        <w:tabs>
          <w:tab w:val="num" w:pos="2880"/>
        </w:tabs>
        <w:ind w:left="2880" w:hanging="360"/>
      </w:pPr>
      <w:rPr>
        <w:rFonts w:ascii="Arial" w:hAnsi="Arial" w:hint="default"/>
      </w:rPr>
    </w:lvl>
    <w:lvl w:ilvl="4" w:tplc="26087312" w:tentative="1">
      <w:start w:val="1"/>
      <w:numFmt w:val="bullet"/>
      <w:lvlText w:val="•"/>
      <w:lvlJc w:val="left"/>
      <w:pPr>
        <w:tabs>
          <w:tab w:val="num" w:pos="3600"/>
        </w:tabs>
        <w:ind w:left="3600" w:hanging="360"/>
      </w:pPr>
      <w:rPr>
        <w:rFonts w:ascii="Arial" w:hAnsi="Arial" w:hint="default"/>
      </w:rPr>
    </w:lvl>
    <w:lvl w:ilvl="5" w:tplc="D9E00C8A" w:tentative="1">
      <w:start w:val="1"/>
      <w:numFmt w:val="bullet"/>
      <w:lvlText w:val="•"/>
      <w:lvlJc w:val="left"/>
      <w:pPr>
        <w:tabs>
          <w:tab w:val="num" w:pos="4320"/>
        </w:tabs>
        <w:ind w:left="4320" w:hanging="360"/>
      </w:pPr>
      <w:rPr>
        <w:rFonts w:ascii="Arial" w:hAnsi="Arial" w:hint="default"/>
      </w:rPr>
    </w:lvl>
    <w:lvl w:ilvl="6" w:tplc="525CF210" w:tentative="1">
      <w:start w:val="1"/>
      <w:numFmt w:val="bullet"/>
      <w:lvlText w:val="•"/>
      <w:lvlJc w:val="left"/>
      <w:pPr>
        <w:tabs>
          <w:tab w:val="num" w:pos="5040"/>
        </w:tabs>
        <w:ind w:left="5040" w:hanging="360"/>
      </w:pPr>
      <w:rPr>
        <w:rFonts w:ascii="Arial" w:hAnsi="Arial" w:hint="default"/>
      </w:rPr>
    </w:lvl>
    <w:lvl w:ilvl="7" w:tplc="170A267C" w:tentative="1">
      <w:start w:val="1"/>
      <w:numFmt w:val="bullet"/>
      <w:lvlText w:val="•"/>
      <w:lvlJc w:val="left"/>
      <w:pPr>
        <w:tabs>
          <w:tab w:val="num" w:pos="5760"/>
        </w:tabs>
        <w:ind w:left="5760" w:hanging="360"/>
      </w:pPr>
      <w:rPr>
        <w:rFonts w:ascii="Arial" w:hAnsi="Arial" w:hint="default"/>
      </w:rPr>
    </w:lvl>
    <w:lvl w:ilvl="8" w:tplc="AF00FE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DF0B0F"/>
    <w:multiLevelType w:val="hybridMultilevel"/>
    <w:tmpl w:val="E5A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05521"/>
    <w:multiLevelType w:val="hybridMultilevel"/>
    <w:tmpl w:val="0302BE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634D68"/>
    <w:multiLevelType w:val="hybridMultilevel"/>
    <w:tmpl w:val="92681406"/>
    <w:lvl w:ilvl="0" w:tplc="86607240">
      <w:start w:val="1"/>
      <w:numFmt w:val="bullet"/>
      <w:lvlText w:val="•"/>
      <w:lvlJc w:val="left"/>
      <w:pPr>
        <w:tabs>
          <w:tab w:val="num" w:pos="720"/>
        </w:tabs>
        <w:ind w:left="720" w:hanging="360"/>
      </w:pPr>
      <w:rPr>
        <w:rFonts w:ascii="Arial" w:hAnsi="Arial" w:hint="default"/>
      </w:rPr>
    </w:lvl>
    <w:lvl w:ilvl="1" w:tplc="9258DBAE" w:tentative="1">
      <w:start w:val="1"/>
      <w:numFmt w:val="bullet"/>
      <w:lvlText w:val="•"/>
      <w:lvlJc w:val="left"/>
      <w:pPr>
        <w:tabs>
          <w:tab w:val="num" w:pos="1440"/>
        </w:tabs>
        <w:ind w:left="1440" w:hanging="360"/>
      </w:pPr>
      <w:rPr>
        <w:rFonts w:ascii="Arial" w:hAnsi="Arial" w:hint="default"/>
      </w:rPr>
    </w:lvl>
    <w:lvl w:ilvl="2" w:tplc="6074A3A4" w:tentative="1">
      <w:start w:val="1"/>
      <w:numFmt w:val="bullet"/>
      <w:lvlText w:val="•"/>
      <w:lvlJc w:val="left"/>
      <w:pPr>
        <w:tabs>
          <w:tab w:val="num" w:pos="2160"/>
        </w:tabs>
        <w:ind w:left="2160" w:hanging="360"/>
      </w:pPr>
      <w:rPr>
        <w:rFonts w:ascii="Arial" w:hAnsi="Arial" w:hint="default"/>
      </w:rPr>
    </w:lvl>
    <w:lvl w:ilvl="3" w:tplc="6F56A38A" w:tentative="1">
      <w:start w:val="1"/>
      <w:numFmt w:val="bullet"/>
      <w:lvlText w:val="•"/>
      <w:lvlJc w:val="left"/>
      <w:pPr>
        <w:tabs>
          <w:tab w:val="num" w:pos="2880"/>
        </w:tabs>
        <w:ind w:left="2880" w:hanging="360"/>
      </w:pPr>
      <w:rPr>
        <w:rFonts w:ascii="Arial" w:hAnsi="Arial" w:hint="default"/>
      </w:rPr>
    </w:lvl>
    <w:lvl w:ilvl="4" w:tplc="8E305374" w:tentative="1">
      <w:start w:val="1"/>
      <w:numFmt w:val="bullet"/>
      <w:lvlText w:val="•"/>
      <w:lvlJc w:val="left"/>
      <w:pPr>
        <w:tabs>
          <w:tab w:val="num" w:pos="3600"/>
        </w:tabs>
        <w:ind w:left="3600" w:hanging="360"/>
      </w:pPr>
      <w:rPr>
        <w:rFonts w:ascii="Arial" w:hAnsi="Arial" w:hint="default"/>
      </w:rPr>
    </w:lvl>
    <w:lvl w:ilvl="5" w:tplc="1FE8709C" w:tentative="1">
      <w:start w:val="1"/>
      <w:numFmt w:val="bullet"/>
      <w:lvlText w:val="•"/>
      <w:lvlJc w:val="left"/>
      <w:pPr>
        <w:tabs>
          <w:tab w:val="num" w:pos="4320"/>
        </w:tabs>
        <w:ind w:left="4320" w:hanging="360"/>
      </w:pPr>
      <w:rPr>
        <w:rFonts w:ascii="Arial" w:hAnsi="Arial" w:hint="default"/>
      </w:rPr>
    </w:lvl>
    <w:lvl w:ilvl="6" w:tplc="ADFC0790" w:tentative="1">
      <w:start w:val="1"/>
      <w:numFmt w:val="bullet"/>
      <w:lvlText w:val="•"/>
      <w:lvlJc w:val="left"/>
      <w:pPr>
        <w:tabs>
          <w:tab w:val="num" w:pos="5040"/>
        </w:tabs>
        <w:ind w:left="5040" w:hanging="360"/>
      </w:pPr>
      <w:rPr>
        <w:rFonts w:ascii="Arial" w:hAnsi="Arial" w:hint="default"/>
      </w:rPr>
    </w:lvl>
    <w:lvl w:ilvl="7" w:tplc="8912E9D2" w:tentative="1">
      <w:start w:val="1"/>
      <w:numFmt w:val="bullet"/>
      <w:lvlText w:val="•"/>
      <w:lvlJc w:val="left"/>
      <w:pPr>
        <w:tabs>
          <w:tab w:val="num" w:pos="5760"/>
        </w:tabs>
        <w:ind w:left="5760" w:hanging="360"/>
      </w:pPr>
      <w:rPr>
        <w:rFonts w:ascii="Arial" w:hAnsi="Arial" w:hint="default"/>
      </w:rPr>
    </w:lvl>
    <w:lvl w:ilvl="8" w:tplc="A800BA3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C266A2"/>
    <w:multiLevelType w:val="hybridMultilevel"/>
    <w:tmpl w:val="F7B44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FE3BFC"/>
    <w:multiLevelType w:val="hybridMultilevel"/>
    <w:tmpl w:val="D0EC6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6947A8"/>
    <w:multiLevelType w:val="hybridMultilevel"/>
    <w:tmpl w:val="92A8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343A1"/>
    <w:multiLevelType w:val="hybridMultilevel"/>
    <w:tmpl w:val="8BE8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3745EF"/>
    <w:multiLevelType w:val="hybridMultilevel"/>
    <w:tmpl w:val="F7B44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D92CE1"/>
    <w:multiLevelType w:val="multilevel"/>
    <w:tmpl w:val="F7F2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27"/>
  </w:num>
  <w:num w:numId="4">
    <w:abstractNumId w:val="11"/>
  </w:num>
  <w:num w:numId="5">
    <w:abstractNumId w:val="30"/>
  </w:num>
  <w:num w:numId="6">
    <w:abstractNumId w:val="9"/>
  </w:num>
  <w:num w:numId="7">
    <w:abstractNumId w:val="0"/>
  </w:num>
  <w:num w:numId="8">
    <w:abstractNumId w:val="18"/>
  </w:num>
  <w:num w:numId="9">
    <w:abstractNumId w:val="24"/>
  </w:num>
  <w:num w:numId="10">
    <w:abstractNumId w:val="14"/>
  </w:num>
  <w:num w:numId="11">
    <w:abstractNumId w:val="6"/>
  </w:num>
  <w:num w:numId="12">
    <w:abstractNumId w:val="1"/>
  </w:num>
  <w:num w:numId="13">
    <w:abstractNumId w:val="17"/>
  </w:num>
  <w:num w:numId="14">
    <w:abstractNumId w:val="10"/>
  </w:num>
  <w:num w:numId="15">
    <w:abstractNumId w:val="34"/>
  </w:num>
  <w:num w:numId="16">
    <w:abstractNumId w:val="3"/>
  </w:num>
  <w:num w:numId="17">
    <w:abstractNumId w:val="19"/>
  </w:num>
  <w:num w:numId="18">
    <w:abstractNumId w:val="28"/>
  </w:num>
  <w:num w:numId="19">
    <w:abstractNumId w:val="7"/>
  </w:num>
  <w:num w:numId="20">
    <w:abstractNumId w:val="29"/>
  </w:num>
  <w:num w:numId="21">
    <w:abstractNumId w:val="13"/>
  </w:num>
  <w:num w:numId="22">
    <w:abstractNumId w:val="32"/>
  </w:num>
  <w:num w:numId="23">
    <w:abstractNumId w:val="23"/>
  </w:num>
  <w:num w:numId="24">
    <w:abstractNumId w:val="25"/>
  </w:num>
  <w:num w:numId="25">
    <w:abstractNumId w:val="8"/>
  </w:num>
  <w:num w:numId="26">
    <w:abstractNumId w:val="36"/>
  </w:num>
  <w:num w:numId="27">
    <w:abstractNumId w:val="2"/>
  </w:num>
  <w:num w:numId="28">
    <w:abstractNumId w:val="15"/>
  </w:num>
  <w:num w:numId="29">
    <w:abstractNumId w:val="5"/>
  </w:num>
  <w:num w:numId="30">
    <w:abstractNumId w:val="21"/>
  </w:num>
  <w:num w:numId="31">
    <w:abstractNumId w:val="22"/>
  </w:num>
  <w:num w:numId="32">
    <w:abstractNumId w:val="35"/>
  </w:num>
  <w:num w:numId="33">
    <w:abstractNumId w:val="16"/>
  </w:num>
  <w:num w:numId="34">
    <w:abstractNumId w:val="33"/>
  </w:num>
  <w:num w:numId="35">
    <w:abstractNumId w:val="12"/>
  </w:num>
  <w:num w:numId="36">
    <w:abstractNumId w:val="2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8E"/>
    <w:rsid w:val="000004FF"/>
    <w:rsid w:val="000005DE"/>
    <w:rsid w:val="00000868"/>
    <w:rsid w:val="00000AC8"/>
    <w:rsid w:val="0000123C"/>
    <w:rsid w:val="0000160B"/>
    <w:rsid w:val="00001F76"/>
    <w:rsid w:val="00002EEE"/>
    <w:rsid w:val="0000302B"/>
    <w:rsid w:val="0000361D"/>
    <w:rsid w:val="0000373C"/>
    <w:rsid w:val="00003CA1"/>
    <w:rsid w:val="00003E55"/>
    <w:rsid w:val="00003EBC"/>
    <w:rsid w:val="0000424B"/>
    <w:rsid w:val="00004580"/>
    <w:rsid w:val="00004E1B"/>
    <w:rsid w:val="00005FF8"/>
    <w:rsid w:val="00006630"/>
    <w:rsid w:val="000069F0"/>
    <w:rsid w:val="0001144E"/>
    <w:rsid w:val="00011F73"/>
    <w:rsid w:val="00012431"/>
    <w:rsid w:val="00012972"/>
    <w:rsid w:val="00012AEC"/>
    <w:rsid w:val="00013631"/>
    <w:rsid w:val="00014D08"/>
    <w:rsid w:val="00016049"/>
    <w:rsid w:val="000160B2"/>
    <w:rsid w:val="000162A2"/>
    <w:rsid w:val="00016632"/>
    <w:rsid w:val="00017A2E"/>
    <w:rsid w:val="00020008"/>
    <w:rsid w:val="00020243"/>
    <w:rsid w:val="00020FD9"/>
    <w:rsid w:val="00021242"/>
    <w:rsid w:val="000213F3"/>
    <w:rsid w:val="000216FD"/>
    <w:rsid w:val="00021B33"/>
    <w:rsid w:val="000225AA"/>
    <w:rsid w:val="00022C1A"/>
    <w:rsid w:val="000232F9"/>
    <w:rsid w:val="00023777"/>
    <w:rsid w:val="00023BA5"/>
    <w:rsid w:val="00023CA8"/>
    <w:rsid w:val="00023DEA"/>
    <w:rsid w:val="00023E68"/>
    <w:rsid w:val="00024236"/>
    <w:rsid w:val="00024542"/>
    <w:rsid w:val="00024598"/>
    <w:rsid w:val="0002493A"/>
    <w:rsid w:val="00025092"/>
    <w:rsid w:val="000258C5"/>
    <w:rsid w:val="00025E31"/>
    <w:rsid w:val="00026227"/>
    <w:rsid w:val="00026F4F"/>
    <w:rsid w:val="00027159"/>
    <w:rsid w:val="00030B25"/>
    <w:rsid w:val="00030CCE"/>
    <w:rsid w:val="00031284"/>
    <w:rsid w:val="000330C4"/>
    <w:rsid w:val="00033708"/>
    <w:rsid w:val="00033E38"/>
    <w:rsid w:val="0003442C"/>
    <w:rsid w:val="00035E7F"/>
    <w:rsid w:val="00036ED1"/>
    <w:rsid w:val="000377E4"/>
    <w:rsid w:val="00037AAA"/>
    <w:rsid w:val="00037C63"/>
    <w:rsid w:val="00040670"/>
    <w:rsid w:val="0004117E"/>
    <w:rsid w:val="00041DA2"/>
    <w:rsid w:val="00041F64"/>
    <w:rsid w:val="00041F7D"/>
    <w:rsid w:val="00042CAF"/>
    <w:rsid w:val="00042F89"/>
    <w:rsid w:val="00043185"/>
    <w:rsid w:val="000434C3"/>
    <w:rsid w:val="0004358A"/>
    <w:rsid w:val="00043878"/>
    <w:rsid w:val="00043BCC"/>
    <w:rsid w:val="000450BB"/>
    <w:rsid w:val="00045448"/>
    <w:rsid w:val="0004583A"/>
    <w:rsid w:val="00046149"/>
    <w:rsid w:val="00046887"/>
    <w:rsid w:val="00046B15"/>
    <w:rsid w:val="00046F85"/>
    <w:rsid w:val="00047434"/>
    <w:rsid w:val="00047783"/>
    <w:rsid w:val="000524B3"/>
    <w:rsid w:val="00052655"/>
    <w:rsid w:val="000527B4"/>
    <w:rsid w:val="00053123"/>
    <w:rsid w:val="0005350D"/>
    <w:rsid w:val="000536E6"/>
    <w:rsid w:val="00053787"/>
    <w:rsid w:val="00053D38"/>
    <w:rsid w:val="00055340"/>
    <w:rsid w:val="00055D75"/>
    <w:rsid w:val="000564AD"/>
    <w:rsid w:val="00056E35"/>
    <w:rsid w:val="0005723E"/>
    <w:rsid w:val="0005739F"/>
    <w:rsid w:val="0005744F"/>
    <w:rsid w:val="000575E9"/>
    <w:rsid w:val="00057699"/>
    <w:rsid w:val="000576A6"/>
    <w:rsid w:val="00057797"/>
    <w:rsid w:val="00057ACD"/>
    <w:rsid w:val="00060444"/>
    <w:rsid w:val="000609DC"/>
    <w:rsid w:val="00061A93"/>
    <w:rsid w:val="00061B56"/>
    <w:rsid w:val="00061EF7"/>
    <w:rsid w:val="00062433"/>
    <w:rsid w:val="00063C58"/>
    <w:rsid w:val="00064553"/>
    <w:rsid w:val="00065269"/>
    <w:rsid w:val="0006582E"/>
    <w:rsid w:val="00065F4D"/>
    <w:rsid w:val="000668CB"/>
    <w:rsid w:val="00066DE0"/>
    <w:rsid w:val="00066F4F"/>
    <w:rsid w:val="000675D9"/>
    <w:rsid w:val="00067695"/>
    <w:rsid w:val="000679D0"/>
    <w:rsid w:val="00070473"/>
    <w:rsid w:val="000709B3"/>
    <w:rsid w:val="00070B71"/>
    <w:rsid w:val="000733E0"/>
    <w:rsid w:val="00073C05"/>
    <w:rsid w:val="000740EF"/>
    <w:rsid w:val="00075627"/>
    <w:rsid w:val="000757EA"/>
    <w:rsid w:val="00075E24"/>
    <w:rsid w:val="0007621E"/>
    <w:rsid w:val="00076B13"/>
    <w:rsid w:val="0008105E"/>
    <w:rsid w:val="0008133A"/>
    <w:rsid w:val="000814FD"/>
    <w:rsid w:val="00081936"/>
    <w:rsid w:val="00081C7E"/>
    <w:rsid w:val="00081E6D"/>
    <w:rsid w:val="0008244E"/>
    <w:rsid w:val="0008279B"/>
    <w:rsid w:val="00082DFC"/>
    <w:rsid w:val="000833FB"/>
    <w:rsid w:val="00084242"/>
    <w:rsid w:val="00085E6A"/>
    <w:rsid w:val="00086F59"/>
    <w:rsid w:val="000873B8"/>
    <w:rsid w:val="00090704"/>
    <w:rsid w:val="00090E2C"/>
    <w:rsid w:val="00091421"/>
    <w:rsid w:val="00091CC5"/>
    <w:rsid w:val="00092A5D"/>
    <w:rsid w:val="00092D5C"/>
    <w:rsid w:val="00092EDF"/>
    <w:rsid w:val="0009327F"/>
    <w:rsid w:val="00094422"/>
    <w:rsid w:val="000944B1"/>
    <w:rsid w:val="0009531D"/>
    <w:rsid w:val="00095AE2"/>
    <w:rsid w:val="00095C56"/>
    <w:rsid w:val="00095ECF"/>
    <w:rsid w:val="0009638D"/>
    <w:rsid w:val="00096AF1"/>
    <w:rsid w:val="0009778D"/>
    <w:rsid w:val="00097953"/>
    <w:rsid w:val="00097FC2"/>
    <w:rsid w:val="000A05AB"/>
    <w:rsid w:val="000A0D8D"/>
    <w:rsid w:val="000A1235"/>
    <w:rsid w:val="000A1836"/>
    <w:rsid w:val="000A2BC2"/>
    <w:rsid w:val="000A31F8"/>
    <w:rsid w:val="000A3B2C"/>
    <w:rsid w:val="000A4424"/>
    <w:rsid w:val="000A4597"/>
    <w:rsid w:val="000A53FC"/>
    <w:rsid w:val="000A560B"/>
    <w:rsid w:val="000A5DBC"/>
    <w:rsid w:val="000A7122"/>
    <w:rsid w:val="000A7E3C"/>
    <w:rsid w:val="000A7E3D"/>
    <w:rsid w:val="000B0198"/>
    <w:rsid w:val="000B047A"/>
    <w:rsid w:val="000B0C93"/>
    <w:rsid w:val="000B15AD"/>
    <w:rsid w:val="000B2A9B"/>
    <w:rsid w:val="000B2E60"/>
    <w:rsid w:val="000B314B"/>
    <w:rsid w:val="000B39FF"/>
    <w:rsid w:val="000B3EB1"/>
    <w:rsid w:val="000B47AE"/>
    <w:rsid w:val="000B5133"/>
    <w:rsid w:val="000B5C46"/>
    <w:rsid w:val="000B5CBE"/>
    <w:rsid w:val="000B625B"/>
    <w:rsid w:val="000B757D"/>
    <w:rsid w:val="000B75BB"/>
    <w:rsid w:val="000B7883"/>
    <w:rsid w:val="000B78BA"/>
    <w:rsid w:val="000C03F7"/>
    <w:rsid w:val="000C09EB"/>
    <w:rsid w:val="000C0A73"/>
    <w:rsid w:val="000C112C"/>
    <w:rsid w:val="000C1774"/>
    <w:rsid w:val="000C17A3"/>
    <w:rsid w:val="000C2FB4"/>
    <w:rsid w:val="000C355E"/>
    <w:rsid w:val="000C3D73"/>
    <w:rsid w:val="000C4084"/>
    <w:rsid w:val="000C45CD"/>
    <w:rsid w:val="000C52D2"/>
    <w:rsid w:val="000C56E3"/>
    <w:rsid w:val="000C5883"/>
    <w:rsid w:val="000C5C44"/>
    <w:rsid w:val="000C5C46"/>
    <w:rsid w:val="000C6014"/>
    <w:rsid w:val="000C6476"/>
    <w:rsid w:val="000C7C9B"/>
    <w:rsid w:val="000D0B54"/>
    <w:rsid w:val="000D1226"/>
    <w:rsid w:val="000D1924"/>
    <w:rsid w:val="000D2616"/>
    <w:rsid w:val="000D32E6"/>
    <w:rsid w:val="000D3C0D"/>
    <w:rsid w:val="000D4283"/>
    <w:rsid w:val="000D493A"/>
    <w:rsid w:val="000D4BBD"/>
    <w:rsid w:val="000D523F"/>
    <w:rsid w:val="000D56E6"/>
    <w:rsid w:val="000D5CFB"/>
    <w:rsid w:val="000D6D3B"/>
    <w:rsid w:val="000D72FC"/>
    <w:rsid w:val="000D7BC2"/>
    <w:rsid w:val="000D7C86"/>
    <w:rsid w:val="000E025D"/>
    <w:rsid w:val="000E15B6"/>
    <w:rsid w:val="000E2C2E"/>
    <w:rsid w:val="000E2C84"/>
    <w:rsid w:val="000E2FF3"/>
    <w:rsid w:val="000E32CB"/>
    <w:rsid w:val="000E3D7B"/>
    <w:rsid w:val="000E3E5D"/>
    <w:rsid w:val="000E42C3"/>
    <w:rsid w:val="000E538D"/>
    <w:rsid w:val="000E5EEB"/>
    <w:rsid w:val="000E611A"/>
    <w:rsid w:val="000E639D"/>
    <w:rsid w:val="000E73DA"/>
    <w:rsid w:val="000F0198"/>
    <w:rsid w:val="000F188D"/>
    <w:rsid w:val="000F1F9B"/>
    <w:rsid w:val="000F22A3"/>
    <w:rsid w:val="000F2385"/>
    <w:rsid w:val="000F293E"/>
    <w:rsid w:val="000F2D65"/>
    <w:rsid w:val="000F3A55"/>
    <w:rsid w:val="000F3FB3"/>
    <w:rsid w:val="000F5983"/>
    <w:rsid w:val="000F5D32"/>
    <w:rsid w:val="000F6CF3"/>
    <w:rsid w:val="001000CD"/>
    <w:rsid w:val="0010027A"/>
    <w:rsid w:val="00100BFA"/>
    <w:rsid w:val="00100DAF"/>
    <w:rsid w:val="001019B3"/>
    <w:rsid w:val="0010224C"/>
    <w:rsid w:val="001022D2"/>
    <w:rsid w:val="0010286C"/>
    <w:rsid w:val="0010294F"/>
    <w:rsid w:val="0010298E"/>
    <w:rsid w:val="00102CBF"/>
    <w:rsid w:val="00104180"/>
    <w:rsid w:val="001052B5"/>
    <w:rsid w:val="001055A2"/>
    <w:rsid w:val="001108E6"/>
    <w:rsid w:val="00111903"/>
    <w:rsid w:val="00111DC4"/>
    <w:rsid w:val="00111E6E"/>
    <w:rsid w:val="00111F7B"/>
    <w:rsid w:val="001122DE"/>
    <w:rsid w:val="0011244A"/>
    <w:rsid w:val="00112576"/>
    <w:rsid w:val="00112630"/>
    <w:rsid w:val="00112E19"/>
    <w:rsid w:val="00113471"/>
    <w:rsid w:val="0011359E"/>
    <w:rsid w:val="00113B0F"/>
    <w:rsid w:val="00113F1A"/>
    <w:rsid w:val="00115229"/>
    <w:rsid w:val="00115A25"/>
    <w:rsid w:val="00115A76"/>
    <w:rsid w:val="00115C16"/>
    <w:rsid w:val="001164EC"/>
    <w:rsid w:val="001170D1"/>
    <w:rsid w:val="0011773A"/>
    <w:rsid w:val="0011783B"/>
    <w:rsid w:val="00120A54"/>
    <w:rsid w:val="00121571"/>
    <w:rsid w:val="00121904"/>
    <w:rsid w:val="00121BB4"/>
    <w:rsid w:val="00121D04"/>
    <w:rsid w:val="001221AD"/>
    <w:rsid w:val="00122A38"/>
    <w:rsid w:val="001231D4"/>
    <w:rsid w:val="001231EC"/>
    <w:rsid w:val="00123D15"/>
    <w:rsid w:val="00123E14"/>
    <w:rsid w:val="00123F39"/>
    <w:rsid w:val="00124053"/>
    <w:rsid w:val="001243BB"/>
    <w:rsid w:val="00124E41"/>
    <w:rsid w:val="00125ED4"/>
    <w:rsid w:val="0012672B"/>
    <w:rsid w:val="001269C5"/>
    <w:rsid w:val="00127A52"/>
    <w:rsid w:val="00127C9A"/>
    <w:rsid w:val="0013137A"/>
    <w:rsid w:val="00132D2E"/>
    <w:rsid w:val="00133D51"/>
    <w:rsid w:val="00133DC4"/>
    <w:rsid w:val="00133E6C"/>
    <w:rsid w:val="001359D6"/>
    <w:rsid w:val="00135BE9"/>
    <w:rsid w:val="00135CF9"/>
    <w:rsid w:val="00136001"/>
    <w:rsid w:val="001366A8"/>
    <w:rsid w:val="00136869"/>
    <w:rsid w:val="00137D7D"/>
    <w:rsid w:val="00137F51"/>
    <w:rsid w:val="00140010"/>
    <w:rsid w:val="00140E0D"/>
    <w:rsid w:val="00142160"/>
    <w:rsid w:val="00143762"/>
    <w:rsid w:val="00143DB8"/>
    <w:rsid w:val="00144A66"/>
    <w:rsid w:val="00144B1D"/>
    <w:rsid w:val="00144F58"/>
    <w:rsid w:val="0014510B"/>
    <w:rsid w:val="00145B21"/>
    <w:rsid w:val="00146572"/>
    <w:rsid w:val="00147461"/>
    <w:rsid w:val="001509A6"/>
    <w:rsid w:val="00150F1C"/>
    <w:rsid w:val="00150F4A"/>
    <w:rsid w:val="001512CB"/>
    <w:rsid w:val="001516DB"/>
    <w:rsid w:val="001527D9"/>
    <w:rsid w:val="001527DE"/>
    <w:rsid w:val="001532A7"/>
    <w:rsid w:val="00153500"/>
    <w:rsid w:val="00153B96"/>
    <w:rsid w:val="00154513"/>
    <w:rsid w:val="00154535"/>
    <w:rsid w:val="00154774"/>
    <w:rsid w:val="00154A3A"/>
    <w:rsid w:val="00154A49"/>
    <w:rsid w:val="00154D24"/>
    <w:rsid w:val="00154F24"/>
    <w:rsid w:val="001552EE"/>
    <w:rsid w:val="001556B8"/>
    <w:rsid w:val="00155C4F"/>
    <w:rsid w:val="00155EB1"/>
    <w:rsid w:val="00156616"/>
    <w:rsid w:val="00156802"/>
    <w:rsid w:val="001569B7"/>
    <w:rsid w:val="00156F88"/>
    <w:rsid w:val="00157AEF"/>
    <w:rsid w:val="00160819"/>
    <w:rsid w:val="0016163D"/>
    <w:rsid w:val="00161ADA"/>
    <w:rsid w:val="001645AA"/>
    <w:rsid w:val="00164CE2"/>
    <w:rsid w:val="0016518D"/>
    <w:rsid w:val="001653BC"/>
    <w:rsid w:val="001658CA"/>
    <w:rsid w:val="00166AFD"/>
    <w:rsid w:val="001671FC"/>
    <w:rsid w:val="001677B9"/>
    <w:rsid w:val="00167A40"/>
    <w:rsid w:val="00167D56"/>
    <w:rsid w:val="00170671"/>
    <w:rsid w:val="0017091B"/>
    <w:rsid w:val="00170DF1"/>
    <w:rsid w:val="001715E5"/>
    <w:rsid w:val="0017323E"/>
    <w:rsid w:val="00173468"/>
    <w:rsid w:val="00173706"/>
    <w:rsid w:val="00173D04"/>
    <w:rsid w:val="00173DF3"/>
    <w:rsid w:val="00175415"/>
    <w:rsid w:val="00175937"/>
    <w:rsid w:val="001774D3"/>
    <w:rsid w:val="00177628"/>
    <w:rsid w:val="001808EB"/>
    <w:rsid w:val="00180DA4"/>
    <w:rsid w:val="00181C61"/>
    <w:rsid w:val="00182EFB"/>
    <w:rsid w:val="0018315C"/>
    <w:rsid w:val="00184F6A"/>
    <w:rsid w:val="0018519D"/>
    <w:rsid w:val="001853B9"/>
    <w:rsid w:val="001853BF"/>
    <w:rsid w:val="00185A38"/>
    <w:rsid w:val="00185D16"/>
    <w:rsid w:val="00186895"/>
    <w:rsid w:val="00186D20"/>
    <w:rsid w:val="00187182"/>
    <w:rsid w:val="00187CF7"/>
    <w:rsid w:val="00187DBA"/>
    <w:rsid w:val="00187E68"/>
    <w:rsid w:val="00192EC9"/>
    <w:rsid w:val="0019494F"/>
    <w:rsid w:val="00194A4E"/>
    <w:rsid w:val="00195414"/>
    <w:rsid w:val="001954B4"/>
    <w:rsid w:val="001969DB"/>
    <w:rsid w:val="001A04D9"/>
    <w:rsid w:val="001A0809"/>
    <w:rsid w:val="001A0B4E"/>
    <w:rsid w:val="001A0DE0"/>
    <w:rsid w:val="001A1602"/>
    <w:rsid w:val="001A1F45"/>
    <w:rsid w:val="001A2628"/>
    <w:rsid w:val="001A29BB"/>
    <w:rsid w:val="001A40DB"/>
    <w:rsid w:val="001A45D4"/>
    <w:rsid w:val="001A4BBC"/>
    <w:rsid w:val="001A4CB7"/>
    <w:rsid w:val="001A5675"/>
    <w:rsid w:val="001A5A4C"/>
    <w:rsid w:val="001A5C05"/>
    <w:rsid w:val="001A5F6B"/>
    <w:rsid w:val="001A63D4"/>
    <w:rsid w:val="001A6FCB"/>
    <w:rsid w:val="001B0D8F"/>
    <w:rsid w:val="001B1438"/>
    <w:rsid w:val="001B261B"/>
    <w:rsid w:val="001B296A"/>
    <w:rsid w:val="001B3718"/>
    <w:rsid w:val="001B3C65"/>
    <w:rsid w:val="001B48CB"/>
    <w:rsid w:val="001B54A2"/>
    <w:rsid w:val="001B696B"/>
    <w:rsid w:val="001B7B7B"/>
    <w:rsid w:val="001B7C0B"/>
    <w:rsid w:val="001B7CF1"/>
    <w:rsid w:val="001C0447"/>
    <w:rsid w:val="001C11F7"/>
    <w:rsid w:val="001C28A1"/>
    <w:rsid w:val="001C36F7"/>
    <w:rsid w:val="001C4CF0"/>
    <w:rsid w:val="001C5048"/>
    <w:rsid w:val="001C68B1"/>
    <w:rsid w:val="001C6C02"/>
    <w:rsid w:val="001C6C5D"/>
    <w:rsid w:val="001C7D2F"/>
    <w:rsid w:val="001D05A5"/>
    <w:rsid w:val="001D080A"/>
    <w:rsid w:val="001D16E9"/>
    <w:rsid w:val="001D2244"/>
    <w:rsid w:val="001D3B20"/>
    <w:rsid w:val="001D41B6"/>
    <w:rsid w:val="001D4C78"/>
    <w:rsid w:val="001D5307"/>
    <w:rsid w:val="001D5563"/>
    <w:rsid w:val="001D55B5"/>
    <w:rsid w:val="001D5770"/>
    <w:rsid w:val="001D59FC"/>
    <w:rsid w:val="001D5BB4"/>
    <w:rsid w:val="001D6028"/>
    <w:rsid w:val="001D69ED"/>
    <w:rsid w:val="001D70E9"/>
    <w:rsid w:val="001D7951"/>
    <w:rsid w:val="001E0A9F"/>
    <w:rsid w:val="001E1587"/>
    <w:rsid w:val="001E179E"/>
    <w:rsid w:val="001E180B"/>
    <w:rsid w:val="001E1DE5"/>
    <w:rsid w:val="001E3107"/>
    <w:rsid w:val="001E3522"/>
    <w:rsid w:val="001E5576"/>
    <w:rsid w:val="001E55F0"/>
    <w:rsid w:val="001E7073"/>
    <w:rsid w:val="001E7B5E"/>
    <w:rsid w:val="001F01E2"/>
    <w:rsid w:val="001F039A"/>
    <w:rsid w:val="001F0560"/>
    <w:rsid w:val="001F0C18"/>
    <w:rsid w:val="001F0CAA"/>
    <w:rsid w:val="001F20DE"/>
    <w:rsid w:val="001F332B"/>
    <w:rsid w:val="001F4635"/>
    <w:rsid w:val="001F4DC1"/>
    <w:rsid w:val="001F5742"/>
    <w:rsid w:val="001F5BE2"/>
    <w:rsid w:val="001F668D"/>
    <w:rsid w:val="001F6797"/>
    <w:rsid w:val="001F7615"/>
    <w:rsid w:val="00201727"/>
    <w:rsid w:val="00202536"/>
    <w:rsid w:val="002025EE"/>
    <w:rsid w:val="002031B0"/>
    <w:rsid w:val="00203417"/>
    <w:rsid w:val="002036DE"/>
    <w:rsid w:val="00203B19"/>
    <w:rsid w:val="00203D70"/>
    <w:rsid w:val="0020485B"/>
    <w:rsid w:val="002057D3"/>
    <w:rsid w:val="00205986"/>
    <w:rsid w:val="00205BBD"/>
    <w:rsid w:val="00205F0E"/>
    <w:rsid w:val="00207F18"/>
    <w:rsid w:val="00211569"/>
    <w:rsid w:val="002118F3"/>
    <w:rsid w:val="0021194C"/>
    <w:rsid w:val="00211DFA"/>
    <w:rsid w:val="00212985"/>
    <w:rsid w:val="00212F62"/>
    <w:rsid w:val="00213812"/>
    <w:rsid w:val="00213E5C"/>
    <w:rsid w:val="00214724"/>
    <w:rsid w:val="0021616A"/>
    <w:rsid w:val="00216633"/>
    <w:rsid w:val="00216989"/>
    <w:rsid w:val="00216ECA"/>
    <w:rsid w:val="00216EDB"/>
    <w:rsid w:val="00217309"/>
    <w:rsid w:val="00217897"/>
    <w:rsid w:val="002178F5"/>
    <w:rsid w:val="002204BF"/>
    <w:rsid w:val="00220A10"/>
    <w:rsid w:val="00220E63"/>
    <w:rsid w:val="0022121C"/>
    <w:rsid w:val="002222C9"/>
    <w:rsid w:val="00223656"/>
    <w:rsid w:val="00223DBB"/>
    <w:rsid w:val="002242DD"/>
    <w:rsid w:val="002252A2"/>
    <w:rsid w:val="002261C6"/>
    <w:rsid w:val="002268A6"/>
    <w:rsid w:val="00226FAA"/>
    <w:rsid w:val="002276ED"/>
    <w:rsid w:val="00227DA7"/>
    <w:rsid w:val="002300FD"/>
    <w:rsid w:val="00230FA9"/>
    <w:rsid w:val="00232D6E"/>
    <w:rsid w:val="00232D73"/>
    <w:rsid w:val="00232E8B"/>
    <w:rsid w:val="00234634"/>
    <w:rsid w:val="002349D0"/>
    <w:rsid w:val="00234D1F"/>
    <w:rsid w:val="0023588E"/>
    <w:rsid w:val="00236656"/>
    <w:rsid w:val="00236C21"/>
    <w:rsid w:val="00237836"/>
    <w:rsid w:val="00237B9D"/>
    <w:rsid w:val="00237D3D"/>
    <w:rsid w:val="002401A6"/>
    <w:rsid w:val="002405FD"/>
    <w:rsid w:val="002407F0"/>
    <w:rsid w:val="00240BCA"/>
    <w:rsid w:val="00240F0F"/>
    <w:rsid w:val="002410A7"/>
    <w:rsid w:val="00241AC6"/>
    <w:rsid w:val="002421B3"/>
    <w:rsid w:val="002444A5"/>
    <w:rsid w:val="002447CE"/>
    <w:rsid w:val="00244BA8"/>
    <w:rsid w:val="00244D10"/>
    <w:rsid w:val="00244E3B"/>
    <w:rsid w:val="00244EF4"/>
    <w:rsid w:val="002454C8"/>
    <w:rsid w:val="00247B39"/>
    <w:rsid w:val="00247DA6"/>
    <w:rsid w:val="00250C3E"/>
    <w:rsid w:val="0025207F"/>
    <w:rsid w:val="0025245A"/>
    <w:rsid w:val="0025250F"/>
    <w:rsid w:val="002525A4"/>
    <w:rsid w:val="002533F0"/>
    <w:rsid w:val="0025353B"/>
    <w:rsid w:val="00253C89"/>
    <w:rsid w:val="00254429"/>
    <w:rsid w:val="0025500F"/>
    <w:rsid w:val="002550D3"/>
    <w:rsid w:val="002555E4"/>
    <w:rsid w:val="0025587E"/>
    <w:rsid w:val="00255883"/>
    <w:rsid w:val="00255A70"/>
    <w:rsid w:val="0025625A"/>
    <w:rsid w:val="00256CDB"/>
    <w:rsid w:val="00256E1D"/>
    <w:rsid w:val="00257784"/>
    <w:rsid w:val="00257855"/>
    <w:rsid w:val="00257A16"/>
    <w:rsid w:val="00257A85"/>
    <w:rsid w:val="002600E1"/>
    <w:rsid w:val="00260738"/>
    <w:rsid w:val="00260A75"/>
    <w:rsid w:val="002614B7"/>
    <w:rsid w:val="002614F1"/>
    <w:rsid w:val="002616CF"/>
    <w:rsid w:val="00263157"/>
    <w:rsid w:val="00263FA3"/>
    <w:rsid w:val="00264A3E"/>
    <w:rsid w:val="0026550B"/>
    <w:rsid w:val="00266598"/>
    <w:rsid w:val="002669BB"/>
    <w:rsid w:val="00266D7B"/>
    <w:rsid w:val="00267056"/>
    <w:rsid w:val="002671D0"/>
    <w:rsid w:val="00267D67"/>
    <w:rsid w:val="00270D24"/>
    <w:rsid w:val="002715BA"/>
    <w:rsid w:val="00271769"/>
    <w:rsid w:val="00271A41"/>
    <w:rsid w:val="002725C4"/>
    <w:rsid w:val="00273462"/>
    <w:rsid w:val="00273F6F"/>
    <w:rsid w:val="0027414D"/>
    <w:rsid w:val="00275067"/>
    <w:rsid w:val="002759A6"/>
    <w:rsid w:val="00275A34"/>
    <w:rsid w:val="00275BA3"/>
    <w:rsid w:val="00280203"/>
    <w:rsid w:val="002802EE"/>
    <w:rsid w:val="0028037D"/>
    <w:rsid w:val="00280A6D"/>
    <w:rsid w:val="00282E0C"/>
    <w:rsid w:val="002838C1"/>
    <w:rsid w:val="0028497A"/>
    <w:rsid w:val="00284DE1"/>
    <w:rsid w:val="002856B8"/>
    <w:rsid w:val="00285FD7"/>
    <w:rsid w:val="0028624B"/>
    <w:rsid w:val="00286A88"/>
    <w:rsid w:val="00286F3B"/>
    <w:rsid w:val="00287369"/>
    <w:rsid w:val="002909C1"/>
    <w:rsid w:val="00290B70"/>
    <w:rsid w:val="002922E6"/>
    <w:rsid w:val="002925A1"/>
    <w:rsid w:val="0029344D"/>
    <w:rsid w:val="00293E7D"/>
    <w:rsid w:val="0029461D"/>
    <w:rsid w:val="00294AB2"/>
    <w:rsid w:val="002961F6"/>
    <w:rsid w:val="00297078"/>
    <w:rsid w:val="0029719C"/>
    <w:rsid w:val="0029739E"/>
    <w:rsid w:val="002A1040"/>
    <w:rsid w:val="002A1458"/>
    <w:rsid w:val="002A1854"/>
    <w:rsid w:val="002A1F92"/>
    <w:rsid w:val="002A2AAD"/>
    <w:rsid w:val="002A3546"/>
    <w:rsid w:val="002A374E"/>
    <w:rsid w:val="002A3B1E"/>
    <w:rsid w:val="002A45C6"/>
    <w:rsid w:val="002A4BE9"/>
    <w:rsid w:val="002A620B"/>
    <w:rsid w:val="002A656B"/>
    <w:rsid w:val="002A6B2A"/>
    <w:rsid w:val="002A706B"/>
    <w:rsid w:val="002A7255"/>
    <w:rsid w:val="002A7358"/>
    <w:rsid w:val="002A7CD8"/>
    <w:rsid w:val="002B060E"/>
    <w:rsid w:val="002B2381"/>
    <w:rsid w:val="002B2462"/>
    <w:rsid w:val="002B29C4"/>
    <w:rsid w:val="002B2E77"/>
    <w:rsid w:val="002B3107"/>
    <w:rsid w:val="002B383B"/>
    <w:rsid w:val="002B38A8"/>
    <w:rsid w:val="002B403F"/>
    <w:rsid w:val="002B48E1"/>
    <w:rsid w:val="002B4ABD"/>
    <w:rsid w:val="002B5537"/>
    <w:rsid w:val="002B632B"/>
    <w:rsid w:val="002B68A8"/>
    <w:rsid w:val="002B6953"/>
    <w:rsid w:val="002B6C54"/>
    <w:rsid w:val="002B6E17"/>
    <w:rsid w:val="002B74F2"/>
    <w:rsid w:val="002B7590"/>
    <w:rsid w:val="002C0482"/>
    <w:rsid w:val="002C0A48"/>
    <w:rsid w:val="002C0AE6"/>
    <w:rsid w:val="002C0DB4"/>
    <w:rsid w:val="002C0DF3"/>
    <w:rsid w:val="002C1FEF"/>
    <w:rsid w:val="002C2093"/>
    <w:rsid w:val="002C2156"/>
    <w:rsid w:val="002C250E"/>
    <w:rsid w:val="002C2FBE"/>
    <w:rsid w:val="002C3200"/>
    <w:rsid w:val="002C35E8"/>
    <w:rsid w:val="002C39A7"/>
    <w:rsid w:val="002C3C9C"/>
    <w:rsid w:val="002C4614"/>
    <w:rsid w:val="002C4BCE"/>
    <w:rsid w:val="002C4E41"/>
    <w:rsid w:val="002C529C"/>
    <w:rsid w:val="002C56DC"/>
    <w:rsid w:val="002C598A"/>
    <w:rsid w:val="002C59FB"/>
    <w:rsid w:val="002C5CFA"/>
    <w:rsid w:val="002C5EBB"/>
    <w:rsid w:val="002C6018"/>
    <w:rsid w:val="002C6084"/>
    <w:rsid w:val="002C6904"/>
    <w:rsid w:val="002C76D8"/>
    <w:rsid w:val="002D0408"/>
    <w:rsid w:val="002D0BC7"/>
    <w:rsid w:val="002D198D"/>
    <w:rsid w:val="002D1BBD"/>
    <w:rsid w:val="002D23A7"/>
    <w:rsid w:val="002D2A9C"/>
    <w:rsid w:val="002D33EC"/>
    <w:rsid w:val="002D345D"/>
    <w:rsid w:val="002D442B"/>
    <w:rsid w:val="002D4E92"/>
    <w:rsid w:val="002D52F2"/>
    <w:rsid w:val="002D5CCF"/>
    <w:rsid w:val="002D71FD"/>
    <w:rsid w:val="002D7AE1"/>
    <w:rsid w:val="002E16E2"/>
    <w:rsid w:val="002E1E57"/>
    <w:rsid w:val="002E3768"/>
    <w:rsid w:val="002E501F"/>
    <w:rsid w:val="002E5597"/>
    <w:rsid w:val="002E573E"/>
    <w:rsid w:val="002E5A68"/>
    <w:rsid w:val="002E6372"/>
    <w:rsid w:val="002E6445"/>
    <w:rsid w:val="002E71D9"/>
    <w:rsid w:val="002E76AE"/>
    <w:rsid w:val="002F0067"/>
    <w:rsid w:val="002F1411"/>
    <w:rsid w:val="002F2B20"/>
    <w:rsid w:val="002F2B65"/>
    <w:rsid w:val="002F34D8"/>
    <w:rsid w:val="002F5DDE"/>
    <w:rsid w:val="002F5DE0"/>
    <w:rsid w:val="002F6621"/>
    <w:rsid w:val="002F6F0E"/>
    <w:rsid w:val="002F7A57"/>
    <w:rsid w:val="002F7B48"/>
    <w:rsid w:val="003000BC"/>
    <w:rsid w:val="00301A96"/>
    <w:rsid w:val="00301EDE"/>
    <w:rsid w:val="00301F2E"/>
    <w:rsid w:val="00302212"/>
    <w:rsid w:val="003033D5"/>
    <w:rsid w:val="00304D82"/>
    <w:rsid w:val="00304F80"/>
    <w:rsid w:val="00305940"/>
    <w:rsid w:val="00305E22"/>
    <w:rsid w:val="00306144"/>
    <w:rsid w:val="003062B7"/>
    <w:rsid w:val="0030667A"/>
    <w:rsid w:val="0030780B"/>
    <w:rsid w:val="00310793"/>
    <w:rsid w:val="00310D15"/>
    <w:rsid w:val="00310FC4"/>
    <w:rsid w:val="003111F1"/>
    <w:rsid w:val="003119D9"/>
    <w:rsid w:val="00311BD5"/>
    <w:rsid w:val="0031269F"/>
    <w:rsid w:val="0031294B"/>
    <w:rsid w:val="00312ACD"/>
    <w:rsid w:val="00313F14"/>
    <w:rsid w:val="00314518"/>
    <w:rsid w:val="00315AAF"/>
    <w:rsid w:val="00316A55"/>
    <w:rsid w:val="00320142"/>
    <w:rsid w:val="003203C9"/>
    <w:rsid w:val="00321965"/>
    <w:rsid w:val="0032284E"/>
    <w:rsid w:val="00324BAD"/>
    <w:rsid w:val="00325891"/>
    <w:rsid w:val="00326207"/>
    <w:rsid w:val="0033028D"/>
    <w:rsid w:val="00330DE3"/>
    <w:rsid w:val="00330E4A"/>
    <w:rsid w:val="0033150C"/>
    <w:rsid w:val="003315AD"/>
    <w:rsid w:val="0033197D"/>
    <w:rsid w:val="0033263C"/>
    <w:rsid w:val="003333A6"/>
    <w:rsid w:val="00334940"/>
    <w:rsid w:val="003359E8"/>
    <w:rsid w:val="0033635F"/>
    <w:rsid w:val="003371FB"/>
    <w:rsid w:val="003409DD"/>
    <w:rsid w:val="00340BE2"/>
    <w:rsid w:val="0034169D"/>
    <w:rsid w:val="00341DB3"/>
    <w:rsid w:val="0034256C"/>
    <w:rsid w:val="00342695"/>
    <w:rsid w:val="003430E5"/>
    <w:rsid w:val="00343B4C"/>
    <w:rsid w:val="0034552A"/>
    <w:rsid w:val="00345931"/>
    <w:rsid w:val="003465DE"/>
    <w:rsid w:val="00346D05"/>
    <w:rsid w:val="0034777C"/>
    <w:rsid w:val="003478B0"/>
    <w:rsid w:val="00347A2A"/>
    <w:rsid w:val="00347DC0"/>
    <w:rsid w:val="0035090B"/>
    <w:rsid w:val="003512C5"/>
    <w:rsid w:val="0035136D"/>
    <w:rsid w:val="00351D17"/>
    <w:rsid w:val="003526D3"/>
    <w:rsid w:val="00353403"/>
    <w:rsid w:val="00353A79"/>
    <w:rsid w:val="00354076"/>
    <w:rsid w:val="00354110"/>
    <w:rsid w:val="003561E7"/>
    <w:rsid w:val="003567C0"/>
    <w:rsid w:val="00357509"/>
    <w:rsid w:val="0035750C"/>
    <w:rsid w:val="00357C1B"/>
    <w:rsid w:val="00360AC0"/>
    <w:rsid w:val="00361164"/>
    <w:rsid w:val="0036213F"/>
    <w:rsid w:val="00362C68"/>
    <w:rsid w:val="00363A8F"/>
    <w:rsid w:val="003642E0"/>
    <w:rsid w:val="00365453"/>
    <w:rsid w:val="00365D6C"/>
    <w:rsid w:val="00366798"/>
    <w:rsid w:val="0036790F"/>
    <w:rsid w:val="0037054F"/>
    <w:rsid w:val="00370C3C"/>
    <w:rsid w:val="00372681"/>
    <w:rsid w:val="00372858"/>
    <w:rsid w:val="00373275"/>
    <w:rsid w:val="003743F0"/>
    <w:rsid w:val="00374E96"/>
    <w:rsid w:val="00376670"/>
    <w:rsid w:val="0037668A"/>
    <w:rsid w:val="00376E34"/>
    <w:rsid w:val="00377422"/>
    <w:rsid w:val="0037782D"/>
    <w:rsid w:val="00377F90"/>
    <w:rsid w:val="00380063"/>
    <w:rsid w:val="00380A0F"/>
    <w:rsid w:val="00380E77"/>
    <w:rsid w:val="00381B5E"/>
    <w:rsid w:val="00381D85"/>
    <w:rsid w:val="00383ED8"/>
    <w:rsid w:val="00385CFC"/>
    <w:rsid w:val="00385E1A"/>
    <w:rsid w:val="00387BD3"/>
    <w:rsid w:val="0039091E"/>
    <w:rsid w:val="00390F17"/>
    <w:rsid w:val="0039106B"/>
    <w:rsid w:val="003916DD"/>
    <w:rsid w:val="003924F3"/>
    <w:rsid w:val="00392F69"/>
    <w:rsid w:val="00393552"/>
    <w:rsid w:val="0039397F"/>
    <w:rsid w:val="00393EA6"/>
    <w:rsid w:val="00394219"/>
    <w:rsid w:val="00394ECD"/>
    <w:rsid w:val="00395939"/>
    <w:rsid w:val="003965F7"/>
    <w:rsid w:val="0039782B"/>
    <w:rsid w:val="003A0450"/>
    <w:rsid w:val="003A06EE"/>
    <w:rsid w:val="003A07E9"/>
    <w:rsid w:val="003A13F8"/>
    <w:rsid w:val="003A2D23"/>
    <w:rsid w:val="003A398A"/>
    <w:rsid w:val="003A4091"/>
    <w:rsid w:val="003A4253"/>
    <w:rsid w:val="003A475D"/>
    <w:rsid w:val="003A58DA"/>
    <w:rsid w:val="003A5C0B"/>
    <w:rsid w:val="003A74BD"/>
    <w:rsid w:val="003A7AAF"/>
    <w:rsid w:val="003A7D56"/>
    <w:rsid w:val="003B00A4"/>
    <w:rsid w:val="003B01CE"/>
    <w:rsid w:val="003B0C07"/>
    <w:rsid w:val="003B0EE8"/>
    <w:rsid w:val="003B185A"/>
    <w:rsid w:val="003B1DF5"/>
    <w:rsid w:val="003B1E95"/>
    <w:rsid w:val="003B2477"/>
    <w:rsid w:val="003B3C18"/>
    <w:rsid w:val="003B447F"/>
    <w:rsid w:val="003B484A"/>
    <w:rsid w:val="003B6638"/>
    <w:rsid w:val="003B6A75"/>
    <w:rsid w:val="003B6B85"/>
    <w:rsid w:val="003C1B25"/>
    <w:rsid w:val="003C1DD1"/>
    <w:rsid w:val="003C2B1F"/>
    <w:rsid w:val="003C2B23"/>
    <w:rsid w:val="003C3124"/>
    <w:rsid w:val="003C3A5C"/>
    <w:rsid w:val="003C4BE3"/>
    <w:rsid w:val="003C516A"/>
    <w:rsid w:val="003C5697"/>
    <w:rsid w:val="003C5FA5"/>
    <w:rsid w:val="003C70ED"/>
    <w:rsid w:val="003C76DF"/>
    <w:rsid w:val="003D0573"/>
    <w:rsid w:val="003D08BB"/>
    <w:rsid w:val="003D0A58"/>
    <w:rsid w:val="003D10B6"/>
    <w:rsid w:val="003D10E2"/>
    <w:rsid w:val="003D1C00"/>
    <w:rsid w:val="003D1CBC"/>
    <w:rsid w:val="003D1E14"/>
    <w:rsid w:val="003D20A7"/>
    <w:rsid w:val="003D3026"/>
    <w:rsid w:val="003D357B"/>
    <w:rsid w:val="003D37BF"/>
    <w:rsid w:val="003D3AC8"/>
    <w:rsid w:val="003D3C58"/>
    <w:rsid w:val="003D450D"/>
    <w:rsid w:val="003D60B8"/>
    <w:rsid w:val="003E0E23"/>
    <w:rsid w:val="003E3105"/>
    <w:rsid w:val="003E347C"/>
    <w:rsid w:val="003E39C8"/>
    <w:rsid w:val="003E62D8"/>
    <w:rsid w:val="003E64FE"/>
    <w:rsid w:val="003E6B44"/>
    <w:rsid w:val="003E7625"/>
    <w:rsid w:val="003E7892"/>
    <w:rsid w:val="003F0DA8"/>
    <w:rsid w:val="003F0EDF"/>
    <w:rsid w:val="003F1413"/>
    <w:rsid w:val="003F18B6"/>
    <w:rsid w:val="003F18D9"/>
    <w:rsid w:val="003F27C0"/>
    <w:rsid w:val="003F3C65"/>
    <w:rsid w:val="003F5E1A"/>
    <w:rsid w:val="003F6843"/>
    <w:rsid w:val="00400499"/>
    <w:rsid w:val="004007D6"/>
    <w:rsid w:val="00401235"/>
    <w:rsid w:val="00401BCD"/>
    <w:rsid w:val="00401D23"/>
    <w:rsid w:val="004023A8"/>
    <w:rsid w:val="0040363C"/>
    <w:rsid w:val="00404CD8"/>
    <w:rsid w:val="0040524A"/>
    <w:rsid w:val="00405914"/>
    <w:rsid w:val="00405F14"/>
    <w:rsid w:val="00406125"/>
    <w:rsid w:val="00406DA0"/>
    <w:rsid w:val="00406F1D"/>
    <w:rsid w:val="00406F4B"/>
    <w:rsid w:val="004073AD"/>
    <w:rsid w:val="004077FE"/>
    <w:rsid w:val="004078E8"/>
    <w:rsid w:val="00407CFE"/>
    <w:rsid w:val="0041088F"/>
    <w:rsid w:val="00410DFF"/>
    <w:rsid w:val="0041147F"/>
    <w:rsid w:val="004118F2"/>
    <w:rsid w:val="00412278"/>
    <w:rsid w:val="00412EB6"/>
    <w:rsid w:val="00413A52"/>
    <w:rsid w:val="00413EBD"/>
    <w:rsid w:val="00414072"/>
    <w:rsid w:val="00415C85"/>
    <w:rsid w:val="004161D2"/>
    <w:rsid w:val="00416244"/>
    <w:rsid w:val="00416F5D"/>
    <w:rsid w:val="00420204"/>
    <w:rsid w:val="00421154"/>
    <w:rsid w:val="004212B7"/>
    <w:rsid w:val="004214A4"/>
    <w:rsid w:val="004223C0"/>
    <w:rsid w:val="00422963"/>
    <w:rsid w:val="00422AC0"/>
    <w:rsid w:val="00425001"/>
    <w:rsid w:val="00426006"/>
    <w:rsid w:val="00426A23"/>
    <w:rsid w:val="004273C9"/>
    <w:rsid w:val="0042756E"/>
    <w:rsid w:val="00427F6C"/>
    <w:rsid w:val="00430A4A"/>
    <w:rsid w:val="00430DD9"/>
    <w:rsid w:val="00430ECB"/>
    <w:rsid w:val="00432433"/>
    <w:rsid w:val="00434195"/>
    <w:rsid w:val="004345B6"/>
    <w:rsid w:val="00435BC7"/>
    <w:rsid w:val="00435DC5"/>
    <w:rsid w:val="004367BA"/>
    <w:rsid w:val="00437DC2"/>
    <w:rsid w:val="004407B4"/>
    <w:rsid w:val="00440BA7"/>
    <w:rsid w:val="00440EB1"/>
    <w:rsid w:val="00440EE9"/>
    <w:rsid w:val="00441157"/>
    <w:rsid w:val="00441AE7"/>
    <w:rsid w:val="004421E9"/>
    <w:rsid w:val="00442A9A"/>
    <w:rsid w:val="004433E9"/>
    <w:rsid w:val="0044447F"/>
    <w:rsid w:val="00444E85"/>
    <w:rsid w:val="004456DE"/>
    <w:rsid w:val="00447958"/>
    <w:rsid w:val="0045079E"/>
    <w:rsid w:val="004518E0"/>
    <w:rsid w:val="004518FE"/>
    <w:rsid w:val="00451932"/>
    <w:rsid w:val="00451948"/>
    <w:rsid w:val="004519C1"/>
    <w:rsid w:val="004521F6"/>
    <w:rsid w:val="004522FE"/>
    <w:rsid w:val="00452322"/>
    <w:rsid w:val="00452DA0"/>
    <w:rsid w:val="00452E3D"/>
    <w:rsid w:val="00452EB2"/>
    <w:rsid w:val="00453B52"/>
    <w:rsid w:val="00453B83"/>
    <w:rsid w:val="00453E7B"/>
    <w:rsid w:val="00454200"/>
    <w:rsid w:val="0045442E"/>
    <w:rsid w:val="00454901"/>
    <w:rsid w:val="00454AA0"/>
    <w:rsid w:val="00454C78"/>
    <w:rsid w:val="00455A05"/>
    <w:rsid w:val="00456594"/>
    <w:rsid w:val="00456C17"/>
    <w:rsid w:val="0045731E"/>
    <w:rsid w:val="004573A0"/>
    <w:rsid w:val="004601DF"/>
    <w:rsid w:val="004602BA"/>
    <w:rsid w:val="00460452"/>
    <w:rsid w:val="00460A7E"/>
    <w:rsid w:val="00460E98"/>
    <w:rsid w:val="00462606"/>
    <w:rsid w:val="00462A3E"/>
    <w:rsid w:val="00462B2D"/>
    <w:rsid w:val="00463102"/>
    <w:rsid w:val="0046514A"/>
    <w:rsid w:val="0046549D"/>
    <w:rsid w:val="00465751"/>
    <w:rsid w:val="00465764"/>
    <w:rsid w:val="00465AE8"/>
    <w:rsid w:val="00467384"/>
    <w:rsid w:val="00467A58"/>
    <w:rsid w:val="004704BE"/>
    <w:rsid w:val="00471169"/>
    <w:rsid w:val="0047125E"/>
    <w:rsid w:val="00471605"/>
    <w:rsid w:val="00471701"/>
    <w:rsid w:val="00471F07"/>
    <w:rsid w:val="00472054"/>
    <w:rsid w:val="004722A3"/>
    <w:rsid w:val="00473242"/>
    <w:rsid w:val="0047344A"/>
    <w:rsid w:val="004735B9"/>
    <w:rsid w:val="0047411B"/>
    <w:rsid w:val="0047513C"/>
    <w:rsid w:val="00475A71"/>
    <w:rsid w:val="00475CBD"/>
    <w:rsid w:val="0047692B"/>
    <w:rsid w:val="00476B01"/>
    <w:rsid w:val="00476CCE"/>
    <w:rsid w:val="00477213"/>
    <w:rsid w:val="00477468"/>
    <w:rsid w:val="00477792"/>
    <w:rsid w:val="00480247"/>
    <w:rsid w:val="00481212"/>
    <w:rsid w:val="0048150C"/>
    <w:rsid w:val="004818AA"/>
    <w:rsid w:val="004820D3"/>
    <w:rsid w:val="004821C7"/>
    <w:rsid w:val="004822DF"/>
    <w:rsid w:val="00483226"/>
    <w:rsid w:val="004837FF"/>
    <w:rsid w:val="0048414F"/>
    <w:rsid w:val="00484390"/>
    <w:rsid w:val="00485208"/>
    <w:rsid w:val="0048627E"/>
    <w:rsid w:val="00486A18"/>
    <w:rsid w:val="00486AE1"/>
    <w:rsid w:val="00487F25"/>
    <w:rsid w:val="004907C4"/>
    <w:rsid w:val="004908F5"/>
    <w:rsid w:val="00491372"/>
    <w:rsid w:val="00492C8C"/>
    <w:rsid w:val="004934C7"/>
    <w:rsid w:val="00493D93"/>
    <w:rsid w:val="004940C7"/>
    <w:rsid w:val="00494679"/>
    <w:rsid w:val="004962EE"/>
    <w:rsid w:val="00496D0C"/>
    <w:rsid w:val="004970F9"/>
    <w:rsid w:val="004A1176"/>
    <w:rsid w:val="004A1F3D"/>
    <w:rsid w:val="004A2823"/>
    <w:rsid w:val="004A2B4D"/>
    <w:rsid w:val="004A2D39"/>
    <w:rsid w:val="004A35A2"/>
    <w:rsid w:val="004A36A9"/>
    <w:rsid w:val="004A6564"/>
    <w:rsid w:val="004A6BC4"/>
    <w:rsid w:val="004A6CB3"/>
    <w:rsid w:val="004A7B8C"/>
    <w:rsid w:val="004A7D77"/>
    <w:rsid w:val="004B056A"/>
    <w:rsid w:val="004B0573"/>
    <w:rsid w:val="004B0A69"/>
    <w:rsid w:val="004B0BD3"/>
    <w:rsid w:val="004B138A"/>
    <w:rsid w:val="004B1671"/>
    <w:rsid w:val="004B1796"/>
    <w:rsid w:val="004B2238"/>
    <w:rsid w:val="004B2898"/>
    <w:rsid w:val="004B350F"/>
    <w:rsid w:val="004B3D24"/>
    <w:rsid w:val="004B7818"/>
    <w:rsid w:val="004B7927"/>
    <w:rsid w:val="004B794E"/>
    <w:rsid w:val="004B7D0C"/>
    <w:rsid w:val="004C052E"/>
    <w:rsid w:val="004C08E1"/>
    <w:rsid w:val="004C0975"/>
    <w:rsid w:val="004C1C70"/>
    <w:rsid w:val="004C2FFF"/>
    <w:rsid w:val="004C5CE7"/>
    <w:rsid w:val="004C5CF9"/>
    <w:rsid w:val="004C622B"/>
    <w:rsid w:val="004C6E78"/>
    <w:rsid w:val="004C7653"/>
    <w:rsid w:val="004D0DC3"/>
    <w:rsid w:val="004D0EEF"/>
    <w:rsid w:val="004D15C0"/>
    <w:rsid w:val="004D192F"/>
    <w:rsid w:val="004D1BEA"/>
    <w:rsid w:val="004D26A8"/>
    <w:rsid w:val="004D27E4"/>
    <w:rsid w:val="004D2AAE"/>
    <w:rsid w:val="004D3A3F"/>
    <w:rsid w:val="004D5233"/>
    <w:rsid w:val="004D555F"/>
    <w:rsid w:val="004D6438"/>
    <w:rsid w:val="004D77AD"/>
    <w:rsid w:val="004D7911"/>
    <w:rsid w:val="004D7DE8"/>
    <w:rsid w:val="004D7F06"/>
    <w:rsid w:val="004E0069"/>
    <w:rsid w:val="004E2627"/>
    <w:rsid w:val="004E2A20"/>
    <w:rsid w:val="004E2DE9"/>
    <w:rsid w:val="004E3031"/>
    <w:rsid w:val="004E38A0"/>
    <w:rsid w:val="004E4D51"/>
    <w:rsid w:val="004E5261"/>
    <w:rsid w:val="004E5364"/>
    <w:rsid w:val="004E53CE"/>
    <w:rsid w:val="004E5CA6"/>
    <w:rsid w:val="004E7390"/>
    <w:rsid w:val="004E7770"/>
    <w:rsid w:val="004E7EEF"/>
    <w:rsid w:val="004F09E5"/>
    <w:rsid w:val="004F1239"/>
    <w:rsid w:val="004F125F"/>
    <w:rsid w:val="004F1D4E"/>
    <w:rsid w:val="004F1D53"/>
    <w:rsid w:val="004F3BF1"/>
    <w:rsid w:val="004F42D5"/>
    <w:rsid w:val="004F4C34"/>
    <w:rsid w:val="004F58D1"/>
    <w:rsid w:val="004F6EB9"/>
    <w:rsid w:val="004F7472"/>
    <w:rsid w:val="00500245"/>
    <w:rsid w:val="005004FA"/>
    <w:rsid w:val="00500ED7"/>
    <w:rsid w:val="005013B7"/>
    <w:rsid w:val="005017B5"/>
    <w:rsid w:val="00501E0D"/>
    <w:rsid w:val="0050270A"/>
    <w:rsid w:val="0050298C"/>
    <w:rsid w:val="00502EFB"/>
    <w:rsid w:val="005038F6"/>
    <w:rsid w:val="00503953"/>
    <w:rsid w:val="0050435D"/>
    <w:rsid w:val="00504705"/>
    <w:rsid w:val="00504B09"/>
    <w:rsid w:val="00504DA6"/>
    <w:rsid w:val="00505973"/>
    <w:rsid w:val="00506A5D"/>
    <w:rsid w:val="00507037"/>
    <w:rsid w:val="00511083"/>
    <w:rsid w:val="00511E7B"/>
    <w:rsid w:val="00512C66"/>
    <w:rsid w:val="00512C83"/>
    <w:rsid w:val="00512D1E"/>
    <w:rsid w:val="00512E80"/>
    <w:rsid w:val="00513B9B"/>
    <w:rsid w:val="00513E19"/>
    <w:rsid w:val="00514AD9"/>
    <w:rsid w:val="00514C42"/>
    <w:rsid w:val="00515C6D"/>
    <w:rsid w:val="00515DA7"/>
    <w:rsid w:val="00515ED5"/>
    <w:rsid w:val="005160D0"/>
    <w:rsid w:val="00517248"/>
    <w:rsid w:val="005175D6"/>
    <w:rsid w:val="00517A72"/>
    <w:rsid w:val="00517EFC"/>
    <w:rsid w:val="00517F26"/>
    <w:rsid w:val="00520A1B"/>
    <w:rsid w:val="00520BE9"/>
    <w:rsid w:val="00520C39"/>
    <w:rsid w:val="00520CE5"/>
    <w:rsid w:val="00521475"/>
    <w:rsid w:val="00522B4E"/>
    <w:rsid w:val="00523CEE"/>
    <w:rsid w:val="00524972"/>
    <w:rsid w:val="00524B6F"/>
    <w:rsid w:val="00526189"/>
    <w:rsid w:val="00526357"/>
    <w:rsid w:val="00527E86"/>
    <w:rsid w:val="00530708"/>
    <w:rsid w:val="00530BBF"/>
    <w:rsid w:val="00531C63"/>
    <w:rsid w:val="00531E40"/>
    <w:rsid w:val="005326E9"/>
    <w:rsid w:val="00532DC1"/>
    <w:rsid w:val="00532FAF"/>
    <w:rsid w:val="005341BD"/>
    <w:rsid w:val="00534865"/>
    <w:rsid w:val="00534F58"/>
    <w:rsid w:val="0053560A"/>
    <w:rsid w:val="00535D26"/>
    <w:rsid w:val="00536E88"/>
    <w:rsid w:val="00540715"/>
    <w:rsid w:val="00540907"/>
    <w:rsid w:val="00541CCC"/>
    <w:rsid w:val="00541EBB"/>
    <w:rsid w:val="005423A3"/>
    <w:rsid w:val="0054258F"/>
    <w:rsid w:val="005427C9"/>
    <w:rsid w:val="00543BB1"/>
    <w:rsid w:val="00544D58"/>
    <w:rsid w:val="005453B7"/>
    <w:rsid w:val="0054561E"/>
    <w:rsid w:val="00545773"/>
    <w:rsid w:val="00545A35"/>
    <w:rsid w:val="00546849"/>
    <w:rsid w:val="00546BCC"/>
    <w:rsid w:val="00547157"/>
    <w:rsid w:val="0055075E"/>
    <w:rsid w:val="005510C8"/>
    <w:rsid w:val="005514BF"/>
    <w:rsid w:val="00551A0E"/>
    <w:rsid w:val="00552C1A"/>
    <w:rsid w:val="00552E10"/>
    <w:rsid w:val="0055372B"/>
    <w:rsid w:val="00554E54"/>
    <w:rsid w:val="00554F71"/>
    <w:rsid w:val="00554FDA"/>
    <w:rsid w:val="005550D5"/>
    <w:rsid w:val="005558CC"/>
    <w:rsid w:val="005558EA"/>
    <w:rsid w:val="00555D0D"/>
    <w:rsid w:val="005561FC"/>
    <w:rsid w:val="005562AC"/>
    <w:rsid w:val="00556D9E"/>
    <w:rsid w:val="00557881"/>
    <w:rsid w:val="00557B28"/>
    <w:rsid w:val="00557B83"/>
    <w:rsid w:val="00557E17"/>
    <w:rsid w:val="00560140"/>
    <w:rsid w:val="005601CF"/>
    <w:rsid w:val="0056047E"/>
    <w:rsid w:val="00560EA1"/>
    <w:rsid w:val="005619B2"/>
    <w:rsid w:val="00561CF5"/>
    <w:rsid w:val="00562B0D"/>
    <w:rsid w:val="005646D7"/>
    <w:rsid w:val="00565556"/>
    <w:rsid w:val="005656E1"/>
    <w:rsid w:val="0056682D"/>
    <w:rsid w:val="005710BC"/>
    <w:rsid w:val="005713FC"/>
    <w:rsid w:val="00571B4D"/>
    <w:rsid w:val="00571CE0"/>
    <w:rsid w:val="00572216"/>
    <w:rsid w:val="00572434"/>
    <w:rsid w:val="00572BC1"/>
    <w:rsid w:val="0057306F"/>
    <w:rsid w:val="00573B73"/>
    <w:rsid w:val="00573DA6"/>
    <w:rsid w:val="00573E75"/>
    <w:rsid w:val="00574C55"/>
    <w:rsid w:val="005752FE"/>
    <w:rsid w:val="00575A6F"/>
    <w:rsid w:val="00576D97"/>
    <w:rsid w:val="00580203"/>
    <w:rsid w:val="00580F97"/>
    <w:rsid w:val="00581BDC"/>
    <w:rsid w:val="005820E3"/>
    <w:rsid w:val="00582339"/>
    <w:rsid w:val="005827E3"/>
    <w:rsid w:val="005837A8"/>
    <w:rsid w:val="00586186"/>
    <w:rsid w:val="00586B7B"/>
    <w:rsid w:val="00586C72"/>
    <w:rsid w:val="005878CE"/>
    <w:rsid w:val="00590415"/>
    <w:rsid w:val="0059041D"/>
    <w:rsid w:val="005927EB"/>
    <w:rsid w:val="00592B60"/>
    <w:rsid w:val="00592E08"/>
    <w:rsid w:val="00593072"/>
    <w:rsid w:val="0059469C"/>
    <w:rsid w:val="00594AB2"/>
    <w:rsid w:val="00594DFF"/>
    <w:rsid w:val="00594E44"/>
    <w:rsid w:val="005952A6"/>
    <w:rsid w:val="00595A49"/>
    <w:rsid w:val="00595FA3"/>
    <w:rsid w:val="00596C55"/>
    <w:rsid w:val="00597964"/>
    <w:rsid w:val="00597D20"/>
    <w:rsid w:val="005A0194"/>
    <w:rsid w:val="005A0E08"/>
    <w:rsid w:val="005A18BC"/>
    <w:rsid w:val="005A1F1A"/>
    <w:rsid w:val="005A248C"/>
    <w:rsid w:val="005A2680"/>
    <w:rsid w:val="005A2FCB"/>
    <w:rsid w:val="005A3829"/>
    <w:rsid w:val="005A4170"/>
    <w:rsid w:val="005A47B3"/>
    <w:rsid w:val="005A6CF5"/>
    <w:rsid w:val="005B18B8"/>
    <w:rsid w:val="005B21BE"/>
    <w:rsid w:val="005B2D84"/>
    <w:rsid w:val="005B3947"/>
    <w:rsid w:val="005B41C4"/>
    <w:rsid w:val="005B464D"/>
    <w:rsid w:val="005B6A61"/>
    <w:rsid w:val="005B6BBF"/>
    <w:rsid w:val="005B70D9"/>
    <w:rsid w:val="005B7112"/>
    <w:rsid w:val="005B7133"/>
    <w:rsid w:val="005B77E4"/>
    <w:rsid w:val="005B79C1"/>
    <w:rsid w:val="005C101D"/>
    <w:rsid w:val="005C132A"/>
    <w:rsid w:val="005C1FAD"/>
    <w:rsid w:val="005C211A"/>
    <w:rsid w:val="005C2729"/>
    <w:rsid w:val="005C3707"/>
    <w:rsid w:val="005C51B1"/>
    <w:rsid w:val="005C5224"/>
    <w:rsid w:val="005C52F9"/>
    <w:rsid w:val="005C5EC1"/>
    <w:rsid w:val="005C60D8"/>
    <w:rsid w:val="005C71F9"/>
    <w:rsid w:val="005C77EE"/>
    <w:rsid w:val="005C7E43"/>
    <w:rsid w:val="005D0197"/>
    <w:rsid w:val="005D052F"/>
    <w:rsid w:val="005D0D1D"/>
    <w:rsid w:val="005D1478"/>
    <w:rsid w:val="005D1639"/>
    <w:rsid w:val="005D2A9F"/>
    <w:rsid w:val="005D2BB9"/>
    <w:rsid w:val="005D430A"/>
    <w:rsid w:val="005D46F4"/>
    <w:rsid w:val="005D4B39"/>
    <w:rsid w:val="005D5229"/>
    <w:rsid w:val="005D673F"/>
    <w:rsid w:val="005D6AF8"/>
    <w:rsid w:val="005D6DE6"/>
    <w:rsid w:val="005D7108"/>
    <w:rsid w:val="005D770F"/>
    <w:rsid w:val="005D7DF6"/>
    <w:rsid w:val="005E1844"/>
    <w:rsid w:val="005E1D0B"/>
    <w:rsid w:val="005E1EE7"/>
    <w:rsid w:val="005E221A"/>
    <w:rsid w:val="005E2742"/>
    <w:rsid w:val="005E33D8"/>
    <w:rsid w:val="005E36A8"/>
    <w:rsid w:val="005E3B7F"/>
    <w:rsid w:val="005E4668"/>
    <w:rsid w:val="005E4F8A"/>
    <w:rsid w:val="005E4FF8"/>
    <w:rsid w:val="005E5808"/>
    <w:rsid w:val="005E5EB6"/>
    <w:rsid w:val="005E610D"/>
    <w:rsid w:val="005E65A1"/>
    <w:rsid w:val="005E66A5"/>
    <w:rsid w:val="005E6BA1"/>
    <w:rsid w:val="005E6DDE"/>
    <w:rsid w:val="005F0882"/>
    <w:rsid w:val="005F205D"/>
    <w:rsid w:val="005F3C7D"/>
    <w:rsid w:val="005F3CC8"/>
    <w:rsid w:val="005F48FE"/>
    <w:rsid w:val="005F4B0D"/>
    <w:rsid w:val="005F4F87"/>
    <w:rsid w:val="005F6B79"/>
    <w:rsid w:val="005F6BE3"/>
    <w:rsid w:val="005F6EF0"/>
    <w:rsid w:val="00600F4A"/>
    <w:rsid w:val="006011CC"/>
    <w:rsid w:val="0060139C"/>
    <w:rsid w:val="00602421"/>
    <w:rsid w:val="00603BE0"/>
    <w:rsid w:val="00603DAD"/>
    <w:rsid w:val="0060487D"/>
    <w:rsid w:val="00604FA6"/>
    <w:rsid w:val="006054F8"/>
    <w:rsid w:val="00605A14"/>
    <w:rsid w:val="00605E8B"/>
    <w:rsid w:val="00606579"/>
    <w:rsid w:val="006065F7"/>
    <w:rsid w:val="00607064"/>
    <w:rsid w:val="006074B6"/>
    <w:rsid w:val="00607A65"/>
    <w:rsid w:val="00611233"/>
    <w:rsid w:val="00611B30"/>
    <w:rsid w:val="0061203F"/>
    <w:rsid w:val="00613177"/>
    <w:rsid w:val="00613589"/>
    <w:rsid w:val="00613FA9"/>
    <w:rsid w:val="006143B2"/>
    <w:rsid w:val="0061444A"/>
    <w:rsid w:val="00615971"/>
    <w:rsid w:val="00617160"/>
    <w:rsid w:val="006179CF"/>
    <w:rsid w:val="006179EC"/>
    <w:rsid w:val="006202CE"/>
    <w:rsid w:val="00620481"/>
    <w:rsid w:val="00620B77"/>
    <w:rsid w:val="00620E8A"/>
    <w:rsid w:val="006215A8"/>
    <w:rsid w:val="00621B90"/>
    <w:rsid w:val="00622007"/>
    <w:rsid w:val="00622179"/>
    <w:rsid w:val="006222B8"/>
    <w:rsid w:val="00622680"/>
    <w:rsid w:val="00623029"/>
    <w:rsid w:val="0062369E"/>
    <w:rsid w:val="00623B41"/>
    <w:rsid w:val="00623D26"/>
    <w:rsid w:val="00623F7F"/>
    <w:rsid w:val="00624C63"/>
    <w:rsid w:val="00625789"/>
    <w:rsid w:val="00627F01"/>
    <w:rsid w:val="00627F85"/>
    <w:rsid w:val="0063066C"/>
    <w:rsid w:val="00631171"/>
    <w:rsid w:val="006316DB"/>
    <w:rsid w:val="00631B29"/>
    <w:rsid w:val="00632173"/>
    <w:rsid w:val="00632447"/>
    <w:rsid w:val="00632F63"/>
    <w:rsid w:val="00633CF0"/>
    <w:rsid w:val="00633D48"/>
    <w:rsid w:val="006340D2"/>
    <w:rsid w:val="00634CBB"/>
    <w:rsid w:val="00635AAD"/>
    <w:rsid w:val="006362E1"/>
    <w:rsid w:val="0063645A"/>
    <w:rsid w:val="006367E3"/>
    <w:rsid w:val="00640B5C"/>
    <w:rsid w:val="00640E15"/>
    <w:rsid w:val="00641AD6"/>
    <w:rsid w:val="006426A6"/>
    <w:rsid w:val="006442AF"/>
    <w:rsid w:val="0064461B"/>
    <w:rsid w:val="006446B7"/>
    <w:rsid w:val="0064546D"/>
    <w:rsid w:val="00645585"/>
    <w:rsid w:val="0064699F"/>
    <w:rsid w:val="00646CF7"/>
    <w:rsid w:val="006474E5"/>
    <w:rsid w:val="00647CAB"/>
    <w:rsid w:val="00647E69"/>
    <w:rsid w:val="00650473"/>
    <w:rsid w:val="0065062B"/>
    <w:rsid w:val="006510F8"/>
    <w:rsid w:val="00651B0C"/>
    <w:rsid w:val="00651B1F"/>
    <w:rsid w:val="00653061"/>
    <w:rsid w:val="00653FE5"/>
    <w:rsid w:val="00654F82"/>
    <w:rsid w:val="006550F5"/>
    <w:rsid w:val="0065513E"/>
    <w:rsid w:val="00655429"/>
    <w:rsid w:val="006555DA"/>
    <w:rsid w:val="00655E70"/>
    <w:rsid w:val="0065672D"/>
    <w:rsid w:val="00656BA8"/>
    <w:rsid w:val="00657728"/>
    <w:rsid w:val="00657CB2"/>
    <w:rsid w:val="00657D88"/>
    <w:rsid w:val="00660340"/>
    <w:rsid w:val="00660B41"/>
    <w:rsid w:val="0066175F"/>
    <w:rsid w:val="006619EF"/>
    <w:rsid w:val="00661F7C"/>
    <w:rsid w:val="00662C2B"/>
    <w:rsid w:val="00662CC4"/>
    <w:rsid w:val="0066354F"/>
    <w:rsid w:val="006646A9"/>
    <w:rsid w:val="006649F6"/>
    <w:rsid w:val="00664A36"/>
    <w:rsid w:val="00664B31"/>
    <w:rsid w:val="00664B6D"/>
    <w:rsid w:val="006652A7"/>
    <w:rsid w:val="0066541D"/>
    <w:rsid w:val="00666388"/>
    <w:rsid w:val="00666A37"/>
    <w:rsid w:val="006673AE"/>
    <w:rsid w:val="00667607"/>
    <w:rsid w:val="006678BC"/>
    <w:rsid w:val="006702BA"/>
    <w:rsid w:val="006702BD"/>
    <w:rsid w:val="006707AF"/>
    <w:rsid w:val="0067127D"/>
    <w:rsid w:val="00671720"/>
    <w:rsid w:val="00671762"/>
    <w:rsid w:val="00671CE7"/>
    <w:rsid w:val="006720F6"/>
    <w:rsid w:val="006722E4"/>
    <w:rsid w:val="00672617"/>
    <w:rsid w:val="0067385F"/>
    <w:rsid w:val="00674846"/>
    <w:rsid w:val="00674EE6"/>
    <w:rsid w:val="006757D3"/>
    <w:rsid w:val="00675E28"/>
    <w:rsid w:val="006761EF"/>
    <w:rsid w:val="0067652C"/>
    <w:rsid w:val="00676685"/>
    <w:rsid w:val="00677CA9"/>
    <w:rsid w:val="00680DE3"/>
    <w:rsid w:val="00681387"/>
    <w:rsid w:val="00681997"/>
    <w:rsid w:val="00682A4A"/>
    <w:rsid w:val="00682AC0"/>
    <w:rsid w:val="0068392D"/>
    <w:rsid w:val="00685D48"/>
    <w:rsid w:val="006864E0"/>
    <w:rsid w:val="006873F8"/>
    <w:rsid w:val="00687700"/>
    <w:rsid w:val="0069010B"/>
    <w:rsid w:val="00690392"/>
    <w:rsid w:val="0069113E"/>
    <w:rsid w:val="00691807"/>
    <w:rsid w:val="00691DE5"/>
    <w:rsid w:val="0069259D"/>
    <w:rsid w:val="00692611"/>
    <w:rsid w:val="00692DB2"/>
    <w:rsid w:val="0069387A"/>
    <w:rsid w:val="00693ED1"/>
    <w:rsid w:val="00694F4D"/>
    <w:rsid w:val="00695386"/>
    <w:rsid w:val="00696743"/>
    <w:rsid w:val="006972C3"/>
    <w:rsid w:val="006975A1"/>
    <w:rsid w:val="006976F1"/>
    <w:rsid w:val="00697827"/>
    <w:rsid w:val="006A0094"/>
    <w:rsid w:val="006A046C"/>
    <w:rsid w:val="006A06B6"/>
    <w:rsid w:val="006A07F8"/>
    <w:rsid w:val="006A1ACA"/>
    <w:rsid w:val="006A1C1E"/>
    <w:rsid w:val="006A2EEE"/>
    <w:rsid w:val="006A3E34"/>
    <w:rsid w:val="006A4B0F"/>
    <w:rsid w:val="006A4D93"/>
    <w:rsid w:val="006A4FC8"/>
    <w:rsid w:val="006A51F9"/>
    <w:rsid w:val="006A5CA2"/>
    <w:rsid w:val="006A5F91"/>
    <w:rsid w:val="006B01E8"/>
    <w:rsid w:val="006B0B09"/>
    <w:rsid w:val="006B1810"/>
    <w:rsid w:val="006B1B0F"/>
    <w:rsid w:val="006B1FEC"/>
    <w:rsid w:val="006B21A7"/>
    <w:rsid w:val="006B2B0D"/>
    <w:rsid w:val="006B3650"/>
    <w:rsid w:val="006B4224"/>
    <w:rsid w:val="006B45E8"/>
    <w:rsid w:val="006B464C"/>
    <w:rsid w:val="006B49B7"/>
    <w:rsid w:val="006B4A17"/>
    <w:rsid w:val="006B5049"/>
    <w:rsid w:val="006B5CE8"/>
    <w:rsid w:val="006B6405"/>
    <w:rsid w:val="006B6EF7"/>
    <w:rsid w:val="006B78CE"/>
    <w:rsid w:val="006B7EF9"/>
    <w:rsid w:val="006B7F7B"/>
    <w:rsid w:val="006C0700"/>
    <w:rsid w:val="006C0985"/>
    <w:rsid w:val="006C1318"/>
    <w:rsid w:val="006C1693"/>
    <w:rsid w:val="006C1A8D"/>
    <w:rsid w:val="006C1F7C"/>
    <w:rsid w:val="006C309A"/>
    <w:rsid w:val="006C3232"/>
    <w:rsid w:val="006C34D5"/>
    <w:rsid w:val="006C3AC5"/>
    <w:rsid w:val="006C3BA0"/>
    <w:rsid w:val="006C3DD6"/>
    <w:rsid w:val="006C3EFB"/>
    <w:rsid w:val="006C45D6"/>
    <w:rsid w:val="006C4769"/>
    <w:rsid w:val="006C62AF"/>
    <w:rsid w:val="006C6598"/>
    <w:rsid w:val="006C6A0B"/>
    <w:rsid w:val="006C74BE"/>
    <w:rsid w:val="006C75A2"/>
    <w:rsid w:val="006D02B5"/>
    <w:rsid w:val="006D06A8"/>
    <w:rsid w:val="006D146F"/>
    <w:rsid w:val="006D47AB"/>
    <w:rsid w:val="006D4D75"/>
    <w:rsid w:val="006D57F2"/>
    <w:rsid w:val="006D5C1F"/>
    <w:rsid w:val="006D5FAD"/>
    <w:rsid w:val="006E024F"/>
    <w:rsid w:val="006E0962"/>
    <w:rsid w:val="006E0964"/>
    <w:rsid w:val="006E0E10"/>
    <w:rsid w:val="006E13A2"/>
    <w:rsid w:val="006E1B03"/>
    <w:rsid w:val="006E3A91"/>
    <w:rsid w:val="006E4F13"/>
    <w:rsid w:val="006E5A8F"/>
    <w:rsid w:val="006F02F3"/>
    <w:rsid w:val="006F0E97"/>
    <w:rsid w:val="006F1EEC"/>
    <w:rsid w:val="006F3344"/>
    <w:rsid w:val="006F3B0A"/>
    <w:rsid w:val="006F3B4D"/>
    <w:rsid w:val="006F3C40"/>
    <w:rsid w:val="006F411C"/>
    <w:rsid w:val="006F54AD"/>
    <w:rsid w:val="006F706D"/>
    <w:rsid w:val="00702DCD"/>
    <w:rsid w:val="007031BF"/>
    <w:rsid w:val="0070378B"/>
    <w:rsid w:val="007042EA"/>
    <w:rsid w:val="00704D33"/>
    <w:rsid w:val="00704FBB"/>
    <w:rsid w:val="007055CE"/>
    <w:rsid w:val="007062AF"/>
    <w:rsid w:val="00706437"/>
    <w:rsid w:val="0070702A"/>
    <w:rsid w:val="00707ADD"/>
    <w:rsid w:val="00710075"/>
    <w:rsid w:val="0071030A"/>
    <w:rsid w:val="0071031C"/>
    <w:rsid w:val="007109F7"/>
    <w:rsid w:val="00710A7C"/>
    <w:rsid w:val="00710DE7"/>
    <w:rsid w:val="007110AC"/>
    <w:rsid w:val="00711CBE"/>
    <w:rsid w:val="00712632"/>
    <w:rsid w:val="00712C5E"/>
    <w:rsid w:val="00712F7C"/>
    <w:rsid w:val="00713B42"/>
    <w:rsid w:val="0071504B"/>
    <w:rsid w:val="007165ED"/>
    <w:rsid w:val="00716901"/>
    <w:rsid w:val="00716BFE"/>
    <w:rsid w:val="00717D26"/>
    <w:rsid w:val="00717FED"/>
    <w:rsid w:val="00721C6A"/>
    <w:rsid w:val="00721D78"/>
    <w:rsid w:val="007232B0"/>
    <w:rsid w:val="007236EA"/>
    <w:rsid w:val="00723993"/>
    <w:rsid w:val="00723A78"/>
    <w:rsid w:val="00726085"/>
    <w:rsid w:val="0072636A"/>
    <w:rsid w:val="007264F2"/>
    <w:rsid w:val="00726B4C"/>
    <w:rsid w:val="00726E4E"/>
    <w:rsid w:val="007273D5"/>
    <w:rsid w:val="007279B4"/>
    <w:rsid w:val="00727B14"/>
    <w:rsid w:val="00727DD8"/>
    <w:rsid w:val="0073021B"/>
    <w:rsid w:val="007305A1"/>
    <w:rsid w:val="00730EA6"/>
    <w:rsid w:val="00730EE5"/>
    <w:rsid w:val="007312C2"/>
    <w:rsid w:val="007313C4"/>
    <w:rsid w:val="00731620"/>
    <w:rsid w:val="00731A94"/>
    <w:rsid w:val="00731AA1"/>
    <w:rsid w:val="007321CF"/>
    <w:rsid w:val="00732B30"/>
    <w:rsid w:val="00732D92"/>
    <w:rsid w:val="007339BA"/>
    <w:rsid w:val="00733B78"/>
    <w:rsid w:val="00733BD0"/>
    <w:rsid w:val="00734001"/>
    <w:rsid w:val="0073413E"/>
    <w:rsid w:val="0073458B"/>
    <w:rsid w:val="007349DC"/>
    <w:rsid w:val="00734B59"/>
    <w:rsid w:val="00734F2E"/>
    <w:rsid w:val="007352B1"/>
    <w:rsid w:val="0073667A"/>
    <w:rsid w:val="00736A95"/>
    <w:rsid w:val="00741014"/>
    <w:rsid w:val="007413A1"/>
    <w:rsid w:val="00741C72"/>
    <w:rsid w:val="00741FBA"/>
    <w:rsid w:val="00742C94"/>
    <w:rsid w:val="0074370D"/>
    <w:rsid w:val="00744151"/>
    <w:rsid w:val="00744F72"/>
    <w:rsid w:val="007457C2"/>
    <w:rsid w:val="00745D37"/>
    <w:rsid w:val="00745F82"/>
    <w:rsid w:val="007463DB"/>
    <w:rsid w:val="00746EE0"/>
    <w:rsid w:val="00747B7C"/>
    <w:rsid w:val="007503D6"/>
    <w:rsid w:val="00751FB4"/>
    <w:rsid w:val="00752A0C"/>
    <w:rsid w:val="00753748"/>
    <w:rsid w:val="00754AE3"/>
    <w:rsid w:val="00754C28"/>
    <w:rsid w:val="007562C2"/>
    <w:rsid w:val="0075710F"/>
    <w:rsid w:val="0075756E"/>
    <w:rsid w:val="007579F3"/>
    <w:rsid w:val="00757C53"/>
    <w:rsid w:val="007613C9"/>
    <w:rsid w:val="00761B82"/>
    <w:rsid w:val="00762194"/>
    <w:rsid w:val="00762237"/>
    <w:rsid w:val="00762890"/>
    <w:rsid w:val="00762C73"/>
    <w:rsid w:val="0076322B"/>
    <w:rsid w:val="007636BA"/>
    <w:rsid w:val="00763D45"/>
    <w:rsid w:val="00763EE2"/>
    <w:rsid w:val="00763F04"/>
    <w:rsid w:val="00764316"/>
    <w:rsid w:val="007644C2"/>
    <w:rsid w:val="00765FC3"/>
    <w:rsid w:val="007665DE"/>
    <w:rsid w:val="0076762F"/>
    <w:rsid w:val="00772E7A"/>
    <w:rsid w:val="00773BA0"/>
    <w:rsid w:val="00774A7F"/>
    <w:rsid w:val="0077561A"/>
    <w:rsid w:val="0077589B"/>
    <w:rsid w:val="007760DE"/>
    <w:rsid w:val="00777775"/>
    <w:rsid w:val="00780640"/>
    <w:rsid w:val="00781145"/>
    <w:rsid w:val="00781748"/>
    <w:rsid w:val="00782FFF"/>
    <w:rsid w:val="007830BF"/>
    <w:rsid w:val="007840AB"/>
    <w:rsid w:val="00784A04"/>
    <w:rsid w:val="00784F92"/>
    <w:rsid w:val="0078574F"/>
    <w:rsid w:val="0078616C"/>
    <w:rsid w:val="00786F0A"/>
    <w:rsid w:val="00787947"/>
    <w:rsid w:val="00790193"/>
    <w:rsid w:val="00790302"/>
    <w:rsid w:val="0079035D"/>
    <w:rsid w:val="00790DA2"/>
    <w:rsid w:val="00790ED2"/>
    <w:rsid w:val="00791829"/>
    <w:rsid w:val="00791E19"/>
    <w:rsid w:val="007920C9"/>
    <w:rsid w:val="007938DB"/>
    <w:rsid w:val="007943A8"/>
    <w:rsid w:val="00794A94"/>
    <w:rsid w:val="00794C1F"/>
    <w:rsid w:val="00794FF9"/>
    <w:rsid w:val="00795D07"/>
    <w:rsid w:val="00795DB1"/>
    <w:rsid w:val="00797817"/>
    <w:rsid w:val="007A06DB"/>
    <w:rsid w:val="007A07A7"/>
    <w:rsid w:val="007A0AD7"/>
    <w:rsid w:val="007A0DC1"/>
    <w:rsid w:val="007A190B"/>
    <w:rsid w:val="007A1BCC"/>
    <w:rsid w:val="007A1D78"/>
    <w:rsid w:val="007A22CA"/>
    <w:rsid w:val="007A2B80"/>
    <w:rsid w:val="007A420A"/>
    <w:rsid w:val="007A4BD0"/>
    <w:rsid w:val="007A52D5"/>
    <w:rsid w:val="007A55F0"/>
    <w:rsid w:val="007A57EC"/>
    <w:rsid w:val="007A5F0A"/>
    <w:rsid w:val="007A66FA"/>
    <w:rsid w:val="007A6B8B"/>
    <w:rsid w:val="007A7246"/>
    <w:rsid w:val="007A73D2"/>
    <w:rsid w:val="007B0B6B"/>
    <w:rsid w:val="007B1296"/>
    <w:rsid w:val="007B1F5E"/>
    <w:rsid w:val="007B218A"/>
    <w:rsid w:val="007B25AA"/>
    <w:rsid w:val="007B2875"/>
    <w:rsid w:val="007B2E74"/>
    <w:rsid w:val="007B3DC9"/>
    <w:rsid w:val="007B419B"/>
    <w:rsid w:val="007B4E44"/>
    <w:rsid w:val="007B55E7"/>
    <w:rsid w:val="007B6F5E"/>
    <w:rsid w:val="007B7D44"/>
    <w:rsid w:val="007B7FB9"/>
    <w:rsid w:val="007C000E"/>
    <w:rsid w:val="007C0395"/>
    <w:rsid w:val="007C097A"/>
    <w:rsid w:val="007C0B2D"/>
    <w:rsid w:val="007C2778"/>
    <w:rsid w:val="007C2B89"/>
    <w:rsid w:val="007C3209"/>
    <w:rsid w:val="007C3DE2"/>
    <w:rsid w:val="007C4218"/>
    <w:rsid w:val="007C4D05"/>
    <w:rsid w:val="007C5248"/>
    <w:rsid w:val="007C5904"/>
    <w:rsid w:val="007C654E"/>
    <w:rsid w:val="007C6A26"/>
    <w:rsid w:val="007C6AD9"/>
    <w:rsid w:val="007C70B8"/>
    <w:rsid w:val="007C70BD"/>
    <w:rsid w:val="007D00DB"/>
    <w:rsid w:val="007D030C"/>
    <w:rsid w:val="007D04C8"/>
    <w:rsid w:val="007D0852"/>
    <w:rsid w:val="007D0DA3"/>
    <w:rsid w:val="007D19ED"/>
    <w:rsid w:val="007D1AC6"/>
    <w:rsid w:val="007D227A"/>
    <w:rsid w:val="007D3583"/>
    <w:rsid w:val="007D3A33"/>
    <w:rsid w:val="007D3A35"/>
    <w:rsid w:val="007D45FF"/>
    <w:rsid w:val="007D490D"/>
    <w:rsid w:val="007D4BA2"/>
    <w:rsid w:val="007D5830"/>
    <w:rsid w:val="007D5AF0"/>
    <w:rsid w:val="007D65F3"/>
    <w:rsid w:val="007D6D7E"/>
    <w:rsid w:val="007D7037"/>
    <w:rsid w:val="007D7F17"/>
    <w:rsid w:val="007E05AF"/>
    <w:rsid w:val="007E23B7"/>
    <w:rsid w:val="007E25CA"/>
    <w:rsid w:val="007E28A8"/>
    <w:rsid w:val="007E2AE0"/>
    <w:rsid w:val="007E2B88"/>
    <w:rsid w:val="007E2ED4"/>
    <w:rsid w:val="007E3481"/>
    <w:rsid w:val="007E4C16"/>
    <w:rsid w:val="007E4D94"/>
    <w:rsid w:val="007E4E31"/>
    <w:rsid w:val="007E5BDA"/>
    <w:rsid w:val="007E67E4"/>
    <w:rsid w:val="007E79B5"/>
    <w:rsid w:val="007F0197"/>
    <w:rsid w:val="007F1303"/>
    <w:rsid w:val="007F29C2"/>
    <w:rsid w:val="007F2F99"/>
    <w:rsid w:val="007F3EA6"/>
    <w:rsid w:val="007F45E5"/>
    <w:rsid w:val="007F4FE7"/>
    <w:rsid w:val="007F557B"/>
    <w:rsid w:val="007F56C3"/>
    <w:rsid w:val="007F5B88"/>
    <w:rsid w:val="007F6397"/>
    <w:rsid w:val="007F7BE9"/>
    <w:rsid w:val="008001D9"/>
    <w:rsid w:val="00800B93"/>
    <w:rsid w:val="0080209F"/>
    <w:rsid w:val="0080267D"/>
    <w:rsid w:val="0080274C"/>
    <w:rsid w:val="008037A5"/>
    <w:rsid w:val="00803938"/>
    <w:rsid w:val="00803D6F"/>
    <w:rsid w:val="00804AE2"/>
    <w:rsid w:val="00804AFA"/>
    <w:rsid w:val="0080521A"/>
    <w:rsid w:val="00805427"/>
    <w:rsid w:val="0080553C"/>
    <w:rsid w:val="00805615"/>
    <w:rsid w:val="00805BAD"/>
    <w:rsid w:val="00806090"/>
    <w:rsid w:val="00807090"/>
    <w:rsid w:val="008075AE"/>
    <w:rsid w:val="00807740"/>
    <w:rsid w:val="00810AE1"/>
    <w:rsid w:val="008112C6"/>
    <w:rsid w:val="0081158E"/>
    <w:rsid w:val="0081183D"/>
    <w:rsid w:val="008119A2"/>
    <w:rsid w:val="00812786"/>
    <w:rsid w:val="00812A60"/>
    <w:rsid w:val="00812F29"/>
    <w:rsid w:val="008130F6"/>
    <w:rsid w:val="00813905"/>
    <w:rsid w:val="00813B75"/>
    <w:rsid w:val="00813D45"/>
    <w:rsid w:val="0081587E"/>
    <w:rsid w:val="00815CE6"/>
    <w:rsid w:val="00815ED4"/>
    <w:rsid w:val="008160BA"/>
    <w:rsid w:val="0081646B"/>
    <w:rsid w:val="00816547"/>
    <w:rsid w:val="00816D66"/>
    <w:rsid w:val="00816F51"/>
    <w:rsid w:val="008206DC"/>
    <w:rsid w:val="00820968"/>
    <w:rsid w:val="0082099A"/>
    <w:rsid w:val="00821C8A"/>
    <w:rsid w:val="00822F1B"/>
    <w:rsid w:val="008230C0"/>
    <w:rsid w:val="00823872"/>
    <w:rsid w:val="008248F3"/>
    <w:rsid w:val="00824974"/>
    <w:rsid w:val="008258F6"/>
    <w:rsid w:val="00825AE3"/>
    <w:rsid w:val="00826B4C"/>
    <w:rsid w:val="0082720C"/>
    <w:rsid w:val="00827717"/>
    <w:rsid w:val="00827854"/>
    <w:rsid w:val="00830379"/>
    <w:rsid w:val="0083057E"/>
    <w:rsid w:val="00830ECB"/>
    <w:rsid w:val="00831071"/>
    <w:rsid w:val="0083218B"/>
    <w:rsid w:val="00832B4F"/>
    <w:rsid w:val="00832FB2"/>
    <w:rsid w:val="008331F8"/>
    <w:rsid w:val="0083382C"/>
    <w:rsid w:val="00833EE0"/>
    <w:rsid w:val="00833F90"/>
    <w:rsid w:val="008340E4"/>
    <w:rsid w:val="008341D4"/>
    <w:rsid w:val="008348F9"/>
    <w:rsid w:val="00834B60"/>
    <w:rsid w:val="00834EAC"/>
    <w:rsid w:val="008351FA"/>
    <w:rsid w:val="00835546"/>
    <w:rsid w:val="0083624B"/>
    <w:rsid w:val="008363EE"/>
    <w:rsid w:val="00836404"/>
    <w:rsid w:val="00836A9A"/>
    <w:rsid w:val="0083741C"/>
    <w:rsid w:val="00840C3D"/>
    <w:rsid w:val="00840F3D"/>
    <w:rsid w:val="00841216"/>
    <w:rsid w:val="0084167B"/>
    <w:rsid w:val="0084170C"/>
    <w:rsid w:val="00843553"/>
    <w:rsid w:val="00843C49"/>
    <w:rsid w:val="00844B74"/>
    <w:rsid w:val="00844FC8"/>
    <w:rsid w:val="00847210"/>
    <w:rsid w:val="00847AA0"/>
    <w:rsid w:val="00847E91"/>
    <w:rsid w:val="00851103"/>
    <w:rsid w:val="00851196"/>
    <w:rsid w:val="008517C1"/>
    <w:rsid w:val="00852527"/>
    <w:rsid w:val="0085254A"/>
    <w:rsid w:val="00852949"/>
    <w:rsid w:val="00852A12"/>
    <w:rsid w:val="008530F6"/>
    <w:rsid w:val="00853232"/>
    <w:rsid w:val="00854E03"/>
    <w:rsid w:val="00855DCE"/>
    <w:rsid w:val="00856017"/>
    <w:rsid w:val="00857E33"/>
    <w:rsid w:val="00860131"/>
    <w:rsid w:val="0086073B"/>
    <w:rsid w:val="008607FA"/>
    <w:rsid w:val="0086115B"/>
    <w:rsid w:val="00861C9E"/>
    <w:rsid w:val="00861CF8"/>
    <w:rsid w:val="00862396"/>
    <w:rsid w:val="00862441"/>
    <w:rsid w:val="00862499"/>
    <w:rsid w:val="0086260C"/>
    <w:rsid w:val="0086293F"/>
    <w:rsid w:val="008648BF"/>
    <w:rsid w:val="00864C41"/>
    <w:rsid w:val="00865260"/>
    <w:rsid w:val="00866B74"/>
    <w:rsid w:val="00871FE5"/>
    <w:rsid w:val="00872E0E"/>
    <w:rsid w:val="00872E24"/>
    <w:rsid w:val="00873455"/>
    <w:rsid w:val="00873C5A"/>
    <w:rsid w:val="008740CC"/>
    <w:rsid w:val="00875653"/>
    <w:rsid w:val="00875818"/>
    <w:rsid w:val="00875863"/>
    <w:rsid w:val="00876462"/>
    <w:rsid w:val="00876560"/>
    <w:rsid w:val="00876BCF"/>
    <w:rsid w:val="0088101F"/>
    <w:rsid w:val="00882FE0"/>
    <w:rsid w:val="00883832"/>
    <w:rsid w:val="00883D5E"/>
    <w:rsid w:val="00883FAD"/>
    <w:rsid w:val="008845DD"/>
    <w:rsid w:val="0088482A"/>
    <w:rsid w:val="00884D88"/>
    <w:rsid w:val="00885FB4"/>
    <w:rsid w:val="00887990"/>
    <w:rsid w:val="00890E70"/>
    <w:rsid w:val="0089126F"/>
    <w:rsid w:val="008920EB"/>
    <w:rsid w:val="00892860"/>
    <w:rsid w:val="00893340"/>
    <w:rsid w:val="0089397F"/>
    <w:rsid w:val="00893E22"/>
    <w:rsid w:val="00894664"/>
    <w:rsid w:val="0089526D"/>
    <w:rsid w:val="00895DE4"/>
    <w:rsid w:val="0089635A"/>
    <w:rsid w:val="008970AB"/>
    <w:rsid w:val="0089767E"/>
    <w:rsid w:val="00897FB7"/>
    <w:rsid w:val="008A0311"/>
    <w:rsid w:val="008A1DAB"/>
    <w:rsid w:val="008A231D"/>
    <w:rsid w:val="008A2C91"/>
    <w:rsid w:val="008A4297"/>
    <w:rsid w:val="008A459C"/>
    <w:rsid w:val="008A4A44"/>
    <w:rsid w:val="008A5190"/>
    <w:rsid w:val="008A55CA"/>
    <w:rsid w:val="008A5991"/>
    <w:rsid w:val="008A5D50"/>
    <w:rsid w:val="008A5E86"/>
    <w:rsid w:val="008A6004"/>
    <w:rsid w:val="008A615F"/>
    <w:rsid w:val="008A6352"/>
    <w:rsid w:val="008A7045"/>
    <w:rsid w:val="008A74F7"/>
    <w:rsid w:val="008A7DFF"/>
    <w:rsid w:val="008B02FF"/>
    <w:rsid w:val="008B0493"/>
    <w:rsid w:val="008B0EDB"/>
    <w:rsid w:val="008B1290"/>
    <w:rsid w:val="008B1398"/>
    <w:rsid w:val="008B1D20"/>
    <w:rsid w:val="008B1F8F"/>
    <w:rsid w:val="008B29C5"/>
    <w:rsid w:val="008B3CA5"/>
    <w:rsid w:val="008B3FC4"/>
    <w:rsid w:val="008B487F"/>
    <w:rsid w:val="008B5116"/>
    <w:rsid w:val="008B5B9A"/>
    <w:rsid w:val="008C0236"/>
    <w:rsid w:val="008C07DE"/>
    <w:rsid w:val="008C0FB1"/>
    <w:rsid w:val="008C1F18"/>
    <w:rsid w:val="008C2BF8"/>
    <w:rsid w:val="008C3AE5"/>
    <w:rsid w:val="008C5068"/>
    <w:rsid w:val="008C6093"/>
    <w:rsid w:val="008C6862"/>
    <w:rsid w:val="008C6A1F"/>
    <w:rsid w:val="008C6A45"/>
    <w:rsid w:val="008C709C"/>
    <w:rsid w:val="008C7208"/>
    <w:rsid w:val="008C778B"/>
    <w:rsid w:val="008D04AA"/>
    <w:rsid w:val="008D0D0F"/>
    <w:rsid w:val="008D211E"/>
    <w:rsid w:val="008D229F"/>
    <w:rsid w:val="008D22C7"/>
    <w:rsid w:val="008D236B"/>
    <w:rsid w:val="008D294E"/>
    <w:rsid w:val="008D2EB2"/>
    <w:rsid w:val="008D5000"/>
    <w:rsid w:val="008D5F43"/>
    <w:rsid w:val="008D7CFA"/>
    <w:rsid w:val="008E0356"/>
    <w:rsid w:val="008E08B3"/>
    <w:rsid w:val="008E0A5D"/>
    <w:rsid w:val="008E0B40"/>
    <w:rsid w:val="008E156B"/>
    <w:rsid w:val="008E1A9C"/>
    <w:rsid w:val="008E28E4"/>
    <w:rsid w:val="008E3141"/>
    <w:rsid w:val="008E33FC"/>
    <w:rsid w:val="008E5883"/>
    <w:rsid w:val="008E627D"/>
    <w:rsid w:val="008E6474"/>
    <w:rsid w:val="008E64EC"/>
    <w:rsid w:val="008E6A52"/>
    <w:rsid w:val="008E7C34"/>
    <w:rsid w:val="008F0243"/>
    <w:rsid w:val="008F08CB"/>
    <w:rsid w:val="008F1391"/>
    <w:rsid w:val="008F1B5A"/>
    <w:rsid w:val="008F1DBF"/>
    <w:rsid w:val="008F354E"/>
    <w:rsid w:val="008F5595"/>
    <w:rsid w:val="008F6412"/>
    <w:rsid w:val="008F6A1F"/>
    <w:rsid w:val="00900275"/>
    <w:rsid w:val="00900A72"/>
    <w:rsid w:val="00900DFD"/>
    <w:rsid w:val="00900FB7"/>
    <w:rsid w:val="00901462"/>
    <w:rsid w:val="0090146A"/>
    <w:rsid w:val="00901683"/>
    <w:rsid w:val="009020C7"/>
    <w:rsid w:val="009028D7"/>
    <w:rsid w:val="009028E2"/>
    <w:rsid w:val="009029BE"/>
    <w:rsid w:val="00903097"/>
    <w:rsid w:val="00903194"/>
    <w:rsid w:val="00903CF9"/>
    <w:rsid w:val="00903F93"/>
    <w:rsid w:val="00904182"/>
    <w:rsid w:val="00904217"/>
    <w:rsid w:val="00904477"/>
    <w:rsid w:val="00905159"/>
    <w:rsid w:val="009053D8"/>
    <w:rsid w:val="0090581E"/>
    <w:rsid w:val="00905B87"/>
    <w:rsid w:val="00906378"/>
    <w:rsid w:val="00906700"/>
    <w:rsid w:val="0090789F"/>
    <w:rsid w:val="00907EA4"/>
    <w:rsid w:val="00907F16"/>
    <w:rsid w:val="00910102"/>
    <w:rsid w:val="009102D4"/>
    <w:rsid w:val="00910690"/>
    <w:rsid w:val="00910BC5"/>
    <w:rsid w:val="009114CB"/>
    <w:rsid w:val="0091240F"/>
    <w:rsid w:val="00912E2C"/>
    <w:rsid w:val="00913D76"/>
    <w:rsid w:val="0091419A"/>
    <w:rsid w:val="00914517"/>
    <w:rsid w:val="0091487E"/>
    <w:rsid w:val="00914B79"/>
    <w:rsid w:val="00915441"/>
    <w:rsid w:val="00915CFA"/>
    <w:rsid w:val="0091631B"/>
    <w:rsid w:val="0091646C"/>
    <w:rsid w:val="009201E9"/>
    <w:rsid w:val="00920670"/>
    <w:rsid w:val="009212F8"/>
    <w:rsid w:val="00921EAB"/>
    <w:rsid w:val="00922679"/>
    <w:rsid w:val="00922E0D"/>
    <w:rsid w:val="009230B2"/>
    <w:rsid w:val="00923A0B"/>
    <w:rsid w:val="00925664"/>
    <w:rsid w:val="00925A0D"/>
    <w:rsid w:val="00925B10"/>
    <w:rsid w:val="00925FC9"/>
    <w:rsid w:val="0092761E"/>
    <w:rsid w:val="00930050"/>
    <w:rsid w:val="009300E6"/>
    <w:rsid w:val="00930645"/>
    <w:rsid w:val="00931D36"/>
    <w:rsid w:val="00932047"/>
    <w:rsid w:val="00933780"/>
    <w:rsid w:val="009339CE"/>
    <w:rsid w:val="0093459F"/>
    <w:rsid w:val="00934C13"/>
    <w:rsid w:val="00934E0B"/>
    <w:rsid w:val="00935209"/>
    <w:rsid w:val="009354A9"/>
    <w:rsid w:val="00935BB2"/>
    <w:rsid w:val="0093642A"/>
    <w:rsid w:val="0093725C"/>
    <w:rsid w:val="009408D1"/>
    <w:rsid w:val="00941B29"/>
    <w:rsid w:val="00941DA4"/>
    <w:rsid w:val="0094251E"/>
    <w:rsid w:val="009437A3"/>
    <w:rsid w:val="00943859"/>
    <w:rsid w:val="00944A2C"/>
    <w:rsid w:val="00944E1E"/>
    <w:rsid w:val="0094511F"/>
    <w:rsid w:val="009455E7"/>
    <w:rsid w:val="00945940"/>
    <w:rsid w:val="009459CF"/>
    <w:rsid w:val="00946F78"/>
    <w:rsid w:val="009470D9"/>
    <w:rsid w:val="0094733B"/>
    <w:rsid w:val="009477AC"/>
    <w:rsid w:val="00947E39"/>
    <w:rsid w:val="00950003"/>
    <w:rsid w:val="00950782"/>
    <w:rsid w:val="009516CD"/>
    <w:rsid w:val="0095208B"/>
    <w:rsid w:val="00952861"/>
    <w:rsid w:val="00953864"/>
    <w:rsid w:val="009547AC"/>
    <w:rsid w:val="00954D3C"/>
    <w:rsid w:val="00954E92"/>
    <w:rsid w:val="00955D7F"/>
    <w:rsid w:val="009560BB"/>
    <w:rsid w:val="00956FB1"/>
    <w:rsid w:val="0095717B"/>
    <w:rsid w:val="00957D05"/>
    <w:rsid w:val="00957F13"/>
    <w:rsid w:val="00960199"/>
    <w:rsid w:val="00960645"/>
    <w:rsid w:val="00960B6A"/>
    <w:rsid w:val="00961078"/>
    <w:rsid w:val="00961F6D"/>
    <w:rsid w:val="00962095"/>
    <w:rsid w:val="009622A3"/>
    <w:rsid w:val="0096246B"/>
    <w:rsid w:val="0096361C"/>
    <w:rsid w:val="00963AEC"/>
    <w:rsid w:val="0096453B"/>
    <w:rsid w:val="00964643"/>
    <w:rsid w:val="00964E6B"/>
    <w:rsid w:val="00965AA9"/>
    <w:rsid w:val="009675FC"/>
    <w:rsid w:val="00967661"/>
    <w:rsid w:val="00967FE6"/>
    <w:rsid w:val="0097022D"/>
    <w:rsid w:val="00970E83"/>
    <w:rsid w:val="0097136D"/>
    <w:rsid w:val="009713B8"/>
    <w:rsid w:val="00971451"/>
    <w:rsid w:val="009717E5"/>
    <w:rsid w:val="00971AC7"/>
    <w:rsid w:val="009721B2"/>
    <w:rsid w:val="00973254"/>
    <w:rsid w:val="00973328"/>
    <w:rsid w:val="00974834"/>
    <w:rsid w:val="00974E7B"/>
    <w:rsid w:val="00975BE5"/>
    <w:rsid w:val="00975D60"/>
    <w:rsid w:val="00975DF9"/>
    <w:rsid w:val="009773E3"/>
    <w:rsid w:val="009775E1"/>
    <w:rsid w:val="00977F68"/>
    <w:rsid w:val="00980AFE"/>
    <w:rsid w:val="00980FC7"/>
    <w:rsid w:val="0098297A"/>
    <w:rsid w:val="009829BA"/>
    <w:rsid w:val="00982A22"/>
    <w:rsid w:val="00982B17"/>
    <w:rsid w:val="009837F7"/>
    <w:rsid w:val="00984286"/>
    <w:rsid w:val="009845B5"/>
    <w:rsid w:val="00984733"/>
    <w:rsid w:val="00986C17"/>
    <w:rsid w:val="0098729B"/>
    <w:rsid w:val="009905B9"/>
    <w:rsid w:val="00990608"/>
    <w:rsid w:val="00990639"/>
    <w:rsid w:val="009906E5"/>
    <w:rsid w:val="0099150E"/>
    <w:rsid w:val="00991EFB"/>
    <w:rsid w:val="00992290"/>
    <w:rsid w:val="009926F2"/>
    <w:rsid w:val="0099321B"/>
    <w:rsid w:val="00993973"/>
    <w:rsid w:val="009948CE"/>
    <w:rsid w:val="009957A6"/>
    <w:rsid w:val="0099623A"/>
    <w:rsid w:val="00996746"/>
    <w:rsid w:val="009A07EA"/>
    <w:rsid w:val="009A11F3"/>
    <w:rsid w:val="009A153F"/>
    <w:rsid w:val="009A1B3A"/>
    <w:rsid w:val="009A35A7"/>
    <w:rsid w:val="009A3666"/>
    <w:rsid w:val="009A3825"/>
    <w:rsid w:val="009A3837"/>
    <w:rsid w:val="009A38AB"/>
    <w:rsid w:val="009A3B88"/>
    <w:rsid w:val="009A3D95"/>
    <w:rsid w:val="009A70A6"/>
    <w:rsid w:val="009A7295"/>
    <w:rsid w:val="009A7436"/>
    <w:rsid w:val="009B02FA"/>
    <w:rsid w:val="009B03CF"/>
    <w:rsid w:val="009B15DA"/>
    <w:rsid w:val="009B17FD"/>
    <w:rsid w:val="009B198C"/>
    <w:rsid w:val="009B2236"/>
    <w:rsid w:val="009B4DA8"/>
    <w:rsid w:val="009B753C"/>
    <w:rsid w:val="009B7D4D"/>
    <w:rsid w:val="009B7F9A"/>
    <w:rsid w:val="009C06EB"/>
    <w:rsid w:val="009C0D82"/>
    <w:rsid w:val="009C1E4A"/>
    <w:rsid w:val="009C1F6A"/>
    <w:rsid w:val="009C2BF2"/>
    <w:rsid w:val="009C2F1B"/>
    <w:rsid w:val="009C3122"/>
    <w:rsid w:val="009C321E"/>
    <w:rsid w:val="009C4BBC"/>
    <w:rsid w:val="009C5181"/>
    <w:rsid w:val="009C6188"/>
    <w:rsid w:val="009C6F45"/>
    <w:rsid w:val="009C7FED"/>
    <w:rsid w:val="009D0A43"/>
    <w:rsid w:val="009D0B4C"/>
    <w:rsid w:val="009D1275"/>
    <w:rsid w:val="009D1515"/>
    <w:rsid w:val="009D2D14"/>
    <w:rsid w:val="009D338F"/>
    <w:rsid w:val="009D4151"/>
    <w:rsid w:val="009D4445"/>
    <w:rsid w:val="009D4660"/>
    <w:rsid w:val="009D4686"/>
    <w:rsid w:val="009D4849"/>
    <w:rsid w:val="009D4E16"/>
    <w:rsid w:val="009D5262"/>
    <w:rsid w:val="009D686D"/>
    <w:rsid w:val="009D6CD7"/>
    <w:rsid w:val="009D7146"/>
    <w:rsid w:val="009D73B9"/>
    <w:rsid w:val="009D78E8"/>
    <w:rsid w:val="009E06A0"/>
    <w:rsid w:val="009E0F0A"/>
    <w:rsid w:val="009E1F6C"/>
    <w:rsid w:val="009E2762"/>
    <w:rsid w:val="009E2906"/>
    <w:rsid w:val="009E2CD5"/>
    <w:rsid w:val="009E31E9"/>
    <w:rsid w:val="009E4BB9"/>
    <w:rsid w:val="009E4F87"/>
    <w:rsid w:val="009E5E44"/>
    <w:rsid w:val="009E5E4D"/>
    <w:rsid w:val="009E6C25"/>
    <w:rsid w:val="009E6CE8"/>
    <w:rsid w:val="009E6E2D"/>
    <w:rsid w:val="009E73EF"/>
    <w:rsid w:val="009E772D"/>
    <w:rsid w:val="009E7C8F"/>
    <w:rsid w:val="009F052E"/>
    <w:rsid w:val="009F0730"/>
    <w:rsid w:val="009F07BB"/>
    <w:rsid w:val="009F09FE"/>
    <w:rsid w:val="009F0C5C"/>
    <w:rsid w:val="009F0E94"/>
    <w:rsid w:val="009F17BD"/>
    <w:rsid w:val="009F2163"/>
    <w:rsid w:val="009F27A6"/>
    <w:rsid w:val="009F2A11"/>
    <w:rsid w:val="009F2EBB"/>
    <w:rsid w:val="009F2F7B"/>
    <w:rsid w:val="009F34E9"/>
    <w:rsid w:val="009F3848"/>
    <w:rsid w:val="009F3BBA"/>
    <w:rsid w:val="009F3C38"/>
    <w:rsid w:val="009F3FE2"/>
    <w:rsid w:val="009F661F"/>
    <w:rsid w:val="009F6A88"/>
    <w:rsid w:val="009F6E6C"/>
    <w:rsid w:val="009F7DF2"/>
    <w:rsid w:val="00A0019A"/>
    <w:rsid w:val="00A00A0E"/>
    <w:rsid w:val="00A00AE6"/>
    <w:rsid w:val="00A01274"/>
    <w:rsid w:val="00A01939"/>
    <w:rsid w:val="00A02C5B"/>
    <w:rsid w:val="00A0328F"/>
    <w:rsid w:val="00A035AC"/>
    <w:rsid w:val="00A039A5"/>
    <w:rsid w:val="00A04B21"/>
    <w:rsid w:val="00A04E44"/>
    <w:rsid w:val="00A05C50"/>
    <w:rsid w:val="00A05F58"/>
    <w:rsid w:val="00A0682D"/>
    <w:rsid w:val="00A06A73"/>
    <w:rsid w:val="00A07897"/>
    <w:rsid w:val="00A110EE"/>
    <w:rsid w:val="00A112BE"/>
    <w:rsid w:val="00A11D30"/>
    <w:rsid w:val="00A11EE9"/>
    <w:rsid w:val="00A12053"/>
    <w:rsid w:val="00A1229E"/>
    <w:rsid w:val="00A1275B"/>
    <w:rsid w:val="00A141D3"/>
    <w:rsid w:val="00A1441E"/>
    <w:rsid w:val="00A14C2D"/>
    <w:rsid w:val="00A150A6"/>
    <w:rsid w:val="00A1541C"/>
    <w:rsid w:val="00A15538"/>
    <w:rsid w:val="00A15D56"/>
    <w:rsid w:val="00A15F4A"/>
    <w:rsid w:val="00A1625D"/>
    <w:rsid w:val="00A16400"/>
    <w:rsid w:val="00A16B83"/>
    <w:rsid w:val="00A176E2"/>
    <w:rsid w:val="00A17805"/>
    <w:rsid w:val="00A20B1D"/>
    <w:rsid w:val="00A21139"/>
    <w:rsid w:val="00A2165C"/>
    <w:rsid w:val="00A22830"/>
    <w:rsid w:val="00A22DBF"/>
    <w:rsid w:val="00A22FD8"/>
    <w:rsid w:val="00A2388B"/>
    <w:rsid w:val="00A238AA"/>
    <w:rsid w:val="00A2515F"/>
    <w:rsid w:val="00A25D3E"/>
    <w:rsid w:val="00A265FD"/>
    <w:rsid w:val="00A27967"/>
    <w:rsid w:val="00A27AC6"/>
    <w:rsid w:val="00A27CFD"/>
    <w:rsid w:val="00A27FBD"/>
    <w:rsid w:val="00A309EF"/>
    <w:rsid w:val="00A31048"/>
    <w:rsid w:val="00A31B49"/>
    <w:rsid w:val="00A32987"/>
    <w:rsid w:val="00A3342A"/>
    <w:rsid w:val="00A34C8A"/>
    <w:rsid w:val="00A35694"/>
    <w:rsid w:val="00A35F58"/>
    <w:rsid w:val="00A36199"/>
    <w:rsid w:val="00A361DB"/>
    <w:rsid w:val="00A3665A"/>
    <w:rsid w:val="00A36E51"/>
    <w:rsid w:val="00A4181B"/>
    <w:rsid w:val="00A4193C"/>
    <w:rsid w:val="00A4245D"/>
    <w:rsid w:val="00A42732"/>
    <w:rsid w:val="00A43A96"/>
    <w:rsid w:val="00A43B09"/>
    <w:rsid w:val="00A43D2C"/>
    <w:rsid w:val="00A44009"/>
    <w:rsid w:val="00A4499A"/>
    <w:rsid w:val="00A4530D"/>
    <w:rsid w:val="00A45693"/>
    <w:rsid w:val="00A457C9"/>
    <w:rsid w:val="00A457F6"/>
    <w:rsid w:val="00A457F8"/>
    <w:rsid w:val="00A45814"/>
    <w:rsid w:val="00A46417"/>
    <w:rsid w:val="00A50477"/>
    <w:rsid w:val="00A50BE4"/>
    <w:rsid w:val="00A50C28"/>
    <w:rsid w:val="00A50F3B"/>
    <w:rsid w:val="00A5124C"/>
    <w:rsid w:val="00A512DF"/>
    <w:rsid w:val="00A53156"/>
    <w:rsid w:val="00A5365C"/>
    <w:rsid w:val="00A55D91"/>
    <w:rsid w:val="00A564D8"/>
    <w:rsid w:val="00A56F52"/>
    <w:rsid w:val="00A57264"/>
    <w:rsid w:val="00A57A48"/>
    <w:rsid w:val="00A602DC"/>
    <w:rsid w:val="00A606BE"/>
    <w:rsid w:val="00A607CC"/>
    <w:rsid w:val="00A60A11"/>
    <w:rsid w:val="00A60DE4"/>
    <w:rsid w:val="00A61035"/>
    <w:rsid w:val="00A61D11"/>
    <w:rsid w:val="00A6209C"/>
    <w:rsid w:val="00A622D2"/>
    <w:rsid w:val="00A6300A"/>
    <w:rsid w:val="00A63053"/>
    <w:rsid w:val="00A6311D"/>
    <w:rsid w:val="00A63D25"/>
    <w:rsid w:val="00A641FA"/>
    <w:rsid w:val="00A642F6"/>
    <w:rsid w:val="00A65224"/>
    <w:rsid w:val="00A67086"/>
    <w:rsid w:val="00A671AA"/>
    <w:rsid w:val="00A67DB6"/>
    <w:rsid w:val="00A67E2C"/>
    <w:rsid w:val="00A67E7A"/>
    <w:rsid w:val="00A70ACA"/>
    <w:rsid w:val="00A70FC8"/>
    <w:rsid w:val="00A710A6"/>
    <w:rsid w:val="00A7116F"/>
    <w:rsid w:val="00A7190A"/>
    <w:rsid w:val="00A71F74"/>
    <w:rsid w:val="00A724E8"/>
    <w:rsid w:val="00A73120"/>
    <w:rsid w:val="00A734DC"/>
    <w:rsid w:val="00A759C0"/>
    <w:rsid w:val="00A76977"/>
    <w:rsid w:val="00A76A21"/>
    <w:rsid w:val="00A7741D"/>
    <w:rsid w:val="00A77B59"/>
    <w:rsid w:val="00A77D82"/>
    <w:rsid w:val="00A803D7"/>
    <w:rsid w:val="00A81032"/>
    <w:rsid w:val="00A81512"/>
    <w:rsid w:val="00A819E2"/>
    <w:rsid w:val="00A8275B"/>
    <w:rsid w:val="00A82F64"/>
    <w:rsid w:val="00A8353F"/>
    <w:rsid w:val="00A83A2C"/>
    <w:rsid w:val="00A84118"/>
    <w:rsid w:val="00A84577"/>
    <w:rsid w:val="00A84CA4"/>
    <w:rsid w:val="00A853FA"/>
    <w:rsid w:val="00A85E17"/>
    <w:rsid w:val="00A86274"/>
    <w:rsid w:val="00A86BAC"/>
    <w:rsid w:val="00A8757D"/>
    <w:rsid w:val="00A91DB2"/>
    <w:rsid w:val="00A92401"/>
    <w:rsid w:val="00A9279C"/>
    <w:rsid w:val="00A929D1"/>
    <w:rsid w:val="00A92A96"/>
    <w:rsid w:val="00A92B8B"/>
    <w:rsid w:val="00A93015"/>
    <w:rsid w:val="00A938DE"/>
    <w:rsid w:val="00A93A29"/>
    <w:rsid w:val="00A9470E"/>
    <w:rsid w:val="00A9567D"/>
    <w:rsid w:val="00A96523"/>
    <w:rsid w:val="00A96E41"/>
    <w:rsid w:val="00A9793E"/>
    <w:rsid w:val="00A97C1A"/>
    <w:rsid w:val="00A97F20"/>
    <w:rsid w:val="00AA053C"/>
    <w:rsid w:val="00AA086B"/>
    <w:rsid w:val="00AA08E8"/>
    <w:rsid w:val="00AA1213"/>
    <w:rsid w:val="00AA17A0"/>
    <w:rsid w:val="00AA1E24"/>
    <w:rsid w:val="00AA2596"/>
    <w:rsid w:val="00AA26D7"/>
    <w:rsid w:val="00AA2EFB"/>
    <w:rsid w:val="00AA34E7"/>
    <w:rsid w:val="00AA5144"/>
    <w:rsid w:val="00AA5DAE"/>
    <w:rsid w:val="00AA63FA"/>
    <w:rsid w:val="00AA677B"/>
    <w:rsid w:val="00AA6821"/>
    <w:rsid w:val="00AA7266"/>
    <w:rsid w:val="00AA7679"/>
    <w:rsid w:val="00AA7739"/>
    <w:rsid w:val="00AA7A1A"/>
    <w:rsid w:val="00AB06A5"/>
    <w:rsid w:val="00AB0743"/>
    <w:rsid w:val="00AB0E00"/>
    <w:rsid w:val="00AB43AC"/>
    <w:rsid w:val="00AB4EA6"/>
    <w:rsid w:val="00AB5961"/>
    <w:rsid w:val="00AB5AFA"/>
    <w:rsid w:val="00AB5EE4"/>
    <w:rsid w:val="00AB64A1"/>
    <w:rsid w:val="00AB64D2"/>
    <w:rsid w:val="00AB69AB"/>
    <w:rsid w:val="00AB7232"/>
    <w:rsid w:val="00AB7B05"/>
    <w:rsid w:val="00AB7CCE"/>
    <w:rsid w:val="00AB7E7D"/>
    <w:rsid w:val="00AC0DA4"/>
    <w:rsid w:val="00AC1FEF"/>
    <w:rsid w:val="00AC2126"/>
    <w:rsid w:val="00AC397C"/>
    <w:rsid w:val="00AC4223"/>
    <w:rsid w:val="00AC443A"/>
    <w:rsid w:val="00AC44E5"/>
    <w:rsid w:val="00AC4E31"/>
    <w:rsid w:val="00AC60CA"/>
    <w:rsid w:val="00AC60F5"/>
    <w:rsid w:val="00AC7094"/>
    <w:rsid w:val="00AC7883"/>
    <w:rsid w:val="00AC7FEA"/>
    <w:rsid w:val="00AD1280"/>
    <w:rsid w:val="00AD1932"/>
    <w:rsid w:val="00AD1B07"/>
    <w:rsid w:val="00AD2441"/>
    <w:rsid w:val="00AD3295"/>
    <w:rsid w:val="00AD3C39"/>
    <w:rsid w:val="00AD3D94"/>
    <w:rsid w:val="00AD4B2C"/>
    <w:rsid w:val="00AD5082"/>
    <w:rsid w:val="00AD69EE"/>
    <w:rsid w:val="00AD6A76"/>
    <w:rsid w:val="00AD6CF7"/>
    <w:rsid w:val="00AD6E18"/>
    <w:rsid w:val="00AD711B"/>
    <w:rsid w:val="00AE0284"/>
    <w:rsid w:val="00AE028E"/>
    <w:rsid w:val="00AE07EE"/>
    <w:rsid w:val="00AE1987"/>
    <w:rsid w:val="00AE1DE9"/>
    <w:rsid w:val="00AE3DC9"/>
    <w:rsid w:val="00AE42B0"/>
    <w:rsid w:val="00AE53A0"/>
    <w:rsid w:val="00AE5CF2"/>
    <w:rsid w:val="00AE655C"/>
    <w:rsid w:val="00AE77EA"/>
    <w:rsid w:val="00AE7856"/>
    <w:rsid w:val="00AE7B56"/>
    <w:rsid w:val="00AF0B87"/>
    <w:rsid w:val="00AF0D59"/>
    <w:rsid w:val="00AF0D6E"/>
    <w:rsid w:val="00AF2579"/>
    <w:rsid w:val="00AF2DD0"/>
    <w:rsid w:val="00AF3693"/>
    <w:rsid w:val="00AF4141"/>
    <w:rsid w:val="00AF4EE5"/>
    <w:rsid w:val="00AF5044"/>
    <w:rsid w:val="00AF5760"/>
    <w:rsid w:val="00AF5B35"/>
    <w:rsid w:val="00AF69CD"/>
    <w:rsid w:val="00AF7A24"/>
    <w:rsid w:val="00AF7D91"/>
    <w:rsid w:val="00B00260"/>
    <w:rsid w:val="00B00C4B"/>
    <w:rsid w:val="00B0157F"/>
    <w:rsid w:val="00B01733"/>
    <w:rsid w:val="00B0256D"/>
    <w:rsid w:val="00B04B1F"/>
    <w:rsid w:val="00B05402"/>
    <w:rsid w:val="00B054A1"/>
    <w:rsid w:val="00B05BF8"/>
    <w:rsid w:val="00B06FE9"/>
    <w:rsid w:val="00B07631"/>
    <w:rsid w:val="00B07915"/>
    <w:rsid w:val="00B07B8F"/>
    <w:rsid w:val="00B10836"/>
    <w:rsid w:val="00B109D3"/>
    <w:rsid w:val="00B10AB3"/>
    <w:rsid w:val="00B116BD"/>
    <w:rsid w:val="00B116F7"/>
    <w:rsid w:val="00B11B07"/>
    <w:rsid w:val="00B11C33"/>
    <w:rsid w:val="00B13009"/>
    <w:rsid w:val="00B1304E"/>
    <w:rsid w:val="00B132E3"/>
    <w:rsid w:val="00B1335D"/>
    <w:rsid w:val="00B13BB6"/>
    <w:rsid w:val="00B142A2"/>
    <w:rsid w:val="00B143F7"/>
    <w:rsid w:val="00B149A7"/>
    <w:rsid w:val="00B1575A"/>
    <w:rsid w:val="00B15D1E"/>
    <w:rsid w:val="00B15DA1"/>
    <w:rsid w:val="00B1645D"/>
    <w:rsid w:val="00B1655C"/>
    <w:rsid w:val="00B16E9B"/>
    <w:rsid w:val="00B1757D"/>
    <w:rsid w:val="00B17A25"/>
    <w:rsid w:val="00B17DF7"/>
    <w:rsid w:val="00B20A95"/>
    <w:rsid w:val="00B21155"/>
    <w:rsid w:val="00B2118E"/>
    <w:rsid w:val="00B21326"/>
    <w:rsid w:val="00B213BB"/>
    <w:rsid w:val="00B216CF"/>
    <w:rsid w:val="00B218DB"/>
    <w:rsid w:val="00B21BE4"/>
    <w:rsid w:val="00B22041"/>
    <w:rsid w:val="00B22493"/>
    <w:rsid w:val="00B22882"/>
    <w:rsid w:val="00B23EC8"/>
    <w:rsid w:val="00B24AD8"/>
    <w:rsid w:val="00B24C94"/>
    <w:rsid w:val="00B2538C"/>
    <w:rsid w:val="00B256C8"/>
    <w:rsid w:val="00B267CF"/>
    <w:rsid w:val="00B26B29"/>
    <w:rsid w:val="00B27067"/>
    <w:rsid w:val="00B274C6"/>
    <w:rsid w:val="00B3111A"/>
    <w:rsid w:val="00B31138"/>
    <w:rsid w:val="00B32090"/>
    <w:rsid w:val="00B32705"/>
    <w:rsid w:val="00B33724"/>
    <w:rsid w:val="00B33779"/>
    <w:rsid w:val="00B33DC6"/>
    <w:rsid w:val="00B34265"/>
    <w:rsid w:val="00B35198"/>
    <w:rsid w:val="00B3580F"/>
    <w:rsid w:val="00B35C7D"/>
    <w:rsid w:val="00B3633C"/>
    <w:rsid w:val="00B37B2A"/>
    <w:rsid w:val="00B402D4"/>
    <w:rsid w:val="00B403C8"/>
    <w:rsid w:val="00B4350B"/>
    <w:rsid w:val="00B438A2"/>
    <w:rsid w:val="00B43B7F"/>
    <w:rsid w:val="00B46664"/>
    <w:rsid w:val="00B46F1D"/>
    <w:rsid w:val="00B478F7"/>
    <w:rsid w:val="00B51409"/>
    <w:rsid w:val="00B514BD"/>
    <w:rsid w:val="00B518A6"/>
    <w:rsid w:val="00B51B62"/>
    <w:rsid w:val="00B525A9"/>
    <w:rsid w:val="00B52F99"/>
    <w:rsid w:val="00B53649"/>
    <w:rsid w:val="00B54471"/>
    <w:rsid w:val="00B54618"/>
    <w:rsid w:val="00B54754"/>
    <w:rsid w:val="00B548BD"/>
    <w:rsid w:val="00B55FAE"/>
    <w:rsid w:val="00B56339"/>
    <w:rsid w:val="00B56395"/>
    <w:rsid w:val="00B56D69"/>
    <w:rsid w:val="00B56F06"/>
    <w:rsid w:val="00B57701"/>
    <w:rsid w:val="00B602B5"/>
    <w:rsid w:val="00B6051D"/>
    <w:rsid w:val="00B60F61"/>
    <w:rsid w:val="00B6163A"/>
    <w:rsid w:val="00B61C6E"/>
    <w:rsid w:val="00B61CA3"/>
    <w:rsid w:val="00B625C5"/>
    <w:rsid w:val="00B62806"/>
    <w:rsid w:val="00B62DAA"/>
    <w:rsid w:val="00B62F57"/>
    <w:rsid w:val="00B63493"/>
    <w:rsid w:val="00B64592"/>
    <w:rsid w:val="00B64FF1"/>
    <w:rsid w:val="00B652AF"/>
    <w:rsid w:val="00B6563D"/>
    <w:rsid w:val="00B6569F"/>
    <w:rsid w:val="00B65A14"/>
    <w:rsid w:val="00B65A57"/>
    <w:rsid w:val="00B65B3F"/>
    <w:rsid w:val="00B66014"/>
    <w:rsid w:val="00B666B1"/>
    <w:rsid w:val="00B668B7"/>
    <w:rsid w:val="00B67018"/>
    <w:rsid w:val="00B672F4"/>
    <w:rsid w:val="00B70550"/>
    <w:rsid w:val="00B707A2"/>
    <w:rsid w:val="00B719F4"/>
    <w:rsid w:val="00B72984"/>
    <w:rsid w:val="00B7341B"/>
    <w:rsid w:val="00B73992"/>
    <w:rsid w:val="00B73C3E"/>
    <w:rsid w:val="00B73F31"/>
    <w:rsid w:val="00B745AC"/>
    <w:rsid w:val="00B74F85"/>
    <w:rsid w:val="00B75C85"/>
    <w:rsid w:val="00B769D9"/>
    <w:rsid w:val="00B778B6"/>
    <w:rsid w:val="00B80163"/>
    <w:rsid w:val="00B806E9"/>
    <w:rsid w:val="00B8174A"/>
    <w:rsid w:val="00B819E8"/>
    <w:rsid w:val="00B82295"/>
    <w:rsid w:val="00B82E92"/>
    <w:rsid w:val="00B835E1"/>
    <w:rsid w:val="00B83A90"/>
    <w:rsid w:val="00B843AC"/>
    <w:rsid w:val="00B843BF"/>
    <w:rsid w:val="00B844F4"/>
    <w:rsid w:val="00B85987"/>
    <w:rsid w:val="00B85A17"/>
    <w:rsid w:val="00B85AD7"/>
    <w:rsid w:val="00B85B31"/>
    <w:rsid w:val="00B867AC"/>
    <w:rsid w:val="00B87309"/>
    <w:rsid w:val="00B87D0C"/>
    <w:rsid w:val="00B87F65"/>
    <w:rsid w:val="00B90580"/>
    <w:rsid w:val="00B90D4E"/>
    <w:rsid w:val="00B915C6"/>
    <w:rsid w:val="00B91C0F"/>
    <w:rsid w:val="00B9229B"/>
    <w:rsid w:val="00B922BC"/>
    <w:rsid w:val="00B924B1"/>
    <w:rsid w:val="00B92DBE"/>
    <w:rsid w:val="00B938BF"/>
    <w:rsid w:val="00B95202"/>
    <w:rsid w:val="00B9560E"/>
    <w:rsid w:val="00B95E11"/>
    <w:rsid w:val="00B9606C"/>
    <w:rsid w:val="00B96211"/>
    <w:rsid w:val="00B9650F"/>
    <w:rsid w:val="00B96F83"/>
    <w:rsid w:val="00BA0607"/>
    <w:rsid w:val="00BA0C78"/>
    <w:rsid w:val="00BA0DA8"/>
    <w:rsid w:val="00BA0E48"/>
    <w:rsid w:val="00BA18D8"/>
    <w:rsid w:val="00BA21B3"/>
    <w:rsid w:val="00BA27AF"/>
    <w:rsid w:val="00BA3C95"/>
    <w:rsid w:val="00BA3C98"/>
    <w:rsid w:val="00BA4127"/>
    <w:rsid w:val="00BA5339"/>
    <w:rsid w:val="00BA5815"/>
    <w:rsid w:val="00BA654F"/>
    <w:rsid w:val="00BA6861"/>
    <w:rsid w:val="00BA6C8C"/>
    <w:rsid w:val="00BA6F62"/>
    <w:rsid w:val="00BA79A0"/>
    <w:rsid w:val="00BB182C"/>
    <w:rsid w:val="00BB1A25"/>
    <w:rsid w:val="00BB1E7A"/>
    <w:rsid w:val="00BB4647"/>
    <w:rsid w:val="00BB4D56"/>
    <w:rsid w:val="00BB55DA"/>
    <w:rsid w:val="00BB601C"/>
    <w:rsid w:val="00BB7908"/>
    <w:rsid w:val="00BB7EFA"/>
    <w:rsid w:val="00BC13D7"/>
    <w:rsid w:val="00BC14D0"/>
    <w:rsid w:val="00BC21E1"/>
    <w:rsid w:val="00BC46A5"/>
    <w:rsid w:val="00BC594A"/>
    <w:rsid w:val="00BC626E"/>
    <w:rsid w:val="00BC65E0"/>
    <w:rsid w:val="00BC6BB4"/>
    <w:rsid w:val="00BC75BA"/>
    <w:rsid w:val="00BC784E"/>
    <w:rsid w:val="00BC7994"/>
    <w:rsid w:val="00BD00B1"/>
    <w:rsid w:val="00BD0D24"/>
    <w:rsid w:val="00BD15C2"/>
    <w:rsid w:val="00BD1842"/>
    <w:rsid w:val="00BD1C4A"/>
    <w:rsid w:val="00BD299A"/>
    <w:rsid w:val="00BD2D9F"/>
    <w:rsid w:val="00BD2E06"/>
    <w:rsid w:val="00BD38C3"/>
    <w:rsid w:val="00BD638C"/>
    <w:rsid w:val="00BE01BC"/>
    <w:rsid w:val="00BE0DB7"/>
    <w:rsid w:val="00BE2C62"/>
    <w:rsid w:val="00BE34F5"/>
    <w:rsid w:val="00BE3900"/>
    <w:rsid w:val="00BE39D8"/>
    <w:rsid w:val="00BE3A34"/>
    <w:rsid w:val="00BE3C5F"/>
    <w:rsid w:val="00BE3FAB"/>
    <w:rsid w:val="00BE40E8"/>
    <w:rsid w:val="00BE445A"/>
    <w:rsid w:val="00BE4E75"/>
    <w:rsid w:val="00BE577C"/>
    <w:rsid w:val="00BE6264"/>
    <w:rsid w:val="00BE6C12"/>
    <w:rsid w:val="00BE6CBE"/>
    <w:rsid w:val="00BE7976"/>
    <w:rsid w:val="00BF0467"/>
    <w:rsid w:val="00BF0B9D"/>
    <w:rsid w:val="00BF148F"/>
    <w:rsid w:val="00BF14D7"/>
    <w:rsid w:val="00BF1FE4"/>
    <w:rsid w:val="00BF2858"/>
    <w:rsid w:val="00BF2C49"/>
    <w:rsid w:val="00BF32F6"/>
    <w:rsid w:val="00BF3F55"/>
    <w:rsid w:val="00BF4154"/>
    <w:rsid w:val="00BF456A"/>
    <w:rsid w:val="00BF45B2"/>
    <w:rsid w:val="00BF45D1"/>
    <w:rsid w:val="00BF4642"/>
    <w:rsid w:val="00BF4AF4"/>
    <w:rsid w:val="00BF4D9F"/>
    <w:rsid w:val="00BF5EDF"/>
    <w:rsid w:val="00BF70A5"/>
    <w:rsid w:val="00BF70BA"/>
    <w:rsid w:val="00BF746B"/>
    <w:rsid w:val="00BF76B3"/>
    <w:rsid w:val="00BF7731"/>
    <w:rsid w:val="00BF7916"/>
    <w:rsid w:val="00C00C00"/>
    <w:rsid w:val="00C00EE9"/>
    <w:rsid w:val="00C012B3"/>
    <w:rsid w:val="00C020F0"/>
    <w:rsid w:val="00C0250E"/>
    <w:rsid w:val="00C02BF4"/>
    <w:rsid w:val="00C045D9"/>
    <w:rsid w:val="00C046E3"/>
    <w:rsid w:val="00C04801"/>
    <w:rsid w:val="00C050D4"/>
    <w:rsid w:val="00C054AF"/>
    <w:rsid w:val="00C0569D"/>
    <w:rsid w:val="00C05A37"/>
    <w:rsid w:val="00C06065"/>
    <w:rsid w:val="00C06090"/>
    <w:rsid w:val="00C06416"/>
    <w:rsid w:val="00C0662A"/>
    <w:rsid w:val="00C06D42"/>
    <w:rsid w:val="00C06F46"/>
    <w:rsid w:val="00C10316"/>
    <w:rsid w:val="00C10CEB"/>
    <w:rsid w:val="00C11361"/>
    <w:rsid w:val="00C113B9"/>
    <w:rsid w:val="00C12328"/>
    <w:rsid w:val="00C125BF"/>
    <w:rsid w:val="00C12CF6"/>
    <w:rsid w:val="00C12FD0"/>
    <w:rsid w:val="00C139D0"/>
    <w:rsid w:val="00C13ACD"/>
    <w:rsid w:val="00C13D17"/>
    <w:rsid w:val="00C153F1"/>
    <w:rsid w:val="00C16474"/>
    <w:rsid w:val="00C17F30"/>
    <w:rsid w:val="00C206D9"/>
    <w:rsid w:val="00C20A42"/>
    <w:rsid w:val="00C21711"/>
    <w:rsid w:val="00C2286E"/>
    <w:rsid w:val="00C232FC"/>
    <w:rsid w:val="00C23B35"/>
    <w:rsid w:val="00C23D11"/>
    <w:rsid w:val="00C24421"/>
    <w:rsid w:val="00C24AD4"/>
    <w:rsid w:val="00C256B9"/>
    <w:rsid w:val="00C25C92"/>
    <w:rsid w:val="00C26945"/>
    <w:rsid w:val="00C270A2"/>
    <w:rsid w:val="00C271BA"/>
    <w:rsid w:val="00C3022C"/>
    <w:rsid w:val="00C307DA"/>
    <w:rsid w:val="00C3122C"/>
    <w:rsid w:val="00C337E0"/>
    <w:rsid w:val="00C3392F"/>
    <w:rsid w:val="00C34494"/>
    <w:rsid w:val="00C36D45"/>
    <w:rsid w:val="00C37D9D"/>
    <w:rsid w:val="00C4089C"/>
    <w:rsid w:val="00C40CA8"/>
    <w:rsid w:val="00C41A17"/>
    <w:rsid w:val="00C42139"/>
    <w:rsid w:val="00C42905"/>
    <w:rsid w:val="00C43ACB"/>
    <w:rsid w:val="00C4435B"/>
    <w:rsid w:val="00C44CC9"/>
    <w:rsid w:val="00C45439"/>
    <w:rsid w:val="00C4688B"/>
    <w:rsid w:val="00C4690D"/>
    <w:rsid w:val="00C46B92"/>
    <w:rsid w:val="00C478F0"/>
    <w:rsid w:val="00C47C57"/>
    <w:rsid w:val="00C50059"/>
    <w:rsid w:val="00C500ED"/>
    <w:rsid w:val="00C507AE"/>
    <w:rsid w:val="00C50E66"/>
    <w:rsid w:val="00C51003"/>
    <w:rsid w:val="00C51530"/>
    <w:rsid w:val="00C518DC"/>
    <w:rsid w:val="00C52038"/>
    <w:rsid w:val="00C523B9"/>
    <w:rsid w:val="00C52822"/>
    <w:rsid w:val="00C52E76"/>
    <w:rsid w:val="00C534A2"/>
    <w:rsid w:val="00C5360D"/>
    <w:rsid w:val="00C53A9D"/>
    <w:rsid w:val="00C55358"/>
    <w:rsid w:val="00C55737"/>
    <w:rsid w:val="00C56819"/>
    <w:rsid w:val="00C56968"/>
    <w:rsid w:val="00C57DD6"/>
    <w:rsid w:val="00C621CA"/>
    <w:rsid w:val="00C633CA"/>
    <w:rsid w:val="00C649A0"/>
    <w:rsid w:val="00C64D3B"/>
    <w:rsid w:val="00C66B3B"/>
    <w:rsid w:val="00C67A63"/>
    <w:rsid w:val="00C71319"/>
    <w:rsid w:val="00C7204B"/>
    <w:rsid w:val="00C72915"/>
    <w:rsid w:val="00C73ACB"/>
    <w:rsid w:val="00C7404F"/>
    <w:rsid w:val="00C74742"/>
    <w:rsid w:val="00C751EA"/>
    <w:rsid w:val="00C76F2A"/>
    <w:rsid w:val="00C77F81"/>
    <w:rsid w:val="00C803AF"/>
    <w:rsid w:val="00C814D5"/>
    <w:rsid w:val="00C8161F"/>
    <w:rsid w:val="00C81D08"/>
    <w:rsid w:val="00C81F68"/>
    <w:rsid w:val="00C839EF"/>
    <w:rsid w:val="00C8435F"/>
    <w:rsid w:val="00C8450F"/>
    <w:rsid w:val="00C8638F"/>
    <w:rsid w:val="00C86B37"/>
    <w:rsid w:val="00C87148"/>
    <w:rsid w:val="00C87D0C"/>
    <w:rsid w:val="00C9036C"/>
    <w:rsid w:val="00C903E4"/>
    <w:rsid w:val="00C90484"/>
    <w:rsid w:val="00C912D7"/>
    <w:rsid w:val="00C91490"/>
    <w:rsid w:val="00C91BB7"/>
    <w:rsid w:val="00C91C2A"/>
    <w:rsid w:val="00C91E33"/>
    <w:rsid w:val="00C92AEB"/>
    <w:rsid w:val="00C93401"/>
    <w:rsid w:val="00C936BC"/>
    <w:rsid w:val="00C9437D"/>
    <w:rsid w:val="00C947B4"/>
    <w:rsid w:val="00C948A1"/>
    <w:rsid w:val="00C94E6C"/>
    <w:rsid w:val="00C953EA"/>
    <w:rsid w:val="00C954DA"/>
    <w:rsid w:val="00C95659"/>
    <w:rsid w:val="00C977AD"/>
    <w:rsid w:val="00C97C9A"/>
    <w:rsid w:val="00C97E98"/>
    <w:rsid w:val="00CA0B01"/>
    <w:rsid w:val="00CA223E"/>
    <w:rsid w:val="00CA371E"/>
    <w:rsid w:val="00CA39C2"/>
    <w:rsid w:val="00CA5051"/>
    <w:rsid w:val="00CA5949"/>
    <w:rsid w:val="00CA5B3D"/>
    <w:rsid w:val="00CA5CF4"/>
    <w:rsid w:val="00CA725F"/>
    <w:rsid w:val="00CA7A62"/>
    <w:rsid w:val="00CB018F"/>
    <w:rsid w:val="00CB029F"/>
    <w:rsid w:val="00CB0815"/>
    <w:rsid w:val="00CB11A9"/>
    <w:rsid w:val="00CB1906"/>
    <w:rsid w:val="00CB1C57"/>
    <w:rsid w:val="00CB2AC2"/>
    <w:rsid w:val="00CB37A4"/>
    <w:rsid w:val="00CB6889"/>
    <w:rsid w:val="00CB778E"/>
    <w:rsid w:val="00CC2000"/>
    <w:rsid w:val="00CC2304"/>
    <w:rsid w:val="00CC258B"/>
    <w:rsid w:val="00CC3131"/>
    <w:rsid w:val="00CC37C5"/>
    <w:rsid w:val="00CC3AB0"/>
    <w:rsid w:val="00CC3E1B"/>
    <w:rsid w:val="00CC416E"/>
    <w:rsid w:val="00CC4311"/>
    <w:rsid w:val="00CC44A5"/>
    <w:rsid w:val="00CC529B"/>
    <w:rsid w:val="00CC646E"/>
    <w:rsid w:val="00CC67E4"/>
    <w:rsid w:val="00CD0108"/>
    <w:rsid w:val="00CD0734"/>
    <w:rsid w:val="00CD0886"/>
    <w:rsid w:val="00CD3D15"/>
    <w:rsid w:val="00CD4DD2"/>
    <w:rsid w:val="00CD563D"/>
    <w:rsid w:val="00CD64C0"/>
    <w:rsid w:val="00CD71AE"/>
    <w:rsid w:val="00CD71FC"/>
    <w:rsid w:val="00CD75A4"/>
    <w:rsid w:val="00CD7851"/>
    <w:rsid w:val="00CD7D05"/>
    <w:rsid w:val="00CD7FEC"/>
    <w:rsid w:val="00CE0A9D"/>
    <w:rsid w:val="00CE1D82"/>
    <w:rsid w:val="00CE2B9E"/>
    <w:rsid w:val="00CE3618"/>
    <w:rsid w:val="00CE3877"/>
    <w:rsid w:val="00CE3C6E"/>
    <w:rsid w:val="00CE4D4C"/>
    <w:rsid w:val="00CE52A7"/>
    <w:rsid w:val="00CE5959"/>
    <w:rsid w:val="00CE5E7B"/>
    <w:rsid w:val="00CE68BB"/>
    <w:rsid w:val="00CE6981"/>
    <w:rsid w:val="00CE71CC"/>
    <w:rsid w:val="00CF0FD9"/>
    <w:rsid w:val="00CF1757"/>
    <w:rsid w:val="00CF18C2"/>
    <w:rsid w:val="00CF1B31"/>
    <w:rsid w:val="00CF1ED1"/>
    <w:rsid w:val="00CF2AC1"/>
    <w:rsid w:val="00CF3385"/>
    <w:rsid w:val="00CF3F21"/>
    <w:rsid w:val="00CF42A9"/>
    <w:rsid w:val="00CF4A3A"/>
    <w:rsid w:val="00CF529D"/>
    <w:rsid w:val="00CF728F"/>
    <w:rsid w:val="00CF7C46"/>
    <w:rsid w:val="00CF7CC1"/>
    <w:rsid w:val="00D00F96"/>
    <w:rsid w:val="00D01206"/>
    <w:rsid w:val="00D01D24"/>
    <w:rsid w:val="00D021EC"/>
    <w:rsid w:val="00D0231E"/>
    <w:rsid w:val="00D02580"/>
    <w:rsid w:val="00D02EAA"/>
    <w:rsid w:val="00D03523"/>
    <w:rsid w:val="00D03776"/>
    <w:rsid w:val="00D05F58"/>
    <w:rsid w:val="00D063AB"/>
    <w:rsid w:val="00D06D6B"/>
    <w:rsid w:val="00D06D92"/>
    <w:rsid w:val="00D07D85"/>
    <w:rsid w:val="00D103E5"/>
    <w:rsid w:val="00D1121D"/>
    <w:rsid w:val="00D13443"/>
    <w:rsid w:val="00D1350B"/>
    <w:rsid w:val="00D13990"/>
    <w:rsid w:val="00D13B84"/>
    <w:rsid w:val="00D13C91"/>
    <w:rsid w:val="00D155FB"/>
    <w:rsid w:val="00D15D75"/>
    <w:rsid w:val="00D16D90"/>
    <w:rsid w:val="00D170BF"/>
    <w:rsid w:val="00D17725"/>
    <w:rsid w:val="00D2009A"/>
    <w:rsid w:val="00D20A34"/>
    <w:rsid w:val="00D20BAF"/>
    <w:rsid w:val="00D20C81"/>
    <w:rsid w:val="00D20E3E"/>
    <w:rsid w:val="00D214C3"/>
    <w:rsid w:val="00D21B89"/>
    <w:rsid w:val="00D22253"/>
    <w:rsid w:val="00D224E9"/>
    <w:rsid w:val="00D226E9"/>
    <w:rsid w:val="00D23B06"/>
    <w:rsid w:val="00D23C85"/>
    <w:rsid w:val="00D24908"/>
    <w:rsid w:val="00D250F8"/>
    <w:rsid w:val="00D25533"/>
    <w:rsid w:val="00D26479"/>
    <w:rsid w:val="00D26E78"/>
    <w:rsid w:val="00D26FFF"/>
    <w:rsid w:val="00D27142"/>
    <w:rsid w:val="00D30A28"/>
    <w:rsid w:val="00D310D0"/>
    <w:rsid w:val="00D310EE"/>
    <w:rsid w:val="00D31A4B"/>
    <w:rsid w:val="00D31AE6"/>
    <w:rsid w:val="00D31C08"/>
    <w:rsid w:val="00D31ECD"/>
    <w:rsid w:val="00D32FD4"/>
    <w:rsid w:val="00D335A7"/>
    <w:rsid w:val="00D335C1"/>
    <w:rsid w:val="00D33F7A"/>
    <w:rsid w:val="00D34380"/>
    <w:rsid w:val="00D354F6"/>
    <w:rsid w:val="00D35872"/>
    <w:rsid w:val="00D36360"/>
    <w:rsid w:val="00D369F4"/>
    <w:rsid w:val="00D3700B"/>
    <w:rsid w:val="00D37060"/>
    <w:rsid w:val="00D377B7"/>
    <w:rsid w:val="00D402E8"/>
    <w:rsid w:val="00D40F15"/>
    <w:rsid w:val="00D41E7C"/>
    <w:rsid w:val="00D4296A"/>
    <w:rsid w:val="00D430B3"/>
    <w:rsid w:val="00D43192"/>
    <w:rsid w:val="00D431EC"/>
    <w:rsid w:val="00D438AF"/>
    <w:rsid w:val="00D44B04"/>
    <w:rsid w:val="00D44D5C"/>
    <w:rsid w:val="00D45594"/>
    <w:rsid w:val="00D455EA"/>
    <w:rsid w:val="00D46075"/>
    <w:rsid w:val="00D47D61"/>
    <w:rsid w:val="00D501B0"/>
    <w:rsid w:val="00D51140"/>
    <w:rsid w:val="00D5124E"/>
    <w:rsid w:val="00D51C51"/>
    <w:rsid w:val="00D522EA"/>
    <w:rsid w:val="00D52E76"/>
    <w:rsid w:val="00D52EE7"/>
    <w:rsid w:val="00D537CD"/>
    <w:rsid w:val="00D53D02"/>
    <w:rsid w:val="00D545F6"/>
    <w:rsid w:val="00D552CA"/>
    <w:rsid w:val="00D56190"/>
    <w:rsid w:val="00D5783C"/>
    <w:rsid w:val="00D6059C"/>
    <w:rsid w:val="00D613CD"/>
    <w:rsid w:val="00D61670"/>
    <w:rsid w:val="00D61ED8"/>
    <w:rsid w:val="00D61F9D"/>
    <w:rsid w:val="00D624AF"/>
    <w:rsid w:val="00D62EFF"/>
    <w:rsid w:val="00D6321A"/>
    <w:rsid w:val="00D6393D"/>
    <w:rsid w:val="00D6428A"/>
    <w:rsid w:val="00D671F4"/>
    <w:rsid w:val="00D70B30"/>
    <w:rsid w:val="00D71365"/>
    <w:rsid w:val="00D727DF"/>
    <w:rsid w:val="00D730D0"/>
    <w:rsid w:val="00D73BB9"/>
    <w:rsid w:val="00D748B9"/>
    <w:rsid w:val="00D75624"/>
    <w:rsid w:val="00D757E9"/>
    <w:rsid w:val="00D75DEF"/>
    <w:rsid w:val="00D7612B"/>
    <w:rsid w:val="00D769FD"/>
    <w:rsid w:val="00D76AB7"/>
    <w:rsid w:val="00D76EB3"/>
    <w:rsid w:val="00D76F6D"/>
    <w:rsid w:val="00D774C4"/>
    <w:rsid w:val="00D8072E"/>
    <w:rsid w:val="00D819F6"/>
    <w:rsid w:val="00D81B1C"/>
    <w:rsid w:val="00D82C1C"/>
    <w:rsid w:val="00D832B9"/>
    <w:rsid w:val="00D83723"/>
    <w:rsid w:val="00D841F1"/>
    <w:rsid w:val="00D85DEC"/>
    <w:rsid w:val="00D86A49"/>
    <w:rsid w:val="00D87D5E"/>
    <w:rsid w:val="00D87E86"/>
    <w:rsid w:val="00D90179"/>
    <w:rsid w:val="00D907CD"/>
    <w:rsid w:val="00D919B5"/>
    <w:rsid w:val="00D919CB"/>
    <w:rsid w:val="00D9234A"/>
    <w:rsid w:val="00D92F4C"/>
    <w:rsid w:val="00D930F9"/>
    <w:rsid w:val="00D93B7C"/>
    <w:rsid w:val="00D942ED"/>
    <w:rsid w:val="00D94618"/>
    <w:rsid w:val="00D946BF"/>
    <w:rsid w:val="00D9543F"/>
    <w:rsid w:val="00D96086"/>
    <w:rsid w:val="00D97317"/>
    <w:rsid w:val="00D97CD7"/>
    <w:rsid w:val="00DA102F"/>
    <w:rsid w:val="00DA11E5"/>
    <w:rsid w:val="00DA1763"/>
    <w:rsid w:val="00DA17EE"/>
    <w:rsid w:val="00DA2214"/>
    <w:rsid w:val="00DA2EC3"/>
    <w:rsid w:val="00DA3516"/>
    <w:rsid w:val="00DA469E"/>
    <w:rsid w:val="00DA4BB0"/>
    <w:rsid w:val="00DA50F1"/>
    <w:rsid w:val="00DA5379"/>
    <w:rsid w:val="00DA5699"/>
    <w:rsid w:val="00DA67EA"/>
    <w:rsid w:val="00DA6848"/>
    <w:rsid w:val="00DA732F"/>
    <w:rsid w:val="00DA753C"/>
    <w:rsid w:val="00DA77F4"/>
    <w:rsid w:val="00DA7F6F"/>
    <w:rsid w:val="00DB027E"/>
    <w:rsid w:val="00DB0755"/>
    <w:rsid w:val="00DB0BBE"/>
    <w:rsid w:val="00DB12AE"/>
    <w:rsid w:val="00DB182F"/>
    <w:rsid w:val="00DB1916"/>
    <w:rsid w:val="00DB1EA1"/>
    <w:rsid w:val="00DB2201"/>
    <w:rsid w:val="00DB29DF"/>
    <w:rsid w:val="00DB36FB"/>
    <w:rsid w:val="00DB3764"/>
    <w:rsid w:val="00DB3FB3"/>
    <w:rsid w:val="00DB40E4"/>
    <w:rsid w:val="00DB44A3"/>
    <w:rsid w:val="00DB4F84"/>
    <w:rsid w:val="00DB5481"/>
    <w:rsid w:val="00DB5CA2"/>
    <w:rsid w:val="00DB6019"/>
    <w:rsid w:val="00DB6C83"/>
    <w:rsid w:val="00DB74CD"/>
    <w:rsid w:val="00DC0F2D"/>
    <w:rsid w:val="00DC196C"/>
    <w:rsid w:val="00DC258B"/>
    <w:rsid w:val="00DC2BCC"/>
    <w:rsid w:val="00DC2BF5"/>
    <w:rsid w:val="00DC3CB2"/>
    <w:rsid w:val="00DC3EC6"/>
    <w:rsid w:val="00DC3F8E"/>
    <w:rsid w:val="00DC51E4"/>
    <w:rsid w:val="00DC52B4"/>
    <w:rsid w:val="00DC5742"/>
    <w:rsid w:val="00DC57BA"/>
    <w:rsid w:val="00DC5BC7"/>
    <w:rsid w:val="00DC5F30"/>
    <w:rsid w:val="00DC6223"/>
    <w:rsid w:val="00DC758F"/>
    <w:rsid w:val="00DC76E6"/>
    <w:rsid w:val="00DD0920"/>
    <w:rsid w:val="00DD20FC"/>
    <w:rsid w:val="00DD29C9"/>
    <w:rsid w:val="00DD4B59"/>
    <w:rsid w:val="00DD5773"/>
    <w:rsid w:val="00DD5F5D"/>
    <w:rsid w:val="00DD6402"/>
    <w:rsid w:val="00DD666D"/>
    <w:rsid w:val="00DD6934"/>
    <w:rsid w:val="00DD7754"/>
    <w:rsid w:val="00DD7E75"/>
    <w:rsid w:val="00DE0355"/>
    <w:rsid w:val="00DE0EB2"/>
    <w:rsid w:val="00DE1570"/>
    <w:rsid w:val="00DE2425"/>
    <w:rsid w:val="00DE3112"/>
    <w:rsid w:val="00DE424B"/>
    <w:rsid w:val="00DE4C7C"/>
    <w:rsid w:val="00DE4F20"/>
    <w:rsid w:val="00DE5547"/>
    <w:rsid w:val="00DE649E"/>
    <w:rsid w:val="00DE6797"/>
    <w:rsid w:val="00DE6E02"/>
    <w:rsid w:val="00DE7C54"/>
    <w:rsid w:val="00DF0995"/>
    <w:rsid w:val="00DF105C"/>
    <w:rsid w:val="00DF17C1"/>
    <w:rsid w:val="00DF1E4A"/>
    <w:rsid w:val="00DF27EC"/>
    <w:rsid w:val="00DF2FA0"/>
    <w:rsid w:val="00DF481E"/>
    <w:rsid w:val="00DF4E16"/>
    <w:rsid w:val="00DF4E69"/>
    <w:rsid w:val="00DF5687"/>
    <w:rsid w:val="00DF6604"/>
    <w:rsid w:val="00DF6647"/>
    <w:rsid w:val="00DF6CE6"/>
    <w:rsid w:val="00DF78E5"/>
    <w:rsid w:val="00E00050"/>
    <w:rsid w:val="00E00271"/>
    <w:rsid w:val="00E00DC0"/>
    <w:rsid w:val="00E01C7B"/>
    <w:rsid w:val="00E03617"/>
    <w:rsid w:val="00E038B6"/>
    <w:rsid w:val="00E03C5D"/>
    <w:rsid w:val="00E03ED5"/>
    <w:rsid w:val="00E04776"/>
    <w:rsid w:val="00E048E1"/>
    <w:rsid w:val="00E052C0"/>
    <w:rsid w:val="00E057EE"/>
    <w:rsid w:val="00E0603F"/>
    <w:rsid w:val="00E07AAA"/>
    <w:rsid w:val="00E07BED"/>
    <w:rsid w:val="00E10C5C"/>
    <w:rsid w:val="00E11B0B"/>
    <w:rsid w:val="00E11E10"/>
    <w:rsid w:val="00E11F12"/>
    <w:rsid w:val="00E12887"/>
    <w:rsid w:val="00E128F6"/>
    <w:rsid w:val="00E12B21"/>
    <w:rsid w:val="00E13F3D"/>
    <w:rsid w:val="00E153B0"/>
    <w:rsid w:val="00E157DD"/>
    <w:rsid w:val="00E15C9B"/>
    <w:rsid w:val="00E15FAC"/>
    <w:rsid w:val="00E162ED"/>
    <w:rsid w:val="00E172CD"/>
    <w:rsid w:val="00E1788F"/>
    <w:rsid w:val="00E17A0A"/>
    <w:rsid w:val="00E209B6"/>
    <w:rsid w:val="00E20F65"/>
    <w:rsid w:val="00E2339B"/>
    <w:rsid w:val="00E249FB"/>
    <w:rsid w:val="00E24AA6"/>
    <w:rsid w:val="00E24D42"/>
    <w:rsid w:val="00E26139"/>
    <w:rsid w:val="00E26E18"/>
    <w:rsid w:val="00E2735C"/>
    <w:rsid w:val="00E27A55"/>
    <w:rsid w:val="00E27A96"/>
    <w:rsid w:val="00E27B82"/>
    <w:rsid w:val="00E30189"/>
    <w:rsid w:val="00E3024C"/>
    <w:rsid w:val="00E30701"/>
    <w:rsid w:val="00E3078B"/>
    <w:rsid w:val="00E30CAB"/>
    <w:rsid w:val="00E30CD5"/>
    <w:rsid w:val="00E31D70"/>
    <w:rsid w:val="00E3278C"/>
    <w:rsid w:val="00E344A1"/>
    <w:rsid w:val="00E348F2"/>
    <w:rsid w:val="00E3528D"/>
    <w:rsid w:val="00E353C8"/>
    <w:rsid w:val="00E35474"/>
    <w:rsid w:val="00E35531"/>
    <w:rsid w:val="00E359D4"/>
    <w:rsid w:val="00E362B7"/>
    <w:rsid w:val="00E373A7"/>
    <w:rsid w:val="00E374C7"/>
    <w:rsid w:val="00E37782"/>
    <w:rsid w:val="00E3794F"/>
    <w:rsid w:val="00E37A98"/>
    <w:rsid w:val="00E37BA4"/>
    <w:rsid w:val="00E37FF4"/>
    <w:rsid w:val="00E41130"/>
    <w:rsid w:val="00E42688"/>
    <w:rsid w:val="00E43476"/>
    <w:rsid w:val="00E44268"/>
    <w:rsid w:val="00E45B7E"/>
    <w:rsid w:val="00E472AD"/>
    <w:rsid w:val="00E474E9"/>
    <w:rsid w:val="00E4783D"/>
    <w:rsid w:val="00E5022B"/>
    <w:rsid w:val="00E5071A"/>
    <w:rsid w:val="00E50A75"/>
    <w:rsid w:val="00E52195"/>
    <w:rsid w:val="00E521B9"/>
    <w:rsid w:val="00E525DD"/>
    <w:rsid w:val="00E52964"/>
    <w:rsid w:val="00E532E0"/>
    <w:rsid w:val="00E53E7C"/>
    <w:rsid w:val="00E54981"/>
    <w:rsid w:val="00E54ECF"/>
    <w:rsid w:val="00E54F4D"/>
    <w:rsid w:val="00E550E2"/>
    <w:rsid w:val="00E55BD3"/>
    <w:rsid w:val="00E567E1"/>
    <w:rsid w:val="00E571D5"/>
    <w:rsid w:val="00E574FC"/>
    <w:rsid w:val="00E5769B"/>
    <w:rsid w:val="00E5783E"/>
    <w:rsid w:val="00E5784B"/>
    <w:rsid w:val="00E600CF"/>
    <w:rsid w:val="00E601B5"/>
    <w:rsid w:val="00E60B58"/>
    <w:rsid w:val="00E60B59"/>
    <w:rsid w:val="00E6165E"/>
    <w:rsid w:val="00E61728"/>
    <w:rsid w:val="00E61D00"/>
    <w:rsid w:val="00E62538"/>
    <w:rsid w:val="00E63AB7"/>
    <w:rsid w:val="00E6500C"/>
    <w:rsid w:val="00E654DD"/>
    <w:rsid w:val="00E6560D"/>
    <w:rsid w:val="00E65D7A"/>
    <w:rsid w:val="00E660A0"/>
    <w:rsid w:val="00E66643"/>
    <w:rsid w:val="00E67331"/>
    <w:rsid w:val="00E679A9"/>
    <w:rsid w:val="00E679E7"/>
    <w:rsid w:val="00E67A9B"/>
    <w:rsid w:val="00E7054B"/>
    <w:rsid w:val="00E70CEE"/>
    <w:rsid w:val="00E72BA1"/>
    <w:rsid w:val="00E73063"/>
    <w:rsid w:val="00E73BB7"/>
    <w:rsid w:val="00E740FD"/>
    <w:rsid w:val="00E74886"/>
    <w:rsid w:val="00E74B9E"/>
    <w:rsid w:val="00E75738"/>
    <w:rsid w:val="00E76355"/>
    <w:rsid w:val="00E76DD4"/>
    <w:rsid w:val="00E76F47"/>
    <w:rsid w:val="00E7783C"/>
    <w:rsid w:val="00E77C5F"/>
    <w:rsid w:val="00E8083B"/>
    <w:rsid w:val="00E81012"/>
    <w:rsid w:val="00E83465"/>
    <w:rsid w:val="00E83E0B"/>
    <w:rsid w:val="00E83E45"/>
    <w:rsid w:val="00E83EF6"/>
    <w:rsid w:val="00E84817"/>
    <w:rsid w:val="00E8543C"/>
    <w:rsid w:val="00E8604C"/>
    <w:rsid w:val="00E86627"/>
    <w:rsid w:val="00E86990"/>
    <w:rsid w:val="00E873D7"/>
    <w:rsid w:val="00E900A4"/>
    <w:rsid w:val="00E90A04"/>
    <w:rsid w:val="00E913A7"/>
    <w:rsid w:val="00E91765"/>
    <w:rsid w:val="00E91D2D"/>
    <w:rsid w:val="00E91E69"/>
    <w:rsid w:val="00E93537"/>
    <w:rsid w:val="00E93E1A"/>
    <w:rsid w:val="00E942F1"/>
    <w:rsid w:val="00E956F7"/>
    <w:rsid w:val="00E95FB7"/>
    <w:rsid w:val="00E96AAB"/>
    <w:rsid w:val="00E97711"/>
    <w:rsid w:val="00E9777F"/>
    <w:rsid w:val="00EA005D"/>
    <w:rsid w:val="00EA0209"/>
    <w:rsid w:val="00EA0EE6"/>
    <w:rsid w:val="00EA1EEA"/>
    <w:rsid w:val="00EA36B2"/>
    <w:rsid w:val="00EA47D1"/>
    <w:rsid w:val="00EA4E5D"/>
    <w:rsid w:val="00EA5256"/>
    <w:rsid w:val="00EA5A2E"/>
    <w:rsid w:val="00EA5A70"/>
    <w:rsid w:val="00EA70CA"/>
    <w:rsid w:val="00EA7591"/>
    <w:rsid w:val="00EB1080"/>
    <w:rsid w:val="00EB1A4C"/>
    <w:rsid w:val="00EB29C6"/>
    <w:rsid w:val="00EB2FB7"/>
    <w:rsid w:val="00EB4932"/>
    <w:rsid w:val="00EB55B5"/>
    <w:rsid w:val="00EB5A41"/>
    <w:rsid w:val="00EB5AB7"/>
    <w:rsid w:val="00EB5E0F"/>
    <w:rsid w:val="00EB7CAF"/>
    <w:rsid w:val="00EB7E4D"/>
    <w:rsid w:val="00EC02F4"/>
    <w:rsid w:val="00EC3F33"/>
    <w:rsid w:val="00EC4DDC"/>
    <w:rsid w:val="00EC4E06"/>
    <w:rsid w:val="00EC6487"/>
    <w:rsid w:val="00EC70A9"/>
    <w:rsid w:val="00EC76B0"/>
    <w:rsid w:val="00ED0D52"/>
    <w:rsid w:val="00ED13F3"/>
    <w:rsid w:val="00ED1484"/>
    <w:rsid w:val="00ED1973"/>
    <w:rsid w:val="00ED1B3A"/>
    <w:rsid w:val="00ED1E95"/>
    <w:rsid w:val="00ED3469"/>
    <w:rsid w:val="00ED4294"/>
    <w:rsid w:val="00ED44EC"/>
    <w:rsid w:val="00ED4AFC"/>
    <w:rsid w:val="00ED5FE2"/>
    <w:rsid w:val="00ED7507"/>
    <w:rsid w:val="00ED7829"/>
    <w:rsid w:val="00ED7893"/>
    <w:rsid w:val="00ED7F67"/>
    <w:rsid w:val="00EE0768"/>
    <w:rsid w:val="00EE09F5"/>
    <w:rsid w:val="00EE0BBD"/>
    <w:rsid w:val="00EE1637"/>
    <w:rsid w:val="00EE1911"/>
    <w:rsid w:val="00EE22A6"/>
    <w:rsid w:val="00EE4AA8"/>
    <w:rsid w:val="00EE51FD"/>
    <w:rsid w:val="00EE524F"/>
    <w:rsid w:val="00EE6606"/>
    <w:rsid w:val="00EE75BA"/>
    <w:rsid w:val="00EE7A62"/>
    <w:rsid w:val="00EE7DBA"/>
    <w:rsid w:val="00EF0917"/>
    <w:rsid w:val="00EF1256"/>
    <w:rsid w:val="00EF32E7"/>
    <w:rsid w:val="00EF3359"/>
    <w:rsid w:val="00EF3653"/>
    <w:rsid w:val="00EF3EA4"/>
    <w:rsid w:val="00EF47BA"/>
    <w:rsid w:val="00EF4A70"/>
    <w:rsid w:val="00EF4ECD"/>
    <w:rsid w:val="00EF598C"/>
    <w:rsid w:val="00EF5BBE"/>
    <w:rsid w:val="00F00957"/>
    <w:rsid w:val="00F00CDD"/>
    <w:rsid w:val="00F01203"/>
    <w:rsid w:val="00F017E7"/>
    <w:rsid w:val="00F018BD"/>
    <w:rsid w:val="00F01F43"/>
    <w:rsid w:val="00F023BA"/>
    <w:rsid w:val="00F029D9"/>
    <w:rsid w:val="00F02BFD"/>
    <w:rsid w:val="00F03335"/>
    <w:rsid w:val="00F03367"/>
    <w:rsid w:val="00F03782"/>
    <w:rsid w:val="00F03AD4"/>
    <w:rsid w:val="00F03F8D"/>
    <w:rsid w:val="00F04360"/>
    <w:rsid w:val="00F04729"/>
    <w:rsid w:val="00F051B8"/>
    <w:rsid w:val="00F0616B"/>
    <w:rsid w:val="00F0622F"/>
    <w:rsid w:val="00F07DD3"/>
    <w:rsid w:val="00F10137"/>
    <w:rsid w:val="00F10257"/>
    <w:rsid w:val="00F1065F"/>
    <w:rsid w:val="00F1086B"/>
    <w:rsid w:val="00F1097E"/>
    <w:rsid w:val="00F113B0"/>
    <w:rsid w:val="00F128A0"/>
    <w:rsid w:val="00F1296B"/>
    <w:rsid w:val="00F133F0"/>
    <w:rsid w:val="00F13A28"/>
    <w:rsid w:val="00F13AA9"/>
    <w:rsid w:val="00F13F12"/>
    <w:rsid w:val="00F15679"/>
    <w:rsid w:val="00F156A3"/>
    <w:rsid w:val="00F160F2"/>
    <w:rsid w:val="00F164B3"/>
    <w:rsid w:val="00F1668E"/>
    <w:rsid w:val="00F16D9E"/>
    <w:rsid w:val="00F17F58"/>
    <w:rsid w:val="00F2047B"/>
    <w:rsid w:val="00F2064B"/>
    <w:rsid w:val="00F20775"/>
    <w:rsid w:val="00F21837"/>
    <w:rsid w:val="00F220EB"/>
    <w:rsid w:val="00F225ED"/>
    <w:rsid w:val="00F2261E"/>
    <w:rsid w:val="00F22A9A"/>
    <w:rsid w:val="00F22DA3"/>
    <w:rsid w:val="00F23119"/>
    <w:rsid w:val="00F23815"/>
    <w:rsid w:val="00F24AFD"/>
    <w:rsid w:val="00F257AE"/>
    <w:rsid w:val="00F27B0D"/>
    <w:rsid w:val="00F27F5A"/>
    <w:rsid w:val="00F3004C"/>
    <w:rsid w:val="00F30540"/>
    <w:rsid w:val="00F30555"/>
    <w:rsid w:val="00F309A1"/>
    <w:rsid w:val="00F31270"/>
    <w:rsid w:val="00F316DD"/>
    <w:rsid w:val="00F31B82"/>
    <w:rsid w:val="00F32685"/>
    <w:rsid w:val="00F32E6E"/>
    <w:rsid w:val="00F3303E"/>
    <w:rsid w:val="00F332DD"/>
    <w:rsid w:val="00F33BF9"/>
    <w:rsid w:val="00F33F10"/>
    <w:rsid w:val="00F34FED"/>
    <w:rsid w:val="00F3629F"/>
    <w:rsid w:val="00F36538"/>
    <w:rsid w:val="00F37A29"/>
    <w:rsid w:val="00F37A96"/>
    <w:rsid w:val="00F406F4"/>
    <w:rsid w:val="00F40A06"/>
    <w:rsid w:val="00F40ABD"/>
    <w:rsid w:val="00F40BA7"/>
    <w:rsid w:val="00F41834"/>
    <w:rsid w:val="00F438A7"/>
    <w:rsid w:val="00F43DB8"/>
    <w:rsid w:val="00F4409D"/>
    <w:rsid w:val="00F44218"/>
    <w:rsid w:val="00F4490D"/>
    <w:rsid w:val="00F44B48"/>
    <w:rsid w:val="00F44C09"/>
    <w:rsid w:val="00F44D49"/>
    <w:rsid w:val="00F45AC0"/>
    <w:rsid w:val="00F45C58"/>
    <w:rsid w:val="00F473CB"/>
    <w:rsid w:val="00F477E3"/>
    <w:rsid w:val="00F50D1C"/>
    <w:rsid w:val="00F510FE"/>
    <w:rsid w:val="00F5193C"/>
    <w:rsid w:val="00F51A98"/>
    <w:rsid w:val="00F529C4"/>
    <w:rsid w:val="00F52DF5"/>
    <w:rsid w:val="00F53650"/>
    <w:rsid w:val="00F547C1"/>
    <w:rsid w:val="00F55607"/>
    <w:rsid w:val="00F55632"/>
    <w:rsid w:val="00F559DB"/>
    <w:rsid w:val="00F5671D"/>
    <w:rsid w:val="00F616B1"/>
    <w:rsid w:val="00F61729"/>
    <w:rsid w:val="00F61B87"/>
    <w:rsid w:val="00F621B0"/>
    <w:rsid w:val="00F63131"/>
    <w:rsid w:val="00F6339E"/>
    <w:rsid w:val="00F64274"/>
    <w:rsid w:val="00F642E8"/>
    <w:rsid w:val="00F64BA4"/>
    <w:rsid w:val="00F64F96"/>
    <w:rsid w:val="00F6510A"/>
    <w:rsid w:val="00F655DD"/>
    <w:rsid w:val="00F658D2"/>
    <w:rsid w:val="00F66B95"/>
    <w:rsid w:val="00F67343"/>
    <w:rsid w:val="00F67746"/>
    <w:rsid w:val="00F67783"/>
    <w:rsid w:val="00F67A4E"/>
    <w:rsid w:val="00F67D81"/>
    <w:rsid w:val="00F70480"/>
    <w:rsid w:val="00F709BC"/>
    <w:rsid w:val="00F7147E"/>
    <w:rsid w:val="00F71AA0"/>
    <w:rsid w:val="00F725C7"/>
    <w:rsid w:val="00F72F3B"/>
    <w:rsid w:val="00F7305D"/>
    <w:rsid w:val="00F7326E"/>
    <w:rsid w:val="00F75DE7"/>
    <w:rsid w:val="00F76BD2"/>
    <w:rsid w:val="00F76C31"/>
    <w:rsid w:val="00F7707C"/>
    <w:rsid w:val="00F77545"/>
    <w:rsid w:val="00F775DD"/>
    <w:rsid w:val="00F81BB3"/>
    <w:rsid w:val="00F824DC"/>
    <w:rsid w:val="00F82613"/>
    <w:rsid w:val="00F82653"/>
    <w:rsid w:val="00F82833"/>
    <w:rsid w:val="00F830B5"/>
    <w:rsid w:val="00F83602"/>
    <w:rsid w:val="00F84086"/>
    <w:rsid w:val="00F84691"/>
    <w:rsid w:val="00F84E33"/>
    <w:rsid w:val="00F85164"/>
    <w:rsid w:val="00F85B7F"/>
    <w:rsid w:val="00F85BD5"/>
    <w:rsid w:val="00F85F1C"/>
    <w:rsid w:val="00F86218"/>
    <w:rsid w:val="00F868D0"/>
    <w:rsid w:val="00F87734"/>
    <w:rsid w:val="00F87AA9"/>
    <w:rsid w:val="00F908D2"/>
    <w:rsid w:val="00F90B96"/>
    <w:rsid w:val="00F92309"/>
    <w:rsid w:val="00F92F2B"/>
    <w:rsid w:val="00F93158"/>
    <w:rsid w:val="00F93471"/>
    <w:rsid w:val="00F939AC"/>
    <w:rsid w:val="00F93E57"/>
    <w:rsid w:val="00F93EA6"/>
    <w:rsid w:val="00F9424D"/>
    <w:rsid w:val="00F94791"/>
    <w:rsid w:val="00F9531B"/>
    <w:rsid w:val="00F955A9"/>
    <w:rsid w:val="00F960AC"/>
    <w:rsid w:val="00F96AB0"/>
    <w:rsid w:val="00F96D4D"/>
    <w:rsid w:val="00F96EE6"/>
    <w:rsid w:val="00F96FE9"/>
    <w:rsid w:val="00F97A17"/>
    <w:rsid w:val="00F97AEA"/>
    <w:rsid w:val="00F97CCA"/>
    <w:rsid w:val="00F97E6C"/>
    <w:rsid w:val="00F97F54"/>
    <w:rsid w:val="00FA04C2"/>
    <w:rsid w:val="00FA15FF"/>
    <w:rsid w:val="00FA19A7"/>
    <w:rsid w:val="00FA1DAF"/>
    <w:rsid w:val="00FA20EB"/>
    <w:rsid w:val="00FA3053"/>
    <w:rsid w:val="00FA32BE"/>
    <w:rsid w:val="00FA3C39"/>
    <w:rsid w:val="00FA3FB4"/>
    <w:rsid w:val="00FA43DD"/>
    <w:rsid w:val="00FA4560"/>
    <w:rsid w:val="00FA5D10"/>
    <w:rsid w:val="00FA61E4"/>
    <w:rsid w:val="00FA6202"/>
    <w:rsid w:val="00FA6323"/>
    <w:rsid w:val="00FA7260"/>
    <w:rsid w:val="00FA7650"/>
    <w:rsid w:val="00FA79B4"/>
    <w:rsid w:val="00FB02E4"/>
    <w:rsid w:val="00FB0430"/>
    <w:rsid w:val="00FB088F"/>
    <w:rsid w:val="00FB236E"/>
    <w:rsid w:val="00FB3918"/>
    <w:rsid w:val="00FB5B23"/>
    <w:rsid w:val="00FB5B53"/>
    <w:rsid w:val="00FB6EE4"/>
    <w:rsid w:val="00FB6F9C"/>
    <w:rsid w:val="00FC04AE"/>
    <w:rsid w:val="00FC0F38"/>
    <w:rsid w:val="00FC1B6A"/>
    <w:rsid w:val="00FC31E4"/>
    <w:rsid w:val="00FC41B8"/>
    <w:rsid w:val="00FC46C8"/>
    <w:rsid w:val="00FC51D1"/>
    <w:rsid w:val="00FC5F4F"/>
    <w:rsid w:val="00FC68E7"/>
    <w:rsid w:val="00FC6F9B"/>
    <w:rsid w:val="00FD0CAB"/>
    <w:rsid w:val="00FD0E00"/>
    <w:rsid w:val="00FD15D7"/>
    <w:rsid w:val="00FD1656"/>
    <w:rsid w:val="00FD27DD"/>
    <w:rsid w:val="00FD297A"/>
    <w:rsid w:val="00FD3021"/>
    <w:rsid w:val="00FD3370"/>
    <w:rsid w:val="00FD362B"/>
    <w:rsid w:val="00FD39DD"/>
    <w:rsid w:val="00FD3BE2"/>
    <w:rsid w:val="00FD4A99"/>
    <w:rsid w:val="00FD5066"/>
    <w:rsid w:val="00FD5AA4"/>
    <w:rsid w:val="00FD6056"/>
    <w:rsid w:val="00FD67C7"/>
    <w:rsid w:val="00FD6A5C"/>
    <w:rsid w:val="00FE09E6"/>
    <w:rsid w:val="00FE0A02"/>
    <w:rsid w:val="00FE11F3"/>
    <w:rsid w:val="00FE1641"/>
    <w:rsid w:val="00FE2830"/>
    <w:rsid w:val="00FE2CED"/>
    <w:rsid w:val="00FE3065"/>
    <w:rsid w:val="00FE3A56"/>
    <w:rsid w:val="00FE4778"/>
    <w:rsid w:val="00FE4839"/>
    <w:rsid w:val="00FE4E02"/>
    <w:rsid w:val="00FE54ED"/>
    <w:rsid w:val="00FE5520"/>
    <w:rsid w:val="00FE5A5E"/>
    <w:rsid w:val="00FE6FBA"/>
    <w:rsid w:val="00FE770C"/>
    <w:rsid w:val="00FE7841"/>
    <w:rsid w:val="00FE7967"/>
    <w:rsid w:val="00FE7D69"/>
    <w:rsid w:val="00FF05A5"/>
    <w:rsid w:val="00FF0924"/>
    <w:rsid w:val="00FF0B9D"/>
    <w:rsid w:val="00FF174D"/>
    <w:rsid w:val="00FF242D"/>
    <w:rsid w:val="00FF26D9"/>
    <w:rsid w:val="00FF28D5"/>
    <w:rsid w:val="00FF295C"/>
    <w:rsid w:val="00FF2D40"/>
    <w:rsid w:val="00FF3E9E"/>
    <w:rsid w:val="00FF44CB"/>
    <w:rsid w:val="00FF4ADD"/>
    <w:rsid w:val="00FF4FDA"/>
    <w:rsid w:val="00FF5711"/>
    <w:rsid w:val="00FF57C8"/>
    <w:rsid w:val="00FF5DC4"/>
    <w:rsid w:val="00FF6826"/>
    <w:rsid w:val="00FF78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0DAE"/>
  <w15:chartTrackingRefBased/>
  <w15:docId w15:val="{22162CD2-2392-43EF-B27D-3D4546D9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0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E59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5110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B213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738"/>
    <w:pPr>
      <w:spacing w:after="160" w:line="259" w:lineRule="auto"/>
      <w:ind w:left="720"/>
      <w:contextualSpacing/>
    </w:pPr>
    <w:rPr>
      <w:rFonts w:asciiTheme="minorHAnsi" w:eastAsiaTheme="minorEastAsia" w:hAnsiTheme="minorHAnsi" w:cstheme="minorBidi"/>
      <w:sz w:val="22"/>
      <w:szCs w:val="22"/>
      <w:lang w:eastAsia="zh-CN"/>
    </w:rPr>
  </w:style>
  <w:style w:type="paragraph" w:styleId="NormalWeb">
    <w:name w:val="Normal (Web)"/>
    <w:basedOn w:val="Normal"/>
    <w:uiPriority w:val="99"/>
    <w:semiHidden/>
    <w:unhideWhenUsed/>
    <w:rsid w:val="00791E19"/>
    <w:pPr>
      <w:spacing w:before="100" w:beforeAutospacing="1" w:after="100" w:afterAutospacing="1"/>
    </w:pPr>
  </w:style>
  <w:style w:type="paragraph" w:styleId="Footer">
    <w:name w:val="footer"/>
    <w:basedOn w:val="Normal"/>
    <w:link w:val="FooterChar"/>
    <w:uiPriority w:val="99"/>
    <w:unhideWhenUsed/>
    <w:rsid w:val="004519C1"/>
    <w:pPr>
      <w:tabs>
        <w:tab w:val="center" w:pos="4513"/>
        <w:tab w:val="right" w:pos="9026"/>
      </w:tabs>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4519C1"/>
  </w:style>
  <w:style w:type="character" w:styleId="PageNumber">
    <w:name w:val="page number"/>
    <w:basedOn w:val="DefaultParagraphFont"/>
    <w:uiPriority w:val="99"/>
    <w:semiHidden/>
    <w:unhideWhenUsed/>
    <w:rsid w:val="004519C1"/>
  </w:style>
  <w:style w:type="paragraph" w:styleId="Header">
    <w:name w:val="header"/>
    <w:basedOn w:val="Normal"/>
    <w:link w:val="HeaderChar"/>
    <w:uiPriority w:val="99"/>
    <w:unhideWhenUsed/>
    <w:rsid w:val="004519C1"/>
    <w:pPr>
      <w:tabs>
        <w:tab w:val="center" w:pos="4513"/>
        <w:tab w:val="right" w:pos="9026"/>
      </w:tabs>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4519C1"/>
  </w:style>
  <w:style w:type="paragraph" w:customStyle="1" w:styleId="xmsonormal">
    <w:name w:val="x_msonormal"/>
    <w:basedOn w:val="Normal"/>
    <w:rsid w:val="00CA371E"/>
    <w:pPr>
      <w:spacing w:before="100" w:beforeAutospacing="1" w:after="100" w:afterAutospacing="1"/>
    </w:pPr>
    <w:rPr>
      <w:lang w:eastAsia="zh-CN"/>
    </w:rPr>
  </w:style>
  <w:style w:type="character" w:styleId="Strong">
    <w:name w:val="Strong"/>
    <w:basedOn w:val="DefaultParagraphFont"/>
    <w:uiPriority w:val="22"/>
    <w:qFormat/>
    <w:rsid w:val="009D1275"/>
    <w:rPr>
      <w:b/>
      <w:bCs/>
    </w:rPr>
  </w:style>
  <w:style w:type="character" w:styleId="Hyperlink">
    <w:name w:val="Hyperlink"/>
    <w:basedOn w:val="DefaultParagraphFont"/>
    <w:uiPriority w:val="99"/>
    <w:unhideWhenUsed/>
    <w:rsid w:val="009D1275"/>
    <w:rPr>
      <w:color w:val="0000FF"/>
      <w:u w:val="single"/>
    </w:rPr>
  </w:style>
  <w:style w:type="character" w:customStyle="1" w:styleId="ref-title">
    <w:name w:val="ref-title"/>
    <w:basedOn w:val="DefaultParagraphFont"/>
    <w:rsid w:val="00E3078B"/>
  </w:style>
  <w:style w:type="character" w:styleId="Emphasis">
    <w:name w:val="Emphasis"/>
    <w:basedOn w:val="DefaultParagraphFont"/>
    <w:uiPriority w:val="20"/>
    <w:qFormat/>
    <w:rsid w:val="00E3078B"/>
    <w:rPr>
      <w:i/>
      <w:iCs/>
    </w:rPr>
  </w:style>
  <w:style w:type="character" w:customStyle="1" w:styleId="ref-vol">
    <w:name w:val="ref-vol"/>
    <w:basedOn w:val="DefaultParagraphFont"/>
    <w:rsid w:val="00E3078B"/>
  </w:style>
  <w:style w:type="character" w:styleId="UnresolvedMention">
    <w:name w:val="Unresolved Mention"/>
    <w:basedOn w:val="DefaultParagraphFont"/>
    <w:uiPriority w:val="99"/>
    <w:semiHidden/>
    <w:unhideWhenUsed/>
    <w:rsid w:val="00851103"/>
    <w:rPr>
      <w:color w:val="605E5C"/>
      <w:shd w:val="clear" w:color="auto" w:fill="E1DFDD"/>
    </w:rPr>
  </w:style>
  <w:style w:type="character" w:customStyle="1" w:styleId="Heading2Char">
    <w:name w:val="Heading 2 Char"/>
    <w:basedOn w:val="DefaultParagraphFont"/>
    <w:link w:val="Heading2"/>
    <w:uiPriority w:val="9"/>
    <w:rsid w:val="00851103"/>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851103"/>
    <w:rPr>
      <w:color w:val="954F72" w:themeColor="followedHyperlink"/>
      <w:u w:val="single"/>
    </w:rPr>
  </w:style>
  <w:style w:type="paragraph" w:styleId="CommentText">
    <w:name w:val="annotation text"/>
    <w:basedOn w:val="Normal"/>
    <w:link w:val="CommentTextChar"/>
    <w:uiPriority w:val="99"/>
    <w:unhideWhenUsed/>
    <w:rsid w:val="00F85BD5"/>
    <w:rPr>
      <w:sz w:val="20"/>
      <w:szCs w:val="20"/>
    </w:rPr>
  </w:style>
  <w:style w:type="character" w:customStyle="1" w:styleId="CommentTextChar">
    <w:name w:val="Comment Text Char"/>
    <w:basedOn w:val="DefaultParagraphFont"/>
    <w:link w:val="CommentText"/>
    <w:uiPriority w:val="99"/>
    <w:rsid w:val="00F85BD5"/>
    <w:rPr>
      <w:rFonts w:ascii="Times New Roman" w:eastAsia="Times New Roman" w:hAnsi="Times New Roman" w:cs="Times New Roman"/>
      <w:sz w:val="20"/>
      <w:szCs w:val="20"/>
      <w:lang w:eastAsia="en-GB"/>
    </w:rPr>
  </w:style>
  <w:style w:type="paragraph" w:customStyle="1" w:styleId="EndNoteBibliography">
    <w:name w:val="EndNote Bibliography"/>
    <w:basedOn w:val="Normal"/>
    <w:link w:val="EndNoteBibliographyCarattere"/>
    <w:rsid w:val="00F225ED"/>
    <w:pPr>
      <w:autoSpaceDE w:val="0"/>
      <w:autoSpaceDN w:val="0"/>
      <w:adjustRightInd w:val="0"/>
    </w:pPr>
    <w:rPr>
      <w:noProof/>
      <w:lang w:val="it-IT" w:eastAsia="it-IT"/>
    </w:rPr>
  </w:style>
  <w:style w:type="character" w:customStyle="1" w:styleId="EndNoteBibliographyCarattere">
    <w:name w:val="EndNote Bibliography Carattere"/>
    <w:basedOn w:val="DefaultParagraphFont"/>
    <w:link w:val="EndNoteBibliography"/>
    <w:rsid w:val="00F225ED"/>
    <w:rPr>
      <w:rFonts w:ascii="Times New Roman" w:eastAsia="Times New Roman" w:hAnsi="Times New Roman" w:cs="Times New Roman"/>
      <w:noProof/>
      <w:sz w:val="24"/>
      <w:szCs w:val="24"/>
      <w:lang w:val="it-IT" w:eastAsia="it-IT"/>
    </w:rPr>
  </w:style>
  <w:style w:type="paragraph" w:styleId="Title">
    <w:name w:val="Title"/>
    <w:basedOn w:val="Normal"/>
    <w:next w:val="Normal"/>
    <w:link w:val="TitleChar"/>
    <w:uiPriority w:val="10"/>
    <w:qFormat/>
    <w:rsid w:val="00F225ED"/>
    <w:pPr>
      <w:keepNext/>
      <w:keepLines/>
      <w:spacing w:after="60" w:line="276" w:lineRule="auto"/>
    </w:pPr>
    <w:rPr>
      <w:rFonts w:ascii="Arial" w:eastAsia="Arial" w:hAnsi="Arial" w:cs="Arial"/>
      <w:sz w:val="52"/>
      <w:szCs w:val="52"/>
      <w:lang w:eastAsia="zh-CN"/>
    </w:rPr>
  </w:style>
  <w:style w:type="character" w:customStyle="1" w:styleId="TitleChar">
    <w:name w:val="Title Char"/>
    <w:basedOn w:val="DefaultParagraphFont"/>
    <w:link w:val="Title"/>
    <w:uiPriority w:val="10"/>
    <w:rsid w:val="00F225ED"/>
    <w:rPr>
      <w:rFonts w:ascii="Arial" w:eastAsia="Arial" w:hAnsi="Arial" w:cs="Arial"/>
      <w:sz w:val="52"/>
      <w:szCs w:val="52"/>
    </w:rPr>
  </w:style>
  <w:style w:type="character" w:styleId="CommentReference">
    <w:name w:val="annotation reference"/>
    <w:basedOn w:val="DefaultParagraphFont"/>
    <w:uiPriority w:val="99"/>
    <w:semiHidden/>
    <w:unhideWhenUsed/>
    <w:rsid w:val="00BD38C3"/>
    <w:rPr>
      <w:sz w:val="16"/>
      <w:szCs w:val="16"/>
    </w:rPr>
  </w:style>
  <w:style w:type="character" w:customStyle="1" w:styleId="Heading1Char">
    <w:name w:val="Heading 1 Char"/>
    <w:basedOn w:val="DefaultParagraphFont"/>
    <w:link w:val="Heading1"/>
    <w:uiPriority w:val="9"/>
    <w:rsid w:val="00CE5959"/>
    <w:rPr>
      <w:rFonts w:asciiTheme="majorHAnsi" w:eastAsiaTheme="majorEastAsia" w:hAnsiTheme="majorHAnsi" w:cstheme="majorBidi"/>
      <w:color w:val="2F5496" w:themeColor="accent1" w:themeShade="BF"/>
      <w:sz w:val="32"/>
      <w:szCs w:val="32"/>
      <w:lang w:eastAsia="en-GB"/>
    </w:rPr>
  </w:style>
  <w:style w:type="character" w:customStyle="1" w:styleId="authors-list-item">
    <w:name w:val="authors-list-item"/>
    <w:basedOn w:val="DefaultParagraphFont"/>
    <w:rsid w:val="00CE5959"/>
  </w:style>
  <w:style w:type="character" w:customStyle="1" w:styleId="author-sup-separator">
    <w:name w:val="author-sup-separator"/>
    <w:basedOn w:val="DefaultParagraphFont"/>
    <w:rsid w:val="00CE5959"/>
  </w:style>
  <w:style w:type="character" w:customStyle="1" w:styleId="comma">
    <w:name w:val="comma"/>
    <w:basedOn w:val="DefaultParagraphFont"/>
    <w:rsid w:val="00CE5959"/>
  </w:style>
  <w:style w:type="character" w:customStyle="1" w:styleId="period">
    <w:name w:val="period"/>
    <w:basedOn w:val="DefaultParagraphFont"/>
    <w:rsid w:val="00CE5959"/>
  </w:style>
  <w:style w:type="character" w:customStyle="1" w:styleId="cit">
    <w:name w:val="cit"/>
    <w:basedOn w:val="DefaultParagraphFont"/>
    <w:rsid w:val="00CE5959"/>
  </w:style>
  <w:style w:type="paragraph" w:customStyle="1" w:styleId="c-article-author-listitem">
    <w:name w:val="c-article-author-list__item"/>
    <w:basedOn w:val="Normal"/>
    <w:rsid w:val="0011773A"/>
    <w:pPr>
      <w:spacing w:before="100" w:beforeAutospacing="1" w:after="100" w:afterAutospacing="1"/>
    </w:pPr>
  </w:style>
  <w:style w:type="paragraph" w:customStyle="1" w:styleId="c-article-info-details">
    <w:name w:val="c-article-info-details"/>
    <w:basedOn w:val="Normal"/>
    <w:rsid w:val="0011773A"/>
    <w:pPr>
      <w:spacing w:before="100" w:beforeAutospacing="1" w:after="100" w:afterAutospacing="1"/>
    </w:pPr>
  </w:style>
  <w:style w:type="character" w:customStyle="1" w:styleId="u-visually-hidden">
    <w:name w:val="u-visually-hidden"/>
    <w:basedOn w:val="DefaultParagraphFont"/>
    <w:rsid w:val="0011773A"/>
  </w:style>
  <w:style w:type="character" w:customStyle="1" w:styleId="apple-converted-space">
    <w:name w:val="apple-converted-space"/>
    <w:basedOn w:val="DefaultParagraphFont"/>
    <w:rsid w:val="00D832B9"/>
  </w:style>
  <w:style w:type="paragraph" w:customStyle="1" w:styleId="Default">
    <w:name w:val="Default"/>
    <w:rsid w:val="00F908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t-bold">
    <w:name w:val="it-bold"/>
    <w:basedOn w:val="DefaultParagraphFont"/>
    <w:rsid w:val="001527D9"/>
  </w:style>
  <w:style w:type="character" w:styleId="LineNumber">
    <w:name w:val="line number"/>
    <w:basedOn w:val="DefaultParagraphFont"/>
    <w:uiPriority w:val="99"/>
    <w:semiHidden/>
    <w:unhideWhenUsed/>
    <w:rsid w:val="005D0197"/>
  </w:style>
  <w:style w:type="paragraph" w:customStyle="1" w:styleId="DefaultText">
    <w:name w:val="Default Text"/>
    <w:basedOn w:val="Normal"/>
    <w:rsid w:val="00453B52"/>
    <w:pPr>
      <w:overflowPunct w:val="0"/>
      <w:autoSpaceDE w:val="0"/>
      <w:autoSpaceDN w:val="0"/>
      <w:adjustRightInd w:val="0"/>
      <w:textAlignment w:val="baseline"/>
    </w:pPr>
    <w:rPr>
      <w:rFonts w:ascii="Arial" w:eastAsia="SimSun" w:hAnsi="Arial" w:cs="Arial"/>
      <w:lang w:val="en-US" w:eastAsia="en-US"/>
    </w:rPr>
  </w:style>
  <w:style w:type="character" w:customStyle="1" w:styleId="Heading3Char">
    <w:name w:val="Heading 3 Char"/>
    <w:basedOn w:val="DefaultParagraphFont"/>
    <w:link w:val="Heading3"/>
    <w:uiPriority w:val="9"/>
    <w:rsid w:val="00B21326"/>
    <w:rPr>
      <w:rFonts w:asciiTheme="majorHAnsi" w:eastAsiaTheme="majorEastAsia" w:hAnsiTheme="majorHAnsi" w:cstheme="majorBidi"/>
      <w:color w:val="1F3763" w:themeColor="accent1" w:themeShade="7F"/>
      <w:sz w:val="24"/>
      <w:szCs w:val="24"/>
      <w:lang w:eastAsia="en-GB"/>
    </w:rPr>
  </w:style>
  <w:style w:type="paragraph" w:styleId="CommentSubject">
    <w:name w:val="annotation subject"/>
    <w:basedOn w:val="CommentText"/>
    <w:next w:val="CommentText"/>
    <w:link w:val="CommentSubjectChar"/>
    <w:uiPriority w:val="99"/>
    <w:semiHidden/>
    <w:unhideWhenUsed/>
    <w:rsid w:val="00273462"/>
    <w:rPr>
      <w:b/>
      <w:bCs/>
    </w:rPr>
  </w:style>
  <w:style w:type="character" w:customStyle="1" w:styleId="CommentSubjectChar">
    <w:name w:val="Comment Subject Char"/>
    <w:basedOn w:val="CommentTextChar"/>
    <w:link w:val="CommentSubject"/>
    <w:uiPriority w:val="99"/>
    <w:semiHidden/>
    <w:rsid w:val="00273462"/>
    <w:rPr>
      <w:rFonts w:ascii="Times New Roman" w:eastAsia="Times New Roman" w:hAnsi="Times New Roman" w:cs="Times New Roman"/>
      <w:b/>
      <w:bCs/>
      <w:sz w:val="20"/>
      <w:szCs w:val="20"/>
      <w:lang w:eastAsia="en-GB"/>
    </w:rPr>
  </w:style>
  <w:style w:type="paragraph" w:styleId="Revision">
    <w:name w:val="Revision"/>
    <w:hidden/>
    <w:uiPriority w:val="99"/>
    <w:semiHidden/>
    <w:rsid w:val="00AE0284"/>
    <w:pPr>
      <w:spacing w:after="0" w:line="240" w:lineRule="auto"/>
    </w:pPr>
    <w:rPr>
      <w:rFonts w:ascii="Times New Roman" w:eastAsia="Times New Roman" w:hAnsi="Times New Roman" w:cs="Times New Roman"/>
      <w:sz w:val="24"/>
      <w:szCs w:val="24"/>
      <w:lang w:eastAsia="en-GB"/>
    </w:rPr>
  </w:style>
  <w:style w:type="paragraph" w:customStyle="1" w:styleId="xxmsonormal">
    <w:name w:val="x_x_msonormal"/>
    <w:basedOn w:val="Normal"/>
    <w:rsid w:val="00256E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849">
      <w:bodyDiv w:val="1"/>
      <w:marLeft w:val="0"/>
      <w:marRight w:val="0"/>
      <w:marTop w:val="0"/>
      <w:marBottom w:val="0"/>
      <w:divBdr>
        <w:top w:val="none" w:sz="0" w:space="0" w:color="auto"/>
        <w:left w:val="none" w:sz="0" w:space="0" w:color="auto"/>
        <w:bottom w:val="none" w:sz="0" w:space="0" w:color="auto"/>
        <w:right w:val="none" w:sz="0" w:space="0" w:color="auto"/>
      </w:divBdr>
    </w:div>
    <w:div w:id="54284048">
      <w:bodyDiv w:val="1"/>
      <w:marLeft w:val="0"/>
      <w:marRight w:val="0"/>
      <w:marTop w:val="0"/>
      <w:marBottom w:val="0"/>
      <w:divBdr>
        <w:top w:val="none" w:sz="0" w:space="0" w:color="auto"/>
        <w:left w:val="none" w:sz="0" w:space="0" w:color="auto"/>
        <w:bottom w:val="none" w:sz="0" w:space="0" w:color="auto"/>
        <w:right w:val="none" w:sz="0" w:space="0" w:color="auto"/>
      </w:divBdr>
    </w:div>
    <w:div w:id="68843315">
      <w:bodyDiv w:val="1"/>
      <w:marLeft w:val="0"/>
      <w:marRight w:val="0"/>
      <w:marTop w:val="0"/>
      <w:marBottom w:val="0"/>
      <w:divBdr>
        <w:top w:val="none" w:sz="0" w:space="0" w:color="auto"/>
        <w:left w:val="none" w:sz="0" w:space="0" w:color="auto"/>
        <w:bottom w:val="none" w:sz="0" w:space="0" w:color="auto"/>
        <w:right w:val="none" w:sz="0" w:space="0" w:color="auto"/>
      </w:divBdr>
    </w:div>
    <w:div w:id="77558859">
      <w:bodyDiv w:val="1"/>
      <w:marLeft w:val="0"/>
      <w:marRight w:val="0"/>
      <w:marTop w:val="0"/>
      <w:marBottom w:val="0"/>
      <w:divBdr>
        <w:top w:val="none" w:sz="0" w:space="0" w:color="auto"/>
        <w:left w:val="none" w:sz="0" w:space="0" w:color="auto"/>
        <w:bottom w:val="none" w:sz="0" w:space="0" w:color="auto"/>
        <w:right w:val="none" w:sz="0" w:space="0" w:color="auto"/>
      </w:divBdr>
    </w:div>
    <w:div w:id="85807512">
      <w:bodyDiv w:val="1"/>
      <w:marLeft w:val="0"/>
      <w:marRight w:val="0"/>
      <w:marTop w:val="0"/>
      <w:marBottom w:val="0"/>
      <w:divBdr>
        <w:top w:val="none" w:sz="0" w:space="0" w:color="auto"/>
        <w:left w:val="none" w:sz="0" w:space="0" w:color="auto"/>
        <w:bottom w:val="none" w:sz="0" w:space="0" w:color="auto"/>
        <w:right w:val="none" w:sz="0" w:space="0" w:color="auto"/>
      </w:divBdr>
    </w:div>
    <w:div w:id="97408521">
      <w:bodyDiv w:val="1"/>
      <w:marLeft w:val="0"/>
      <w:marRight w:val="0"/>
      <w:marTop w:val="0"/>
      <w:marBottom w:val="0"/>
      <w:divBdr>
        <w:top w:val="none" w:sz="0" w:space="0" w:color="auto"/>
        <w:left w:val="none" w:sz="0" w:space="0" w:color="auto"/>
        <w:bottom w:val="none" w:sz="0" w:space="0" w:color="auto"/>
        <w:right w:val="none" w:sz="0" w:space="0" w:color="auto"/>
      </w:divBdr>
    </w:div>
    <w:div w:id="100536737">
      <w:bodyDiv w:val="1"/>
      <w:marLeft w:val="0"/>
      <w:marRight w:val="0"/>
      <w:marTop w:val="0"/>
      <w:marBottom w:val="0"/>
      <w:divBdr>
        <w:top w:val="none" w:sz="0" w:space="0" w:color="auto"/>
        <w:left w:val="none" w:sz="0" w:space="0" w:color="auto"/>
        <w:bottom w:val="none" w:sz="0" w:space="0" w:color="auto"/>
        <w:right w:val="none" w:sz="0" w:space="0" w:color="auto"/>
      </w:divBdr>
    </w:div>
    <w:div w:id="109396166">
      <w:bodyDiv w:val="1"/>
      <w:marLeft w:val="0"/>
      <w:marRight w:val="0"/>
      <w:marTop w:val="0"/>
      <w:marBottom w:val="0"/>
      <w:divBdr>
        <w:top w:val="none" w:sz="0" w:space="0" w:color="auto"/>
        <w:left w:val="none" w:sz="0" w:space="0" w:color="auto"/>
        <w:bottom w:val="none" w:sz="0" w:space="0" w:color="auto"/>
        <w:right w:val="none" w:sz="0" w:space="0" w:color="auto"/>
      </w:divBdr>
    </w:div>
    <w:div w:id="113405249">
      <w:bodyDiv w:val="1"/>
      <w:marLeft w:val="0"/>
      <w:marRight w:val="0"/>
      <w:marTop w:val="0"/>
      <w:marBottom w:val="0"/>
      <w:divBdr>
        <w:top w:val="none" w:sz="0" w:space="0" w:color="auto"/>
        <w:left w:val="none" w:sz="0" w:space="0" w:color="auto"/>
        <w:bottom w:val="none" w:sz="0" w:space="0" w:color="auto"/>
        <w:right w:val="none" w:sz="0" w:space="0" w:color="auto"/>
      </w:divBdr>
    </w:div>
    <w:div w:id="153761295">
      <w:bodyDiv w:val="1"/>
      <w:marLeft w:val="0"/>
      <w:marRight w:val="0"/>
      <w:marTop w:val="0"/>
      <w:marBottom w:val="0"/>
      <w:divBdr>
        <w:top w:val="none" w:sz="0" w:space="0" w:color="auto"/>
        <w:left w:val="none" w:sz="0" w:space="0" w:color="auto"/>
        <w:bottom w:val="none" w:sz="0" w:space="0" w:color="auto"/>
        <w:right w:val="none" w:sz="0" w:space="0" w:color="auto"/>
      </w:divBdr>
    </w:div>
    <w:div w:id="170294822">
      <w:bodyDiv w:val="1"/>
      <w:marLeft w:val="0"/>
      <w:marRight w:val="0"/>
      <w:marTop w:val="0"/>
      <w:marBottom w:val="0"/>
      <w:divBdr>
        <w:top w:val="none" w:sz="0" w:space="0" w:color="auto"/>
        <w:left w:val="none" w:sz="0" w:space="0" w:color="auto"/>
        <w:bottom w:val="none" w:sz="0" w:space="0" w:color="auto"/>
        <w:right w:val="none" w:sz="0" w:space="0" w:color="auto"/>
      </w:divBdr>
    </w:div>
    <w:div w:id="173152837">
      <w:bodyDiv w:val="1"/>
      <w:marLeft w:val="0"/>
      <w:marRight w:val="0"/>
      <w:marTop w:val="0"/>
      <w:marBottom w:val="0"/>
      <w:divBdr>
        <w:top w:val="none" w:sz="0" w:space="0" w:color="auto"/>
        <w:left w:val="none" w:sz="0" w:space="0" w:color="auto"/>
        <w:bottom w:val="none" w:sz="0" w:space="0" w:color="auto"/>
        <w:right w:val="none" w:sz="0" w:space="0" w:color="auto"/>
      </w:divBdr>
    </w:div>
    <w:div w:id="177351278">
      <w:bodyDiv w:val="1"/>
      <w:marLeft w:val="0"/>
      <w:marRight w:val="0"/>
      <w:marTop w:val="0"/>
      <w:marBottom w:val="0"/>
      <w:divBdr>
        <w:top w:val="none" w:sz="0" w:space="0" w:color="auto"/>
        <w:left w:val="none" w:sz="0" w:space="0" w:color="auto"/>
        <w:bottom w:val="none" w:sz="0" w:space="0" w:color="auto"/>
        <w:right w:val="none" w:sz="0" w:space="0" w:color="auto"/>
      </w:divBdr>
    </w:div>
    <w:div w:id="187648123">
      <w:bodyDiv w:val="1"/>
      <w:marLeft w:val="0"/>
      <w:marRight w:val="0"/>
      <w:marTop w:val="0"/>
      <w:marBottom w:val="0"/>
      <w:divBdr>
        <w:top w:val="none" w:sz="0" w:space="0" w:color="auto"/>
        <w:left w:val="none" w:sz="0" w:space="0" w:color="auto"/>
        <w:bottom w:val="none" w:sz="0" w:space="0" w:color="auto"/>
        <w:right w:val="none" w:sz="0" w:space="0" w:color="auto"/>
      </w:divBdr>
    </w:div>
    <w:div w:id="194126741">
      <w:bodyDiv w:val="1"/>
      <w:marLeft w:val="0"/>
      <w:marRight w:val="0"/>
      <w:marTop w:val="0"/>
      <w:marBottom w:val="0"/>
      <w:divBdr>
        <w:top w:val="none" w:sz="0" w:space="0" w:color="auto"/>
        <w:left w:val="none" w:sz="0" w:space="0" w:color="auto"/>
        <w:bottom w:val="none" w:sz="0" w:space="0" w:color="auto"/>
        <w:right w:val="none" w:sz="0" w:space="0" w:color="auto"/>
      </w:divBdr>
    </w:div>
    <w:div w:id="239218098">
      <w:bodyDiv w:val="1"/>
      <w:marLeft w:val="0"/>
      <w:marRight w:val="0"/>
      <w:marTop w:val="0"/>
      <w:marBottom w:val="0"/>
      <w:divBdr>
        <w:top w:val="none" w:sz="0" w:space="0" w:color="auto"/>
        <w:left w:val="none" w:sz="0" w:space="0" w:color="auto"/>
        <w:bottom w:val="none" w:sz="0" w:space="0" w:color="auto"/>
        <w:right w:val="none" w:sz="0" w:space="0" w:color="auto"/>
      </w:divBdr>
    </w:div>
    <w:div w:id="243339885">
      <w:bodyDiv w:val="1"/>
      <w:marLeft w:val="0"/>
      <w:marRight w:val="0"/>
      <w:marTop w:val="0"/>
      <w:marBottom w:val="0"/>
      <w:divBdr>
        <w:top w:val="none" w:sz="0" w:space="0" w:color="auto"/>
        <w:left w:val="none" w:sz="0" w:space="0" w:color="auto"/>
        <w:bottom w:val="none" w:sz="0" w:space="0" w:color="auto"/>
        <w:right w:val="none" w:sz="0" w:space="0" w:color="auto"/>
      </w:divBdr>
    </w:div>
    <w:div w:id="246815830">
      <w:bodyDiv w:val="1"/>
      <w:marLeft w:val="0"/>
      <w:marRight w:val="0"/>
      <w:marTop w:val="0"/>
      <w:marBottom w:val="0"/>
      <w:divBdr>
        <w:top w:val="none" w:sz="0" w:space="0" w:color="auto"/>
        <w:left w:val="none" w:sz="0" w:space="0" w:color="auto"/>
        <w:bottom w:val="none" w:sz="0" w:space="0" w:color="auto"/>
        <w:right w:val="none" w:sz="0" w:space="0" w:color="auto"/>
      </w:divBdr>
    </w:div>
    <w:div w:id="256527433">
      <w:bodyDiv w:val="1"/>
      <w:marLeft w:val="0"/>
      <w:marRight w:val="0"/>
      <w:marTop w:val="0"/>
      <w:marBottom w:val="0"/>
      <w:divBdr>
        <w:top w:val="none" w:sz="0" w:space="0" w:color="auto"/>
        <w:left w:val="none" w:sz="0" w:space="0" w:color="auto"/>
        <w:bottom w:val="none" w:sz="0" w:space="0" w:color="auto"/>
        <w:right w:val="none" w:sz="0" w:space="0" w:color="auto"/>
      </w:divBdr>
    </w:div>
    <w:div w:id="259874167">
      <w:bodyDiv w:val="1"/>
      <w:marLeft w:val="0"/>
      <w:marRight w:val="0"/>
      <w:marTop w:val="0"/>
      <w:marBottom w:val="0"/>
      <w:divBdr>
        <w:top w:val="none" w:sz="0" w:space="0" w:color="auto"/>
        <w:left w:val="none" w:sz="0" w:space="0" w:color="auto"/>
        <w:bottom w:val="none" w:sz="0" w:space="0" w:color="auto"/>
        <w:right w:val="none" w:sz="0" w:space="0" w:color="auto"/>
      </w:divBdr>
    </w:div>
    <w:div w:id="277029831">
      <w:bodyDiv w:val="1"/>
      <w:marLeft w:val="0"/>
      <w:marRight w:val="0"/>
      <w:marTop w:val="0"/>
      <w:marBottom w:val="0"/>
      <w:divBdr>
        <w:top w:val="none" w:sz="0" w:space="0" w:color="auto"/>
        <w:left w:val="none" w:sz="0" w:space="0" w:color="auto"/>
        <w:bottom w:val="none" w:sz="0" w:space="0" w:color="auto"/>
        <w:right w:val="none" w:sz="0" w:space="0" w:color="auto"/>
      </w:divBdr>
    </w:div>
    <w:div w:id="305471287">
      <w:bodyDiv w:val="1"/>
      <w:marLeft w:val="0"/>
      <w:marRight w:val="0"/>
      <w:marTop w:val="0"/>
      <w:marBottom w:val="0"/>
      <w:divBdr>
        <w:top w:val="none" w:sz="0" w:space="0" w:color="auto"/>
        <w:left w:val="none" w:sz="0" w:space="0" w:color="auto"/>
        <w:bottom w:val="none" w:sz="0" w:space="0" w:color="auto"/>
        <w:right w:val="none" w:sz="0" w:space="0" w:color="auto"/>
      </w:divBdr>
    </w:div>
    <w:div w:id="337737673">
      <w:bodyDiv w:val="1"/>
      <w:marLeft w:val="0"/>
      <w:marRight w:val="0"/>
      <w:marTop w:val="0"/>
      <w:marBottom w:val="0"/>
      <w:divBdr>
        <w:top w:val="none" w:sz="0" w:space="0" w:color="auto"/>
        <w:left w:val="none" w:sz="0" w:space="0" w:color="auto"/>
        <w:bottom w:val="none" w:sz="0" w:space="0" w:color="auto"/>
        <w:right w:val="none" w:sz="0" w:space="0" w:color="auto"/>
      </w:divBdr>
    </w:div>
    <w:div w:id="344870640">
      <w:bodyDiv w:val="1"/>
      <w:marLeft w:val="0"/>
      <w:marRight w:val="0"/>
      <w:marTop w:val="0"/>
      <w:marBottom w:val="0"/>
      <w:divBdr>
        <w:top w:val="none" w:sz="0" w:space="0" w:color="auto"/>
        <w:left w:val="none" w:sz="0" w:space="0" w:color="auto"/>
        <w:bottom w:val="none" w:sz="0" w:space="0" w:color="auto"/>
        <w:right w:val="none" w:sz="0" w:space="0" w:color="auto"/>
      </w:divBdr>
    </w:div>
    <w:div w:id="346367111">
      <w:bodyDiv w:val="1"/>
      <w:marLeft w:val="0"/>
      <w:marRight w:val="0"/>
      <w:marTop w:val="0"/>
      <w:marBottom w:val="0"/>
      <w:divBdr>
        <w:top w:val="none" w:sz="0" w:space="0" w:color="auto"/>
        <w:left w:val="none" w:sz="0" w:space="0" w:color="auto"/>
        <w:bottom w:val="none" w:sz="0" w:space="0" w:color="auto"/>
        <w:right w:val="none" w:sz="0" w:space="0" w:color="auto"/>
      </w:divBdr>
    </w:div>
    <w:div w:id="346520191">
      <w:bodyDiv w:val="1"/>
      <w:marLeft w:val="0"/>
      <w:marRight w:val="0"/>
      <w:marTop w:val="0"/>
      <w:marBottom w:val="0"/>
      <w:divBdr>
        <w:top w:val="none" w:sz="0" w:space="0" w:color="auto"/>
        <w:left w:val="none" w:sz="0" w:space="0" w:color="auto"/>
        <w:bottom w:val="none" w:sz="0" w:space="0" w:color="auto"/>
        <w:right w:val="none" w:sz="0" w:space="0" w:color="auto"/>
      </w:divBdr>
      <w:divsChild>
        <w:div w:id="1285037258">
          <w:marLeft w:val="0"/>
          <w:marRight w:val="0"/>
          <w:marTop w:val="0"/>
          <w:marBottom w:val="0"/>
          <w:divBdr>
            <w:top w:val="none" w:sz="0" w:space="0" w:color="auto"/>
            <w:left w:val="none" w:sz="0" w:space="0" w:color="auto"/>
            <w:bottom w:val="none" w:sz="0" w:space="0" w:color="auto"/>
            <w:right w:val="none" w:sz="0" w:space="0" w:color="auto"/>
          </w:divBdr>
          <w:divsChild>
            <w:div w:id="1961721633">
              <w:marLeft w:val="0"/>
              <w:marRight w:val="0"/>
              <w:marTop w:val="0"/>
              <w:marBottom w:val="0"/>
              <w:divBdr>
                <w:top w:val="none" w:sz="0" w:space="0" w:color="auto"/>
                <w:left w:val="none" w:sz="0" w:space="0" w:color="auto"/>
                <w:bottom w:val="none" w:sz="0" w:space="0" w:color="auto"/>
                <w:right w:val="none" w:sz="0" w:space="0" w:color="auto"/>
              </w:divBdr>
              <w:divsChild>
                <w:div w:id="18735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21975">
      <w:bodyDiv w:val="1"/>
      <w:marLeft w:val="0"/>
      <w:marRight w:val="0"/>
      <w:marTop w:val="0"/>
      <w:marBottom w:val="0"/>
      <w:divBdr>
        <w:top w:val="none" w:sz="0" w:space="0" w:color="auto"/>
        <w:left w:val="none" w:sz="0" w:space="0" w:color="auto"/>
        <w:bottom w:val="none" w:sz="0" w:space="0" w:color="auto"/>
        <w:right w:val="none" w:sz="0" w:space="0" w:color="auto"/>
      </w:divBdr>
    </w:div>
    <w:div w:id="363479743">
      <w:bodyDiv w:val="1"/>
      <w:marLeft w:val="0"/>
      <w:marRight w:val="0"/>
      <w:marTop w:val="0"/>
      <w:marBottom w:val="0"/>
      <w:divBdr>
        <w:top w:val="none" w:sz="0" w:space="0" w:color="auto"/>
        <w:left w:val="none" w:sz="0" w:space="0" w:color="auto"/>
        <w:bottom w:val="none" w:sz="0" w:space="0" w:color="auto"/>
        <w:right w:val="none" w:sz="0" w:space="0" w:color="auto"/>
      </w:divBdr>
    </w:div>
    <w:div w:id="363679289">
      <w:bodyDiv w:val="1"/>
      <w:marLeft w:val="0"/>
      <w:marRight w:val="0"/>
      <w:marTop w:val="0"/>
      <w:marBottom w:val="0"/>
      <w:divBdr>
        <w:top w:val="none" w:sz="0" w:space="0" w:color="auto"/>
        <w:left w:val="none" w:sz="0" w:space="0" w:color="auto"/>
        <w:bottom w:val="none" w:sz="0" w:space="0" w:color="auto"/>
        <w:right w:val="none" w:sz="0" w:space="0" w:color="auto"/>
      </w:divBdr>
    </w:div>
    <w:div w:id="392896758">
      <w:bodyDiv w:val="1"/>
      <w:marLeft w:val="0"/>
      <w:marRight w:val="0"/>
      <w:marTop w:val="0"/>
      <w:marBottom w:val="0"/>
      <w:divBdr>
        <w:top w:val="none" w:sz="0" w:space="0" w:color="auto"/>
        <w:left w:val="none" w:sz="0" w:space="0" w:color="auto"/>
        <w:bottom w:val="none" w:sz="0" w:space="0" w:color="auto"/>
        <w:right w:val="none" w:sz="0" w:space="0" w:color="auto"/>
      </w:divBdr>
    </w:div>
    <w:div w:id="395400538">
      <w:bodyDiv w:val="1"/>
      <w:marLeft w:val="0"/>
      <w:marRight w:val="0"/>
      <w:marTop w:val="0"/>
      <w:marBottom w:val="0"/>
      <w:divBdr>
        <w:top w:val="none" w:sz="0" w:space="0" w:color="auto"/>
        <w:left w:val="none" w:sz="0" w:space="0" w:color="auto"/>
        <w:bottom w:val="none" w:sz="0" w:space="0" w:color="auto"/>
        <w:right w:val="none" w:sz="0" w:space="0" w:color="auto"/>
      </w:divBdr>
    </w:div>
    <w:div w:id="413477446">
      <w:bodyDiv w:val="1"/>
      <w:marLeft w:val="0"/>
      <w:marRight w:val="0"/>
      <w:marTop w:val="0"/>
      <w:marBottom w:val="0"/>
      <w:divBdr>
        <w:top w:val="none" w:sz="0" w:space="0" w:color="auto"/>
        <w:left w:val="none" w:sz="0" w:space="0" w:color="auto"/>
        <w:bottom w:val="none" w:sz="0" w:space="0" w:color="auto"/>
        <w:right w:val="none" w:sz="0" w:space="0" w:color="auto"/>
      </w:divBdr>
    </w:div>
    <w:div w:id="446971268">
      <w:bodyDiv w:val="1"/>
      <w:marLeft w:val="0"/>
      <w:marRight w:val="0"/>
      <w:marTop w:val="0"/>
      <w:marBottom w:val="0"/>
      <w:divBdr>
        <w:top w:val="none" w:sz="0" w:space="0" w:color="auto"/>
        <w:left w:val="none" w:sz="0" w:space="0" w:color="auto"/>
        <w:bottom w:val="none" w:sz="0" w:space="0" w:color="auto"/>
        <w:right w:val="none" w:sz="0" w:space="0" w:color="auto"/>
      </w:divBdr>
      <w:divsChild>
        <w:div w:id="642272679">
          <w:marLeft w:val="0"/>
          <w:marRight w:val="0"/>
          <w:marTop w:val="0"/>
          <w:marBottom w:val="0"/>
          <w:divBdr>
            <w:top w:val="none" w:sz="0" w:space="0" w:color="auto"/>
            <w:left w:val="none" w:sz="0" w:space="0" w:color="auto"/>
            <w:bottom w:val="none" w:sz="0" w:space="0" w:color="auto"/>
            <w:right w:val="none" w:sz="0" w:space="0" w:color="auto"/>
          </w:divBdr>
          <w:divsChild>
            <w:div w:id="1993026531">
              <w:marLeft w:val="0"/>
              <w:marRight w:val="0"/>
              <w:marTop w:val="0"/>
              <w:marBottom w:val="0"/>
              <w:divBdr>
                <w:top w:val="none" w:sz="0" w:space="0" w:color="auto"/>
                <w:left w:val="none" w:sz="0" w:space="0" w:color="auto"/>
                <w:bottom w:val="none" w:sz="0" w:space="0" w:color="auto"/>
                <w:right w:val="none" w:sz="0" w:space="0" w:color="auto"/>
              </w:divBdr>
              <w:divsChild>
                <w:div w:id="11226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1879">
      <w:bodyDiv w:val="1"/>
      <w:marLeft w:val="0"/>
      <w:marRight w:val="0"/>
      <w:marTop w:val="0"/>
      <w:marBottom w:val="0"/>
      <w:divBdr>
        <w:top w:val="none" w:sz="0" w:space="0" w:color="auto"/>
        <w:left w:val="none" w:sz="0" w:space="0" w:color="auto"/>
        <w:bottom w:val="none" w:sz="0" w:space="0" w:color="auto"/>
        <w:right w:val="none" w:sz="0" w:space="0" w:color="auto"/>
      </w:divBdr>
    </w:div>
    <w:div w:id="502862733">
      <w:bodyDiv w:val="1"/>
      <w:marLeft w:val="0"/>
      <w:marRight w:val="0"/>
      <w:marTop w:val="0"/>
      <w:marBottom w:val="0"/>
      <w:divBdr>
        <w:top w:val="none" w:sz="0" w:space="0" w:color="auto"/>
        <w:left w:val="none" w:sz="0" w:space="0" w:color="auto"/>
        <w:bottom w:val="none" w:sz="0" w:space="0" w:color="auto"/>
        <w:right w:val="none" w:sz="0" w:space="0" w:color="auto"/>
      </w:divBdr>
    </w:div>
    <w:div w:id="508956979">
      <w:bodyDiv w:val="1"/>
      <w:marLeft w:val="0"/>
      <w:marRight w:val="0"/>
      <w:marTop w:val="0"/>
      <w:marBottom w:val="0"/>
      <w:divBdr>
        <w:top w:val="none" w:sz="0" w:space="0" w:color="auto"/>
        <w:left w:val="none" w:sz="0" w:space="0" w:color="auto"/>
        <w:bottom w:val="none" w:sz="0" w:space="0" w:color="auto"/>
        <w:right w:val="none" w:sz="0" w:space="0" w:color="auto"/>
      </w:divBdr>
    </w:div>
    <w:div w:id="512063985">
      <w:bodyDiv w:val="1"/>
      <w:marLeft w:val="0"/>
      <w:marRight w:val="0"/>
      <w:marTop w:val="0"/>
      <w:marBottom w:val="0"/>
      <w:divBdr>
        <w:top w:val="none" w:sz="0" w:space="0" w:color="auto"/>
        <w:left w:val="none" w:sz="0" w:space="0" w:color="auto"/>
        <w:bottom w:val="none" w:sz="0" w:space="0" w:color="auto"/>
        <w:right w:val="none" w:sz="0" w:space="0" w:color="auto"/>
      </w:divBdr>
    </w:div>
    <w:div w:id="553007961">
      <w:bodyDiv w:val="1"/>
      <w:marLeft w:val="0"/>
      <w:marRight w:val="0"/>
      <w:marTop w:val="0"/>
      <w:marBottom w:val="0"/>
      <w:divBdr>
        <w:top w:val="none" w:sz="0" w:space="0" w:color="auto"/>
        <w:left w:val="none" w:sz="0" w:space="0" w:color="auto"/>
        <w:bottom w:val="none" w:sz="0" w:space="0" w:color="auto"/>
        <w:right w:val="none" w:sz="0" w:space="0" w:color="auto"/>
      </w:divBdr>
    </w:div>
    <w:div w:id="554901818">
      <w:bodyDiv w:val="1"/>
      <w:marLeft w:val="0"/>
      <w:marRight w:val="0"/>
      <w:marTop w:val="0"/>
      <w:marBottom w:val="0"/>
      <w:divBdr>
        <w:top w:val="none" w:sz="0" w:space="0" w:color="auto"/>
        <w:left w:val="none" w:sz="0" w:space="0" w:color="auto"/>
        <w:bottom w:val="none" w:sz="0" w:space="0" w:color="auto"/>
        <w:right w:val="none" w:sz="0" w:space="0" w:color="auto"/>
      </w:divBdr>
    </w:div>
    <w:div w:id="579219314">
      <w:bodyDiv w:val="1"/>
      <w:marLeft w:val="0"/>
      <w:marRight w:val="0"/>
      <w:marTop w:val="0"/>
      <w:marBottom w:val="0"/>
      <w:divBdr>
        <w:top w:val="none" w:sz="0" w:space="0" w:color="auto"/>
        <w:left w:val="none" w:sz="0" w:space="0" w:color="auto"/>
        <w:bottom w:val="none" w:sz="0" w:space="0" w:color="auto"/>
        <w:right w:val="none" w:sz="0" w:space="0" w:color="auto"/>
      </w:divBdr>
    </w:div>
    <w:div w:id="582757438">
      <w:bodyDiv w:val="1"/>
      <w:marLeft w:val="0"/>
      <w:marRight w:val="0"/>
      <w:marTop w:val="0"/>
      <w:marBottom w:val="0"/>
      <w:divBdr>
        <w:top w:val="none" w:sz="0" w:space="0" w:color="auto"/>
        <w:left w:val="none" w:sz="0" w:space="0" w:color="auto"/>
        <w:bottom w:val="none" w:sz="0" w:space="0" w:color="auto"/>
        <w:right w:val="none" w:sz="0" w:space="0" w:color="auto"/>
      </w:divBdr>
    </w:div>
    <w:div w:id="593050989">
      <w:bodyDiv w:val="1"/>
      <w:marLeft w:val="0"/>
      <w:marRight w:val="0"/>
      <w:marTop w:val="0"/>
      <w:marBottom w:val="0"/>
      <w:divBdr>
        <w:top w:val="none" w:sz="0" w:space="0" w:color="auto"/>
        <w:left w:val="none" w:sz="0" w:space="0" w:color="auto"/>
        <w:bottom w:val="none" w:sz="0" w:space="0" w:color="auto"/>
        <w:right w:val="none" w:sz="0" w:space="0" w:color="auto"/>
      </w:divBdr>
    </w:div>
    <w:div w:id="594484821">
      <w:bodyDiv w:val="1"/>
      <w:marLeft w:val="0"/>
      <w:marRight w:val="0"/>
      <w:marTop w:val="0"/>
      <w:marBottom w:val="0"/>
      <w:divBdr>
        <w:top w:val="none" w:sz="0" w:space="0" w:color="auto"/>
        <w:left w:val="none" w:sz="0" w:space="0" w:color="auto"/>
        <w:bottom w:val="none" w:sz="0" w:space="0" w:color="auto"/>
        <w:right w:val="none" w:sz="0" w:space="0" w:color="auto"/>
      </w:divBdr>
    </w:div>
    <w:div w:id="599293237">
      <w:bodyDiv w:val="1"/>
      <w:marLeft w:val="0"/>
      <w:marRight w:val="0"/>
      <w:marTop w:val="0"/>
      <w:marBottom w:val="0"/>
      <w:divBdr>
        <w:top w:val="none" w:sz="0" w:space="0" w:color="auto"/>
        <w:left w:val="none" w:sz="0" w:space="0" w:color="auto"/>
        <w:bottom w:val="none" w:sz="0" w:space="0" w:color="auto"/>
        <w:right w:val="none" w:sz="0" w:space="0" w:color="auto"/>
      </w:divBdr>
    </w:div>
    <w:div w:id="612059810">
      <w:bodyDiv w:val="1"/>
      <w:marLeft w:val="0"/>
      <w:marRight w:val="0"/>
      <w:marTop w:val="0"/>
      <w:marBottom w:val="0"/>
      <w:divBdr>
        <w:top w:val="none" w:sz="0" w:space="0" w:color="auto"/>
        <w:left w:val="none" w:sz="0" w:space="0" w:color="auto"/>
        <w:bottom w:val="none" w:sz="0" w:space="0" w:color="auto"/>
        <w:right w:val="none" w:sz="0" w:space="0" w:color="auto"/>
      </w:divBdr>
    </w:div>
    <w:div w:id="635181818">
      <w:bodyDiv w:val="1"/>
      <w:marLeft w:val="0"/>
      <w:marRight w:val="0"/>
      <w:marTop w:val="0"/>
      <w:marBottom w:val="0"/>
      <w:divBdr>
        <w:top w:val="none" w:sz="0" w:space="0" w:color="auto"/>
        <w:left w:val="none" w:sz="0" w:space="0" w:color="auto"/>
        <w:bottom w:val="none" w:sz="0" w:space="0" w:color="auto"/>
        <w:right w:val="none" w:sz="0" w:space="0" w:color="auto"/>
      </w:divBdr>
    </w:div>
    <w:div w:id="637300980">
      <w:bodyDiv w:val="1"/>
      <w:marLeft w:val="0"/>
      <w:marRight w:val="0"/>
      <w:marTop w:val="0"/>
      <w:marBottom w:val="0"/>
      <w:divBdr>
        <w:top w:val="none" w:sz="0" w:space="0" w:color="auto"/>
        <w:left w:val="none" w:sz="0" w:space="0" w:color="auto"/>
        <w:bottom w:val="none" w:sz="0" w:space="0" w:color="auto"/>
        <w:right w:val="none" w:sz="0" w:space="0" w:color="auto"/>
      </w:divBdr>
    </w:div>
    <w:div w:id="667444221">
      <w:bodyDiv w:val="1"/>
      <w:marLeft w:val="0"/>
      <w:marRight w:val="0"/>
      <w:marTop w:val="0"/>
      <w:marBottom w:val="0"/>
      <w:divBdr>
        <w:top w:val="none" w:sz="0" w:space="0" w:color="auto"/>
        <w:left w:val="none" w:sz="0" w:space="0" w:color="auto"/>
        <w:bottom w:val="none" w:sz="0" w:space="0" w:color="auto"/>
        <w:right w:val="none" w:sz="0" w:space="0" w:color="auto"/>
      </w:divBdr>
    </w:div>
    <w:div w:id="724256022">
      <w:bodyDiv w:val="1"/>
      <w:marLeft w:val="0"/>
      <w:marRight w:val="0"/>
      <w:marTop w:val="0"/>
      <w:marBottom w:val="0"/>
      <w:divBdr>
        <w:top w:val="none" w:sz="0" w:space="0" w:color="auto"/>
        <w:left w:val="none" w:sz="0" w:space="0" w:color="auto"/>
        <w:bottom w:val="none" w:sz="0" w:space="0" w:color="auto"/>
        <w:right w:val="none" w:sz="0" w:space="0" w:color="auto"/>
      </w:divBdr>
    </w:div>
    <w:div w:id="737821017">
      <w:bodyDiv w:val="1"/>
      <w:marLeft w:val="0"/>
      <w:marRight w:val="0"/>
      <w:marTop w:val="0"/>
      <w:marBottom w:val="0"/>
      <w:divBdr>
        <w:top w:val="none" w:sz="0" w:space="0" w:color="auto"/>
        <w:left w:val="none" w:sz="0" w:space="0" w:color="auto"/>
        <w:bottom w:val="none" w:sz="0" w:space="0" w:color="auto"/>
        <w:right w:val="none" w:sz="0" w:space="0" w:color="auto"/>
      </w:divBdr>
    </w:div>
    <w:div w:id="744380042">
      <w:bodyDiv w:val="1"/>
      <w:marLeft w:val="0"/>
      <w:marRight w:val="0"/>
      <w:marTop w:val="0"/>
      <w:marBottom w:val="0"/>
      <w:divBdr>
        <w:top w:val="none" w:sz="0" w:space="0" w:color="auto"/>
        <w:left w:val="none" w:sz="0" w:space="0" w:color="auto"/>
        <w:bottom w:val="none" w:sz="0" w:space="0" w:color="auto"/>
        <w:right w:val="none" w:sz="0" w:space="0" w:color="auto"/>
      </w:divBdr>
    </w:div>
    <w:div w:id="759107189">
      <w:bodyDiv w:val="1"/>
      <w:marLeft w:val="0"/>
      <w:marRight w:val="0"/>
      <w:marTop w:val="0"/>
      <w:marBottom w:val="0"/>
      <w:divBdr>
        <w:top w:val="none" w:sz="0" w:space="0" w:color="auto"/>
        <w:left w:val="none" w:sz="0" w:space="0" w:color="auto"/>
        <w:bottom w:val="none" w:sz="0" w:space="0" w:color="auto"/>
        <w:right w:val="none" w:sz="0" w:space="0" w:color="auto"/>
      </w:divBdr>
    </w:div>
    <w:div w:id="760952611">
      <w:bodyDiv w:val="1"/>
      <w:marLeft w:val="0"/>
      <w:marRight w:val="0"/>
      <w:marTop w:val="0"/>
      <w:marBottom w:val="0"/>
      <w:divBdr>
        <w:top w:val="none" w:sz="0" w:space="0" w:color="auto"/>
        <w:left w:val="none" w:sz="0" w:space="0" w:color="auto"/>
        <w:bottom w:val="none" w:sz="0" w:space="0" w:color="auto"/>
        <w:right w:val="none" w:sz="0" w:space="0" w:color="auto"/>
      </w:divBdr>
    </w:div>
    <w:div w:id="762337983">
      <w:bodyDiv w:val="1"/>
      <w:marLeft w:val="0"/>
      <w:marRight w:val="0"/>
      <w:marTop w:val="0"/>
      <w:marBottom w:val="0"/>
      <w:divBdr>
        <w:top w:val="none" w:sz="0" w:space="0" w:color="auto"/>
        <w:left w:val="none" w:sz="0" w:space="0" w:color="auto"/>
        <w:bottom w:val="none" w:sz="0" w:space="0" w:color="auto"/>
        <w:right w:val="none" w:sz="0" w:space="0" w:color="auto"/>
      </w:divBdr>
    </w:div>
    <w:div w:id="766652307">
      <w:bodyDiv w:val="1"/>
      <w:marLeft w:val="0"/>
      <w:marRight w:val="0"/>
      <w:marTop w:val="0"/>
      <w:marBottom w:val="0"/>
      <w:divBdr>
        <w:top w:val="none" w:sz="0" w:space="0" w:color="auto"/>
        <w:left w:val="none" w:sz="0" w:space="0" w:color="auto"/>
        <w:bottom w:val="none" w:sz="0" w:space="0" w:color="auto"/>
        <w:right w:val="none" w:sz="0" w:space="0" w:color="auto"/>
      </w:divBdr>
    </w:div>
    <w:div w:id="774251198">
      <w:bodyDiv w:val="1"/>
      <w:marLeft w:val="0"/>
      <w:marRight w:val="0"/>
      <w:marTop w:val="0"/>
      <w:marBottom w:val="0"/>
      <w:divBdr>
        <w:top w:val="none" w:sz="0" w:space="0" w:color="auto"/>
        <w:left w:val="none" w:sz="0" w:space="0" w:color="auto"/>
        <w:bottom w:val="none" w:sz="0" w:space="0" w:color="auto"/>
        <w:right w:val="none" w:sz="0" w:space="0" w:color="auto"/>
      </w:divBdr>
    </w:div>
    <w:div w:id="799566433">
      <w:bodyDiv w:val="1"/>
      <w:marLeft w:val="0"/>
      <w:marRight w:val="0"/>
      <w:marTop w:val="0"/>
      <w:marBottom w:val="0"/>
      <w:divBdr>
        <w:top w:val="none" w:sz="0" w:space="0" w:color="auto"/>
        <w:left w:val="none" w:sz="0" w:space="0" w:color="auto"/>
        <w:bottom w:val="none" w:sz="0" w:space="0" w:color="auto"/>
        <w:right w:val="none" w:sz="0" w:space="0" w:color="auto"/>
      </w:divBdr>
    </w:div>
    <w:div w:id="809054096">
      <w:bodyDiv w:val="1"/>
      <w:marLeft w:val="0"/>
      <w:marRight w:val="0"/>
      <w:marTop w:val="0"/>
      <w:marBottom w:val="0"/>
      <w:divBdr>
        <w:top w:val="none" w:sz="0" w:space="0" w:color="auto"/>
        <w:left w:val="none" w:sz="0" w:space="0" w:color="auto"/>
        <w:bottom w:val="none" w:sz="0" w:space="0" w:color="auto"/>
        <w:right w:val="none" w:sz="0" w:space="0" w:color="auto"/>
      </w:divBdr>
    </w:div>
    <w:div w:id="816801895">
      <w:bodyDiv w:val="1"/>
      <w:marLeft w:val="0"/>
      <w:marRight w:val="0"/>
      <w:marTop w:val="0"/>
      <w:marBottom w:val="0"/>
      <w:divBdr>
        <w:top w:val="none" w:sz="0" w:space="0" w:color="auto"/>
        <w:left w:val="none" w:sz="0" w:space="0" w:color="auto"/>
        <w:bottom w:val="none" w:sz="0" w:space="0" w:color="auto"/>
        <w:right w:val="none" w:sz="0" w:space="0" w:color="auto"/>
      </w:divBdr>
    </w:div>
    <w:div w:id="831094516">
      <w:bodyDiv w:val="1"/>
      <w:marLeft w:val="0"/>
      <w:marRight w:val="0"/>
      <w:marTop w:val="0"/>
      <w:marBottom w:val="0"/>
      <w:divBdr>
        <w:top w:val="none" w:sz="0" w:space="0" w:color="auto"/>
        <w:left w:val="none" w:sz="0" w:space="0" w:color="auto"/>
        <w:bottom w:val="none" w:sz="0" w:space="0" w:color="auto"/>
        <w:right w:val="none" w:sz="0" w:space="0" w:color="auto"/>
      </w:divBdr>
    </w:div>
    <w:div w:id="835219651">
      <w:bodyDiv w:val="1"/>
      <w:marLeft w:val="0"/>
      <w:marRight w:val="0"/>
      <w:marTop w:val="0"/>
      <w:marBottom w:val="0"/>
      <w:divBdr>
        <w:top w:val="none" w:sz="0" w:space="0" w:color="auto"/>
        <w:left w:val="none" w:sz="0" w:space="0" w:color="auto"/>
        <w:bottom w:val="none" w:sz="0" w:space="0" w:color="auto"/>
        <w:right w:val="none" w:sz="0" w:space="0" w:color="auto"/>
      </w:divBdr>
    </w:div>
    <w:div w:id="843477441">
      <w:bodyDiv w:val="1"/>
      <w:marLeft w:val="0"/>
      <w:marRight w:val="0"/>
      <w:marTop w:val="0"/>
      <w:marBottom w:val="0"/>
      <w:divBdr>
        <w:top w:val="none" w:sz="0" w:space="0" w:color="auto"/>
        <w:left w:val="none" w:sz="0" w:space="0" w:color="auto"/>
        <w:bottom w:val="none" w:sz="0" w:space="0" w:color="auto"/>
        <w:right w:val="none" w:sz="0" w:space="0" w:color="auto"/>
      </w:divBdr>
    </w:div>
    <w:div w:id="855115260">
      <w:bodyDiv w:val="1"/>
      <w:marLeft w:val="0"/>
      <w:marRight w:val="0"/>
      <w:marTop w:val="0"/>
      <w:marBottom w:val="0"/>
      <w:divBdr>
        <w:top w:val="none" w:sz="0" w:space="0" w:color="auto"/>
        <w:left w:val="none" w:sz="0" w:space="0" w:color="auto"/>
        <w:bottom w:val="none" w:sz="0" w:space="0" w:color="auto"/>
        <w:right w:val="none" w:sz="0" w:space="0" w:color="auto"/>
      </w:divBdr>
    </w:div>
    <w:div w:id="906649892">
      <w:bodyDiv w:val="1"/>
      <w:marLeft w:val="0"/>
      <w:marRight w:val="0"/>
      <w:marTop w:val="0"/>
      <w:marBottom w:val="0"/>
      <w:divBdr>
        <w:top w:val="none" w:sz="0" w:space="0" w:color="auto"/>
        <w:left w:val="none" w:sz="0" w:space="0" w:color="auto"/>
        <w:bottom w:val="none" w:sz="0" w:space="0" w:color="auto"/>
        <w:right w:val="none" w:sz="0" w:space="0" w:color="auto"/>
      </w:divBdr>
    </w:div>
    <w:div w:id="926042801">
      <w:bodyDiv w:val="1"/>
      <w:marLeft w:val="0"/>
      <w:marRight w:val="0"/>
      <w:marTop w:val="0"/>
      <w:marBottom w:val="0"/>
      <w:divBdr>
        <w:top w:val="none" w:sz="0" w:space="0" w:color="auto"/>
        <w:left w:val="none" w:sz="0" w:space="0" w:color="auto"/>
        <w:bottom w:val="none" w:sz="0" w:space="0" w:color="auto"/>
        <w:right w:val="none" w:sz="0" w:space="0" w:color="auto"/>
      </w:divBdr>
    </w:div>
    <w:div w:id="933323502">
      <w:bodyDiv w:val="1"/>
      <w:marLeft w:val="0"/>
      <w:marRight w:val="0"/>
      <w:marTop w:val="0"/>
      <w:marBottom w:val="0"/>
      <w:divBdr>
        <w:top w:val="none" w:sz="0" w:space="0" w:color="auto"/>
        <w:left w:val="none" w:sz="0" w:space="0" w:color="auto"/>
        <w:bottom w:val="none" w:sz="0" w:space="0" w:color="auto"/>
        <w:right w:val="none" w:sz="0" w:space="0" w:color="auto"/>
      </w:divBdr>
    </w:div>
    <w:div w:id="951518425">
      <w:bodyDiv w:val="1"/>
      <w:marLeft w:val="0"/>
      <w:marRight w:val="0"/>
      <w:marTop w:val="0"/>
      <w:marBottom w:val="0"/>
      <w:divBdr>
        <w:top w:val="none" w:sz="0" w:space="0" w:color="auto"/>
        <w:left w:val="none" w:sz="0" w:space="0" w:color="auto"/>
        <w:bottom w:val="none" w:sz="0" w:space="0" w:color="auto"/>
        <w:right w:val="none" w:sz="0" w:space="0" w:color="auto"/>
      </w:divBdr>
    </w:div>
    <w:div w:id="972949347">
      <w:bodyDiv w:val="1"/>
      <w:marLeft w:val="0"/>
      <w:marRight w:val="0"/>
      <w:marTop w:val="0"/>
      <w:marBottom w:val="0"/>
      <w:divBdr>
        <w:top w:val="none" w:sz="0" w:space="0" w:color="auto"/>
        <w:left w:val="none" w:sz="0" w:space="0" w:color="auto"/>
        <w:bottom w:val="none" w:sz="0" w:space="0" w:color="auto"/>
        <w:right w:val="none" w:sz="0" w:space="0" w:color="auto"/>
      </w:divBdr>
    </w:div>
    <w:div w:id="981471658">
      <w:bodyDiv w:val="1"/>
      <w:marLeft w:val="0"/>
      <w:marRight w:val="0"/>
      <w:marTop w:val="0"/>
      <w:marBottom w:val="0"/>
      <w:divBdr>
        <w:top w:val="none" w:sz="0" w:space="0" w:color="auto"/>
        <w:left w:val="none" w:sz="0" w:space="0" w:color="auto"/>
        <w:bottom w:val="none" w:sz="0" w:space="0" w:color="auto"/>
        <w:right w:val="none" w:sz="0" w:space="0" w:color="auto"/>
      </w:divBdr>
    </w:div>
    <w:div w:id="987317978">
      <w:bodyDiv w:val="1"/>
      <w:marLeft w:val="0"/>
      <w:marRight w:val="0"/>
      <w:marTop w:val="0"/>
      <w:marBottom w:val="0"/>
      <w:divBdr>
        <w:top w:val="none" w:sz="0" w:space="0" w:color="auto"/>
        <w:left w:val="none" w:sz="0" w:space="0" w:color="auto"/>
        <w:bottom w:val="none" w:sz="0" w:space="0" w:color="auto"/>
        <w:right w:val="none" w:sz="0" w:space="0" w:color="auto"/>
      </w:divBdr>
    </w:div>
    <w:div w:id="1019281462">
      <w:bodyDiv w:val="1"/>
      <w:marLeft w:val="0"/>
      <w:marRight w:val="0"/>
      <w:marTop w:val="0"/>
      <w:marBottom w:val="0"/>
      <w:divBdr>
        <w:top w:val="none" w:sz="0" w:space="0" w:color="auto"/>
        <w:left w:val="none" w:sz="0" w:space="0" w:color="auto"/>
        <w:bottom w:val="none" w:sz="0" w:space="0" w:color="auto"/>
        <w:right w:val="none" w:sz="0" w:space="0" w:color="auto"/>
      </w:divBdr>
    </w:div>
    <w:div w:id="1037194544">
      <w:bodyDiv w:val="1"/>
      <w:marLeft w:val="0"/>
      <w:marRight w:val="0"/>
      <w:marTop w:val="0"/>
      <w:marBottom w:val="0"/>
      <w:divBdr>
        <w:top w:val="none" w:sz="0" w:space="0" w:color="auto"/>
        <w:left w:val="none" w:sz="0" w:space="0" w:color="auto"/>
        <w:bottom w:val="none" w:sz="0" w:space="0" w:color="auto"/>
        <w:right w:val="none" w:sz="0" w:space="0" w:color="auto"/>
      </w:divBdr>
    </w:div>
    <w:div w:id="1038549595">
      <w:bodyDiv w:val="1"/>
      <w:marLeft w:val="0"/>
      <w:marRight w:val="0"/>
      <w:marTop w:val="0"/>
      <w:marBottom w:val="0"/>
      <w:divBdr>
        <w:top w:val="none" w:sz="0" w:space="0" w:color="auto"/>
        <w:left w:val="none" w:sz="0" w:space="0" w:color="auto"/>
        <w:bottom w:val="none" w:sz="0" w:space="0" w:color="auto"/>
        <w:right w:val="none" w:sz="0" w:space="0" w:color="auto"/>
      </w:divBdr>
    </w:div>
    <w:div w:id="1055860530">
      <w:bodyDiv w:val="1"/>
      <w:marLeft w:val="0"/>
      <w:marRight w:val="0"/>
      <w:marTop w:val="0"/>
      <w:marBottom w:val="0"/>
      <w:divBdr>
        <w:top w:val="none" w:sz="0" w:space="0" w:color="auto"/>
        <w:left w:val="none" w:sz="0" w:space="0" w:color="auto"/>
        <w:bottom w:val="none" w:sz="0" w:space="0" w:color="auto"/>
        <w:right w:val="none" w:sz="0" w:space="0" w:color="auto"/>
      </w:divBdr>
    </w:div>
    <w:div w:id="1057319750">
      <w:bodyDiv w:val="1"/>
      <w:marLeft w:val="0"/>
      <w:marRight w:val="0"/>
      <w:marTop w:val="0"/>
      <w:marBottom w:val="0"/>
      <w:divBdr>
        <w:top w:val="none" w:sz="0" w:space="0" w:color="auto"/>
        <w:left w:val="none" w:sz="0" w:space="0" w:color="auto"/>
        <w:bottom w:val="none" w:sz="0" w:space="0" w:color="auto"/>
        <w:right w:val="none" w:sz="0" w:space="0" w:color="auto"/>
      </w:divBdr>
    </w:div>
    <w:div w:id="1059398779">
      <w:bodyDiv w:val="1"/>
      <w:marLeft w:val="0"/>
      <w:marRight w:val="0"/>
      <w:marTop w:val="0"/>
      <w:marBottom w:val="0"/>
      <w:divBdr>
        <w:top w:val="none" w:sz="0" w:space="0" w:color="auto"/>
        <w:left w:val="none" w:sz="0" w:space="0" w:color="auto"/>
        <w:bottom w:val="none" w:sz="0" w:space="0" w:color="auto"/>
        <w:right w:val="none" w:sz="0" w:space="0" w:color="auto"/>
      </w:divBdr>
    </w:div>
    <w:div w:id="1063722998">
      <w:bodyDiv w:val="1"/>
      <w:marLeft w:val="0"/>
      <w:marRight w:val="0"/>
      <w:marTop w:val="0"/>
      <w:marBottom w:val="0"/>
      <w:divBdr>
        <w:top w:val="none" w:sz="0" w:space="0" w:color="auto"/>
        <w:left w:val="none" w:sz="0" w:space="0" w:color="auto"/>
        <w:bottom w:val="none" w:sz="0" w:space="0" w:color="auto"/>
        <w:right w:val="none" w:sz="0" w:space="0" w:color="auto"/>
      </w:divBdr>
    </w:div>
    <w:div w:id="1086196028">
      <w:bodyDiv w:val="1"/>
      <w:marLeft w:val="0"/>
      <w:marRight w:val="0"/>
      <w:marTop w:val="0"/>
      <w:marBottom w:val="0"/>
      <w:divBdr>
        <w:top w:val="none" w:sz="0" w:space="0" w:color="auto"/>
        <w:left w:val="none" w:sz="0" w:space="0" w:color="auto"/>
        <w:bottom w:val="none" w:sz="0" w:space="0" w:color="auto"/>
        <w:right w:val="none" w:sz="0" w:space="0" w:color="auto"/>
      </w:divBdr>
    </w:div>
    <w:div w:id="1086458756">
      <w:bodyDiv w:val="1"/>
      <w:marLeft w:val="0"/>
      <w:marRight w:val="0"/>
      <w:marTop w:val="0"/>
      <w:marBottom w:val="0"/>
      <w:divBdr>
        <w:top w:val="none" w:sz="0" w:space="0" w:color="auto"/>
        <w:left w:val="none" w:sz="0" w:space="0" w:color="auto"/>
        <w:bottom w:val="none" w:sz="0" w:space="0" w:color="auto"/>
        <w:right w:val="none" w:sz="0" w:space="0" w:color="auto"/>
      </w:divBdr>
      <w:divsChild>
        <w:div w:id="770052903">
          <w:marLeft w:val="274"/>
          <w:marRight w:val="0"/>
          <w:marTop w:val="0"/>
          <w:marBottom w:val="0"/>
          <w:divBdr>
            <w:top w:val="none" w:sz="0" w:space="0" w:color="auto"/>
            <w:left w:val="none" w:sz="0" w:space="0" w:color="auto"/>
            <w:bottom w:val="none" w:sz="0" w:space="0" w:color="auto"/>
            <w:right w:val="none" w:sz="0" w:space="0" w:color="auto"/>
          </w:divBdr>
        </w:div>
      </w:divsChild>
    </w:div>
    <w:div w:id="1129133594">
      <w:bodyDiv w:val="1"/>
      <w:marLeft w:val="0"/>
      <w:marRight w:val="0"/>
      <w:marTop w:val="0"/>
      <w:marBottom w:val="0"/>
      <w:divBdr>
        <w:top w:val="none" w:sz="0" w:space="0" w:color="auto"/>
        <w:left w:val="none" w:sz="0" w:space="0" w:color="auto"/>
        <w:bottom w:val="none" w:sz="0" w:space="0" w:color="auto"/>
        <w:right w:val="none" w:sz="0" w:space="0" w:color="auto"/>
      </w:divBdr>
    </w:div>
    <w:div w:id="1140346548">
      <w:bodyDiv w:val="1"/>
      <w:marLeft w:val="0"/>
      <w:marRight w:val="0"/>
      <w:marTop w:val="0"/>
      <w:marBottom w:val="0"/>
      <w:divBdr>
        <w:top w:val="none" w:sz="0" w:space="0" w:color="auto"/>
        <w:left w:val="none" w:sz="0" w:space="0" w:color="auto"/>
        <w:bottom w:val="none" w:sz="0" w:space="0" w:color="auto"/>
        <w:right w:val="none" w:sz="0" w:space="0" w:color="auto"/>
      </w:divBdr>
    </w:div>
    <w:div w:id="1168865492">
      <w:bodyDiv w:val="1"/>
      <w:marLeft w:val="0"/>
      <w:marRight w:val="0"/>
      <w:marTop w:val="0"/>
      <w:marBottom w:val="0"/>
      <w:divBdr>
        <w:top w:val="none" w:sz="0" w:space="0" w:color="auto"/>
        <w:left w:val="none" w:sz="0" w:space="0" w:color="auto"/>
        <w:bottom w:val="none" w:sz="0" w:space="0" w:color="auto"/>
        <w:right w:val="none" w:sz="0" w:space="0" w:color="auto"/>
      </w:divBdr>
    </w:div>
    <w:div w:id="1172798714">
      <w:bodyDiv w:val="1"/>
      <w:marLeft w:val="0"/>
      <w:marRight w:val="0"/>
      <w:marTop w:val="0"/>
      <w:marBottom w:val="0"/>
      <w:divBdr>
        <w:top w:val="none" w:sz="0" w:space="0" w:color="auto"/>
        <w:left w:val="none" w:sz="0" w:space="0" w:color="auto"/>
        <w:bottom w:val="none" w:sz="0" w:space="0" w:color="auto"/>
        <w:right w:val="none" w:sz="0" w:space="0" w:color="auto"/>
      </w:divBdr>
    </w:div>
    <w:div w:id="1181892599">
      <w:bodyDiv w:val="1"/>
      <w:marLeft w:val="0"/>
      <w:marRight w:val="0"/>
      <w:marTop w:val="0"/>
      <w:marBottom w:val="0"/>
      <w:divBdr>
        <w:top w:val="none" w:sz="0" w:space="0" w:color="auto"/>
        <w:left w:val="none" w:sz="0" w:space="0" w:color="auto"/>
        <w:bottom w:val="none" w:sz="0" w:space="0" w:color="auto"/>
        <w:right w:val="none" w:sz="0" w:space="0" w:color="auto"/>
      </w:divBdr>
    </w:div>
    <w:div w:id="1191408963">
      <w:bodyDiv w:val="1"/>
      <w:marLeft w:val="0"/>
      <w:marRight w:val="0"/>
      <w:marTop w:val="0"/>
      <w:marBottom w:val="0"/>
      <w:divBdr>
        <w:top w:val="none" w:sz="0" w:space="0" w:color="auto"/>
        <w:left w:val="none" w:sz="0" w:space="0" w:color="auto"/>
        <w:bottom w:val="none" w:sz="0" w:space="0" w:color="auto"/>
        <w:right w:val="none" w:sz="0" w:space="0" w:color="auto"/>
      </w:divBdr>
    </w:div>
    <w:div w:id="1205941601">
      <w:bodyDiv w:val="1"/>
      <w:marLeft w:val="0"/>
      <w:marRight w:val="0"/>
      <w:marTop w:val="0"/>
      <w:marBottom w:val="0"/>
      <w:divBdr>
        <w:top w:val="none" w:sz="0" w:space="0" w:color="auto"/>
        <w:left w:val="none" w:sz="0" w:space="0" w:color="auto"/>
        <w:bottom w:val="none" w:sz="0" w:space="0" w:color="auto"/>
        <w:right w:val="none" w:sz="0" w:space="0" w:color="auto"/>
      </w:divBdr>
    </w:div>
    <w:div w:id="1211959730">
      <w:bodyDiv w:val="1"/>
      <w:marLeft w:val="0"/>
      <w:marRight w:val="0"/>
      <w:marTop w:val="0"/>
      <w:marBottom w:val="0"/>
      <w:divBdr>
        <w:top w:val="none" w:sz="0" w:space="0" w:color="auto"/>
        <w:left w:val="none" w:sz="0" w:space="0" w:color="auto"/>
        <w:bottom w:val="none" w:sz="0" w:space="0" w:color="auto"/>
        <w:right w:val="none" w:sz="0" w:space="0" w:color="auto"/>
      </w:divBdr>
    </w:div>
    <w:div w:id="1221332140">
      <w:bodyDiv w:val="1"/>
      <w:marLeft w:val="0"/>
      <w:marRight w:val="0"/>
      <w:marTop w:val="0"/>
      <w:marBottom w:val="0"/>
      <w:divBdr>
        <w:top w:val="none" w:sz="0" w:space="0" w:color="auto"/>
        <w:left w:val="none" w:sz="0" w:space="0" w:color="auto"/>
        <w:bottom w:val="none" w:sz="0" w:space="0" w:color="auto"/>
        <w:right w:val="none" w:sz="0" w:space="0" w:color="auto"/>
      </w:divBdr>
    </w:div>
    <w:div w:id="1256134551">
      <w:bodyDiv w:val="1"/>
      <w:marLeft w:val="0"/>
      <w:marRight w:val="0"/>
      <w:marTop w:val="0"/>
      <w:marBottom w:val="0"/>
      <w:divBdr>
        <w:top w:val="none" w:sz="0" w:space="0" w:color="auto"/>
        <w:left w:val="none" w:sz="0" w:space="0" w:color="auto"/>
        <w:bottom w:val="none" w:sz="0" w:space="0" w:color="auto"/>
        <w:right w:val="none" w:sz="0" w:space="0" w:color="auto"/>
      </w:divBdr>
    </w:div>
    <w:div w:id="1295525958">
      <w:bodyDiv w:val="1"/>
      <w:marLeft w:val="0"/>
      <w:marRight w:val="0"/>
      <w:marTop w:val="0"/>
      <w:marBottom w:val="0"/>
      <w:divBdr>
        <w:top w:val="none" w:sz="0" w:space="0" w:color="auto"/>
        <w:left w:val="none" w:sz="0" w:space="0" w:color="auto"/>
        <w:bottom w:val="none" w:sz="0" w:space="0" w:color="auto"/>
        <w:right w:val="none" w:sz="0" w:space="0" w:color="auto"/>
      </w:divBdr>
    </w:div>
    <w:div w:id="1327439128">
      <w:bodyDiv w:val="1"/>
      <w:marLeft w:val="0"/>
      <w:marRight w:val="0"/>
      <w:marTop w:val="0"/>
      <w:marBottom w:val="0"/>
      <w:divBdr>
        <w:top w:val="none" w:sz="0" w:space="0" w:color="auto"/>
        <w:left w:val="none" w:sz="0" w:space="0" w:color="auto"/>
        <w:bottom w:val="none" w:sz="0" w:space="0" w:color="auto"/>
        <w:right w:val="none" w:sz="0" w:space="0" w:color="auto"/>
      </w:divBdr>
    </w:div>
    <w:div w:id="1338389642">
      <w:bodyDiv w:val="1"/>
      <w:marLeft w:val="0"/>
      <w:marRight w:val="0"/>
      <w:marTop w:val="0"/>
      <w:marBottom w:val="0"/>
      <w:divBdr>
        <w:top w:val="none" w:sz="0" w:space="0" w:color="auto"/>
        <w:left w:val="none" w:sz="0" w:space="0" w:color="auto"/>
        <w:bottom w:val="none" w:sz="0" w:space="0" w:color="auto"/>
        <w:right w:val="none" w:sz="0" w:space="0" w:color="auto"/>
      </w:divBdr>
    </w:div>
    <w:div w:id="1349989440">
      <w:bodyDiv w:val="1"/>
      <w:marLeft w:val="0"/>
      <w:marRight w:val="0"/>
      <w:marTop w:val="0"/>
      <w:marBottom w:val="0"/>
      <w:divBdr>
        <w:top w:val="none" w:sz="0" w:space="0" w:color="auto"/>
        <w:left w:val="none" w:sz="0" w:space="0" w:color="auto"/>
        <w:bottom w:val="none" w:sz="0" w:space="0" w:color="auto"/>
        <w:right w:val="none" w:sz="0" w:space="0" w:color="auto"/>
      </w:divBdr>
    </w:div>
    <w:div w:id="1368794107">
      <w:bodyDiv w:val="1"/>
      <w:marLeft w:val="0"/>
      <w:marRight w:val="0"/>
      <w:marTop w:val="0"/>
      <w:marBottom w:val="0"/>
      <w:divBdr>
        <w:top w:val="none" w:sz="0" w:space="0" w:color="auto"/>
        <w:left w:val="none" w:sz="0" w:space="0" w:color="auto"/>
        <w:bottom w:val="none" w:sz="0" w:space="0" w:color="auto"/>
        <w:right w:val="none" w:sz="0" w:space="0" w:color="auto"/>
      </w:divBdr>
    </w:div>
    <w:div w:id="1371223664">
      <w:bodyDiv w:val="1"/>
      <w:marLeft w:val="0"/>
      <w:marRight w:val="0"/>
      <w:marTop w:val="0"/>
      <w:marBottom w:val="0"/>
      <w:divBdr>
        <w:top w:val="none" w:sz="0" w:space="0" w:color="auto"/>
        <w:left w:val="none" w:sz="0" w:space="0" w:color="auto"/>
        <w:bottom w:val="none" w:sz="0" w:space="0" w:color="auto"/>
        <w:right w:val="none" w:sz="0" w:space="0" w:color="auto"/>
      </w:divBdr>
    </w:div>
    <w:div w:id="1434324129">
      <w:bodyDiv w:val="1"/>
      <w:marLeft w:val="0"/>
      <w:marRight w:val="0"/>
      <w:marTop w:val="0"/>
      <w:marBottom w:val="0"/>
      <w:divBdr>
        <w:top w:val="none" w:sz="0" w:space="0" w:color="auto"/>
        <w:left w:val="none" w:sz="0" w:space="0" w:color="auto"/>
        <w:bottom w:val="none" w:sz="0" w:space="0" w:color="auto"/>
        <w:right w:val="none" w:sz="0" w:space="0" w:color="auto"/>
      </w:divBdr>
    </w:div>
    <w:div w:id="1449278661">
      <w:bodyDiv w:val="1"/>
      <w:marLeft w:val="0"/>
      <w:marRight w:val="0"/>
      <w:marTop w:val="0"/>
      <w:marBottom w:val="0"/>
      <w:divBdr>
        <w:top w:val="none" w:sz="0" w:space="0" w:color="auto"/>
        <w:left w:val="none" w:sz="0" w:space="0" w:color="auto"/>
        <w:bottom w:val="none" w:sz="0" w:space="0" w:color="auto"/>
        <w:right w:val="none" w:sz="0" w:space="0" w:color="auto"/>
      </w:divBdr>
    </w:div>
    <w:div w:id="1454864426">
      <w:bodyDiv w:val="1"/>
      <w:marLeft w:val="0"/>
      <w:marRight w:val="0"/>
      <w:marTop w:val="0"/>
      <w:marBottom w:val="0"/>
      <w:divBdr>
        <w:top w:val="none" w:sz="0" w:space="0" w:color="auto"/>
        <w:left w:val="none" w:sz="0" w:space="0" w:color="auto"/>
        <w:bottom w:val="none" w:sz="0" w:space="0" w:color="auto"/>
        <w:right w:val="none" w:sz="0" w:space="0" w:color="auto"/>
      </w:divBdr>
    </w:div>
    <w:div w:id="1508062637">
      <w:bodyDiv w:val="1"/>
      <w:marLeft w:val="0"/>
      <w:marRight w:val="0"/>
      <w:marTop w:val="0"/>
      <w:marBottom w:val="0"/>
      <w:divBdr>
        <w:top w:val="none" w:sz="0" w:space="0" w:color="auto"/>
        <w:left w:val="none" w:sz="0" w:space="0" w:color="auto"/>
        <w:bottom w:val="none" w:sz="0" w:space="0" w:color="auto"/>
        <w:right w:val="none" w:sz="0" w:space="0" w:color="auto"/>
      </w:divBdr>
    </w:div>
    <w:div w:id="1534996190">
      <w:bodyDiv w:val="1"/>
      <w:marLeft w:val="0"/>
      <w:marRight w:val="0"/>
      <w:marTop w:val="0"/>
      <w:marBottom w:val="0"/>
      <w:divBdr>
        <w:top w:val="none" w:sz="0" w:space="0" w:color="auto"/>
        <w:left w:val="none" w:sz="0" w:space="0" w:color="auto"/>
        <w:bottom w:val="none" w:sz="0" w:space="0" w:color="auto"/>
        <w:right w:val="none" w:sz="0" w:space="0" w:color="auto"/>
      </w:divBdr>
    </w:div>
    <w:div w:id="1545942426">
      <w:bodyDiv w:val="1"/>
      <w:marLeft w:val="0"/>
      <w:marRight w:val="0"/>
      <w:marTop w:val="0"/>
      <w:marBottom w:val="0"/>
      <w:divBdr>
        <w:top w:val="none" w:sz="0" w:space="0" w:color="auto"/>
        <w:left w:val="none" w:sz="0" w:space="0" w:color="auto"/>
        <w:bottom w:val="none" w:sz="0" w:space="0" w:color="auto"/>
        <w:right w:val="none" w:sz="0" w:space="0" w:color="auto"/>
      </w:divBdr>
      <w:divsChild>
        <w:div w:id="1553735698">
          <w:marLeft w:val="0"/>
          <w:marRight w:val="0"/>
          <w:marTop w:val="0"/>
          <w:marBottom w:val="120"/>
          <w:divBdr>
            <w:top w:val="none" w:sz="0" w:space="0" w:color="auto"/>
            <w:left w:val="none" w:sz="0" w:space="0" w:color="auto"/>
            <w:bottom w:val="none" w:sz="0" w:space="0" w:color="auto"/>
            <w:right w:val="none" w:sz="0" w:space="0" w:color="auto"/>
          </w:divBdr>
          <w:divsChild>
            <w:div w:id="547453703">
              <w:marLeft w:val="0"/>
              <w:marRight w:val="0"/>
              <w:marTop w:val="0"/>
              <w:marBottom w:val="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sChild>
                    <w:div w:id="19444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93452">
      <w:bodyDiv w:val="1"/>
      <w:marLeft w:val="0"/>
      <w:marRight w:val="0"/>
      <w:marTop w:val="0"/>
      <w:marBottom w:val="0"/>
      <w:divBdr>
        <w:top w:val="none" w:sz="0" w:space="0" w:color="auto"/>
        <w:left w:val="none" w:sz="0" w:space="0" w:color="auto"/>
        <w:bottom w:val="none" w:sz="0" w:space="0" w:color="auto"/>
        <w:right w:val="none" w:sz="0" w:space="0" w:color="auto"/>
      </w:divBdr>
    </w:div>
    <w:div w:id="1569804010">
      <w:bodyDiv w:val="1"/>
      <w:marLeft w:val="0"/>
      <w:marRight w:val="0"/>
      <w:marTop w:val="0"/>
      <w:marBottom w:val="0"/>
      <w:divBdr>
        <w:top w:val="none" w:sz="0" w:space="0" w:color="auto"/>
        <w:left w:val="none" w:sz="0" w:space="0" w:color="auto"/>
        <w:bottom w:val="none" w:sz="0" w:space="0" w:color="auto"/>
        <w:right w:val="none" w:sz="0" w:space="0" w:color="auto"/>
      </w:divBdr>
    </w:div>
    <w:div w:id="1589728992">
      <w:bodyDiv w:val="1"/>
      <w:marLeft w:val="0"/>
      <w:marRight w:val="0"/>
      <w:marTop w:val="0"/>
      <w:marBottom w:val="0"/>
      <w:divBdr>
        <w:top w:val="none" w:sz="0" w:space="0" w:color="auto"/>
        <w:left w:val="none" w:sz="0" w:space="0" w:color="auto"/>
        <w:bottom w:val="none" w:sz="0" w:space="0" w:color="auto"/>
        <w:right w:val="none" w:sz="0" w:space="0" w:color="auto"/>
      </w:divBdr>
      <w:divsChild>
        <w:div w:id="1196775519">
          <w:marLeft w:val="274"/>
          <w:marRight w:val="0"/>
          <w:marTop w:val="0"/>
          <w:marBottom w:val="0"/>
          <w:divBdr>
            <w:top w:val="none" w:sz="0" w:space="0" w:color="auto"/>
            <w:left w:val="none" w:sz="0" w:space="0" w:color="auto"/>
            <w:bottom w:val="none" w:sz="0" w:space="0" w:color="auto"/>
            <w:right w:val="none" w:sz="0" w:space="0" w:color="auto"/>
          </w:divBdr>
        </w:div>
      </w:divsChild>
    </w:div>
    <w:div w:id="1597984724">
      <w:bodyDiv w:val="1"/>
      <w:marLeft w:val="0"/>
      <w:marRight w:val="0"/>
      <w:marTop w:val="0"/>
      <w:marBottom w:val="0"/>
      <w:divBdr>
        <w:top w:val="none" w:sz="0" w:space="0" w:color="auto"/>
        <w:left w:val="none" w:sz="0" w:space="0" w:color="auto"/>
        <w:bottom w:val="none" w:sz="0" w:space="0" w:color="auto"/>
        <w:right w:val="none" w:sz="0" w:space="0" w:color="auto"/>
      </w:divBdr>
    </w:div>
    <w:div w:id="1600332713">
      <w:bodyDiv w:val="1"/>
      <w:marLeft w:val="0"/>
      <w:marRight w:val="0"/>
      <w:marTop w:val="0"/>
      <w:marBottom w:val="0"/>
      <w:divBdr>
        <w:top w:val="none" w:sz="0" w:space="0" w:color="auto"/>
        <w:left w:val="none" w:sz="0" w:space="0" w:color="auto"/>
        <w:bottom w:val="none" w:sz="0" w:space="0" w:color="auto"/>
        <w:right w:val="none" w:sz="0" w:space="0" w:color="auto"/>
      </w:divBdr>
    </w:div>
    <w:div w:id="1603999740">
      <w:bodyDiv w:val="1"/>
      <w:marLeft w:val="0"/>
      <w:marRight w:val="0"/>
      <w:marTop w:val="0"/>
      <w:marBottom w:val="0"/>
      <w:divBdr>
        <w:top w:val="none" w:sz="0" w:space="0" w:color="auto"/>
        <w:left w:val="none" w:sz="0" w:space="0" w:color="auto"/>
        <w:bottom w:val="none" w:sz="0" w:space="0" w:color="auto"/>
        <w:right w:val="none" w:sz="0" w:space="0" w:color="auto"/>
      </w:divBdr>
    </w:div>
    <w:div w:id="1615164990">
      <w:bodyDiv w:val="1"/>
      <w:marLeft w:val="0"/>
      <w:marRight w:val="0"/>
      <w:marTop w:val="0"/>
      <w:marBottom w:val="0"/>
      <w:divBdr>
        <w:top w:val="none" w:sz="0" w:space="0" w:color="auto"/>
        <w:left w:val="none" w:sz="0" w:space="0" w:color="auto"/>
        <w:bottom w:val="none" w:sz="0" w:space="0" w:color="auto"/>
        <w:right w:val="none" w:sz="0" w:space="0" w:color="auto"/>
      </w:divBdr>
    </w:div>
    <w:div w:id="1632594409">
      <w:bodyDiv w:val="1"/>
      <w:marLeft w:val="0"/>
      <w:marRight w:val="0"/>
      <w:marTop w:val="0"/>
      <w:marBottom w:val="0"/>
      <w:divBdr>
        <w:top w:val="none" w:sz="0" w:space="0" w:color="auto"/>
        <w:left w:val="none" w:sz="0" w:space="0" w:color="auto"/>
        <w:bottom w:val="none" w:sz="0" w:space="0" w:color="auto"/>
        <w:right w:val="none" w:sz="0" w:space="0" w:color="auto"/>
      </w:divBdr>
    </w:div>
    <w:div w:id="1635326729">
      <w:bodyDiv w:val="1"/>
      <w:marLeft w:val="0"/>
      <w:marRight w:val="0"/>
      <w:marTop w:val="0"/>
      <w:marBottom w:val="0"/>
      <w:divBdr>
        <w:top w:val="none" w:sz="0" w:space="0" w:color="auto"/>
        <w:left w:val="none" w:sz="0" w:space="0" w:color="auto"/>
        <w:bottom w:val="none" w:sz="0" w:space="0" w:color="auto"/>
        <w:right w:val="none" w:sz="0" w:space="0" w:color="auto"/>
      </w:divBdr>
    </w:div>
    <w:div w:id="1638336980">
      <w:bodyDiv w:val="1"/>
      <w:marLeft w:val="0"/>
      <w:marRight w:val="0"/>
      <w:marTop w:val="0"/>
      <w:marBottom w:val="0"/>
      <w:divBdr>
        <w:top w:val="none" w:sz="0" w:space="0" w:color="auto"/>
        <w:left w:val="none" w:sz="0" w:space="0" w:color="auto"/>
        <w:bottom w:val="none" w:sz="0" w:space="0" w:color="auto"/>
        <w:right w:val="none" w:sz="0" w:space="0" w:color="auto"/>
      </w:divBdr>
    </w:div>
    <w:div w:id="1662267973">
      <w:bodyDiv w:val="1"/>
      <w:marLeft w:val="0"/>
      <w:marRight w:val="0"/>
      <w:marTop w:val="0"/>
      <w:marBottom w:val="0"/>
      <w:divBdr>
        <w:top w:val="none" w:sz="0" w:space="0" w:color="auto"/>
        <w:left w:val="none" w:sz="0" w:space="0" w:color="auto"/>
        <w:bottom w:val="none" w:sz="0" w:space="0" w:color="auto"/>
        <w:right w:val="none" w:sz="0" w:space="0" w:color="auto"/>
      </w:divBdr>
    </w:div>
    <w:div w:id="1664309949">
      <w:bodyDiv w:val="1"/>
      <w:marLeft w:val="0"/>
      <w:marRight w:val="0"/>
      <w:marTop w:val="0"/>
      <w:marBottom w:val="0"/>
      <w:divBdr>
        <w:top w:val="none" w:sz="0" w:space="0" w:color="auto"/>
        <w:left w:val="none" w:sz="0" w:space="0" w:color="auto"/>
        <w:bottom w:val="none" w:sz="0" w:space="0" w:color="auto"/>
        <w:right w:val="none" w:sz="0" w:space="0" w:color="auto"/>
      </w:divBdr>
    </w:div>
    <w:div w:id="1686790162">
      <w:bodyDiv w:val="1"/>
      <w:marLeft w:val="0"/>
      <w:marRight w:val="0"/>
      <w:marTop w:val="0"/>
      <w:marBottom w:val="0"/>
      <w:divBdr>
        <w:top w:val="none" w:sz="0" w:space="0" w:color="auto"/>
        <w:left w:val="none" w:sz="0" w:space="0" w:color="auto"/>
        <w:bottom w:val="none" w:sz="0" w:space="0" w:color="auto"/>
        <w:right w:val="none" w:sz="0" w:space="0" w:color="auto"/>
      </w:divBdr>
    </w:div>
    <w:div w:id="1695643578">
      <w:bodyDiv w:val="1"/>
      <w:marLeft w:val="0"/>
      <w:marRight w:val="0"/>
      <w:marTop w:val="0"/>
      <w:marBottom w:val="0"/>
      <w:divBdr>
        <w:top w:val="none" w:sz="0" w:space="0" w:color="auto"/>
        <w:left w:val="none" w:sz="0" w:space="0" w:color="auto"/>
        <w:bottom w:val="none" w:sz="0" w:space="0" w:color="auto"/>
        <w:right w:val="none" w:sz="0" w:space="0" w:color="auto"/>
      </w:divBdr>
    </w:div>
    <w:div w:id="1708523575">
      <w:bodyDiv w:val="1"/>
      <w:marLeft w:val="0"/>
      <w:marRight w:val="0"/>
      <w:marTop w:val="0"/>
      <w:marBottom w:val="0"/>
      <w:divBdr>
        <w:top w:val="none" w:sz="0" w:space="0" w:color="auto"/>
        <w:left w:val="none" w:sz="0" w:space="0" w:color="auto"/>
        <w:bottom w:val="none" w:sz="0" w:space="0" w:color="auto"/>
        <w:right w:val="none" w:sz="0" w:space="0" w:color="auto"/>
      </w:divBdr>
    </w:div>
    <w:div w:id="1710181146">
      <w:bodyDiv w:val="1"/>
      <w:marLeft w:val="0"/>
      <w:marRight w:val="0"/>
      <w:marTop w:val="0"/>
      <w:marBottom w:val="0"/>
      <w:divBdr>
        <w:top w:val="none" w:sz="0" w:space="0" w:color="auto"/>
        <w:left w:val="none" w:sz="0" w:space="0" w:color="auto"/>
        <w:bottom w:val="none" w:sz="0" w:space="0" w:color="auto"/>
        <w:right w:val="none" w:sz="0" w:space="0" w:color="auto"/>
      </w:divBdr>
    </w:div>
    <w:div w:id="1760179074">
      <w:bodyDiv w:val="1"/>
      <w:marLeft w:val="0"/>
      <w:marRight w:val="0"/>
      <w:marTop w:val="0"/>
      <w:marBottom w:val="0"/>
      <w:divBdr>
        <w:top w:val="none" w:sz="0" w:space="0" w:color="auto"/>
        <w:left w:val="none" w:sz="0" w:space="0" w:color="auto"/>
        <w:bottom w:val="none" w:sz="0" w:space="0" w:color="auto"/>
        <w:right w:val="none" w:sz="0" w:space="0" w:color="auto"/>
      </w:divBdr>
    </w:div>
    <w:div w:id="1792168336">
      <w:bodyDiv w:val="1"/>
      <w:marLeft w:val="0"/>
      <w:marRight w:val="0"/>
      <w:marTop w:val="0"/>
      <w:marBottom w:val="0"/>
      <w:divBdr>
        <w:top w:val="none" w:sz="0" w:space="0" w:color="auto"/>
        <w:left w:val="none" w:sz="0" w:space="0" w:color="auto"/>
        <w:bottom w:val="none" w:sz="0" w:space="0" w:color="auto"/>
        <w:right w:val="none" w:sz="0" w:space="0" w:color="auto"/>
      </w:divBdr>
    </w:div>
    <w:div w:id="1821729080">
      <w:bodyDiv w:val="1"/>
      <w:marLeft w:val="0"/>
      <w:marRight w:val="0"/>
      <w:marTop w:val="0"/>
      <w:marBottom w:val="0"/>
      <w:divBdr>
        <w:top w:val="none" w:sz="0" w:space="0" w:color="auto"/>
        <w:left w:val="none" w:sz="0" w:space="0" w:color="auto"/>
        <w:bottom w:val="none" w:sz="0" w:space="0" w:color="auto"/>
        <w:right w:val="none" w:sz="0" w:space="0" w:color="auto"/>
      </w:divBdr>
      <w:divsChild>
        <w:div w:id="1500316168">
          <w:marLeft w:val="0"/>
          <w:marRight w:val="0"/>
          <w:marTop w:val="0"/>
          <w:marBottom w:val="0"/>
          <w:divBdr>
            <w:top w:val="none" w:sz="0" w:space="0" w:color="auto"/>
            <w:left w:val="none" w:sz="0" w:space="0" w:color="auto"/>
            <w:bottom w:val="none" w:sz="0" w:space="0" w:color="auto"/>
            <w:right w:val="none" w:sz="0" w:space="0" w:color="auto"/>
          </w:divBdr>
          <w:divsChild>
            <w:div w:id="13305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29789">
      <w:bodyDiv w:val="1"/>
      <w:marLeft w:val="0"/>
      <w:marRight w:val="0"/>
      <w:marTop w:val="0"/>
      <w:marBottom w:val="0"/>
      <w:divBdr>
        <w:top w:val="none" w:sz="0" w:space="0" w:color="auto"/>
        <w:left w:val="none" w:sz="0" w:space="0" w:color="auto"/>
        <w:bottom w:val="none" w:sz="0" w:space="0" w:color="auto"/>
        <w:right w:val="none" w:sz="0" w:space="0" w:color="auto"/>
      </w:divBdr>
    </w:div>
    <w:div w:id="1844542653">
      <w:bodyDiv w:val="1"/>
      <w:marLeft w:val="0"/>
      <w:marRight w:val="0"/>
      <w:marTop w:val="0"/>
      <w:marBottom w:val="0"/>
      <w:divBdr>
        <w:top w:val="none" w:sz="0" w:space="0" w:color="auto"/>
        <w:left w:val="none" w:sz="0" w:space="0" w:color="auto"/>
        <w:bottom w:val="none" w:sz="0" w:space="0" w:color="auto"/>
        <w:right w:val="none" w:sz="0" w:space="0" w:color="auto"/>
      </w:divBdr>
    </w:div>
    <w:div w:id="1850752035">
      <w:bodyDiv w:val="1"/>
      <w:marLeft w:val="0"/>
      <w:marRight w:val="0"/>
      <w:marTop w:val="0"/>
      <w:marBottom w:val="0"/>
      <w:divBdr>
        <w:top w:val="none" w:sz="0" w:space="0" w:color="auto"/>
        <w:left w:val="none" w:sz="0" w:space="0" w:color="auto"/>
        <w:bottom w:val="none" w:sz="0" w:space="0" w:color="auto"/>
        <w:right w:val="none" w:sz="0" w:space="0" w:color="auto"/>
      </w:divBdr>
    </w:div>
    <w:div w:id="1876698565">
      <w:bodyDiv w:val="1"/>
      <w:marLeft w:val="0"/>
      <w:marRight w:val="0"/>
      <w:marTop w:val="0"/>
      <w:marBottom w:val="0"/>
      <w:divBdr>
        <w:top w:val="none" w:sz="0" w:space="0" w:color="auto"/>
        <w:left w:val="none" w:sz="0" w:space="0" w:color="auto"/>
        <w:bottom w:val="none" w:sz="0" w:space="0" w:color="auto"/>
        <w:right w:val="none" w:sz="0" w:space="0" w:color="auto"/>
      </w:divBdr>
    </w:div>
    <w:div w:id="1896548306">
      <w:bodyDiv w:val="1"/>
      <w:marLeft w:val="0"/>
      <w:marRight w:val="0"/>
      <w:marTop w:val="0"/>
      <w:marBottom w:val="0"/>
      <w:divBdr>
        <w:top w:val="none" w:sz="0" w:space="0" w:color="auto"/>
        <w:left w:val="none" w:sz="0" w:space="0" w:color="auto"/>
        <w:bottom w:val="none" w:sz="0" w:space="0" w:color="auto"/>
        <w:right w:val="none" w:sz="0" w:space="0" w:color="auto"/>
      </w:divBdr>
    </w:div>
    <w:div w:id="1914119206">
      <w:bodyDiv w:val="1"/>
      <w:marLeft w:val="0"/>
      <w:marRight w:val="0"/>
      <w:marTop w:val="0"/>
      <w:marBottom w:val="0"/>
      <w:divBdr>
        <w:top w:val="none" w:sz="0" w:space="0" w:color="auto"/>
        <w:left w:val="none" w:sz="0" w:space="0" w:color="auto"/>
        <w:bottom w:val="none" w:sz="0" w:space="0" w:color="auto"/>
        <w:right w:val="none" w:sz="0" w:space="0" w:color="auto"/>
      </w:divBdr>
    </w:div>
    <w:div w:id="1915386601">
      <w:bodyDiv w:val="1"/>
      <w:marLeft w:val="0"/>
      <w:marRight w:val="0"/>
      <w:marTop w:val="0"/>
      <w:marBottom w:val="0"/>
      <w:divBdr>
        <w:top w:val="none" w:sz="0" w:space="0" w:color="auto"/>
        <w:left w:val="none" w:sz="0" w:space="0" w:color="auto"/>
        <w:bottom w:val="none" w:sz="0" w:space="0" w:color="auto"/>
        <w:right w:val="none" w:sz="0" w:space="0" w:color="auto"/>
      </w:divBdr>
    </w:div>
    <w:div w:id="1920139908">
      <w:bodyDiv w:val="1"/>
      <w:marLeft w:val="0"/>
      <w:marRight w:val="0"/>
      <w:marTop w:val="0"/>
      <w:marBottom w:val="0"/>
      <w:divBdr>
        <w:top w:val="none" w:sz="0" w:space="0" w:color="auto"/>
        <w:left w:val="none" w:sz="0" w:space="0" w:color="auto"/>
        <w:bottom w:val="none" w:sz="0" w:space="0" w:color="auto"/>
        <w:right w:val="none" w:sz="0" w:space="0" w:color="auto"/>
      </w:divBdr>
    </w:div>
    <w:div w:id="1935242206">
      <w:bodyDiv w:val="1"/>
      <w:marLeft w:val="0"/>
      <w:marRight w:val="0"/>
      <w:marTop w:val="0"/>
      <w:marBottom w:val="0"/>
      <w:divBdr>
        <w:top w:val="none" w:sz="0" w:space="0" w:color="auto"/>
        <w:left w:val="none" w:sz="0" w:space="0" w:color="auto"/>
        <w:bottom w:val="none" w:sz="0" w:space="0" w:color="auto"/>
        <w:right w:val="none" w:sz="0" w:space="0" w:color="auto"/>
      </w:divBdr>
    </w:div>
    <w:div w:id="1956011152">
      <w:bodyDiv w:val="1"/>
      <w:marLeft w:val="0"/>
      <w:marRight w:val="0"/>
      <w:marTop w:val="0"/>
      <w:marBottom w:val="0"/>
      <w:divBdr>
        <w:top w:val="none" w:sz="0" w:space="0" w:color="auto"/>
        <w:left w:val="none" w:sz="0" w:space="0" w:color="auto"/>
        <w:bottom w:val="none" w:sz="0" w:space="0" w:color="auto"/>
        <w:right w:val="none" w:sz="0" w:space="0" w:color="auto"/>
      </w:divBdr>
    </w:div>
    <w:div w:id="1957833866">
      <w:bodyDiv w:val="1"/>
      <w:marLeft w:val="0"/>
      <w:marRight w:val="0"/>
      <w:marTop w:val="0"/>
      <w:marBottom w:val="0"/>
      <w:divBdr>
        <w:top w:val="none" w:sz="0" w:space="0" w:color="auto"/>
        <w:left w:val="none" w:sz="0" w:space="0" w:color="auto"/>
        <w:bottom w:val="none" w:sz="0" w:space="0" w:color="auto"/>
        <w:right w:val="none" w:sz="0" w:space="0" w:color="auto"/>
      </w:divBdr>
    </w:div>
    <w:div w:id="1969192066">
      <w:bodyDiv w:val="1"/>
      <w:marLeft w:val="0"/>
      <w:marRight w:val="0"/>
      <w:marTop w:val="0"/>
      <w:marBottom w:val="0"/>
      <w:divBdr>
        <w:top w:val="none" w:sz="0" w:space="0" w:color="auto"/>
        <w:left w:val="none" w:sz="0" w:space="0" w:color="auto"/>
        <w:bottom w:val="none" w:sz="0" w:space="0" w:color="auto"/>
        <w:right w:val="none" w:sz="0" w:space="0" w:color="auto"/>
      </w:divBdr>
      <w:divsChild>
        <w:div w:id="1393843463">
          <w:marLeft w:val="0"/>
          <w:marRight w:val="0"/>
          <w:marTop w:val="0"/>
          <w:marBottom w:val="120"/>
          <w:divBdr>
            <w:top w:val="none" w:sz="0" w:space="0" w:color="auto"/>
            <w:left w:val="none" w:sz="0" w:space="0" w:color="auto"/>
            <w:bottom w:val="none" w:sz="0" w:space="0" w:color="auto"/>
            <w:right w:val="none" w:sz="0" w:space="0" w:color="auto"/>
          </w:divBdr>
          <w:divsChild>
            <w:div w:id="842282533">
              <w:marLeft w:val="0"/>
              <w:marRight w:val="0"/>
              <w:marTop w:val="0"/>
              <w:marBottom w:val="0"/>
              <w:divBdr>
                <w:top w:val="none" w:sz="0" w:space="0" w:color="auto"/>
                <w:left w:val="none" w:sz="0" w:space="0" w:color="auto"/>
                <w:bottom w:val="none" w:sz="0" w:space="0" w:color="auto"/>
                <w:right w:val="none" w:sz="0" w:space="0" w:color="auto"/>
              </w:divBdr>
              <w:divsChild>
                <w:div w:id="765492344">
                  <w:marLeft w:val="0"/>
                  <w:marRight w:val="0"/>
                  <w:marTop w:val="0"/>
                  <w:marBottom w:val="0"/>
                  <w:divBdr>
                    <w:top w:val="none" w:sz="0" w:space="0" w:color="auto"/>
                    <w:left w:val="none" w:sz="0" w:space="0" w:color="auto"/>
                    <w:bottom w:val="none" w:sz="0" w:space="0" w:color="auto"/>
                    <w:right w:val="none" w:sz="0" w:space="0" w:color="auto"/>
                  </w:divBdr>
                  <w:divsChild>
                    <w:div w:id="6712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02336">
      <w:bodyDiv w:val="1"/>
      <w:marLeft w:val="0"/>
      <w:marRight w:val="0"/>
      <w:marTop w:val="0"/>
      <w:marBottom w:val="0"/>
      <w:divBdr>
        <w:top w:val="none" w:sz="0" w:space="0" w:color="auto"/>
        <w:left w:val="none" w:sz="0" w:space="0" w:color="auto"/>
        <w:bottom w:val="none" w:sz="0" w:space="0" w:color="auto"/>
        <w:right w:val="none" w:sz="0" w:space="0" w:color="auto"/>
      </w:divBdr>
    </w:div>
    <w:div w:id="1977829869">
      <w:bodyDiv w:val="1"/>
      <w:marLeft w:val="0"/>
      <w:marRight w:val="0"/>
      <w:marTop w:val="0"/>
      <w:marBottom w:val="0"/>
      <w:divBdr>
        <w:top w:val="none" w:sz="0" w:space="0" w:color="auto"/>
        <w:left w:val="none" w:sz="0" w:space="0" w:color="auto"/>
        <w:bottom w:val="none" w:sz="0" w:space="0" w:color="auto"/>
        <w:right w:val="none" w:sz="0" w:space="0" w:color="auto"/>
      </w:divBdr>
      <w:divsChild>
        <w:div w:id="1216351194">
          <w:marLeft w:val="0"/>
          <w:marRight w:val="0"/>
          <w:marTop w:val="0"/>
          <w:marBottom w:val="0"/>
          <w:divBdr>
            <w:top w:val="none" w:sz="0" w:space="0" w:color="auto"/>
            <w:left w:val="none" w:sz="0" w:space="0" w:color="auto"/>
            <w:bottom w:val="none" w:sz="0" w:space="0" w:color="auto"/>
            <w:right w:val="none" w:sz="0" w:space="0" w:color="auto"/>
          </w:divBdr>
          <w:divsChild>
            <w:div w:id="1799569908">
              <w:marLeft w:val="0"/>
              <w:marRight w:val="0"/>
              <w:marTop w:val="0"/>
              <w:marBottom w:val="0"/>
              <w:divBdr>
                <w:top w:val="none" w:sz="0" w:space="0" w:color="auto"/>
                <w:left w:val="none" w:sz="0" w:space="0" w:color="auto"/>
                <w:bottom w:val="none" w:sz="0" w:space="0" w:color="auto"/>
                <w:right w:val="none" w:sz="0" w:space="0" w:color="auto"/>
              </w:divBdr>
            </w:div>
          </w:divsChild>
        </w:div>
        <w:div w:id="681277002">
          <w:marLeft w:val="0"/>
          <w:marRight w:val="0"/>
          <w:marTop w:val="0"/>
          <w:marBottom w:val="0"/>
          <w:divBdr>
            <w:top w:val="none" w:sz="0" w:space="0" w:color="auto"/>
            <w:left w:val="none" w:sz="0" w:space="0" w:color="auto"/>
            <w:bottom w:val="none" w:sz="0" w:space="0" w:color="auto"/>
            <w:right w:val="none" w:sz="0" w:space="0" w:color="auto"/>
          </w:divBdr>
        </w:div>
        <w:div w:id="581916805">
          <w:marLeft w:val="0"/>
          <w:marRight w:val="0"/>
          <w:marTop w:val="0"/>
          <w:marBottom w:val="0"/>
          <w:divBdr>
            <w:top w:val="none" w:sz="0" w:space="0" w:color="auto"/>
            <w:left w:val="none" w:sz="0" w:space="0" w:color="auto"/>
            <w:bottom w:val="none" w:sz="0" w:space="0" w:color="auto"/>
            <w:right w:val="none" w:sz="0" w:space="0" w:color="auto"/>
          </w:divBdr>
        </w:div>
      </w:divsChild>
    </w:div>
    <w:div w:id="1986009482">
      <w:bodyDiv w:val="1"/>
      <w:marLeft w:val="0"/>
      <w:marRight w:val="0"/>
      <w:marTop w:val="0"/>
      <w:marBottom w:val="0"/>
      <w:divBdr>
        <w:top w:val="none" w:sz="0" w:space="0" w:color="auto"/>
        <w:left w:val="none" w:sz="0" w:space="0" w:color="auto"/>
        <w:bottom w:val="none" w:sz="0" w:space="0" w:color="auto"/>
        <w:right w:val="none" w:sz="0" w:space="0" w:color="auto"/>
      </w:divBdr>
    </w:div>
    <w:div w:id="1997418242">
      <w:bodyDiv w:val="1"/>
      <w:marLeft w:val="0"/>
      <w:marRight w:val="0"/>
      <w:marTop w:val="0"/>
      <w:marBottom w:val="0"/>
      <w:divBdr>
        <w:top w:val="none" w:sz="0" w:space="0" w:color="auto"/>
        <w:left w:val="none" w:sz="0" w:space="0" w:color="auto"/>
        <w:bottom w:val="none" w:sz="0" w:space="0" w:color="auto"/>
        <w:right w:val="none" w:sz="0" w:space="0" w:color="auto"/>
      </w:divBdr>
    </w:div>
    <w:div w:id="2012173599">
      <w:bodyDiv w:val="1"/>
      <w:marLeft w:val="0"/>
      <w:marRight w:val="0"/>
      <w:marTop w:val="0"/>
      <w:marBottom w:val="0"/>
      <w:divBdr>
        <w:top w:val="none" w:sz="0" w:space="0" w:color="auto"/>
        <w:left w:val="none" w:sz="0" w:space="0" w:color="auto"/>
        <w:bottom w:val="none" w:sz="0" w:space="0" w:color="auto"/>
        <w:right w:val="none" w:sz="0" w:space="0" w:color="auto"/>
      </w:divBdr>
    </w:div>
    <w:div w:id="2014062255">
      <w:bodyDiv w:val="1"/>
      <w:marLeft w:val="0"/>
      <w:marRight w:val="0"/>
      <w:marTop w:val="0"/>
      <w:marBottom w:val="0"/>
      <w:divBdr>
        <w:top w:val="none" w:sz="0" w:space="0" w:color="auto"/>
        <w:left w:val="none" w:sz="0" w:space="0" w:color="auto"/>
        <w:bottom w:val="none" w:sz="0" w:space="0" w:color="auto"/>
        <w:right w:val="none" w:sz="0" w:space="0" w:color="auto"/>
      </w:divBdr>
    </w:div>
    <w:div w:id="2015836995">
      <w:bodyDiv w:val="1"/>
      <w:marLeft w:val="0"/>
      <w:marRight w:val="0"/>
      <w:marTop w:val="0"/>
      <w:marBottom w:val="0"/>
      <w:divBdr>
        <w:top w:val="none" w:sz="0" w:space="0" w:color="auto"/>
        <w:left w:val="none" w:sz="0" w:space="0" w:color="auto"/>
        <w:bottom w:val="none" w:sz="0" w:space="0" w:color="auto"/>
        <w:right w:val="none" w:sz="0" w:space="0" w:color="auto"/>
      </w:divBdr>
    </w:div>
    <w:div w:id="2049984305">
      <w:bodyDiv w:val="1"/>
      <w:marLeft w:val="0"/>
      <w:marRight w:val="0"/>
      <w:marTop w:val="0"/>
      <w:marBottom w:val="0"/>
      <w:divBdr>
        <w:top w:val="none" w:sz="0" w:space="0" w:color="auto"/>
        <w:left w:val="none" w:sz="0" w:space="0" w:color="auto"/>
        <w:bottom w:val="none" w:sz="0" w:space="0" w:color="auto"/>
        <w:right w:val="none" w:sz="0" w:space="0" w:color="auto"/>
      </w:divBdr>
    </w:div>
    <w:div w:id="2051539409">
      <w:bodyDiv w:val="1"/>
      <w:marLeft w:val="0"/>
      <w:marRight w:val="0"/>
      <w:marTop w:val="0"/>
      <w:marBottom w:val="0"/>
      <w:divBdr>
        <w:top w:val="none" w:sz="0" w:space="0" w:color="auto"/>
        <w:left w:val="none" w:sz="0" w:space="0" w:color="auto"/>
        <w:bottom w:val="none" w:sz="0" w:space="0" w:color="auto"/>
        <w:right w:val="none" w:sz="0" w:space="0" w:color="auto"/>
      </w:divBdr>
    </w:div>
    <w:div w:id="2060932779">
      <w:bodyDiv w:val="1"/>
      <w:marLeft w:val="0"/>
      <w:marRight w:val="0"/>
      <w:marTop w:val="0"/>
      <w:marBottom w:val="0"/>
      <w:divBdr>
        <w:top w:val="none" w:sz="0" w:space="0" w:color="auto"/>
        <w:left w:val="none" w:sz="0" w:space="0" w:color="auto"/>
        <w:bottom w:val="none" w:sz="0" w:space="0" w:color="auto"/>
        <w:right w:val="none" w:sz="0" w:space="0" w:color="auto"/>
      </w:divBdr>
    </w:div>
    <w:div w:id="2063284471">
      <w:bodyDiv w:val="1"/>
      <w:marLeft w:val="0"/>
      <w:marRight w:val="0"/>
      <w:marTop w:val="0"/>
      <w:marBottom w:val="0"/>
      <w:divBdr>
        <w:top w:val="none" w:sz="0" w:space="0" w:color="auto"/>
        <w:left w:val="none" w:sz="0" w:space="0" w:color="auto"/>
        <w:bottom w:val="none" w:sz="0" w:space="0" w:color="auto"/>
        <w:right w:val="none" w:sz="0" w:space="0" w:color="auto"/>
      </w:divBdr>
    </w:div>
    <w:div w:id="2101674485">
      <w:bodyDiv w:val="1"/>
      <w:marLeft w:val="0"/>
      <w:marRight w:val="0"/>
      <w:marTop w:val="0"/>
      <w:marBottom w:val="0"/>
      <w:divBdr>
        <w:top w:val="none" w:sz="0" w:space="0" w:color="auto"/>
        <w:left w:val="none" w:sz="0" w:space="0" w:color="auto"/>
        <w:bottom w:val="none" w:sz="0" w:space="0" w:color="auto"/>
        <w:right w:val="none" w:sz="0" w:space="0" w:color="auto"/>
      </w:divBdr>
    </w:div>
    <w:div w:id="2111773640">
      <w:bodyDiv w:val="1"/>
      <w:marLeft w:val="0"/>
      <w:marRight w:val="0"/>
      <w:marTop w:val="0"/>
      <w:marBottom w:val="0"/>
      <w:divBdr>
        <w:top w:val="none" w:sz="0" w:space="0" w:color="auto"/>
        <w:left w:val="none" w:sz="0" w:space="0" w:color="auto"/>
        <w:bottom w:val="none" w:sz="0" w:space="0" w:color="auto"/>
        <w:right w:val="none" w:sz="0" w:space="0" w:color="auto"/>
      </w:divBdr>
    </w:div>
    <w:div w:id="2115707783">
      <w:bodyDiv w:val="1"/>
      <w:marLeft w:val="0"/>
      <w:marRight w:val="0"/>
      <w:marTop w:val="0"/>
      <w:marBottom w:val="0"/>
      <w:divBdr>
        <w:top w:val="none" w:sz="0" w:space="0" w:color="auto"/>
        <w:left w:val="none" w:sz="0" w:space="0" w:color="auto"/>
        <w:bottom w:val="none" w:sz="0" w:space="0" w:color="auto"/>
        <w:right w:val="none" w:sz="0" w:space="0" w:color="auto"/>
      </w:divBdr>
    </w:div>
    <w:div w:id="21416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kent.ac.uk/id/eprint/4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vid19.govt.nz/assets/resources/tables/COVID-19-Alert-Levels-summary-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9B980-8CD0-4DAC-9013-2C61B00F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24</Pages>
  <Words>9514</Words>
  <Characters>54232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Mahoney</dc:creator>
  <cp:keywords/>
  <dc:description/>
  <cp:lastModifiedBy>Patrick Mahoney</cp:lastModifiedBy>
  <cp:revision>505</cp:revision>
  <cp:lastPrinted>2021-04-17T10:45:00Z</cp:lastPrinted>
  <dcterms:created xsi:type="dcterms:W3CDTF">2022-03-31T07:08:00Z</dcterms:created>
  <dcterms:modified xsi:type="dcterms:W3CDTF">2022-07-22T08:41:00Z</dcterms:modified>
</cp:coreProperties>
</file>