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1647" w14:textId="4220E658" w:rsidR="00A9538F" w:rsidRPr="008C181A" w:rsidRDefault="00D547B0" w:rsidP="00B167B8">
      <w:pPr>
        <w:spacing w:line="480" w:lineRule="auto"/>
        <w:jc w:val="center"/>
        <w:rPr>
          <w:b/>
          <w:bCs/>
          <w:lang w:val="en-US"/>
        </w:rPr>
      </w:pPr>
      <w:r w:rsidRPr="008C181A">
        <w:rPr>
          <w:b/>
          <w:bCs/>
          <w:lang w:val="en-US"/>
        </w:rPr>
        <w:t xml:space="preserve">Detection and </w:t>
      </w:r>
      <w:r w:rsidR="00393B23" w:rsidRPr="008C181A">
        <w:rPr>
          <w:b/>
          <w:bCs/>
          <w:lang w:val="en-US"/>
        </w:rPr>
        <w:t>p</w:t>
      </w:r>
      <w:r w:rsidRPr="008C181A">
        <w:rPr>
          <w:b/>
          <w:bCs/>
          <w:lang w:val="en-US"/>
        </w:rPr>
        <w:t xml:space="preserve">revention of </w:t>
      </w:r>
      <w:r w:rsidR="00393B23" w:rsidRPr="008C181A">
        <w:rPr>
          <w:b/>
          <w:bCs/>
          <w:lang w:val="en-US"/>
        </w:rPr>
        <w:t>a</w:t>
      </w:r>
      <w:r w:rsidR="00A9538F" w:rsidRPr="008C181A">
        <w:rPr>
          <w:b/>
          <w:bCs/>
          <w:lang w:val="en-US"/>
        </w:rPr>
        <w:t xml:space="preserve">buse of </w:t>
      </w:r>
      <w:r w:rsidR="00393B23" w:rsidRPr="008C181A">
        <w:rPr>
          <w:b/>
          <w:bCs/>
          <w:lang w:val="en-US"/>
        </w:rPr>
        <w:t>a</w:t>
      </w:r>
      <w:r w:rsidR="00A9538F" w:rsidRPr="008C181A">
        <w:rPr>
          <w:b/>
          <w:bCs/>
          <w:lang w:val="en-US"/>
        </w:rPr>
        <w:t xml:space="preserve">dults with </w:t>
      </w:r>
      <w:r w:rsidR="00393B23" w:rsidRPr="008C181A">
        <w:rPr>
          <w:b/>
          <w:bCs/>
          <w:lang w:val="en-US"/>
        </w:rPr>
        <w:t>i</w:t>
      </w:r>
      <w:r w:rsidR="00A9538F" w:rsidRPr="008C181A">
        <w:rPr>
          <w:b/>
          <w:bCs/>
          <w:lang w:val="en-US"/>
        </w:rPr>
        <w:t xml:space="preserve">ntellectual and other </w:t>
      </w:r>
      <w:r w:rsidR="00393B23" w:rsidRPr="008C181A">
        <w:rPr>
          <w:b/>
          <w:bCs/>
          <w:lang w:val="en-US"/>
        </w:rPr>
        <w:t>d</w:t>
      </w:r>
      <w:r w:rsidR="00A9538F" w:rsidRPr="008C181A">
        <w:rPr>
          <w:b/>
          <w:bCs/>
          <w:lang w:val="en-US"/>
        </w:rPr>
        <w:t xml:space="preserve">evelopmental </w:t>
      </w:r>
      <w:r w:rsidR="00393B23" w:rsidRPr="008C181A">
        <w:rPr>
          <w:b/>
          <w:bCs/>
          <w:lang w:val="en-US"/>
        </w:rPr>
        <w:t>d</w:t>
      </w:r>
      <w:r w:rsidR="00A9538F" w:rsidRPr="008C181A">
        <w:rPr>
          <w:b/>
          <w:bCs/>
          <w:lang w:val="en-US"/>
        </w:rPr>
        <w:t>isabilities</w:t>
      </w:r>
      <w:r w:rsidR="001F51E5" w:rsidRPr="008C181A">
        <w:rPr>
          <w:b/>
          <w:bCs/>
          <w:lang w:val="en-US"/>
        </w:rPr>
        <w:t xml:space="preserve"> in </w:t>
      </w:r>
      <w:r w:rsidR="008008E9" w:rsidRPr="008C181A">
        <w:rPr>
          <w:b/>
          <w:bCs/>
          <w:lang w:val="en-US"/>
        </w:rPr>
        <w:t xml:space="preserve">care </w:t>
      </w:r>
      <w:r w:rsidR="00393B23" w:rsidRPr="008C181A">
        <w:rPr>
          <w:b/>
          <w:bCs/>
          <w:lang w:val="en-US"/>
        </w:rPr>
        <w:t>s</w:t>
      </w:r>
      <w:r w:rsidR="001F51E5" w:rsidRPr="008C181A">
        <w:rPr>
          <w:b/>
          <w:bCs/>
          <w:lang w:val="en-US"/>
        </w:rPr>
        <w:t>ervices</w:t>
      </w:r>
      <w:r w:rsidR="00A9538F" w:rsidRPr="008C181A">
        <w:rPr>
          <w:b/>
          <w:bCs/>
          <w:lang w:val="en-US"/>
        </w:rPr>
        <w:t>:</w:t>
      </w:r>
      <w:r w:rsidRPr="008C181A">
        <w:rPr>
          <w:b/>
          <w:bCs/>
          <w:lang w:val="en-US"/>
        </w:rPr>
        <w:t xml:space="preserve"> </w:t>
      </w:r>
      <w:r w:rsidR="00A9538F" w:rsidRPr="008C181A">
        <w:rPr>
          <w:b/>
          <w:bCs/>
          <w:lang w:val="en-US"/>
        </w:rPr>
        <w:t xml:space="preserve">A </w:t>
      </w:r>
      <w:r w:rsidR="00393B23" w:rsidRPr="008C181A">
        <w:rPr>
          <w:b/>
          <w:bCs/>
          <w:lang w:val="en-US"/>
        </w:rPr>
        <w:t>s</w:t>
      </w:r>
      <w:r w:rsidR="00A9538F" w:rsidRPr="008C181A">
        <w:rPr>
          <w:b/>
          <w:bCs/>
          <w:lang w:val="en-US"/>
        </w:rPr>
        <w:t xml:space="preserve">ystematic </w:t>
      </w:r>
      <w:r w:rsidR="00393B23" w:rsidRPr="008C181A">
        <w:rPr>
          <w:b/>
          <w:bCs/>
          <w:lang w:val="en-US"/>
        </w:rPr>
        <w:t>r</w:t>
      </w:r>
      <w:r w:rsidR="00A9538F" w:rsidRPr="008C181A">
        <w:rPr>
          <w:b/>
          <w:bCs/>
          <w:lang w:val="en-US"/>
        </w:rPr>
        <w:t>eview</w:t>
      </w:r>
    </w:p>
    <w:p w14:paraId="6F5A48DA" w14:textId="1E69B09C" w:rsidR="00456526" w:rsidRPr="006C629B" w:rsidRDefault="00456526" w:rsidP="00456526">
      <w:pPr>
        <w:spacing w:after="0"/>
        <w:rPr>
          <w:bCs/>
          <w:i/>
          <w:iCs/>
        </w:rPr>
      </w:pPr>
      <w:r w:rsidRPr="006C629B">
        <w:rPr>
          <w:bCs/>
        </w:rPr>
        <w:t>Collins, J &amp; Murphy, G. (</w:t>
      </w:r>
      <w:r>
        <w:rPr>
          <w:bCs/>
        </w:rPr>
        <w:t>2021</w:t>
      </w:r>
      <w:r w:rsidRPr="006C629B">
        <w:rPr>
          <w:bCs/>
        </w:rPr>
        <w:t xml:space="preserve">). </w:t>
      </w:r>
      <w:r w:rsidRPr="006C629B">
        <w:rPr>
          <w:bCs/>
          <w:lang w:val="en-US"/>
        </w:rPr>
        <w:t xml:space="preserve">Detection and prevention of abuse of adults with intellectual and other developmental disabilities in residential services: A systematic review. </w:t>
      </w:r>
      <w:r w:rsidRPr="006C629B">
        <w:rPr>
          <w:bCs/>
          <w:i/>
          <w:iCs/>
        </w:rPr>
        <w:t xml:space="preserve">Journal of Applied Research in Intellectual </w:t>
      </w:r>
      <w:r w:rsidRPr="00625C00">
        <w:rPr>
          <w:bCs/>
          <w:i/>
          <w:iCs/>
        </w:rPr>
        <w:t>Disabilities.</w:t>
      </w:r>
      <w:r w:rsidRPr="00625C00">
        <w:rPr>
          <w:color w:val="1C1D1E"/>
          <w:shd w:val="clear" w:color="auto" w:fill="FFFFFF"/>
        </w:rPr>
        <w:t xml:space="preserve"> </w:t>
      </w:r>
      <w:r>
        <w:rPr>
          <w:color w:val="1C1D1E"/>
          <w:shd w:val="clear" w:color="auto" w:fill="FFFFFF"/>
        </w:rPr>
        <w:t>http://doi.org/</w:t>
      </w:r>
      <w:r w:rsidRPr="00625C00">
        <w:rPr>
          <w:color w:val="1C1D1E"/>
          <w:shd w:val="clear" w:color="auto" w:fill="FFFFFF"/>
        </w:rPr>
        <w:t>10.1111/jar.12954</w:t>
      </w:r>
    </w:p>
    <w:p w14:paraId="7EF3F065" w14:textId="77777777" w:rsidR="00456526" w:rsidRPr="00456526" w:rsidRDefault="00456526" w:rsidP="0060280A">
      <w:pPr>
        <w:spacing w:after="0" w:line="480" w:lineRule="auto"/>
        <w:jc w:val="center"/>
        <w:rPr>
          <w:b/>
          <w:bCs/>
        </w:rPr>
      </w:pPr>
    </w:p>
    <w:p w14:paraId="432B5814" w14:textId="5C388284" w:rsidR="00396B7A" w:rsidRPr="008C181A" w:rsidRDefault="00396B7A" w:rsidP="0060280A">
      <w:pPr>
        <w:spacing w:after="0" w:line="480" w:lineRule="auto"/>
        <w:jc w:val="center"/>
        <w:rPr>
          <w:b/>
          <w:bCs/>
          <w:lang w:val="en-US"/>
        </w:rPr>
      </w:pPr>
      <w:r w:rsidRPr="008C181A">
        <w:rPr>
          <w:b/>
          <w:bCs/>
          <w:lang w:val="en-US"/>
        </w:rPr>
        <w:t>Abstract</w:t>
      </w:r>
    </w:p>
    <w:p w14:paraId="59903ED3" w14:textId="77777777" w:rsidR="0060280A" w:rsidRPr="008C181A" w:rsidRDefault="00105E53" w:rsidP="00C10089">
      <w:pPr>
        <w:autoSpaceDE w:val="0"/>
        <w:autoSpaceDN w:val="0"/>
        <w:adjustRightInd w:val="0"/>
        <w:spacing w:after="0" w:line="480" w:lineRule="auto"/>
        <w:rPr>
          <w:b/>
          <w:bCs/>
          <w:lang w:val="en-US"/>
        </w:rPr>
      </w:pPr>
      <w:r w:rsidRPr="008C181A">
        <w:rPr>
          <w:b/>
          <w:bCs/>
          <w:lang w:val="en-US"/>
        </w:rPr>
        <w:t>Background</w:t>
      </w:r>
    </w:p>
    <w:p w14:paraId="3D192244" w14:textId="13A34281" w:rsidR="00105E53" w:rsidRPr="008C181A" w:rsidRDefault="00686476" w:rsidP="0060280A">
      <w:pPr>
        <w:autoSpaceDE w:val="0"/>
        <w:autoSpaceDN w:val="0"/>
        <w:adjustRightInd w:val="0"/>
        <w:spacing w:after="0" w:line="480" w:lineRule="auto"/>
        <w:ind w:firstLine="720"/>
        <w:rPr>
          <w:lang w:val="en-US"/>
        </w:rPr>
      </w:pPr>
      <w:r w:rsidRPr="008C181A">
        <w:rPr>
          <w:lang w:val="en-US"/>
        </w:rPr>
        <w:t>T</w:t>
      </w:r>
      <w:r w:rsidR="00396B7A" w:rsidRPr="008C181A">
        <w:rPr>
          <w:lang w:val="en-US"/>
        </w:rPr>
        <w:t xml:space="preserve">he abuse of adults with </w:t>
      </w:r>
      <w:r w:rsidR="006B448F" w:rsidRPr="008C181A">
        <w:rPr>
          <w:lang w:val="en-US"/>
        </w:rPr>
        <w:t>i</w:t>
      </w:r>
      <w:r w:rsidR="00396B7A" w:rsidRPr="008C181A">
        <w:rPr>
          <w:lang w:val="en-US"/>
        </w:rPr>
        <w:t xml:space="preserve">ntellectual and </w:t>
      </w:r>
      <w:r w:rsidR="006B448F" w:rsidRPr="008C181A">
        <w:rPr>
          <w:lang w:val="en-US"/>
        </w:rPr>
        <w:t>d</w:t>
      </w:r>
      <w:r w:rsidR="00396B7A" w:rsidRPr="008C181A">
        <w:rPr>
          <w:lang w:val="en-US"/>
        </w:rPr>
        <w:t xml:space="preserve">evelopmental </w:t>
      </w:r>
      <w:r w:rsidR="006B448F" w:rsidRPr="008C181A">
        <w:rPr>
          <w:lang w:val="en-US"/>
        </w:rPr>
        <w:t>d</w:t>
      </w:r>
      <w:r w:rsidR="00396B7A" w:rsidRPr="008C181A">
        <w:rPr>
          <w:lang w:val="en-US"/>
        </w:rPr>
        <w:t>isabilities</w:t>
      </w:r>
      <w:r w:rsidR="00F15697" w:rsidRPr="008C181A">
        <w:rPr>
          <w:lang w:val="en-US"/>
        </w:rPr>
        <w:t xml:space="preserve"> </w:t>
      </w:r>
      <w:r w:rsidR="006B448F" w:rsidRPr="008C181A">
        <w:rPr>
          <w:lang w:val="en-US"/>
        </w:rPr>
        <w:t>in</w:t>
      </w:r>
      <w:r w:rsidR="008F7E68" w:rsidRPr="008C181A">
        <w:rPr>
          <w:lang w:val="en-US"/>
        </w:rPr>
        <w:t xml:space="preserve"> care</w:t>
      </w:r>
      <w:r w:rsidR="006B448F" w:rsidRPr="008C181A">
        <w:rPr>
          <w:lang w:val="en-US"/>
        </w:rPr>
        <w:t xml:space="preserve"> services </w:t>
      </w:r>
      <w:r w:rsidR="00311B61" w:rsidRPr="008C181A">
        <w:rPr>
          <w:lang w:val="en-US"/>
        </w:rPr>
        <w:t xml:space="preserve">seems to be relatively </w:t>
      </w:r>
      <w:r w:rsidR="00596237" w:rsidRPr="008C181A">
        <w:rPr>
          <w:lang w:val="en-US"/>
        </w:rPr>
        <w:t>common</w:t>
      </w:r>
      <w:r w:rsidR="00FB1BAB" w:rsidRPr="008C181A">
        <w:rPr>
          <w:lang w:val="en-US"/>
        </w:rPr>
        <w:t>,</w:t>
      </w:r>
      <w:r w:rsidR="00596237" w:rsidRPr="008C181A">
        <w:rPr>
          <w:lang w:val="en-US"/>
        </w:rPr>
        <w:t xml:space="preserve"> </w:t>
      </w:r>
      <w:r w:rsidR="00311B61" w:rsidRPr="008C181A">
        <w:rPr>
          <w:lang w:val="en-US"/>
        </w:rPr>
        <w:t xml:space="preserve">although </w:t>
      </w:r>
      <w:r w:rsidR="00596237" w:rsidRPr="008C181A">
        <w:rPr>
          <w:lang w:val="en-US"/>
        </w:rPr>
        <w:t xml:space="preserve"> </w:t>
      </w:r>
      <w:r w:rsidR="00FB1BAB" w:rsidRPr="008C181A">
        <w:rPr>
          <w:lang w:val="en-US"/>
        </w:rPr>
        <w:t xml:space="preserve">there are anecdotal suggestions that abuse </w:t>
      </w:r>
      <w:r w:rsidR="00596237" w:rsidRPr="008C181A">
        <w:rPr>
          <w:lang w:val="en-US"/>
        </w:rPr>
        <w:t xml:space="preserve">may be </w:t>
      </w:r>
      <w:r w:rsidR="00396B7A" w:rsidRPr="008C181A">
        <w:rPr>
          <w:lang w:val="en-US"/>
        </w:rPr>
        <w:t xml:space="preserve">predictable and preventable. </w:t>
      </w:r>
    </w:p>
    <w:p w14:paraId="44D62419" w14:textId="77777777" w:rsidR="0060280A" w:rsidRPr="008C181A" w:rsidRDefault="00105E53" w:rsidP="00C10089">
      <w:pPr>
        <w:autoSpaceDE w:val="0"/>
        <w:autoSpaceDN w:val="0"/>
        <w:adjustRightInd w:val="0"/>
        <w:spacing w:after="0" w:line="480" w:lineRule="auto"/>
        <w:rPr>
          <w:b/>
          <w:bCs/>
          <w:lang w:val="en-US"/>
        </w:rPr>
      </w:pPr>
      <w:r w:rsidRPr="008C181A">
        <w:rPr>
          <w:b/>
          <w:bCs/>
          <w:lang w:val="en-US"/>
        </w:rPr>
        <w:t>Method</w:t>
      </w:r>
    </w:p>
    <w:p w14:paraId="2365FE98" w14:textId="7FBA1DD0" w:rsidR="00414D5C" w:rsidRPr="008C181A" w:rsidRDefault="00962856" w:rsidP="0060280A">
      <w:pPr>
        <w:autoSpaceDE w:val="0"/>
        <w:autoSpaceDN w:val="0"/>
        <w:adjustRightInd w:val="0"/>
        <w:spacing w:after="0" w:line="480" w:lineRule="auto"/>
        <w:ind w:firstLine="720"/>
        <w:rPr>
          <w:rFonts w:ascii="Arial" w:hAnsi="Arial" w:cs="Arial"/>
        </w:rPr>
      </w:pPr>
      <w:r w:rsidRPr="008C181A">
        <w:rPr>
          <w:rStyle w:val="Strong"/>
          <w:rFonts w:cstheme="minorHAnsi"/>
          <w:b w:val="0"/>
          <w:bdr w:val="none" w:sz="0" w:space="0" w:color="auto" w:frame="1"/>
        </w:rPr>
        <w:t xml:space="preserve">Evidence related to how abuse is </w:t>
      </w:r>
      <w:r w:rsidR="00C10089" w:rsidRPr="008C181A">
        <w:rPr>
          <w:rFonts w:cstheme="minorHAnsi"/>
        </w:rPr>
        <w:t xml:space="preserve">detected </w:t>
      </w:r>
      <w:r w:rsidRPr="008C181A">
        <w:rPr>
          <w:rFonts w:cstheme="minorHAnsi"/>
        </w:rPr>
        <w:t xml:space="preserve">and prevented </w:t>
      </w:r>
      <w:r w:rsidR="00C10089" w:rsidRPr="008C181A">
        <w:rPr>
          <w:rFonts w:cstheme="minorHAnsi"/>
        </w:rPr>
        <w:t>within services</w:t>
      </w:r>
      <w:r w:rsidRPr="008C181A">
        <w:rPr>
          <w:rFonts w:cstheme="minorHAnsi"/>
        </w:rPr>
        <w:t xml:space="preserve"> was reviewed</w:t>
      </w:r>
      <w:r w:rsidR="00C10089" w:rsidRPr="008C181A">
        <w:rPr>
          <w:rFonts w:cstheme="minorHAnsi"/>
        </w:rPr>
        <w:t xml:space="preserve">. </w:t>
      </w:r>
      <w:r w:rsidR="00686476" w:rsidRPr="008C181A">
        <w:rPr>
          <w:lang w:val="en-US"/>
        </w:rPr>
        <w:t xml:space="preserve">Database and ancestry searches were </w:t>
      </w:r>
      <w:r w:rsidR="001469D0" w:rsidRPr="008C181A">
        <w:rPr>
          <w:lang w:val="en-US"/>
        </w:rPr>
        <w:t>conducted,</w:t>
      </w:r>
      <w:r w:rsidRPr="008C181A">
        <w:rPr>
          <w:rStyle w:val="Strong"/>
          <w:rFonts w:cstheme="minorHAnsi"/>
          <w:b w:val="0"/>
          <w:bCs w:val="0"/>
          <w:bdr w:val="none" w:sz="0" w:space="0" w:color="auto" w:frame="1"/>
        </w:rPr>
        <w:t xml:space="preserve"> and the</w:t>
      </w:r>
      <w:r w:rsidR="005F2E9C" w:rsidRPr="008C181A">
        <w:rPr>
          <w:rStyle w:val="Strong"/>
          <w:rFonts w:cstheme="minorHAnsi"/>
          <w:b w:val="0"/>
          <w:bCs w:val="0"/>
          <w:bdr w:val="none" w:sz="0" w:space="0" w:color="auto" w:frame="1"/>
        </w:rPr>
        <w:t xml:space="preserve"> </w:t>
      </w:r>
      <w:r w:rsidR="00151C14" w:rsidRPr="008C181A">
        <w:rPr>
          <w:rStyle w:val="Strong"/>
          <w:rFonts w:cstheme="minorHAnsi"/>
          <w:b w:val="0"/>
          <w:bCs w:val="0"/>
          <w:bdr w:val="none" w:sz="0" w:space="0" w:color="auto" w:frame="1"/>
        </w:rPr>
        <w:t xml:space="preserve">methodological </w:t>
      </w:r>
      <w:r w:rsidR="005F2E9C" w:rsidRPr="008C181A">
        <w:rPr>
          <w:rFonts w:cstheme="minorHAnsi"/>
        </w:rPr>
        <w:t>quality of studies assessed using the Mixed Methods Appraisal Tool.</w:t>
      </w:r>
    </w:p>
    <w:p w14:paraId="2B114A00" w14:textId="77777777" w:rsidR="0060280A" w:rsidRPr="008C181A" w:rsidRDefault="00414D5C" w:rsidP="00C10089">
      <w:pPr>
        <w:autoSpaceDE w:val="0"/>
        <w:autoSpaceDN w:val="0"/>
        <w:adjustRightInd w:val="0"/>
        <w:spacing w:after="0" w:line="480" w:lineRule="auto"/>
        <w:rPr>
          <w:rFonts w:cstheme="minorHAnsi"/>
          <w:b/>
          <w:bCs/>
        </w:rPr>
      </w:pPr>
      <w:r w:rsidRPr="008C181A">
        <w:rPr>
          <w:rFonts w:cstheme="minorHAnsi"/>
          <w:b/>
          <w:bCs/>
        </w:rPr>
        <w:t>Results</w:t>
      </w:r>
    </w:p>
    <w:p w14:paraId="5F144CAB" w14:textId="3F227216" w:rsidR="00A45C21" w:rsidRPr="008C181A" w:rsidRDefault="00151C14" w:rsidP="00D2258C">
      <w:pPr>
        <w:spacing w:line="480" w:lineRule="auto"/>
        <w:ind w:firstLine="720"/>
        <w:contextualSpacing/>
        <w:rPr>
          <w:rFonts w:cstheme="minorHAnsi"/>
        </w:rPr>
      </w:pPr>
      <w:r w:rsidRPr="008C181A">
        <w:rPr>
          <w:rFonts w:cstheme="minorHAnsi"/>
        </w:rPr>
        <w:t xml:space="preserve">A total of </w:t>
      </w:r>
      <w:r w:rsidR="002F4130" w:rsidRPr="008C181A">
        <w:rPr>
          <w:rFonts w:cstheme="minorHAnsi"/>
        </w:rPr>
        <w:t xml:space="preserve">48 articles </w:t>
      </w:r>
      <w:r w:rsidR="00962856" w:rsidRPr="008C181A">
        <w:rPr>
          <w:rFonts w:cstheme="minorHAnsi"/>
        </w:rPr>
        <w:t>were reviewed</w:t>
      </w:r>
      <w:r w:rsidR="00102CB9" w:rsidRPr="008C181A">
        <w:rPr>
          <w:rFonts w:cstheme="minorHAnsi"/>
        </w:rPr>
        <w:t>. T</w:t>
      </w:r>
      <w:r w:rsidR="00962856" w:rsidRPr="008C181A">
        <w:rPr>
          <w:rFonts w:cstheme="minorHAnsi"/>
        </w:rPr>
        <w:t>he c</w:t>
      </w:r>
      <w:r w:rsidR="00A43A3A" w:rsidRPr="008C181A">
        <w:rPr>
          <w:rFonts w:cstheme="minorHAnsi"/>
        </w:rPr>
        <w:t>haracteristics of victims, perpetrator</w:t>
      </w:r>
      <w:r w:rsidR="00686476" w:rsidRPr="008C181A">
        <w:rPr>
          <w:rFonts w:cstheme="minorHAnsi"/>
        </w:rPr>
        <w:t xml:space="preserve">s </w:t>
      </w:r>
      <w:r w:rsidR="00A43A3A" w:rsidRPr="008C181A">
        <w:rPr>
          <w:rFonts w:cstheme="minorHAnsi"/>
        </w:rPr>
        <w:t>and organisation</w:t>
      </w:r>
      <w:r w:rsidR="00686476" w:rsidRPr="008C181A">
        <w:rPr>
          <w:rFonts w:cstheme="minorHAnsi"/>
        </w:rPr>
        <w:t xml:space="preserve">s </w:t>
      </w:r>
      <w:r w:rsidR="00962856" w:rsidRPr="008C181A">
        <w:rPr>
          <w:rFonts w:cstheme="minorHAnsi"/>
        </w:rPr>
        <w:t xml:space="preserve">were </w:t>
      </w:r>
      <w:r w:rsidR="00686476" w:rsidRPr="008C181A">
        <w:rPr>
          <w:rFonts w:cstheme="minorHAnsi"/>
        </w:rPr>
        <w:t>summarised</w:t>
      </w:r>
      <w:r w:rsidR="00962856" w:rsidRPr="008C181A">
        <w:rPr>
          <w:rFonts w:cstheme="minorHAnsi"/>
        </w:rPr>
        <w:t>. Several r</w:t>
      </w:r>
      <w:r w:rsidR="00A43A3A" w:rsidRPr="008C181A">
        <w:rPr>
          <w:rFonts w:cstheme="minorHAnsi"/>
        </w:rPr>
        <w:t>ecommendations for how abuse can be detected and prevented</w:t>
      </w:r>
      <w:r w:rsidR="00962856" w:rsidRPr="008C181A">
        <w:rPr>
          <w:rFonts w:cstheme="minorHAnsi"/>
        </w:rPr>
        <w:t xml:space="preserve"> were made</w:t>
      </w:r>
      <w:r w:rsidR="00102CB9" w:rsidRPr="008C181A">
        <w:rPr>
          <w:rFonts w:cstheme="minorHAnsi"/>
        </w:rPr>
        <w:t>, including better</w:t>
      </w:r>
      <w:r w:rsidR="00962856" w:rsidRPr="008C181A">
        <w:rPr>
          <w:rFonts w:cstheme="minorHAnsi"/>
        </w:rPr>
        <w:t xml:space="preserve"> staff </w:t>
      </w:r>
      <w:r w:rsidR="00A43A3A" w:rsidRPr="008C181A">
        <w:rPr>
          <w:rFonts w:cstheme="minorHAnsi"/>
        </w:rPr>
        <w:t>training</w:t>
      </w:r>
      <w:r w:rsidR="00962856" w:rsidRPr="008C181A">
        <w:rPr>
          <w:rFonts w:cstheme="minorHAnsi"/>
        </w:rPr>
        <w:t xml:space="preserve">, supervision, </w:t>
      </w:r>
      <w:r w:rsidR="00102CB9" w:rsidRPr="008C181A">
        <w:rPr>
          <w:rFonts w:cstheme="minorHAnsi"/>
        </w:rPr>
        <w:t xml:space="preserve">and </w:t>
      </w:r>
      <w:r w:rsidR="00A43A3A" w:rsidRPr="008C181A">
        <w:rPr>
          <w:rFonts w:cstheme="minorHAnsi"/>
        </w:rPr>
        <w:t>monitoring of services</w:t>
      </w:r>
      <w:r w:rsidR="00962856" w:rsidRPr="008C181A">
        <w:rPr>
          <w:rFonts w:cstheme="minorHAnsi"/>
        </w:rPr>
        <w:t>.</w:t>
      </w:r>
      <w:r w:rsidR="00A43A3A" w:rsidRPr="008C181A">
        <w:rPr>
          <w:rFonts w:cstheme="minorHAnsi"/>
        </w:rPr>
        <w:t xml:space="preserve"> </w:t>
      </w:r>
      <w:r w:rsidR="00962856" w:rsidRPr="008C181A">
        <w:rPr>
          <w:rFonts w:cstheme="minorHAnsi"/>
        </w:rPr>
        <w:t>T</w:t>
      </w:r>
      <w:r w:rsidR="00A43A3A" w:rsidRPr="008C181A">
        <w:rPr>
          <w:rFonts w:cstheme="minorHAnsi"/>
        </w:rPr>
        <w:t>he quality of studies limits the reliability and validity of research findings.</w:t>
      </w:r>
    </w:p>
    <w:p w14:paraId="758C343C" w14:textId="77777777" w:rsidR="0060280A" w:rsidRPr="008C181A" w:rsidRDefault="00414D5C" w:rsidP="00C10089">
      <w:pPr>
        <w:autoSpaceDE w:val="0"/>
        <w:autoSpaceDN w:val="0"/>
        <w:adjustRightInd w:val="0"/>
        <w:spacing w:after="0" w:line="480" w:lineRule="auto"/>
        <w:rPr>
          <w:rStyle w:val="Strong"/>
          <w:rFonts w:cstheme="minorHAnsi"/>
          <w:bCs w:val="0"/>
          <w:bdr w:val="none" w:sz="0" w:space="0" w:color="auto" w:frame="1"/>
        </w:rPr>
      </w:pPr>
      <w:r w:rsidRPr="008C181A">
        <w:rPr>
          <w:rStyle w:val="Strong"/>
          <w:rFonts w:cstheme="minorHAnsi"/>
          <w:bCs w:val="0"/>
          <w:bdr w:val="none" w:sz="0" w:space="0" w:color="auto" w:frame="1"/>
        </w:rPr>
        <w:t>Conclusion</w:t>
      </w:r>
    </w:p>
    <w:p w14:paraId="71E6C91A" w14:textId="346D0A31" w:rsidR="00414D5C" w:rsidRPr="008C181A" w:rsidRDefault="00686476" w:rsidP="0060280A">
      <w:pPr>
        <w:autoSpaceDE w:val="0"/>
        <w:autoSpaceDN w:val="0"/>
        <w:adjustRightInd w:val="0"/>
        <w:spacing w:after="0" w:line="480" w:lineRule="auto"/>
        <w:ind w:firstLine="720"/>
        <w:rPr>
          <w:rStyle w:val="Strong"/>
          <w:rFonts w:cstheme="minorHAnsi"/>
          <w:b w:val="0"/>
          <w:bdr w:val="none" w:sz="0" w:space="0" w:color="auto" w:frame="1"/>
        </w:rPr>
      </w:pPr>
      <w:r w:rsidRPr="008C181A">
        <w:rPr>
          <w:rStyle w:val="Strong"/>
          <w:rFonts w:cstheme="minorHAnsi"/>
          <w:b w:val="0"/>
          <w:bdr w:val="none" w:sz="0" w:space="0" w:color="auto" w:frame="1"/>
        </w:rPr>
        <w:t>Risk and protect</w:t>
      </w:r>
      <w:r w:rsidR="007D78DA" w:rsidRPr="008C181A">
        <w:rPr>
          <w:rStyle w:val="Strong"/>
          <w:rFonts w:cstheme="minorHAnsi"/>
          <w:b w:val="0"/>
          <w:bdr w:val="none" w:sz="0" w:space="0" w:color="auto" w:frame="1"/>
        </w:rPr>
        <w:t>ive</w:t>
      </w:r>
      <w:r w:rsidRPr="008C181A">
        <w:rPr>
          <w:rStyle w:val="Strong"/>
          <w:rFonts w:cstheme="minorHAnsi"/>
          <w:b w:val="0"/>
          <w:bdr w:val="none" w:sz="0" w:space="0" w:color="auto" w:frame="1"/>
        </w:rPr>
        <w:t xml:space="preserve"> factors related to the abuse of adults with intellectual and other developmental disabilities remain largely consistent. Further research is required to support the implementation of recommendations aimed to detect and prevent abuse.</w:t>
      </w:r>
    </w:p>
    <w:p w14:paraId="303ED446" w14:textId="53B22A57" w:rsidR="00396B7A" w:rsidRPr="008C181A" w:rsidRDefault="00396B7A" w:rsidP="0060280A">
      <w:pPr>
        <w:spacing w:line="480" w:lineRule="auto"/>
        <w:jc w:val="center"/>
        <w:rPr>
          <w:rStyle w:val="Strong"/>
          <w:rFonts w:cstheme="minorHAnsi"/>
          <w:bCs w:val="0"/>
          <w:bdr w:val="none" w:sz="0" w:space="0" w:color="auto" w:frame="1"/>
        </w:rPr>
      </w:pPr>
      <w:r w:rsidRPr="008C181A">
        <w:rPr>
          <w:rStyle w:val="Strong"/>
          <w:rFonts w:cstheme="minorHAnsi"/>
          <w:bCs w:val="0"/>
          <w:bdr w:val="none" w:sz="0" w:space="0" w:color="auto" w:frame="1"/>
        </w:rPr>
        <w:t>Key Words</w:t>
      </w:r>
    </w:p>
    <w:p w14:paraId="587E4DE7" w14:textId="34B6666A" w:rsidR="00396B7A" w:rsidRPr="008C181A" w:rsidRDefault="00396B7A" w:rsidP="00B167B8">
      <w:pPr>
        <w:spacing w:line="480" w:lineRule="auto"/>
        <w:rPr>
          <w:rStyle w:val="Strong"/>
          <w:rFonts w:cstheme="minorHAnsi"/>
          <w:b w:val="0"/>
          <w:bdr w:val="none" w:sz="0" w:space="0" w:color="auto" w:frame="1"/>
        </w:rPr>
      </w:pPr>
      <w:r w:rsidRPr="008C181A">
        <w:rPr>
          <w:rStyle w:val="Strong"/>
          <w:rFonts w:cstheme="minorHAnsi"/>
          <w:b w:val="0"/>
          <w:bdr w:val="none" w:sz="0" w:space="0" w:color="auto" w:frame="1"/>
        </w:rPr>
        <w:t xml:space="preserve">Abuse; </w:t>
      </w:r>
      <w:r w:rsidR="006E6429" w:rsidRPr="008C181A">
        <w:rPr>
          <w:rStyle w:val="Strong"/>
          <w:rFonts w:cstheme="minorHAnsi"/>
          <w:b w:val="0"/>
          <w:bdr w:val="none" w:sz="0" w:space="0" w:color="auto" w:frame="1"/>
        </w:rPr>
        <w:t xml:space="preserve">care quality, </w:t>
      </w:r>
      <w:r w:rsidRPr="008C181A">
        <w:rPr>
          <w:rStyle w:val="Strong"/>
          <w:rFonts w:cstheme="minorHAnsi"/>
          <w:b w:val="0"/>
          <w:bdr w:val="none" w:sz="0" w:space="0" w:color="auto" w:frame="1"/>
        </w:rPr>
        <w:t>intellectual disabilities, developmental disabilities; systematic review</w:t>
      </w:r>
    </w:p>
    <w:p w14:paraId="52857D2E" w14:textId="1F95F885" w:rsidR="00396B7A" w:rsidRPr="008C181A" w:rsidRDefault="00396B7A" w:rsidP="00F83335">
      <w:pPr>
        <w:spacing w:after="0" w:line="480" w:lineRule="auto"/>
        <w:jc w:val="center"/>
        <w:rPr>
          <w:rStyle w:val="Strong"/>
          <w:rFonts w:cstheme="minorHAnsi"/>
          <w:bCs w:val="0"/>
          <w:bdr w:val="none" w:sz="0" w:space="0" w:color="auto" w:frame="1"/>
        </w:rPr>
      </w:pPr>
      <w:r w:rsidRPr="008C181A">
        <w:rPr>
          <w:rStyle w:val="Strong"/>
          <w:rFonts w:cstheme="minorHAnsi"/>
          <w:bCs w:val="0"/>
          <w:bdr w:val="none" w:sz="0" w:space="0" w:color="auto" w:frame="1"/>
        </w:rPr>
        <w:lastRenderedPageBreak/>
        <w:t>Introduction</w:t>
      </w:r>
    </w:p>
    <w:p w14:paraId="0EF8F47E" w14:textId="0ABABFEF" w:rsidR="00101939" w:rsidRPr="008C181A" w:rsidRDefault="0053267D" w:rsidP="004D4724">
      <w:pPr>
        <w:autoSpaceDE w:val="0"/>
        <w:autoSpaceDN w:val="0"/>
        <w:adjustRightInd w:val="0"/>
        <w:spacing w:after="0" w:line="480" w:lineRule="auto"/>
        <w:ind w:firstLine="720"/>
        <w:rPr>
          <w:rFonts w:cstheme="minorHAnsi"/>
          <w:lang w:val="en-US"/>
        </w:rPr>
      </w:pPr>
      <w:bookmarkStart w:id="0" w:name="_Hlk68607807"/>
      <w:r w:rsidRPr="008C181A">
        <w:rPr>
          <w:rFonts w:cstheme="minorHAnsi"/>
        </w:rPr>
        <w:t>Abuse is defined as ‘a violation of an individual’s human and civil rights by any other person or persons’</w:t>
      </w:r>
      <w:r w:rsidR="00614C6C" w:rsidRPr="008C181A">
        <w:rPr>
          <w:rFonts w:cstheme="minorHAnsi"/>
        </w:rPr>
        <w:t>,</w:t>
      </w:r>
      <w:r w:rsidRPr="008C181A">
        <w:rPr>
          <w:rFonts w:cstheme="minorHAnsi"/>
        </w:rPr>
        <w:t xml:space="preserve"> and </w:t>
      </w:r>
      <w:r w:rsidR="00614C6C" w:rsidRPr="008C181A">
        <w:rPr>
          <w:rFonts w:cstheme="minorHAnsi"/>
        </w:rPr>
        <w:t xml:space="preserve">it </w:t>
      </w:r>
      <w:r w:rsidRPr="008C181A">
        <w:rPr>
          <w:rFonts w:cstheme="minorHAnsi"/>
        </w:rPr>
        <w:t>can include</w:t>
      </w:r>
      <w:r w:rsidRPr="008C181A">
        <w:rPr>
          <w:rFonts w:cstheme="minorHAnsi"/>
          <w:lang w:val="en-US"/>
        </w:rPr>
        <w:t xml:space="preserve"> physical, psychological,</w:t>
      </w:r>
      <w:r w:rsidR="00FB1BAB" w:rsidRPr="008C181A">
        <w:rPr>
          <w:rFonts w:cstheme="minorHAnsi"/>
          <w:lang w:val="en-US"/>
        </w:rPr>
        <w:t xml:space="preserve"> or</w:t>
      </w:r>
      <w:r w:rsidRPr="008C181A">
        <w:rPr>
          <w:rFonts w:cstheme="minorHAnsi"/>
          <w:lang w:val="en-US"/>
        </w:rPr>
        <w:t xml:space="preserve"> sexual</w:t>
      </w:r>
      <w:r w:rsidR="00FB1BAB" w:rsidRPr="008C181A">
        <w:rPr>
          <w:rFonts w:cstheme="minorHAnsi"/>
          <w:lang w:val="en-US"/>
        </w:rPr>
        <w:t xml:space="preserve"> abuse</w:t>
      </w:r>
      <w:r w:rsidRPr="008C181A">
        <w:rPr>
          <w:rFonts w:cstheme="minorHAnsi"/>
          <w:lang w:val="en-US"/>
        </w:rPr>
        <w:t>, neglect or financial exploitation</w:t>
      </w:r>
      <w:r w:rsidRPr="008C181A">
        <w:rPr>
          <w:rFonts w:cstheme="minorHAnsi"/>
        </w:rPr>
        <w:t xml:space="preserve"> (Department of Health &amp; Home Office, 2000).</w:t>
      </w:r>
      <w:r w:rsidRPr="008C181A">
        <w:rPr>
          <w:rFonts w:cstheme="minorHAnsi"/>
          <w:lang w:val="en-US"/>
        </w:rPr>
        <w:t xml:space="preserve"> </w:t>
      </w:r>
      <w:r w:rsidR="002725A5" w:rsidRPr="008C181A">
        <w:rPr>
          <w:rFonts w:cstheme="minorHAnsi"/>
          <w:lang w:val="en-US"/>
        </w:rPr>
        <w:t xml:space="preserve">For the purposes of this review, the term abuse will also be used to refer to </w:t>
      </w:r>
      <w:r w:rsidR="00F32BB8" w:rsidRPr="008C181A">
        <w:rPr>
          <w:rFonts w:cstheme="minorHAnsi"/>
          <w:shd w:val="clear" w:color="auto" w:fill="FFFFFF"/>
        </w:rPr>
        <w:t xml:space="preserve">institutional/organisational </w:t>
      </w:r>
      <w:r w:rsidR="002725A5" w:rsidRPr="008C181A">
        <w:rPr>
          <w:rFonts w:cstheme="minorHAnsi"/>
          <w:shd w:val="clear" w:color="auto" w:fill="FFFFFF"/>
        </w:rPr>
        <w:t xml:space="preserve">abuse </w:t>
      </w:r>
      <w:r w:rsidR="00F32BB8" w:rsidRPr="008C181A">
        <w:rPr>
          <w:rFonts w:cstheme="minorHAnsi"/>
          <w:shd w:val="clear" w:color="auto" w:fill="FFFFFF"/>
        </w:rPr>
        <w:t>in the form of neglect, mistreatment, and loss of dignity</w:t>
      </w:r>
      <w:r w:rsidR="00F32BB8" w:rsidRPr="008C181A">
        <w:rPr>
          <w:rFonts w:cstheme="minorHAnsi"/>
          <w:lang w:val="en-US"/>
        </w:rPr>
        <w:t xml:space="preserve">. </w:t>
      </w:r>
      <w:bookmarkEnd w:id="0"/>
      <w:r w:rsidR="00F15EEC" w:rsidRPr="008C181A">
        <w:rPr>
          <w:lang w:val="en-US"/>
        </w:rPr>
        <w:t>The</w:t>
      </w:r>
      <w:r w:rsidR="00590300" w:rsidRPr="008C181A">
        <w:rPr>
          <w:lang w:val="en-US"/>
        </w:rPr>
        <w:t xml:space="preserve"> </w:t>
      </w:r>
      <w:r w:rsidR="00996935" w:rsidRPr="008C181A">
        <w:rPr>
          <w:lang w:val="en-US"/>
        </w:rPr>
        <w:t>high prevalence of abuse of people with intellectual disabilities is well</w:t>
      </w:r>
      <w:r w:rsidRPr="008C181A">
        <w:rPr>
          <w:lang w:val="en-US"/>
        </w:rPr>
        <w:t>-</w:t>
      </w:r>
      <w:r w:rsidR="00996935" w:rsidRPr="008C181A">
        <w:rPr>
          <w:lang w:val="en-US"/>
        </w:rPr>
        <w:t>established</w:t>
      </w:r>
      <w:r w:rsidRPr="008C181A">
        <w:rPr>
          <w:lang w:val="en-US"/>
        </w:rPr>
        <w:t xml:space="preserve">, and has been documented in research from many countries, and not confined to particular cultures </w:t>
      </w:r>
      <w:r w:rsidR="00996935" w:rsidRPr="008C181A">
        <w:rPr>
          <w:lang w:val="en-US"/>
        </w:rPr>
        <w:t>(</w:t>
      </w:r>
      <w:r w:rsidR="00557C48" w:rsidRPr="008C181A">
        <w:rPr>
          <w:lang w:val="en-US"/>
        </w:rPr>
        <w:t xml:space="preserve">e.g., </w:t>
      </w:r>
      <w:r w:rsidR="00996935" w:rsidRPr="008C181A">
        <w:rPr>
          <w:lang w:val="en-US"/>
        </w:rPr>
        <w:t>Baladerian</w:t>
      </w:r>
      <w:r w:rsidR="00883456" w:rsidRPr="008C181A">
        <w:rPr>
          <w:lang w:val="en-US"/>
        </w:rPr>
        <w:t xml:space="preserve"> et al.,</w:t>
      </w:r>
      <w:r w:rsidR="00996935" w:rsidRPr="008C181A">
        <w:rPr>
          <w:rFonts w:cstheme="minorHAnsi"/>
          <w:lang w:val="en-US"/>
        </w:rPr>
        <w:t xml:space="preserve"> 2013; </w:t>
      </w:r>
      <w:r w:rsidR="00634486" w:rsidRPr="008C181A">
        <w:rPr>
          <w:lang w:val="en-US"/>
        </w:rPr>
        <w:t xml:space="preserve">Brown and Stein, 1998; </w:t>
      </w:r>
      <w:r w:rsidR="00634486" w:rsidRPr="008C181A">
        <w:rPr>
          <w:rFonts w:cstheme="minorHAnsi"/>
          <w:lang w:val="en-US"/>
        </w:rPr>
        <w:t xml:space="preserve">Horner-Johnson &amp; Drum, 2006; </w:t>
      </w:r>
      <w:r w:rsidR="00996935" w:rsidRPr="008C181A">
        <w:rPr>
          <w:rFonts w:cstheme="minorHAnsi"/>
          <w:lang w:val="en-US"/>
        </w:rPr>
        <w:t>Wacker</w:t>
      </w:r>
      <w:r w:rsidR="00883456" w:rsidRPr="008C181A">
        <w:rPr>
          <w:rFonts w:cstheme="minorHAnsi"/>
          <w:lang w:val="en-US"/>
        </w:rPr>
        <w:t xml:space="preserve"> et al.</w:t>
      </w:r>
      <w:r w:rsidR="00996935" w:rsidRPr="008C181A">
        <w:rPr>
          <w:rFonts w:cstheme="minorHAnsi"/>
          <w:lang w:val="en-US"/>
        </w:rPr>
        <w:t xml:space="preserve">, 2008). </w:t>
      </w:r>
      <w:r w:rsidR="001F51E5" w:rsidRPr="008C181A">
        <w:rPr>
          <w:rFonts w:cstheme="minorHAnsi"/>
          <w:lang w:val="en-US"/>
        </w:rPr>
        <w:t xml:space="preserve">In </w:t>
      </w:r>
      <w:r w:rsidR="00F651F2" w:rsidRPr="008C181A">
        <w:rPr>
          <w:rFonts w:cstheme="minorHAnsi"/>
          <w:lang w:val="en-US"/>
        </w:rPr>
        <w:t>one example</w:t>
      </w:r>
      <w:r w:rsidRPr="008C181A">
        <w:rPr>
          <w:rFonts w:cstheme="minorHAnsi"/>
          <w:lang w:val="en-US"/>
        </w:rPr>
        <w:t>, b</w:t>
      </w:r>
      <w:r w:rsidR="00CE4573" w:rsidRPr="008C181A">
        <w:rPr>
          <w:rFonts w:cstheme="minorHAnsi"/>
          <w:lang w:val="en-US"/>
        </w:rPr>
        <w:t xml:space="preserve">etween 1998 and 2005, </w:t>
      </w:r>
      <w:r w:rsidR="00590300" w:rsidRPr="008C181A">
        <w:rPr>
          <w:rFonts w:cstheme="minorHAnsi"/>
          <w:lang w:val="en-US"/>
        </w:rPr>
        <w:t>people</w:t>
      </w:r>
      <w:r w:rsidR="00FB2D1E" w:rsidRPr="008C181A">
        <w:rPr>
          <w:rFonts w:cstheme="minorHAnsi"/>
          <w:lang w:val="en-US"/>
        </w:rPr>
        <w:t xml:space="preserve"> with intellectual disabilities accounted for just under a third (32%) of adult protection referrals </w:t>
      </w:r>
      <w:r w:rsidRPr="008C181A">
        <w:rPr>
          <w:rFonts w:cstheme="minorHAnsi"/>
          <w:lang w:val="en-US"/>
        </w:rPr>
        <w:t xml:space="preserve">in two counties of England, </w:t>
      </w:r>
      <w:r w:rsidR="001F51E5" w:rsidRPr="008C181A">
        <w:rPr>
          <w:rFonts w:cstheme="minorHAnsi"/>
          <w:lang w:val="en-US"/>
        </w:rPr>
        <w:t>although they were</w:t>
      </w:r>
      <w:r w:rsidRPr="008C181A">
        <w:rPr>
          <w:rFonts w:cstheme="minorHAnsi"/>
          <w:lang w:val="en-US"/>
        </w:rPr>
        <w:t xml:space="preserve"> numerically only around 2% of the population </w:t>
      </w:r>
      <w:r w:rsidR="00FB2D1E" w:rsidRPr="008C181A">
        <w:rPr>
          <w:rFonts w:cstheme="minorHAnsi"/>
          <w:lang w:val="en-US"/>
        </w:rPr>
        <w:t>(Beadle-Brown et al.,</w:t>
      </w:r>
      <w:r w:rsidR="00AA0A4F" w:rsidRPr="008C181A">
        <w:rPr>
          <w:rFonts w:cstheme="minorHAnsi"/>
          <w:lang w:val="en-US"/>
        </w:rPr>
        <w:t xml:space="preserve"> </w:t>
      </w:r>
      <w:r w:rsidR="00FB2D1E" w:rsidRPr="008C181A">
        <w:rPr>
          <w:rFonts w:cstheme="minorHAnsi"/>
          <w:lang w:val="en-US"/>
        </w:rPr>
        <w:t>2010</w:t>
      </w:r>
      <w:r w:rsidR="00883456" w:rsidRPr="008C181A">
        <w:rPr>
          <w:rFonts w:cstheme="minorHAnsi"/>
          <w:lang w:val="en-US"/>
        </w:rPr>
        <w:t>; Mansell et al., 2009</w:t>
      </w:r>
      <w:r w:rsidR="00FB2D1E" w:rsidRPr="008C181A">
        <w:rPr>
          <w:rFonts w:cstheme="minorHAnsi"/>
          <w:lang w:val="en-US"/>
        </w:rPr>
        <w:t>)</w:t>
      </w:r>
      <w:r w:rsidR="00E32881" w:rsidRPr="008C181A">
        <w:rPr>
          <w:rFonts w:cstheme="minorHAnsi"/>
          <w:lang w:val="en-US"/>
        </w:rPr>
        <w:t>.</w:t>
      </w:r>
      <w:r w:rsidR="00C867F8" w:rsidRPr="008C181A">
        <w:rPr>
          <w:rFonts w:cstheme="minorHAnsi"/>
          <w:lang w:val="en-US"/>
        </w:rPr>
        <w:t xml:space="preserve"> </w:t>
      </w:r>
      <w:r w:rsidR="008F4C74" w:rsidRPr="008C181A">
        <w:rPr>
          <w:rFonts w:cstheme="minorHAnsi"/>
          <w:lang w:val="en-US"/>
        </w:rPr>
        <w:t>People</w:t>
      </w:r>
      <w:r w:rsidR="00101939" w:rsidRPr="008C181A">
        <w:t xml:space="preserve"> with intellectual and other developmental disabilities may experience abuse in community setting</w:t>
      </w:r>
      <w:r w:rsidR="00311B61" w:rsidRPr="008C181A">
        <w:t>s</w:t>
      </w:r>
      <w:r w:rsidR="00101939" w:rsidRPr="008C181A">
        <w:t xml:space="preserve"> </w:t>
      </w:r>
      <w:r w:rsidR="00D35187" w:rsidRPr="008C181A">
        <w:t>and</w:t>
      </w:r>
      <w:r w:rsidR="00101939" w:rsidRPr="008C181A">
        <w:t xml:space="preserve"> in institutional setting</w:t>
      </w:r>
      <w:r w:rsidR="00D35187" w:rsidRPr="008C181A">
        <w:t>s</w:t>
      </w:r>
      <w:r w:rsidR="00101939" w:rsidRPr="008C181A">
        <w:t>. This review will focus on abuse in care settings</w:t>
      </w:r>
      <w:r w:rsidR="008F4C74" w:rsidRPr="008C181A">
        <w:t>, inclusive of</w:t>
      </w:r>
      <w:r w:rsidR="00101939" w:rsidRPr="008C181A">
        <w:t xml:space="preserve"> supported accommodation, residential or nursing units, and hospital inpatient services.</w:t>
      </w:r>
    </w:p>
    <w:p w14:paraId="49431C9A" w14:textId="7B2187E6" w:rsidR="004D4724" w:rsidRPr="008C181A" w:rsidRDefault="004D4724" w:rsidP="004D4724">
      <w:pPr>
        <w:autoSpaceDE w:val="0"/>
        <w:autoSpaceDN w:val="0"/>
        <w:adjustRightInd w:val="0"/>
        <w:spacing w:after="0" w:line="480" w:lineRule="auto"/>
        <w:rPr>
          <w:rFonts w:cstheme="minorHAnsi"/>
          <w:lang w:val="en-US"/>
        </w:rPr>
      </w:pPr>
    </w:p>
    <w:p w14:paraId="50678634" w14:textId="3B26951E" w:rsidR="004D4724" w:rsidRPr="008C181A" w:rsidRDefault="004D4724" w:rsidP="004D4724">
      <w:pPr>
        <w:autoSpaceDE w:val="0"/>
        <w:autoSpaceDN w:val="0"/>
        <w:adjustRightInd w:val="0"/>
        <w:spacing w:after="0" w:line="480" w:lineRule="auto"/>
        <w:rPr>
          <w:rFonts w:cstheme="minorHAnsi"/>
          <w:b/>
          <w:bCs/>
        </w:rPr>
      </w:pPr>
      <w:r w:rsidRPr="008C181A">
        <w:rPr>
          <w:rFonts w:cstheme="minorHAnsi"/>
          <w:b/>
          <w:bCs/>
        </w:rPr>
        <w:t>Prevalence of abuse</w:t>
      </w:r>
    </w:p>
    <w:p w14:paraId="7AF909EF" w14:textId="2D877934" w:rsidR="008524C7" w:rsidRPr="008C181A" w:rsidRDefault="001A7776" w:rsidP="00CB7613">
      <w:pPr>
        <w:spacing w:after="0" w:line="480" w:lineRule="auto"/>
        <w:ind w:firstLine="720"/>
      </w:pPr>
      <w:bookmarkStart w:id="1" w:name="_Hlk68603878"/>
      <w:r w:rsidRPr="008C181A">
        <w:t>A</w:t>
      </w:r>
      <w:r w:rsidR="00311B61" w:rsidRPr="008C181A">
        <w:t xml:space="preserve"> variety of studies of a</w:t>
      </w:r>
      <w:r w:rsidRPr="008C181A">
        <w:t>dults with intellectual disabilities</w:t>
      </w:r>
      <w:r w:rsidR="00311B61" w:rsidRPr="008C181A">
        <w:t xml:space="preserve"> suggest that they</w:t>
      </w:r>
      <w:r w:rsidRPr="008C181A">
        <w:t xml:space="preserve"> </w:t>
      </w:r>
      <w:r w:rsidR="00311B61" w:rsidRPr="008C181A">
        <w:t xml:space="preserve">are </w:t>
      </w:r>
      <w:r w:rsidRPr="008C181A">
        <w:t>particularly vulnerable to becoming victims of abuse and neglect (Hughes et al., 2012)</w:t>
      </w:r>
      <w:bookmarkEnd w:id="1"/>
      <w:r w:rsidR="00551E5C" w:rsidRPr="008C181A">
        <w:rPr>
          <w:rFonts w:cstheme="minorHAnsi"/>
          <w:lang w:val="en-US"/>
        </w:rPr>
        <w:t>,</w:t>
      </w:r>
      <w:r w:rsidRPr="008C181A">
        <w:rPr>
          <w:rFonts w:cstheme="minorHAnsi"/>
          <w:lang w:val="en-US"/>
        </w:rPr>
        <w:t xml:space="preserve"> </w:t>
      </w:r>
      <w:r w:rsidR="00551E5C" w:rsidRPr="008C181A">
        <w:rPr>
          <w:rFonts w:cstheme="minorHAnsi"/>
          <w:lang w:val="en-US"/>
        </w:rPr>
        <w:t xml:space="preserve">though due to the variability of </w:t>
      </w:r>
      <w:r w:rsidR="00AA0A4F" w:rsidRPr="008C181A">
        <w:rPr>
          <w:rFonts w:cstheme="minorHAnsi"/>
          <w:lang w:val="en-US"/>
        </w:rPr>
        <w:t xml:space="preserve">methods of interviewing, </w:t>
      </w:r>
      <w:r w:rsidR="007369BF" w:rsidRPr="008C181A">
        <w:rPr>
          <w:rFonts w:cstheme="minorHAnsi"/>
          <w:lang w:val="en-US"/>
        </w:rPr>
        <w:t>definitions</w:t>
      </w:r>
      <w:r w:rsidR="00311B61" w:rsidRPr="008C181A">
        <w:rPr>
          <w:rFonts w:cstheme="minorHAnsi"/>
          <w:lang w:val="en-US"/>
        </w:rPr>
        <w:t xml:space="preserve"> of abuse</w:t>
      </w:r>
      <w:r w:rsidR="00551E5C" w:rsidRPr="008C181A">
        <w:rPr>
          <w:rFonts w:cstheme="minorHAnsi"/>
          <w:lang w:val="en-US"/>
        </w:rPr>
        <w:t>,</w:t>
      </w:r>
      <w:r w:rsidR="007369BF" w:rsidRPr="008C181A">
        <w:rPr>
          <w:rFonts w:cstheme="minorHAnsi"/>
          <w:lang w:val="en-US"/>
        </w:rPr>
        <w:t xml:space="preserve"> </w:t>
      </w:r>
      <w:r w:rsidR="008F4C74" w:rsidRPr="008C181A">
        <w:rPr>
          <w:rFonts w:cstheme="minorHAnsi"/>
          <w:lang w:val="en-US"/>
        </w:rPr>
        <w:t xml:space="preserve">and </w:t>
      </w:r>
      <w:r w:rsidR="007369BF" w:rsidRPr="008C181A">
        <w:rPr>
          <w:rFonts w:cstheme="minorHAnsi"/>
          <w:lang w:val="en-US"/>
        </w:rPr>
        <w:t>sample group</w:t>
      </w:r>
      <w:r w:rsidR="00551E5C" w:rsidRPr="008C181A">
        <w:rPr>
          <w:rFonts w:cstheme="minorHAnsi"/>
          <w:lang w:val="en-US"/>
        </w:rPr>
        <w:t>s</w:t>
      </w:r>
      <w:r w:rsidR="008F4C74" w:rsidRPr="008C181A">
        <w:rPr>
          <w:rFonts w:cstheme="minorHAnsi"/>
          <w:lang w:val="en-US"/>
        </w:rPr>
        <w:t xml:space="preserve">, </w:t>
      </w:r>
      <w:r w:rsidR="007369BF" w:rsidRPr="008C181A">
        <w:rPr>
          <w:rFonts w:cstheme="minorHAnsi"/>
          <w:lang w:val="en-US"/>
        </w:rPr>
        <w:t xml:space="preserve">the proportion of those who have experienced </w:t>
      </w:r>
      <w:r w:rsidRPr="008C181A">
        <w:rPr>
          <w:rFonts w:cstheme="minorHAnsi"/>
          <w:lang w:val="en-US"/>
        </w:rPr>
        <w:t xml:space="preserve">different types of </w:t>
      </w:r>
      <w:r w:rsidR="003E624E" w:rsidRPr="008C181A">
        <w:rPr>
          <w:rFonts w:cstheme="minorHAnsi"/>
          <w:lang w:val="en-US"/>
        </w:rPr>
        <w:t xml:space="preserve">abuse varies widely. </w:t>
      </w:r>
      <w:r w:rsidR="00207989" w:rsidRPr="008C181A">
        <w:rPr>
          <w:rFonts w:cstheme="minorHAnsi"/>
          <w:lang w:val="en-US"/>
        </w:rPr>
        <w:t xml:space="preserve">For example, </w:t>
      </w:r>
      <w:r w:rsidR="001F51E5" w:rsidRPr="008C181A">
        <w:rPr>
          <w:rFonts w:cstheme="minorHAnsi"/>
          <w:lang w:val="en-US"/>
        </w:rPr>
        <w:t>depending on these variables</w:t>
      </w:r>
      <w:r w:rsidR="00AA0A4F" w:rsidRPr="008C181A">
        <w:rPr>
          <w:rFonts w:cstheme="minorHAnsi"/>
          <w:lang w:val="en-US"/>
        </w:rPr>
        <w:t>,</w:t>
      </w:r>
      <w:r w:rsidR="001F51E5" w:rsidRPr="008C181A">
        <w:rPr>
          <w:rFonts w:cstheme="minorHAnsi"/>
          <w:lang w:val="en-US"/>
        </w:rPr>
        <w:t xml:space="preserve"> </w:t>
      </w:r>
      <w:r w:rsidR="00207989" w:rsidRPr="008C181A">
        <w:rPr>
          <w:rFonts w:cstheme="minorHAnsi"/>
          <w:lang w:val="en-US"/>
        </w:rPr>
        <w:t>p</w:t>
      </w:r>
      <w:r w:rsidR="003E624E" w:rsidRPr="008C181A">
        <w:rPr>
          <w:rFonts w:cstheme="minorHAnsi"/>
          <w:lang w:val="en-US"/>
        </w:rPr>
        <w:t>revalence of s</w:t>
      </w:r>
      <w:r w:rsidR="007369BF" w:rsidRPr="008C181A">
        <w:rPr>
          <w:rFonts w:cstheme="minorHAnsi"/>
          <w:lang w:val="en-US"/>
        </w:rPr>
        <w:t xml:space="preserve">exual </w:t>
      </w:r>
      <w:r w:rsidR="00241D25" w:rsidRPr="008C181A">
        <w:rPr>
          <w:rFonts w:cstheme="minorHAnsi"/>
          <w:lang w:val="en-US"/>
        </w:rPr>
        <w:t>abuse</w:t>
      </w:r>
      <w:r w:rsidR="003E624E" w:rsidRPr="008C181A">
        <w:rPr>
          <w:rFonts w:cstheme="minorHAnsi"/>
          <w:lang w:val="en-US"/>
        </w:rPr>
        <w:t xml:space="preserve"> experienced by adults with intellectual disabilities</w:t>
      </w:r>
      <w:r w:rsidR="007369BF" w:rsidRPr="008C181A">
        <w:rPr>
          <w:rFonts w:cstheme="minorHAnsi"/>
          <w:lang w:val="en-US"/>
        </w:rPr>
        <w:t xml:space="preserve"> is estimated to range </w:t>
      </w:r>
      <w:r w:rsidR="007D171B" w:rsidRPr="008C181A">
        <w:rPr>
          <w:rFonts w:cstheme="minorHAnsi"/>
          <w:lang w:val="en-US"/>
        </w:rPr>
        <w:t>between</w:t>
      </w:r>
      <w:r w:rsidR="007369BF" w:rsidRPr="008C181A">
        <w:rPr>
          <w:rFonts w:cstheme="minorHAnsi"/>
          <w:lang w:val="en-US"/>
        </w:rPr>
        <w:t xml:space="preserve"> 10% </w:t>
      </w:r>
      <w:r w:rsidR="007D171B" w:rsidRPr="008C181A">
        <w:rPr>
          <w:rFonts w:cstheme="minorHAnsi"/>
          <w:lang w:val="en-US"/>
        </w:rPr>
        <w:t>and</w:t>
      </w:r>
      <w:r w:rsidR="007369BF" w:rsidRPr="008C181A">
        <w:rPr>
          <w:rFonts w:cstheme="minorHAnsi"/>
          <w:lang w:val="en-US"/>
        </w:rPr>
        <w:t xml:space="preserve"> 80%</w:t>
      </w:r>
      <w:r w:rsidR="001A10AF" w:rsidRPr="008C181A">
        <w:rPr>
          <w:rFonts w:cstheme="minorHAnsi"/>
          <w:lang w:val="en-US"/>
        </w:rPr>
        <w:t xml:space="preserve"> (</w:t>
      </w:r>
      <w:r w:rsidR="0059661D" w:rsidRPr="008C181A">
        <w:rPr>
          <w:rFonts w:cstheme="minorHAnsi"/>
          <w:lang w:val="en-US"/>
        </w:rPr>
        <w:t xml:space="preserve">e.g., </w:t>
      </w:r>
      <w:r w:rsidR="001A10AF" w:rsidRPr="008C181A">
        <w:rPr>
          <w:rFonts w:cstheme="minorHAnsi"/>
          <w:lang w:val="en-US"/>
        </w:rPr>
        <w:t>Turk &amp; Brown, 1993; McCabe</w:t>
      </w:r>
      <w:r w:rsidR="00EE7AA6" w:rsidRPr="008C181A">
        <w:rPr>
          <w:rFonts w:cstheme="minorHAnsi"/>
          <w:lang w:val="en-US"/>
        </w:rPr>
        <w:t xml:space="preserve"> et al.,</w:t>
      </w:r>
      <w:r w:rsidR="001A10AF" w:rsidRPr="008C181A">
        <w:rPr>
          <w:rFonts w:cstheme="minorHAnsi"/>
          <w:lang w:val="en-US"/>
        </w:rPr>
        <w:t xml:space="preserve"> 1994; McCabe &amp; Cummins, 1996; McCarthy </w:t>
      </w:r>
      <w:r w:rsidR="00CE4573" w:rsidRPr="008C181A">
        <w:rPr>
          <w:rFonts w:cstheme="minorHAnsi"/>
          <w:lang w:val="en-US"/>
        </w:rPr>
        <w:t>&amp;</w:t>
      </w:r>
      <w:r w:rsidR="001A10AF" w:rsidRPr="008C181A">
        <w:rPr>
          <w:rFonts w:cstheme="minorHAnsi"/>
          <w:lang w:val="en-US"/>
        </w:rPr>
        <w:t xml:space="preserve"> Thompson</w:t>
      </w:r>
      <w:r w:rsidR="0059661D" w:rsidRPr="008C181A">
        <w:rPr>
          <w:rFonts w:cstheme="minorHAnsi"/>
          <w:lang w:val="en-US"/>
        </w:rPr>
        <w:t>,</w:t>
      </w:r>
      <w:r w:rsidR="001A10AF" w:rsidRPr="008C181A">
        <w:rPr>
          <w:rFonts w:cstheme="minorHAnsi"/>
          <w:lang w:val="en-US"/>
        </w:rPr>
        <w:t xml:space="preserve"> 1997</w:t>
      </w:r>
      <w:r w:rsidR="007369BF" w:rsidRPr="008C181A">
        <w:rPr>
          <w:rFonts w:cstheme="minorHAnsi"/>
          <w:lang w:val="en-US"/>
        </w:rPr>
        <w:t>)</w:t>
      </w:r>
      <w:r w:rsidR="003670C0" w:rsidRPr="008C181A">
        <w:rPr>
          <w:rFonts w:cstheme="minorHAnsi"/>
          <w:lang w:val="en-US"/>
        </w:rPr>
        <w:t xml:space="preserve">. </w:t>
      </w:r>
      <w:r w:rsidR="006D1F0B" w:rsidRPr="008C181A">
        <w:rPr>
          <w:rFonts w:cstheme="minorHAnsi"/>
          <w:lang w:val="en-US"/>
        </w:rPr>
        <w:t>Although p</w:t>
      </w:r>
      <w:r w:rsidR="008524C7" w:rsidRPr="008C181A">
        <w:rPr>
          <w:rFonts w:cstheme="minorHAnsi"/>
          <w:lang w:val="en-US"/>
        </w:rPr>
        <w:t xml:space="preserve">revalence of </w:t>
      </w:r>
      <w:r w:rsidR="00311B61" w:rsidRPr="008C181A">
        <w:rPr>
          <w:rFonts w:cstheme="minorHAnsi"/>
          <w:lang w:val="en-US"/>
        </w:rPr>
        <w:t xml:space="preserve">sexual </w:t>
      </w:r>
      <w:r w:rsidR="008524C7" w:rsidRPr="008C181A">
        <w:rPr>
          <w:rFonts w:cstheme="minorHAnsi"/>
          <w:lang w:val="en-US"/>
        </w:rPr>
        <w:t xml:space="preserve">abuse </w:t>
      </w:r>
      <w:r w:rsidR="00311B61" w:rsidRPr="008C181A">
        <w:rPr>
          <w:rFonts w:cstheme="minorHAnsi"/>
          <w:lang w:val="en-US"/>
        </w:rPr>
        <w:t xml:space="preserve">may </w:t>
      </w:r>
      <w:r w:rsidR="008524C7" w:rsidRPr="008C181A">
        <w:rPr>
          <w:rFonts w:cstheme="minorHAnsi"/>
          <w:lang w:val="en-US"/>
        </w:rPr>
        <w:t>var</w:t>
      </w:r>
      <w:r w:rsidR="00311B61" w:rsidRPr="008C181A">
        <w:rPr>
          <w:rFonts w:cstheme="minorHAnsi"/>
          <w:lang w:val="en-US"/>
        </w:rPr>
        <w:t xml:space="preserve">y </w:t>
      </w:r>
      <w:r w:rsidR="008524C7" w:rsidRPr="008C181A">
        <w:rPr>
          <w:rFonts w:cstheme="minorHAnsi"/>
          <w:lang w:val="en-US"/>
        </w:rPr>
        <w:t xml:space="preserve"> across countries</w:t>
      </w:r>
      <w:r w:rsidR="006D1F0B" w:rsidRPr="008C181A">
        <w:rPr>
          <w:rFonts w:cstheme="minorHAnsi"/>
          <w:lang w:val="en-US"/>
        </w:rPr>
        <w:t>, it</w:t>
      </w:r>
      <w:r w:rsidR="008524C7" w:rsidRPr="008C181A">
        <w:rPr>
          <w:rFonts w:cstheme="minorHAnsi"/>
          <w:lang w:val="en-US"/>
        </w:rPr>
        <w:t xml:space="preserve"> does appear to be a global concern. In a study conducted in </w:t>
      </w:r>
      <w:r w:rsidRPr="008C181A">
        <w:rPr>
          <w:rFonts w:cstheme="minorHAnsi"/>
        </w:rPr>
        <w:t>Taiwan</w:t>
      </w:r>
      <w:r w:rsidR="00D35187" w:rsidRPr="008C181A">
        <w:rPr>
          <w:rFonts w:cstheme="minorHAnsi"/>
        </w:rPr>
        <w:t>,</w:t>
      </w:r>
      <w:r w:rsidR="008524C7" w:rsidRPr="008C181A">
        <w:rPr>
          <w:rFonts w:cstheme="minorHAnsi"/>
        </w:rPr>
        <w:t xml:space="preserve"> </w:t>
      </w:r>
      <w:r w:rsidRPr="008C181A">
        <w:rPr>
          <w:rFonts w:cstheme="minorHAnsi"/>
        </w:rPr>
        <w:t>336 individuals with an intellectual disability</w:t>
      </w:r>
      <w:r w:rsidR="008524C7" w:rsidRPr="008C181A">
        <w:rPr>
          <w:rFonts w:cstheme="minorHAnsi"/>
        </w:rPr>
        <w:t xml:space="preserve"> were interviewed</w:t>
      </w:r>
      <w:r w:rsidR="00D35187" w:rsidRPr="008C181A">
        <w:rPr>
          <w:rFonts w:cstheme="minorHAnsi"/>
        </w:rPr>
        <w:t xml:space="preserve"> and </w:t>
      </w:r>
      <w:r w:rsidRPr="008C181A">
        <w:rPr>
          <w:rFonts w:cstheme="minorHAnsi"/>
        </w:rPr>
        <w:t xml:space="preserve">5.4% reported being sexually abused </w:t>
      </w:r>
      <w:r w:rsidRPr="008C181A">
        <w:rPr>
          <w:rFonts w:cstheme="minorHAnsi"/>
        </w:rPr>
        <w:lastRenderedPageBreak/>
        <w:t xml:space="preserve">(Pan, 2007). Martin et al. (2006) reported that women with disabilities in North Carolina, USA were significantly more likely than women without disabilities to have been sexually assaulted within the past year (1.5% vs. 0.6%, respectively), with sexual assault being most common among women who perceived themselves as having a disability (2.1%) and among women with cognitive impairments (1.7%). </w:t>
      </w:r>
      <w:r w:rsidR="000F2980" w:rsidRPr="008C181A">
        <w:t xml:space="preserve">In another study of 25,756 male and female survey respondents in the USA, Mitra et al. (2011) found that </w:t>
      </w:r>
      <w:r w:rsidR="00311B61" w:rsidRPr="008C181A">
        <w:t xml:space="preserve"> p</w:t>
      </w:r>
      <w:r w:rsidR="000F2980" w:rsidRPr="008C181A">
        <w:t xml:space="preserve">revalence of lifetime sexual violence victimization was 13.9% among men with a disability compared to 3.7% of men without a disability. </w:t>
      </w:r>
      <w:r w:rsidR="006D1F0B" w:rsidRPr="008C181A">
        <w:rPr>
          <w:rFonts w:cstheme="minorHAnsi"/>
        </w:rPr>
        <w:t xml:space="preserve">Moreover, </w:t>
      </w:r>
      <w:r w:rsidR="008524C7" w:rsidRPr="008C181A">
        <w:rPr>
          <w:rFonts w:cstheme="minorHAnsi"/>
        </w:rPr>
        <w:t>higher rates of abuse have been reported elsewhere.</w:t>
      </w:r>
      <w:r w:rsidR="006D1F0B" w:rsidRPr="008C181A">
        <w:rPr>
          <w:rFonts w:cstheme="minorHAnsi"/>
        </w:rPr>
        <w:t xml:space="preserve"> For example,</w:t>
      </w:r>
      <w:r w:rsidR="008524C7" w:rsidRPr="008C181A">
        <w:rPr>
          <w:rFonts w:cstheme="minorHAnsi"/>
        </w:rPr>
        <w:t xml:space="preserve"> </w:t>
      </w:r>
      <w:r w:rsidR="006D1F0B" w:rsidRPr="008C181A">
        <w:rPr>
          <w:rFonts w:cstheme="minorHAnsi"/>
        </w:rPr>
        <w:t>l</w:t>
      </w:r>
      <w:r w:rsidRPr="008C181A">
        <w:rPr>
          <w:rFonts w:cstheme="minorHAnsi"/>
          <w:shd w:val="clear" w:color="auto" w:fill="FFFFFF"/>
        </w:rPr>
        <w:t xml:space="preserve">ifetime prevalence of sexual abuse </w:t>
      </w:r>
      <w:r w:rsidR="008524C7" w:rsidRPr="008C181A">
        <w:rPr>
          <w:rFonts w:cstheme="minorHAnsi"/>
          <w:shd w:val="clear" w:color="auto" w:fill="FFFFFF"/>
        </w:rPr>
        <w:t xml:space="preserve">was </w:t>
      </w:r>
      <w:r w:rsidRPr="008C181A">
        <w:rPr>
          <w:rFonts w:cstheme="minorHAnsi"/>
          <w:shd w:val="clear" w:color="auto" w:fill="FFFFFF"/>
        </w:rPr>
        <w:t>reported as 35% in a sample of 260 adults with intellectual disabilities in Spain (Codina &amp; Pereda, 2021)</w:t>
      </w:r>
      <w:r w:rsidR="008524C7" w:rsidRPr="008C181A">
        <w:rPr>
          <w:rFonts w:cstheme="minorHAnsi"/>
          <w:shd w:val="clear" w:color="auto" w:fill="FFFFFF"/>
        </w:rPr>
        <w:t>.</w:t>
      </w:r>
      <w:r w:rsidR="006D1F0B" w:rsidRPr="008C181A">
        <w:rPr>
          <w:rFonts w:cstheme="minorHAnsi"/>
          <w:shd w:val="clear" w:color="auto" w:fill="FFFFFF"/>
        </w:rPr>
        <w:t xml:space="preserve"> Similarly,</w:t>
      </w:r>
      <w:r w:rsidR="008524C7" w:rsidRPr="008C181A">
        <w:rPr>
          <w:rFonts w:cstheme="minorHAnsi"/>
          <w:shd w:val="clear" w:color="auto" w:fill="FFFFFF"/>
        </w:rPr>
        <w:t xml:space="preserve"> </w:t>
      </w:r>
      <w:r w:rsidR="006D1F0B" w:rsidRPr="008C181A">
        <w:rPr>
          <w:rFonts w:cstheme="minorHAnsi"/>
          <w:shd w:val="clear" w:color="auto" w:fill="FFFFFF"/>
        </w:rPr>
        <w:t>i</w:t>
      </w:r>
      <w:r w:rsidRPr="008C181A">
        <w:rPr>
          <w:rFonts w:cstheme="minorHAnsi"/>
          <w:shd w:val="clear" w:color="auto" w:fill="FFFFFF"/>
        </w:rPr>
        <w:t>n a more recent review conducted by Tom</w:t>
      </w:r>
      <w:r w:rsidR="006D1F0B" w:rsidRPr="008C181A">
        <w:rPr>
          <w:rFonts w:cstheme="minorHAnsi"/>
          <w:shd w:val="clear" w:color="auto" w:fill="FFFFFF"/>
        </w:rPr>
        <w:t>s</w:t>
      </w:r>
      <w:r w:rsidRPr="008C181A">
        <w:rPr>
          <w:rFonts w:cstheme="minorHAnsi"/>
          <w:shd w:val="clear" w:color="auto" w:fill="FFFFFF"/>
        </w:rPr>
        <w:t>a et al (2021)</w:t>
      </w:r>
      <w:r w:rsidR="008524C7" w:rsidRPr="008C181A">
        <w:rPr>
          <w:rFonts w:cstheme="minorHAnsi"/>
          <w:shd w:val="clear" w:color="auto" w:fill="FFFFFF"/>
        </w:rPr>
        <w:t>,</w:t>
      </w:r>
      <w:r w:rsidRPr="008C181A">
        <w:rPr>
          <w:rFonts w:cstheme="minorHAnsi"/>
          <w:shd w:val="clear" w:color="auto" w:fill="FFFFFF"/>
        </w:rPr>
        <w:t xml:space="preserve"> the UK had the highest prevalence of sexual abuse in adults with intellectual disabilities (r = 34.1%)</w:t>
      </w:r>
      <w:r w:rsidR="008524C7" w:rsidRPr="008C181A">
        <w:rPr>
          <w:rFonts w:cstheme="minorHAnsi"/>
          <w:shd w:val="clear" w:color="auto" w:fill="FFFFFF"/>
        </w:rPr>
        <w:t xml:space="preserve">, </w:t>
      </w:r>
      <w:r w:rsidRPr="008C181A">
        <w:rPr>
          <w:rFonts w:cstheme="minorHAnsi"/>
          <w:shd w:val="clear" w:color="auto" w:fill="FFFFFF"/>
        </w:rPr>
        <w:t xml:space="preserve">compared to the lowest level </w:t>
      </w:r>
      <w:r w:rsidR="008F4C74" w:rsidRPr="008C181A">
        <w:rPr>
          <w:rFonts w:cstheme="minorHAnsi"/>
          <w:shd w:val="clear" w:color="auto" w:fill="FFFFFF"/>
        </w:rPr>
        <w:t xml:space="preserve">reported </w:t>
      </w:r>
      <w:r w:rsidRPr="008C181A">
        <w:rPr>
          <w:rFonts w:cstheme="minorHAnsi"/>
          <w:shd w:val="clear" w:color="auto" w:fill="FFFFFF"/>
        </w:rPr>
        <w:t xml:space="preserve">in the USA (r = 15.2%). </w:t>
      </w:r>
    </w:p>
    <w:p w14:paraId="5DC777E3" w14:textId="78F518BE" w:rsidR="000F2980" w:rsidRPr="008C181A" w:rsidRDefault="000F2980" w:rsidP="006D1F0B">
      <w:pPr>
        <w:pStyle w:val="CommentText"/>
        <w:spacing w:after="0" w:line="480" w:lineRule="auto"/>
        <w:ind w:firstLine="720"/>
        <w:rPr>
          <w:rFonts w:cstheme="minorHAnsi"/>
          <w:sz w:val="22"/>
          <w:szCs w:val="22"/>
          <w:shd w:val="clear" w:color="auto" w:fill="FFFFFF"/>
        </w:rPr>
      </w:pPr>
      <w:r w:rsidRPr="008C181A">
        <w:rPr>
          <w:sz w:val="22"/>
          <w:szCs w:val="22"/>
        </w:rPr>
        <w:t xml:space="preserve">Research into other types of abuse (e.g., neglect, physical, psychological, and financial abuse) perpetrated </w:t>
      </w:r>
      <w:r w:rsidR="003A49F5" w:rsidRPr="008C181A">
        <w:rPr>
          <w:sz w:val="22"/>
          <w:szCs w:val="22"/>
        </w:rPr>
        <w:t>against</w:t>
      </w:r>
      <w:r w:rsidRPr="008C181A">
        <w:rPr>
          <w:sz w:val="22"/>
          <w:szCs w:val="22"/>
        </w:rPr>
        <w:t xml:space="preserve"> people with intellectual disabilities is more limited. However, as with sexual abuse, the literature suggests prevalence rates are likely to be higher than for the general population. In a review of five studies conducted in Australia, England, Spain, and the United States relating to the mistreatment of people with intellectual disabilities, Horner-Johnson &amp; Drum (2006) concluded that individuals with intellectual disabilities are typically more likely to have been mistreated than people without disabilities. Powers et al. (2002) found the prevalence of physical abuse amongst 200 women with physical and cognitive disabilities in the USA was as high as 67%. Most recently, </w:t>
      </w:r>
      <w:r w:rsidRPr="008C181A">
        <w:rPr>
          <w:rFonts w:cstheme="minorHAnsi"/>
          <w:sz w:val="22"/>
          <w:szCs w:val="22"/>
          <w:shd w:val="clear" w:color="auto" w:fill="FFFFFF"/>
        </w:rPr>
        <w:t>when comparing the prevalence of physical and sexual violen</w:t>
      </w:r>
      <w:r w:rsidR="008F4C74" w:rsidRPr="008C181A">
        <w:rPr>
          <w:rFonts w:cstheme="minorHAnsi"/>
          <w:sz w:val="22"/>
          <w:szCs w:val="22"/>
          <w:shd w:val="clear" w:color="auto" w:fill="FFFFFF"/>
        </w:rPr>
        <w:t>ce</w:t>
      </w:r>
      <w:r w:rsidRPr="008C181A">
        <w:rPr>
          <w:rFonts w:cstheme="minorHAnsi"/>
          <w:sz w:val="22"/>
          <w:szCs w:val="22"/>
          <w:shd w:val="clear" w:color="auto" w:fill="FFFFFF"/>
        </w:rPr>
        <w:t xml:space="preserve"> against people with disabilities in New Zealand, Malihi et al. (2021) found that more people with disabilities (including physical, intellectual, and psychological) reported </w:t>
      </w:r>
      <w:r w:rsidR="003A49F5" w:rsidRPr="008C181A">
        <w:rPr>
          <w:rFonts w:cstheme="minorHAnsi"/>
          <w:sz w:val="22"/>
          <w:szCs w:val="22"/>
          <w:shd w:val="clear" w:color="auto" w:fill="FFFFFF"/>
        </w:rPr>
        <w:t xml:space="preserve">higher </w:t>
      </w:r>
      <w:r w:rsidRPr="008C181A">
        <w:rPr>
          <w:rFonts w:cstheme="minorHAnsi"/>
          <w:sz w:val="22"/>
          <w:szCs w:val="22"/>
          <w:shd w:val="clear" w:color="auto" w:fill="FFFFFF"/>
        </w:rPr>
        <w:t>non-partner physical and sexual violence experiences, compared to those without disabilities.</w:t>
      </w:r>
    </w:p>
    <w:p w14:paraId="25C36BFA" w14:textId="44C9A435" w:rsidR="000F2980" w:rsidRPr="008C181A" w:rsidRDefault="000F2980" w:rsidP="00CB7613">
      <w:pPr>
        <w:spacing w:after="0" w:line="480" w:lineRule="auto"/>
        <w:ind w:firstLine="720"/>
      </w:pPr>
      <w:r w:rsidRPr="008C181A">
        <w:rPr>
          <w:rFonts w:cstheme="minorHAnsi"/>
        </w:rPr>
        <w:t xml:space="preserve">However, Khalifeh et al. (2013) reporting on the British Crime Survey findings, which included over 45,000 individuals, found no association between </w:t>
      </w:r>
      <w:r w:rsidR="003A49F5" w:rsidRPr="008C181A">
        <w:rPr>
          <w:rFonts w:cstheme="minorHAnsi"/>
        </w:rPr>
        <w:t xml:space="preserve">being a victim of a </w:t>
      </w:r>
      <w:r w:rsidRPr="008C181A">
        <w:rPr>
          <w:rFonts w:cstheme="minorHAnsi"/>
        </w:rPr>
        <w:t>violen</w:t>
      </w:r>
      <w:r w:rsidR="003A49F5" w:rsidRPr="008C181A">
        <w:rPr>
          <w:rFonts w:cstheme="minorHAnsi"/>
        </w:rPr>
        <w:t xml:space="preserve">t assault </w:t>
      </w:r>
      <w:r w:rsidRPr="008C181A">
        <w:rPr>
          <w:rFonts w:cstheme="minorHAnsi"/>
        </w:rPr>
        <w:t xml:space="preserve"> </w:t>
      </w:r>
      <w:r w:rsidRPr="008C181A">
        <w:rPr>
          <w:rFonts w:cstheme="minorHAnsi"/>
        </w:rPr>
        <w:lastRenderedPageBreak/>
        <w:t>and an intellectual disability. However, only 170 had a</w:t>
      </w:r>
      <w:r w:rsidR="006D1F0B" w:rsidRPr="008C181A">
        <w:rPr>
          <w:rFonts w:cstheme="minorHAnsi"/>
        </w:rPr>
        <w:t>n</w:t>
      </w:r>
      <w:r w:rsidRPr="008C181A">
        <w:rPr>
          <w:rFonts w:cstheme="minorHAnsi"/>
        </w:rPr>
        <w:t xml:space="preserve"> intellectual disability and the </w:t>
      </w:r>
      <w:r w:rsidR="006D1F0B" w:rsidRPr="008C181A">
        <w:rPr>
          <w:rFonts w:cstheme="minorHAnsi"/>
        </w:rPr>
        <w:t>data collection techniques (i.e., the length and b</w:t>
      </w:r>
      <w:r w:rsidRPr="008C181A">
        <w:rPr>
          <w:rFonts w:cstheme="minorHAnsi"/>
        </w:rPr>
        <w:t>readth of the interview guide</w:t>
      </w:r>
      <w:r w:rsidR="006D1F0B" w:rsidRPr="008C181A">
        <w:rPr>
          <w:rFonts w:cstheme="minorHAnsi"/>
        </w:rPr>
        <w:t>)</w:t>
      </w:r>
      <w:r w:rsidRPr="008C181A">
        <w:rPr>
          <w:rFonts w:cstheme="minorHAnsi"/>
        </w:rPr>
        <w:t xml:space="preserve"> may have excluded those with an intellectual disability</w:t>
      </w:r>
      <w:r w:rsidR="006D1F0B" w:rsidRPr="008C181A">
        <w:rPr>
          <w:rFonts w:cstheme="minorHAnsi"/>
        </w:rPr>
        <w:t xml:space="preserve"> from taking part</w:t>
      </w:r>
      <w:r w:rsidRPr="008C181A">
        <w:rPr>
          <w:rFonts w:cstheme="minorHAnsi"/>
        </w:rPr>
        <w:t xml:space="preserve">. </w:t>
      </w:r>
      <w:r w:rsidR="003A49F5" w:rsidRPr="008C181A">
        <w:rPr>
          <w:rFonts w:cstheme="minorHAnsi"/>
          <w:lang w:val="en-US"/>
        </w:rPr>
        <w:t xml:space="preserve">Meanwhile, </w:t>
      </w:r>
      <w:r w:rsidRPr="008C181A">
        <w:t>Cambridge et al. (2011</w:t>
      </w:r>
      <w:r w:rsidR="00C45307" w:rsidRPr="008C181A">
        <w:t>a</w:t>
      </w:r>
      <w:r w:rsidRPr="008C181A">
        <w:t>) conducted an audit of adult protection monitoring data</w:t>
      </w:r>
      <w:r w:rsidR="003A49F5" w:rsidRPr="008C181A">
        <w:t xml:space="preserve"> in England</w:t>
      </w:r>
      <w:r w:rsidRPr="008C181A">
        <w:t xml:space="preserve">. Among the 6,148 referrals, 1,857 were for individuals with an intellectual disability. </w:t>
      </w:r>
      <w:r w:rsidR="003A49F5" w:rsidRPr="008C181A">
        <w:t xml:space="preserve"> S</w:t>
      </w:r>
      <w:r w:rsidRPr="008C181A">
        <w:t>exual abuse was subsequently confirmed in just over 26% of th</w:t>
      </w:r>
      <w:r w:rsidR="003A49F5" w:rsidRPr="008C181A">
        <w:t>is</w:t>
      </w:r>
      <w:r w:rsidRPr="008C181A">
        <w:t xml:space="preserve"> sample</w:t>
      </w:r>
      <w:r w:rsidR="003A49F5" w:rsidRPr="008C181A">
        <w:t xml:space="preserve"> and in two-fifths of referrals for alleged sexual abuse related to abuse in residential services.</w:t>
      </w:r>
      <w:r w:rsidRPr="008C181A">
        <w:t xml:space="preserve"> </w:t>
      </w:r>
      <w:r w:rsidR="003A49F5" w:rsidRPr="008C181A">
        <w:rPr>
          <w:rFonts w:cstheme="minorHAnsi"/>
          <w:lang w:val="en-US"/>
        </w:rPr>
        <w:t xml:space="preserve">Mansell et al. (2009) observed that in the UK the incidence of adult protection referrals was continually increasing, which was likely to arise partly from a growing alertness to such issues, and perhaps partly from worsening quality of care (for instance, increased levels of violence in service settings has been reported – Strand et al., 2004). </w:t>
      </w:r>
    </w:p>
    <w:p w14:paraId="40C2D095" w14:textId="233613EC" w:rsidR="00B91E9F" w:rsidRPr="008C181A" w:rsidRDefault="009B4B38" w:rsidP="00CB7613">
      <w:pPr>
        <w:pStyle w:val="Default"/>
        <w:spacing w:line="480" w:lineRule="auto"/>
        <w:ind w:firstLine="720"/>
        <w:rPr>
          <w:rFonts w:asciiTheme="minorHAnsi" w:hAnsiTheme="minorHAnsi" w:cstheme="minorHAnsi"/>
          <w:color w:val="auto"/>
          <w:sz w:val="22"/>
          <w:szCs w:val="22"/>
        </w:rPr>
      </w:pPr>
      <w:r w:rsidRPr="008C181A">
        <w:rPr>
          <w:rFonts w:asciiTheme="minorHAnsi" w:hAnsiTheme="minorHAnsi" w:cstheme="minorHAnsi"/>
          <w:color w:val="auto"/>
          <w:sz w:val="22"/>
          <w:szCs w:val="22"/>
          <w:lang w:val="en-US"/>
        </w:rPr>
        <w:t>Crime statistics</w:t>
      </w:r>
      <w:r w:rsidR="00991FB3" w:rsidRPr="008C181A">
        <w:rPr>
          <w:rFonts w:asciiTheme="minorHAnsi" w:hAnsiTheme="minorHAnsi" w:cstheme="minorHAnsi"/>
          <w:color w:val="auto"/>
          <w:sz w:val="22"/>
          <w:szCs w:val="22"/>
          <w:lang w:val="en-US"/>
        </w:rPr>
        <w:t xml:space="preserve"> may also be used to estimate prevalence of abuse, however </w:t>
      </w:r>
      <w:r w:rsidRPr="008C181A">
        <w:rPr>
          <w:rFonts w:asciiTheme="minorHAnsi" w:hAnsiTheme="minorHAnsi" w:cstheme="minorHAnsi"/>
          <w:color w:val="auto"/>
          <w:sz w:val="22"/>
          <w:szCs w:val="22"/>
          <w:lang w:val="en-US"/>
        </w:rPr>
        <w:t>in most countries</w:t>
      </w:r>
      <w:r w:rsidR="00991FB3" w:rsidRPr="008C181A">
        <w:rPr>
          <w:rFonts w:asciiTheme="minorHAnsi" w:hAnsiTheme="minorHAnsi" w:cstheme="minorHAnsi"/>
          <w:color w:val="auto"/>
          <w:sz w:val="22"/>
          <w:szCs w:val="22"/>
          <w:lang w:val="en-US"/>
        </w:rPr>
        <w:t xml:space="preserve"> they</w:t>
      </w:r>
      <w:r w:rsidRPr="008C181A">
        <w:rPr>
          <w:rFonts w:asciiTheme="minorHAnsi" w:hAnsiTheme="minorHAnsi" w:cstheme="minorHAnsi"/>
          <w:color w:val="auto"/>
          <w:sz w:val="22"/>
          <w:szCs w:val="22"/>
          <w:lang w:val="en-US"/>
        </w:rPr>
        <w:t xml:space="preserve"> do not provide a true reflection of these issues</w:t>
      </w:r>
      <w:r w:rsidR="00991FB3" w:rsidRPr="008C181A">
        <w:rPr>
          <w:rFonts w:asciiTheme="minorHAnsi" w:hAnsiTheme="minorHAnsi" w:cstheme="minorHAnsi"/>
          <w:color w:val="auto"/>
          <w:sz w:val="22"/>
          <w:szCs w:val="22"/>
          <w:lang w:val="en-US"/>
        </w:rPr>
        <w:t xml:space="preserve"> </w:t>
      </w:r>
      <w:r w:rsidRPr="008C181A">
        <w:rPr>
          <w:rFonts w:asciiTheme="minorHAnsi" w:hAnsiTheme="minorHAnsi" w:cstheme="minorHAnsi"/>
          <w:color w:val="auto"/>
          <w:sz w:val="22"/>
          <w:szCs w:val="22"/>
          <w:lang w:val="en-US"/>
        </w:rPr>
        <w:t xml:space="preserve">as relatively few </w:t>
      </w:r>
      <w:r w:rsidR="00295F5B" w:rsidRPr="008C181A">
        <w:rPr>
          <w:rFonts w:asciiTheme="minorHAnsi" w:hAnsiTheme="minorHAnsi" w:cstheme="minorHAnsi"/>
          <w:color w:val="auto"/>
          <w:sz w:val="22"/>
          <w:szCs w:val="22"/>
          <w:lang w:val="en-US"/>
        </w:rPr>
        <w:t xml:space="preserve">such crimes </w:t>
      </w:r>
      <w:r w:rsidRPr="008C181A">
        <w:rPr>
          <w:rFonts w:asciiTheme="minorHAnsi" w:hAnsiTheme="minorHAnsi" w:cstheme="minorHAnsi"/>
          <w:color w:val="auto"/>
          <w:sz w:val="22"/>
          <w:szCs w:val="22"/>
          <w:lang w:val="en-US"/>
        </w:rPr>
        <w:t xml:space="preserve">are reported to the police (for example, Myhill &amp; Allen, 2002, found </w:t>
      </w:r>
      <w:r w:rsidR="00E1260D" w:rsidRPr="008C181A">
        <w:rPr>
          <w:rFonts w:asciiTheme="minorHAnsi" w:hAnsiTheme="minorHAnsi" w:cstheme="minorHAnsi"/>
          <w:color w:val="auto"/>
          <w:sz w:val="22"/>
          <w:szCs w:val="22"/>
          <w:lang w:val="en-US"/>
        </w:rPr>
        <w:t xml:space="preserve">only 18% of incidents of sexual </w:t>
      </w:r>
      <w:r w:rsidR="00241D25" w:rsidRPr="008C181A">
        <w:rPr>
          <w:rFonts w:asciiTheme="minorHAnsi" w:hAnsiTheme="minorHAnsi" w:cstheme="minorHAnsi"/>
          <w:color w:val="auto"/>
          <w:sz w:val="22"/>
          <w:szCs w:val="22"/>
          <w:lang w:val="en-US"/>
        </w:rPr>
        <w:t>abuse</w:t>
      </w:r>
      <w:r w:rsidR="00E1260D" w:rsidRPr="008C181A">
        <w:rPr>
          <w:rFonts w:asciiTheme="minorHAnsi" w:hAnsiTheme="minorHAnsi" w:cstheme="minorHAnsi"/>
          <w:color w:val="auto"/>
          <w:sz w:val="22"/>
          <w:szCs w:val="22"/>
          <w:lang w:val="en-US"/>
        </w:rPr>
        <w:t xml:space="preserve"> </w:t>
      </w:r>
      <w:r w:rsidR="00295F5B" w:rsidRPr="008C181A">
        <w:rPr>
          <w:rFonts w:asciiTheme="minorHAnsi" w:hAnsiTheme="minorHAnsi" w:cstheme="minorHAnsi"/>
          <w:color w:val="auto"/>
          <w:sz w:val="22"/>
          <w:szCs w:val="22"/>
          <w:lang w:val="en-US"/>
        </w:rPr>
        <w:t xml:space="preserve">even in </w:t>
      </w:r>
      <w:r w:rsidR="00082488" w:rsidRPr="008C181A">
        <w:rPr>
          <w:rFonts w:asciiTheme="minorHAnsi" w:hAnsiTheme="minorHAnsi" w:cstheme="minorHAnsi"/>
          <w:color w:val="auto"/>
          <w:sz w:val="22"/>
          <w:szCs w:val="22"/>
          <w:lang w:val="en-US"/>
        </w:rPr>
        <w:t>people without a disability</w:t>
      </w:r>
      <w:r w:rsidR="00295F5B" w:rsidRPr="008C181A">
        <w:rPr>
          <w:rFonts w:asciiTheme="minorHAnsi" w:hAnsiTheme="minorHAnsi" w:cstheme="minorHAnsi"/>
          <w:color w:val="auto"/>
          <w:sz w:val="22"/>
          <w:szCs w:val="22"/>
          <w:lang w:val="en-US"/>
        </w:rPr>
        <w:t xml:space="preserve"> </w:t>
      </w:r>
      <w:r w:rsidRPr="008C181A">
        <w:rPr>
          <w:rFonts w:asciiTheme="minorHAnsi" w:hAnsiTheme="minorHAnsi" w:cstheme="minorHAnsi"/>
          <w:color w:val="auto"/>
          <w:sz w:val="22"/>
          <w:szCs w:val="22"/>
          <w:lang w:val="en-US"/>
        </w:rPr>
        <w:t>we</w:t>
      </w:r>
      <w:r w:rsidR="00E1260D" w:rsidRPr="008C181A">
        <w:rPr>
          <w:rFonts w:asciiTheme="minorHAnsi" w:hAnsiTheme="minorHAnsi" w:cstheme="minorHAnsi"/>
          <w:color w:val="auto"/>
          <w:sz w:val="22"/>
          <w:szCs w:val="22"/>
          <w:lang w:val="en-US"/>
        </w:rPr>
        <w:t>re reported to the police</w:t>
      </w:r>
      <w:r w:rsidR="00590300" w:rsidRPr="008C181A">
        <w:rPr>
          <w:rFonts w:asciiTheme="minorHAnsi" w:hAnsiTheme="minorHAnsi" w:cstheme="minorHAnsi"/>
          <w:color w:val="auto"/>
          <w:sz w:val="22"/>
          <w:szCs w:val="22"/>
          <w:lang w:val="en-US"/>
        </w:rPr>
        <w:t xml:space="preserve"> in England and Wales</w:t>
      </w:r>
      <w:r w:rsidR="00AA0A4F" w:rsidRPr="008C181A">
        <w:rPr>
          <w:rFonts w:asciiTheme="minorHAnsi" w:hAnsiTheme="minorHAnsi" w:cstheme="minorHAnsi"/>
          <w:color w:val="auto"/>
          <w:sz w:val="22"/>
          <w:szCs w:val="22"/>
          <w:lang w:val="en-US"/>
        </w:rPr>
        <w:t xml:space="preserve">, and proportionally fewer reports are likely where victims have </w:t>
      </w:r>
      <w:r w:rsidR="00817F4B" w:rsidRPr="008C181A">
        <w:rPr>
          <w:rFonts w:asciiTheme="minorHAnsi" w:hAnsiTheme="minorHAnsi" w:cstheme="minorHAnsi"/>
          <w:color w:val="auto"/>
          <w:sz w:val="22"/>
          <w:szCs w:val="22"/>
          <w:lang w:val="en-US"/>
        </w:rPr>
        <w:t>intellectual and other developmental disabilities</w:t>
      </w:r>
      <w:r w:rsidR="00AA0A4F" w:rsidRPr="008C181A">
        <w:rPr>
          <w:rFonts w:asciiTheme="minorHAnsi" w:hAnsiTheme="minorHAnsi" w:cstheme="minorHAnsi"/>
          <w:color w:val="auto"/>
          <w:sz w:val="22"/>
          <w:szCs w:val="22"/>
          <w:lang w:val="en-US"/>
        </w:rPr>
        <w:t>)</w:t>
      </w:r>
      <w:r w:rsidR="00E1260D" w:rsidRPr="008C181A">
        <w:rPr>
          <w:rFonts w:asciiTheme="minorHAnsi" w:hAnsiTheme="minorHAnsi" w:cstheme="minorHAnsi"/>
          <w:color w:val="auto"/>
          <w:sz w:val="22"/>
          <w:szCs w:val="22"/>
          <w:lang w:val="en-US"/>
        </w:rPr>
        <w:t xml:space="preserve">. Therefore, the actual incidence of abuse is likely to be </w:t>
      </w:r>
      <w:r w:rsidR="003A49F5" w:rsidRPr="008C181A">
        <w:rPr>
          <w:rFonts w:asciiTheme="minorHAnsi" w:hAnsiTheme="minorHAnsi" w:cstheme="minorHAnsi"/>
          <w:color w:val="auto"/>
          <w:sz w:val="22"/>
          <w:szCs w:val="22"/>
          <w:lang w:val="en-US"/>
        </w:rPr>
        <w:t xml:space="preserve">far </w:t>
      </w:r>
      <w:r w:rsidR="00E1260D" w:rsidRPr="008C181A">
        <w:rPr>
          <w:rFonts w:asciiTheme="minorHAnsi" w:hAnsiTheme="minorHAnsi" w:cstheme="minorHAnsi"/>
          <w:color w:val="auto"/>
          <w:sz w:val="22"/>
          <w:szCs w:val="22"/>
          <w:lang w:val="en-US"/>
        </w:rPr>
        <w:t>higher than reported</w:t>
      </w:r>
      <w:r w:rsidR="00FB1BAB" w:rsidRPr="008C181A">
        <w:rPr>
          <w:rFonts w:asciiTheme="minorHAnsi" w:hAnsiTheme="minorHAnsi" w:cstheme="minorHAnsi"/>
          <w:color w:val="auto"/>
          <w:sz w:val="22"/>
          <w:szCs w:val="22"/>
          <w:lang w:val="en-US"/>
        </w:rPr>
        <w:t xml:space="preserve"> crime</w:t>
      </w:r>
      <w:r w:rsidR="00E1260D" w:rsidRPr="008C181A">
        <w:rPr>
          <w:rFonts w:asciiTheme="minorHAnsi" w:hAnsiTheme="minorHAnsi" w:cstheme="minorHAnsi"/>
          <w:color w:val="auto"/>
          <w:sz w:val="22"/>
          <w:szCs w:val="22"/>
          <w:lang w:val="en-US"/>
        </w:rPr>
        <w:t xml:space="preserve"> figures suggest</w:t>
      </w:r>
      <w:r w:rsidR="009C3B4B" w:rsidRPr="008C181A">
        <w:rPr>
          <w:rFonts w:asciiTheme="minorHAnsi" w:hAnsiTheme="minorHAnsi" w:cstheme="minorHAnsi"/>
          <w:color w:val="auto"/>
          <w:sz w:val="22"/>
          <w:szCs w:val="22"/>
          <w:lang w:val="en-US"/>
        </w:rPr>
        <w:t>, despite an increase</w:t>
      </w:r>
      <w:r w:rsidR="007D78DA" w:rsidRPr="008C181A">
        <w:rPr>
          <w:rFonts w:asciiTheme="minorHAnsi" w:hAnsiTheme="minorHAnsi" w:cstheme="minorHAnsi"/>
          <w:color w:val="auto"/>
          <w:sz w:val="22"/>
          <w:szCs w:val="22"/>
          <w:lang w:val="en-US"/>
        </w:rPr>
        <w:t>d</w:t>
      </w:r>
      <w:r w:rsidR="009C3B4B" w:rsidRPr="008C181A">
        <w:rPr>
          <w:rFonts w:asciiTheme="minorHAnsi" w:hAnsiTheme="minorHAnsi" w:cstheme="minorHAnsi"/>
          <w:color w:val="auto"/>
          <w:sz w:val="22"/>
          <w:szCs w:val="22"/>
          <w:lang w:val="en-US"/>
        </w:rPr>
        <w:t xml:space="preserve"> awareness of abusive practice and developments in policy</w:t>
      </w:r>
      <w:r w:rsidR="00B91E9F" w:rsidRPr="008C181A">
        <w:rPr>
          <w:rFonts w:asciiTheme="minorHAnsi" w:hAnsiTheme="minorHAnsi" w:cstheme="minorHAnsi"/>
          <w:color w:val="auto"/>
          <w:sz w:val="22"/>
          <w:szCs w:val="22"/>
        </w:rPr>
        <w:t>.</w:t>
      </w:r>
    </w:p>
    <w:p w14:paraId="4B69E289" w14:textId="77777777" w:rsidR="00B96468" w:rsidRPr="008C181A" w:rsidRDefault="00B96468" w:rsidP="00526D68">
      <w:pPr>
        <w:pStyle w:val="Default"/>
        <w:spacing w:line="480" w:lineRule="auto"/>
        <w:ind w:firstLine="720"/>
        <w:rPr>
          <w:rFonts w:cstheme="minorHAnsi"/>
          <w:color w:val="auto"/>
          <w:lang w:val="en-US"/>
        </w:rPr>
      </w:pPr>
    </w:p>
    <w:p w14:paraId="3F768122" w14:textId="7F46051E" w:rsidR="00704984" w:rsidRPr="008C181A" w:rsidRDefault="00704984" w:rsidP="000F2980">
      <w:pPr>
        <w:spacing w:after="0" w:line="480" w:lineRule="auto"/>
        <w:rPr>
          <w:rFonts w:cstheme="minorHAnsi"/>
          <w:b/>
          <w:bCs/>
          <w:lang w:val="en-US"/>
        </w:rPr>
      </w:pPr>
      <w:r w:rsidRPr="008C181A">
        <w:rPr>
          <w:rFonts w:cstheme="minorHAnsi"/>
          <w:b/>
          <w:bCs/>
          <w:lang w:val="en-US"/>
        </w:rPr>
        <w:t>Development of policy to prevent abuse</w:t>
      </w:r>
    </w:p>
    <w:p w14:paraId="2D5156C8" w14:textId="522292A3" w:rsidR="00C85EFB" w:rsidRPr="008C181A" w:rsidRDefault="00277E9F" w:rsidP="00277E9F">
      <w:pPr>
        <w:spacing w:after="0" w:line="480" w:lineRule="auto"/>
        <w:ind w:firstLine="720"/>
        <w:rPr>
          <w:shd w:val="clear" w:color="auto" w:fill="FFFFFF"/>
        </w:rPr>
      </w:pPr>
      <w:r w:rsidRPr="008C181A">
        <w:rPr>
          <w:shd w:val="clear" w:color="auto" w:fill="FFFFFF"/>
        </w:rPr>
        <w:t>The Convention on the Rights of Persons with Disabilities from the United Nations (UN-CRP</w:t>
      </w:r>
      <w:r w:rsidR="00241D25" w:rsidRPr="008C181A">
        <w:rPr>
          <w:shd w:val="clear" w:color="auto" w:fill="FFFFFF"/>
        </w:rPr>
        <w:t>D</w:t>
      </w:r>
      <w:r w:rsidRPr="008C181A">
        <w:rPr>
          <w:shd w:val="clear" w:color="auto" w:fill="FFFFFF"/>
        </w:rPr>
        <w:t>) states in article 16.1 that “States Parties shall take all appropriate (…) measures to protect persons with disabilities (…) from all forms of exploitation, violence and abuse, including their gender-based aspects” (UN General Assembly, 2007).</w:t>
      </w:r>
      <w:r w:rsidR="00711408" w:rsidRPr="008C181A">
        <w:rPr>
          <w:shd w:val="clear" w:color="auto" w:fill="FFFFFF"/>
        </w:rPr>
        <w:t xml:space="preserve"> Furthermore, </w:t>
      </w:r>
      <w:r w:rsidR="00C85EFB" w:rsidRPr="008C181A">
        <w:rPr>
          <w:shd w:val="clear" w:color="auto" w:fill="FFFFFF"/>
        </w:rPr>
        <w:t>Disability Rights International highlight</w:t>
      </w:r>
      <w:r w:rsidR="00C214B1" w:rsidRPr="008C181A">
        <w:rPr>
          <w:shd w:val="clear" w:color="auto" w:fill="FFFFFF"/>
        </w:rPr>
        <w:t>ed</w:t>
      </w:r>
      <w:r w:rsidR="00C85EFB" w:rsidRPr="008C181A">
        <w:rPr>
          <w:shd w:val="clear" w:color="auto" w:fill="FFFFFF"/>
        </w:rPr>
        <w:t xml:space="preserve"> the abuse of adults with intellectual and other developmental disabilities within services as a global issue having conducted</w:t>
      </w:r>
      <w:r w:rsidR="008B09B4" w:rsidRPr="008C181A">
        <w:rPr>
          <w:shd w:val="clear" w:color="auto" w:fill="FFFFFF"/>
        </w:rPr>
        <w:t xml:space="preserve"> several</w:t>
      </w:r>
      <w:r w:rsidR="00C85EFB" w:rsidRPr="008C181A">
        <w:rPr>
          <w:shd w:val="clear" w:color="auto" w:fill="FFFFFF"/>
        </w:rPr>
        <w:t xml:space="preserve"> investigations</w:t>
      </w:r>
      <w:r w:rsidR="00FF5073" w:rsidRPr="008C181A">
        <w:rPr>
          <w:shd w:val="clear" w:color="auto" w:fill="FFFFFF"/>
        </w:rPr>
        <w:t xml:space="preserve"> </w:t>
      </w:r>
      <w:r w:rsidR="008B09B4" w:rsidRPr="008C181A">
        <w:rPr>
          <w:shd w:val="clear" w:color="auto" w:fill="FFFFFF"/>
        </w:rPr>
        <w:t xml:space="preserve">resulting in </w:t>
      </w:r>
      <w:r w:rsidR="00FF5073" w:rsidRPr="008C181A">
        <w:rPr>
          <w:shd w:val="clear" w:color="auto" w:fill="FFFFFF"/>
        </w:rPr>
        <w:t xml:space="preserve">recommendations for reform in </w:t>
      </w:r>
      <w:r w:rsidR="00C85EFB" w:rsidRPr="008C181A">
        <w:rPr>
          <w:shd w:val="clear" w:color="auto" w:fill="FFFFFF"/>
        </w:rPr>
        <w:lastRenderedPageBreak/>
        <w:t>Mexico (e.g.</w:t>
      </w:r>
      <w:r w:rsidR="00EE4746" w:rsidRPr="008C181A">
        <w:rPr>
          <w:shd w:val="clear" w:color="auto" w:fill="FFFFFF"/>
        </w:rPr>
        <w:t>,</w:t>
      </w:r>
      <w:r w:rsidR="00C85EFB" w:rsidRPr="008C181A">
        <w:rPr>
          <w:shd w:val="clear" w:color="auto" w:fill="FFFFFF"/>
        </w:rPr>
        <w:t xml:space="preserve"> </w:t>
      </w:r>
      <w:r w:rsidR="00C85EFB" w:rsidRPr="008C181A">
        <w:t>Crimes Against Humanity, 202</w:t>
      </w:r>
      <w:r w:rsidR="00C85EFB" w:rsidRPr="008C181A">
        <w:rPr>
          <w:i/>
          <w:iCs/>
        </w:rPr>
        <w:t>0</w:t>
      </w:r>
      <w:r w:rsidR="00C85EFB" w:rsidRPr="008C181A">
        <w:rPr>
          <w:shd w:val="clear" w:color="auto" w:fill="FFFFFF"/>
        </w:rPr>
        <w:t>), Turkey (Behind Closed Doors, 2005)</w:t>
      </w:r>
      <w:r w:rsidR="00FF5073" w:rsidRPr="008C181A">
        <w:rPr>
          <w:shd w:val="clear" w:color="auto" w:fill="FFFFFF"/>
        </w:rPr>
        <w:t>, the Republic of Georgia (Left Behind, 2013), and Serbia (Torment Not Treatment, 2007).</w:t>
      </w:r>
    </w:p>
    <w:p w14:paraId="4B1A7A0A" w14:textId="1360685C" w:rsidR="0074550E" w:rsidRPr="008C181A" w:rsidRDefault="00C214B1">
      <w:pPr>
        <w:spacing w:after="0" w:line="480" w:lineRule="auto"/>
        <w:ind w:firstLine="720"/>
        <w:rPr>
          <w:rFonts w:cstheme="minorHAnsi"/>
        </w:rPr>
      </w:pPr>
      <w:r w:rsidRPr="008C181A">
        <w:t xml:space="preserve">In the UK, the Care Quality Commission (CQC) is responsible for monitoring and regulating the quality of care in hospital and social care settings. </w:t>
      </w:r>
      <w:r w:rsidR="009633E0" w:rsidRPr="008C181A">
        <w:t>Despite developments in</w:t>
      </w:r>
      <w:r w:rsidR="008B09B4" w:rsidRPr="008C181A">
        <w:t xml:space="preserve"> UK</w:t>
      </w:r>
      <w:r w:rsidR="009633E0" w:rsidRPr="008C181A">
        <w:t xml:space="preserve"> policy over the years, the </w:t>
      </w:r>
      <w:r w:rsidR="00551E5C" w:rsidRPr="008C181A">
        <w:t xml:space="preserve">CQC reported that </w:t>
      </w:r>
      <w:r w:rsidR="00F2230E" w:rsidRPr="008C181A">
        <w:t xml:space="preserve">in 2018 </w:t>
      </w:r>
      <w:r w:rsidR="006C7F44" w:rsidRPr="008C181A">
        <w:t xml:space="preserve">service-users </w:t>
      </w:r>
      <w:r w:rsidR="009633E0" w:rsidRPr="008C181A">
        <w:t xml:space="preserve">with intellectual </w:t>
      </w:r>
      <w:r w:rsidR="00D170D5" w:rsidRPr="008C181A">
        <w:t xml:space="preserve">and other developmental </w:t>
      </w:r>
      <w:r w:rsidR="009633E0" w:rsidRPr="008C181A">
        <w:t xml:space="preserve">disabilities </w:t>
      </w:r>
      <w:r w:rsidR="00F46B19" w:rsidRPr="008C181A">
        <w:t>with</w:t>
      </w:r>
      <w:r w:rsidR="009633E0" w:rsidRPr="008C181A">
        <w:t xml:space="preserve">in in-patient settings and residential care </w:t>
      </w:r>
      <w:r w:rsidR="006C7F44" w:rsidRPr="008C181A">
        <w:t xml:space="preserve">were not being offered high quality assessment, </w:t>
      </w:r>
      <w:r w:rsidR="00EE7AA6" w:rsidRPr="008C181A">
        <w:t>care,</w:t>
      </w:r>
      <w:r w:rsidR="006C7F44" w:rsidRPr="008C181A">
        <w:t xml:space="preserve"> and treatment. </w:t>
      </w:r>
      <w:r w:rsidRPr="008C181A">
        <w:t>According to CQC, s</w:t>
      </w:r>
      <w:r w:rsidR="006C7F44" w:rsidRPr="008C181A">
        <w:t xml:space="preserve">taff working with </w:t>
      </w:r>
      <w:r w:rsidR="00817F4B" w:rsidRPr="008C181A">
        <w:t>this population</w:t>
      </w:r>
      <w:r w:rsidR="006C7F44" w:rsidRPr="008C181A">
        <w:t xml:space="preserve"> often did not have the necessary skills for such work</w:t>
      </w:r>
      <w:r w:rsidR="00551E5C" w:rsidRPr="008C181A">
        <w:t>,</w:t>
      </w:r>
      <w:r w:rsidR="006C7F44" w:rsidRPr="008C181A">
        <w:t xml:space="preserve"> and those involved in direct hands-on care were often unqualified</w:t>
      </w:r>
      <w:r w:rsidR="009633E0" w:rsidRPr="008C181A">
        <w:t xml:space="preserve"> (CQC, 2019)</w:t>
      </w:r>
      <w:r w:rsidR="006C7F44" w:rsidRPr="008C181A">
        <w:t xml:space="preserve">. </w:t>
      </w:r>
      <w:r w:rsidR="00F73C04" w:rsidRPr="008C181A">
        <w:t>Consequently,</w:t>
      </w:r>
      <w:r w:rsidR="0074550E" w:rsidRPr="008C181A">
        <w:t xml:space="preserve"> NICE guidelines underpinned by the Care Act (2014) have been released for Safeguarding Adults in Care Homes (2021) to improve safeguarding for all adult </w:t>
      </w:r>
      <w:r w:rsidR="0074550E" w:rsidRPr="008C181A">
        <w:rPr>
          <w:rFonts w:cstheme="minorHAnsi"/>
        </w:rPr>
        <w:t>residents, although these guidelines and recommendations are not specific to risk factors pertaining to services caring for adults with intellectual and other developmental disabilities.</w:t>
      </w:r>
    </w:p>
    <w:p w14:paraId="2733CD2C" w14:textId="205ACB54" w:rsidR="00BA34C2" w:rsidRPr="008C181A" w:rsidRDefault="006D2CA8" w:rsidP="003B1819">
      <w:pPr>
        <w:pStyle w:val="Default"/>
        <w:spacing w:line="480" w:lineRule="auto"/>
        <w:ind w:firstLine="720"/>
        <w:rPr>
          <w:rFonts w:asciiTheme="minorHAnsi" w:hAnsiTheme="minorHAnsi" w:cstheme="minorHAnsi"/>
          <w:color w:val="auto"/>
          <w:sz w:val="22"/>
          <w:szCs w:val="22"/>
          <w:shd w:val="clear" w:color="auto" w:fill="FFFFFF"/>
        </w:rPr>
      </w:pPr>
      <w:r w:rsidRPr="008C181A">
        <w:rPr>
          <w:rFonts w:asciiTheme="minorHAnsi" w:hAnsiTheme="minorHAnsi" w:cstheme="minorHAnsi"/>
          <w:color w:val="auto"/>
          <w:sz w:val="22"/>
          <w:szCs w:val="22"/>
          <w:shd w:val="clear" w:color="auto" w:fill="FFFFFF"/>
        </w:rPr>
        <w:t xml:space="preserve">In the UK and in other national contexts including the USA, Australia, Republic of Korea and South Africa, the research evidence on the increased risk of abuse encountered by adults with disabilities is still developing (Mikton et al., 2014). Evidence </w:t>
      </w:r>
      <w:r w:rsidR="00FB77AB" w:rsidRPr="008C181A">
        <w:rPr>
          <w:rFonts w:asciiTheme="minorHAnsi" w:hAnsiTheme="minorHAnsi" w:cstheme="minorHAnsi"/>
          <w:color w:val="auto"/>
          <w:sz w:val="22"/>
          <w:szCs w:val="22"/>
          <w:shd w:val="clear" w:color="auto" w:fill="FFFFFF"/>
        </w:rPr>
        <w:t xml:space="preserve">suggests that, despite government efforts to reduce the occurrence of abuse and to promote the work of regulatory bodies, cases of poor practice and abuse continue to arise. </w:t>
      </w:r>
      <w:r w:rsidR="00BA34C2" w:rsidRPr="008C181A">
        <w:rPr>
          <w:rFonts w:asciiTheme="minorHAnsi" w:hAnsiTheme="minorHAnsi" w:cstheme="minorHAnsi"/>
          <w:color w:val="auto"/>
          <w:sz w:val="22"/>
          <w:szCs w:val="22"/>
          <w:shd w:val="clear" w:color="auto" w:fill="FFFFFF"/>
        </w:rPr>
        <w:t>C</w:t>
      </w:r>
      <w:r w:rsidR="00D170D5" w:rsidRPr="008C181A">
        <w:rPr>
          <w:rFonts w:asciiTheme="minorHAnsi" w:hAnsiTheme="minorHAnsi" w:cstheme="minorHAnsi"/>
          <w:color w:val="auto"/>
          <w:sz w:val="22"/>
          <w:szCs w:val="22"/>
          <w:shd w:val="clear" w:color="auto" w:fill="FFFFFF"/>
        </w:rPr>
        <w:t xml:space="preserve">are settings </w:t>
      </w:r>
      <w:r w:rsidR="00BA34C2" w:rsidRPr="008C181A">
        <w:rPr>
          <w:rFonts w:asciiTheme="minorHAnsi" w:hAnsiTheme="minorHAnsi" w:cstheme="minorHAnsi"/>
          <w:color w:val="auto"/>
          <w:sz w:val="22"/>
          <w:szCs w:val="22"/>
          <w:shd w:val="clear" w:color="auto" w:fill="FFFFFF"/>
        </w:rPr>
        <w:t>are therefore obligated</w:t>
      </w:r>
      <w:r w:rsidR="00D170D5" w:rsidRPr="008C181A">
        <w:rPr>
          <w:rFonts w:asciiTheme="minorHAnsi" w:hAnsiTheme="minorHAnsi" w:cstheme="minorHAnsi"/>
          <w:color w:val="auto"/>
          <w:sz w:val="22"/>
          <w:szCs w:val="22"/>
          <w:shd w:val="clear" w:color="auto" w:fill="FFFFFF"/>
        </w:rPr>
        <w:t xml:space="preserve"> to improve the</w:t>
      </w:r>
      <w:r w:rsidR="00BA34C2" w:rsidRPr="008C181A">
        <w:rPr>
          <w:rFonts w:asciiTheme="minorHAnsi" w:hAnsiTheme="minorHAnsi" w:cstheme="minorHAnsi"/>
          <w:color w:val="auto"/>
          <w:sz w:val="22"/>
          <w:szCs w:val="22"/>
          <w:shd w:val="clear" w:color="auto" w:fill="FFFFFF"/>
        </w:rPr>
        <w:t>ir strategies to firstly</w:t>
      </w:r>
      <w:r w:rsidR="00D170D5" w:rsidRPr="008C181A">
        <w:rPr>
          <w:rFonts w:asciiTheme="minorHAnsi" w:hAnsiTheme="minorHAnsi" w:cstheme="minorHAnsi"/>
          <w:color w:val="auto"/>
          <w:sz w:val="22"/>
          <w:szCs w:val="22"/>
          <w:shd w:val="clear" w:color="auto" w:fill="FFFFFF"/>
        </w:rPr>
        <w:t xml:space="preserve"> prevent and </w:t>
      </w:r>
      <w:r w:rsidR="00BA34C2" w:rsidRPr="008C181A">
        <w:rPr>
          <w:rFonts w:asciiTheme="minorHAnsi" w:hAnsiTheme="minorHAnsi" w:cstheme="minorHAnsi"/>
          <w:color w:val="auto"/>
          <w:sz w:val="22"/>
          <w:szCs w:val="22"/>
          <w:shd w:val="clear" w:color="auto" w:fill="FFFFFF"/>
        </w:rPr>
        <w:t xml:space="preserve">secondly </w:t>
      </w:r>
      <w:r w:rsidR="00D170D5" w:rsidRPr="008C181A">
        <w:rPr>
          <w:rFonts w:asciiTheme="minorHAnsi" w:hAnsiTheme="minorHAnsi" w:cstheme="minorHAnsi"/>
          <w:color w:val="auto"/>
          <w:sz w:val="22"/>
          <w:szCs w:val="22"/>
          <w:shd w:val="clear" w:color="auto" w:fill="FFFFFF"/>
        </w:rPr>
        <w:t>detect abuse</w:t>
      </w:r>
      <w:r w:rsidR="00BA34C2" w:rsidRPr="008C181A">
        <w:rPr>
          <w:rFonts w:asciiTheme="minorHAnsi" w:hAnsiTheme="minorHAnsi" w:cstheme="minorHAnsi"/>
          <w:color w:val="auto"/>
          <w:sz w:val="22"/>
          <w:szCs w:val="22"/>
          <w:shd w:val="clear" w:color="auto" w:fill="FFFFFF"/>
        </w:rPr>
        <w:t xml:space="preserve"> within services. </w:t>
      </w:r>
    </w:p>
    <w:p w14:paraId="4EC3AD91" w14:textId="280A470E" w:rsidR="00621550" w:rsidRPr="008C181A" w:rsidRDefault="00FB77AB" w:rsidP="003B1819">
      <w:pPr>
        <w:pStyle w:val="Default"/>
        <w:spacing w:line="480" w:lineRule="auto"/>
        <w:ind w:firstLine="720"/>
        <w:rPr>
          <w:rFonts w:asciiTheme="minorHAnsi" w:hAnsiTheme="minorHAnsi" w:cstheme="minorHAnsi"/>
          <w:color w:val="auto"/>
          <w:sz w:val="22"/>
          <w:szCs w:val="22"/>
          <w:shd w:val="clear" w:color="auto" w:fill="FFFFFF"/>
        </w:rPr>
      </w:pPr>
      <w:r w:rsidRPr="008C181A">
        <w:rPr>
          <w:rFonts w:asciiTheme="minorHAnsi" w:hAnsiTheme="minorHAnsi" w:cstheme="minorHAnsi"/>
          <w:color w:val="auto"/>
          <w:sz w:val="22"/>
          <w:szCs w:val="22"/>
          <w:shd w:val="clear" w:color="auto" w:fill="FFFFFF"/>
        </w:rPr>
        <w:t xml:space="preserve">Consequently, this systematic review was conducted to explore the </w:t>
      </w:r>
      <w:r w:rsidR="006D2CA8" w:rsidRPr="008C181A">
        <w:rPr>
          <w:rFonts w:asciiTheme="minorHAnsi" w:hAnsiTheme="minorHAnsi" w:cstheme="minorHAnsi"/>
          <w:color w:val="auto"/>
          <w:sz w:val="22"/>
          <w:szCs w:val="22"/>
          <w:shd w:val="clear" w:color="auto" w:fill="FFFFFF"/>
        </w:rPr>
        <w:t xml:space="preserve">risk factors for abuse and the </w:t>
      </w:r>
      <w:r w:rsidRPr="008C181A">
        <w:rPr>
          <w:rFonts w:asciiTheme="minorHAnsi" w:hAnsiTheme="minorHAnsi" w:cstheme="minorHAnsi"/>
          <w:color w:val="auto"/>
          <w:sz w:val="22"/>
          <w:szCs w:val="22"/>
          <w:shd w:val="clear" w:color="auto" w:fill="FFFFFF"/>
        </w:rPr>
        <w:t>ways in which abuse within care services and hospital inpatient services for people with intellectual and other developmental disabilities is detected globally.</w:t>
      </w:r>
      <w:r w:rsidR="00D170D5" w:rsidRPr="008C181A">
        <w:rPr>
          <w:rFonts w:asciiTheme="minorHAnsi" w:hAnsiTheme="minorHAnsi" w:cstheme="minorHAnsi"/>
          <w:color w:val="auto"/>
          <w:sz w:val="22"/>
          <w:szCs w:val="22"/>
          <w:shd w:val="clear" w:color="auto" w:fill="FFFFFF"/>
        </w:rPr>
        <w:t xml:space="preserve"> </w:t>
      </w:r>
      <w:r w:rsidR="00621550" w:rsidRPr="008C181A">
        <w:rPr>
          <w:rFonts w:asciiTheme="minorHAnsi" w:hAnsiTheme="minorHAnsi" w:cstheme="minorHAnsi"/>
          <w:color w:val="auto"/>
          <w:sz w:val="22"/>
          <w:szCs w:val="22"/>
        </w:rPr>
        <w:t xml:space="preserve">A robust understanding of the risk factors for the abuse, as well as protective factors against the perpetration of abuse can inform policy and practice to prevent further incidents of abuse from occurring. Therefore, the current review seeks to understand the personal characteristics of victims (including sociodemographic characteristics, cognitive and adaptive functioning), and perpetrators of abuse (including sociodemographic characteristics, experience, and training). In addition, authors seek to report on </w:t>
      </w:r>
      <w:r w:rsidR="00621550" w:rsidRPr="008C181A">
        <w:rPr>
          <w:rFonts w:asciiTheme="minorHAnsi" w:hAnsiTheme="minorHAnsi" w:cstheme="minorHAnsi"/>
          <w:color w:val="auto"/>
          <w:sz w:val="22"/>
          <w:szCs w:val="22"/>
        </w:rPr>
        <w:lastRenderedPageBreak/>
        <w:t xml:space="preserve">other risk factors associated with the settings in which abuse occurs (including the size of care services, management practices, relationships, and culture). </w:t>
      </w:r>
    </w:p>
    <w:p w14:paraId="2F5EAA26" w14:textId="538E5492" w:rsidR="009951A5" w:rsidRPr="008C181A" w:rsidRDefault="003B6995" w:rsidP="003B1819">
      <w:pPr>
        <w:pStyle w:val="Default"/>
        <w:spacing w:line="480" w:lineRule="auto"/>
        <w:ind w:firstLine="720"/>
        <w:rPr>
          <w:rFonts w:asciiTheme="minorHAnsi" w:hAnsiTheme="minorHAnsi" w:cstheme="minorHAnsi"/>
          <w:color w:val="auto"/>
          <w:sz w:val="22"/>
          <w:szCs w:val="22"/>
        </w:rPr>
      </w:pPr>
      <w:r w:rsidRPr="008C181A">
        <w:rPr>
          <w:rFonts w:asciiTheme="minorHAnsi" w:hAnsiTheme="minorHAnsi" w:cstheme="minorHAnsi"/>
          <w:color w:val="auto"/>
          <w:sz w:val="22"/>
          <w:szCs w:val="22"/>
        </w:rPr>
        <w:t xml:space="preserve">The aim was </w:t>
      </w:r>
      <w:r w:rsidR="000B7D54" w:rsidRPr="008C181A">
        <w:rPr>
          <w:rFonts w:asciiTheme="minorHAnsi" w:hAnsiTheme="minorHAnsi" w:cstheme="minorHAnsi"/>
          <w:color w:val="auto"/>
          <w:sz w:val="22"/>
          <w:szCs w:val="22"/>
        </w:rPr>
        <w:t>to address the following research question</w:t>
      </w:r>
      <w:r w:rsidRPr="008C181A">
        <w:rPr>
          <w:rFonts w:asciiTheme="minorHAnsi" w:hAnsiTheme="minorHAnsi" w:cstheme="minorHAnsi"/>
          <w:color w:val="auto"/>
          <w:sz w:val="22"/>
          <w:szCs w:val="22"/>
        </w:rPr>
        <w:t>s:</w:t>
      </w:r>
      <w:r w:rsidR="000B7D54" w:rsidRPr="008C181A">
        <w:rPr>
          <w:rFonts w:asciiTheme="minorHAnsi" w:hAnsiTheme="minorHAnsi" w:cstheme="minorHAnsi"/>
          <w:color w:val="auto"/>
          <w:sz w:val="22"/>
          <w:szCs w:val="22"/>
        </w:rPr>
        <w:t xml:space="preserve"> ‘How is abuse detected within services for adults with intellectual and other developmental disabilities?’</w:t>
      </w:r>
      <w:r w:rsidRPr="008C181A">
        <w:rPr>
          <w:rFonts w:asciiTheme="minorHAnsi" w:hAnsiTheme="minorHAnsi" w:cstheme="minorHAnsi"/>
          <w:color w:val="auto"/>
          <w:sz w:val="22"/>
          <w:szCs w:val="22"/>
        </w:rPr>
        <w:t xml:space="preserve"> and ‘How can we improve such detection</w:t>
      </w:r>
      <w:r w:rsidR="000B174A" w:rsidRPr="008C181A">
        <w:rPr>
          <w:rFonts w:asciiTheme="minorHAnsi" w:hAnsiTheme="minorHAnsi" w:cstheme="minorHAnsi"/>
          <w:color w:val="auto"/>
          <w:sz w:val="22"/>
          <w:szCs w:val="22"/>
        </w:rPr>
        <w:t>, with the aim of preventing abuse</w:t>
      </w:r>
      <w:r w:rsidRPr="008C181A">
        <w:rPr>
          <w:rFonts w:asciiTheme="minorHAnsi" w:hAnsiTheme="minorHAnsi" w:cstheme="minorHAnsi"/>
          <w:color w:val="auto"/>
          <w:sz w:val="22"/>
          <w:szCs w:val="22"/>
        </w:rPr>
        <w:t>?’</w:t>
      </w:r>
      <w:r w:rsidR="008B09B4" w:rsidRPr="008C181A">
        <w:rPr>
          <w:rFonts w:asciiTheme="minorHAnsi" w:hAnsiTheme="minorHAnsi" w:cstheme="minorHAnsi"/>
          <w:color w:val="auto"/>
          <w:sz w:val="22"/>
          <w:szCs w:val="22"/>
        </w:rPr>
        <w:t xml:space="preserve">. </w:t>
      </w:r>
    </w:p>
    <w:p w14:paraId="58CF331A" w14:textId="07B46DC4" w:rsidR="009951A5" w:rsidRPr="008C181A" w:rsidRDefault="009951A5" w:rsidP="00B167B8">
      <w:pPr>
        <w:spacing w:after="0" w:line="480" w:lineRule="auto"/>
        <w:ind w:firstLine="720"/>
        <w:rPr>
          <w:rFonts w:cstheme="minorHAnsi"/>
        </w:rPr>
      </w:pPr>
    </w:p>
    <w:p w14:paraId="5DF2A7A0" w14:textId="5A257101" w:rsidR="00F8131A" w:rsidRPr="008C181A" w:rsidRDefault="00F8131A" w:rsidP="00F83335">
      <w:pPr>
        <w:spacing w:after="0" w:line="480" w:lineRule="auto"/>
        <w:jc w:val="center"/>
        <w:rPr>
          <w:rFonts w:cstheme="minorHAnsi"/>
          <w:b/>
          <w:bCs/>
        </w:rPr>
      </w:pPr>
      <w:r w:rsidRPr="008C181A">
        <w:rPr>
          <w:rFonts w:cstheme="minorHAnsi"/>
          <w:b/>
          <w:bCs/>
        </w:rPr>
        <w:t>Aims</w:t>
      </w:r>
    </w:p>
    <w:p w14:paraId="0E5EB564" w14:textId="5DB23A29" w:rsidR="000B7D54" w:rsidRPr="008C181A" w:rsidRDefault="000B7D54" w:rsidP="006E3145">
      <w:pPr>
        <w:spacing w:after="0" w:line="480" w:lineRule="auto"/>
        <w:ind w:firstLine="360"/>
        <w:rPr>
          <w:lang w:val="en-US"/>
        </w:rPr>
      </w:pPr>
      <w:r w:rsidRPr="008C181A">
        <w:rPr>
          <w:rFonts w:cstheme="minorHAnsi"/>
        </w:rPr>
        <w:t>The specific aims of the systematic review were to:</w:t>
      </w:r>
    </w:p>
    <w:p w14:paraId="4EAA4696" w14:textId="503CB841" w:rsidR="000B7D54" w:rsidRPr="008C181A" w:rsidRDefault="000B7D54" w:rsidP="00B167B8">
      <w:pPr>
        <w:pStyle w:val="ListParagraph"/>
        <w:numPr>
          <w:ilvl w:val="0"/>
          <w:numId w:val="4"/>
        </w:numPr>
        <w:autoSpaceDE w:val="0"/>
        <w:autoSpaceDN w:val="0"/>
        <w:adjustRightInd w:val="0"/>
        <w:spacing w:line="480" w:lineRule="auto"/>
        <w:rPr>
          <w:rFonts w:asciiTheme="minorHAnsi" w:hAnsiTheme="minorHAnsi" w:cstheme="minorHAnsi"/>
        </w:rPr>
      </w:pPr>
      <w:r w:rsidRPr="008C181A">
        <w:rPr>
          <w:rFonts w:asciiTheme="minorHAnsi" w:hAnsiTheme="minorHAnsi" w:cstheme="minorHAnsi"/>
        </w:rPr>
        <w:t xml:space="preserve">Highlight the risk </w:t>
      </w:r>
      <w:r w:rsidR="0092097F" w:rsidRPr="008C181A">
        <w:rPr>
          <w:rFonts w:asciiTheme="minorHAnsi" w:hAnsiTheme="minorHAnsi" w:cstheme="minorHAnsi"/>
        </w:rPr>
        <w:t xml:space="preserve">and protective </w:t>
      </w:r>
      <w:r w:rsidRPr="008C181A">
        <w:rPr>
          <w:rFonts w:asciiTheme="minorHAnsi" w:hAnsiTheme="minorHAnsi" w:cstheme="minorHAnsi"/>
        </w:rPr>
        <w:t xml:space="preserve">factors for abuse of adults with </w:t>
      </w:r>
      <w:r w:rsidR="00C24B5A" w:rsidRPr="008C181A">
        <w:rPr>
          <w:rFonts w:asciiTheme="minorHAnsi" w:hAnsiTheme="minorHAnsi" w:cstheme="minorHAnsi"/>
        </w:rPr>
        <w:t xml:space="preserve">intellectual and other developmental disabilities </w:t>
      </w:r>
      <w:r w:rsidR="001F51E5" w:rsidRPr="008C181A">
        <w:rPr>
          <w:rFonts w:asciiTheme="minorHAnsi" w:hAnsiTheme="minorHAnsi" w:cstheme="minorHAnsi"/>
        </w:rPr>
        <w:t>in such services</w:t>
      </w:r>
      <w:r w:rsidRPr="008C181A">
        <w:rPr>
          <w:rFonts w:asciiTheme="minorHAnsi" w:hAnsiTheme="minorHAnsi" w:cstheme="minorHAnsi"/>
        </w:rPr>
        <w:t>.</w:t>
      </w:r>
    </w:p>
    <w:p w14:paraId="68FCA617" w14:textId="303BA2B3" w:rsidR="000B7D54" w:rsidRPr="008C181A" w:rsidRDefault="000B7D54" w:rsidP="00B167B8">
      <w:pPr>
        <w:pStyle w:val="ListParagraph"/>
        <w:numPr>
          <w:ilvl w:val="0"/>
          <w:numId w:val="4"/>
        </w:numPr>
        <w:autoSpaceDE w:val="0"/>
        <w:autoSpaceDN w:val="0"/>
        <w:adjustRightInd w:val="0"/>
        <w:spacing w:line="480" w:lineRule="auto"/>
        <w:rPr>
          <w:rFonts w:asciiTheme="minorHAnsi" w:hAnsiTheme="minorHAnsi" w:cstheme="minorHAnsi"/>
        </w:rPr>
      </w:pPr>
      <w:r w:rsidRPr="008C181A">
        <w:rPr>
          <w:rFonts w:asciiTheme="minorHAnsi" w:hAnsiTheme="minorHAnsi" w:cstheme="minorHAnsi"/>
        </w:rPr>
        <w:t xml:space="preserve">Identify any assessment tools or interventions to detect </w:t>
      </w:r>
      <w:r w:rsidR="0092097F" w:rsidRPr="008C181A">
        <w:rPr>
          <w:rFonts w:asciiTheme="minorHAnsi" w:hAnsiTheme="minorHAnsi" w:cstheme="minorHAnsi"/>
        </w:rPr>
        <w:t>or</w:t>
      </w:r>
      <w:r w:rsidR="001F51E5" w:rsidRPr="008C181A">
        <w:rPr>
          <w:rFonts w:asciiTheme="minorHAnsi" w:hAnsiTheme="minorHAnsi" w:cstheme="minorHAnsi"/>
        </w:rPr>
        <w:t xml:space="preserve"> to help to</w:t>
      </w:r>
      <w:r w:rsidR="0092097F" w:rsidRPr="008C181A">
        <w:rPr>
          <w:rFonts w:asciiTheme="minorHAnsi" w:hAnsiTheme="minorHAnsi" w:cstheme="minorHAnsi"/>
        </w:rPr>
        <w:t xml:space="preserve"> prevent </w:t>
      </w:r>
      <w:r w:rsidRPr="008C181A">
        <w:rPr>
          <w:rFonts w:asciiTheme="minorHAnsi" w:hAnsiTheme="minorHAnsi" w:cstheme="minorHAnsi"/>
        </w:rPr>
        <w:t xml:space="preserve">abuse of adults with </w:t>
      </w:r>
      <w:r w:rsidR="00C24B5A" w:rsidRPr="008C181A">
        <w:rPr>
          <w:rFonts w:asciiTheme="minorHAnsi" w:hAnsiTheme="minorHAnsi" w:cstheme="minorHAnsi"/>
        </w:rPr>
        <w:t>intellectual and other developmental disabilities</w:t>
      </w:r>
      <w:r w:rsidR="001F51E5" w:rsidRPr="008C181A">
        <w:rPr>
          <w:rFonts w:asciiTheme="minorHAnsi" w:hAnsiTheme="minorHAnsi" w:cstheme="minorHAnsi"/>
        </w:rPr>
        <w:t xml:space="preserve"> in services</w:t>
      </w:r>
      <w:r w:rsidRPr="008C181A">
        <w:rPr>
          <w:rFonts w:asciiTheme="minorHAnsi" w:hAnsiTheme="minorHAnsi" w:cstheme="minorHAnsi"/>
        </w:rPr>
        <w:t xml:space="preserve">. </w:t>
      </w:r>
    </w:p>
    <w:p w14:paraId="57972155" w14:textId="77777777" w:rsidR="000B7D54" w:rsidRPr="008C181A" w:rsidRDefault="000B7D54" w:rsidP="00B167B8">
      <w:pPr>
        <w:spacing w:after="0" w:line="480" w:lineRule="auto"/>
        <w:jc w:val="center"/>
        <w:rPr>
          <w:b/>
          <w:bCs/>
          <w:lang w:val="en-US"/>
        </w:rPr>
      </w:pPr>
    </w:p>
    <w:p w14:paraId="73D8FEF2" w14:textId="27DFF11F" w:rsidR="006973B5" w:rsidRPr="008C181A" w:rsidRDefault="006973B5" w:rsidP="00F83335">
      <w:pPr>
        <w:spacing w:after="0" w:line="480" w:lineRule="auto"/>
        <w:jc w:val="center"/>
        <w:rPr>
          <w:b/>
          <w:bCs/>
          <w:lang w:val="en-US"/>
        </w:rPr>
      </w:pPr>
      <w:r w:rsidRPr="008C181A">
        <w:rPr>
          <w:b/>
          <w:bCs/>
          <w:lang w:val="en-US"/>
        </w:rPr>
        <w:t>Method</w:t>
      </w:r>
      <w:r w:rsidR="00A90783" w:rsidRPr="008C181A">
        <w:rPr>
          <w:b/>
          <w:bCs/>
          <w:lang w:val="en-US"/>
        </w:rPr>
        <w:t>ology</w:t>
      </w:r>
    </w:p>
    <w:p w14:paraId="2283EDEF" w14:textId="77777777" w:rsidR="00A90783" w:rsidRPr="008C181A" w:rsidRDefault="00A90783" w:rsidP="00B167B8">
      <w:pPr>
        <w:spacing w:after="0" w:line="480" w:lineRule="auto"/>
        <w:rPr>
          <w:b/>
          <w:bCs/>
          <w:lang w:val="en-US"/>
        </w:rPr>
      </w:pPr>
      <w:r w:rsidRPr="008C181A">
        <w:rPr>
          <w:b/>
          <w:bCs/>
          <w:lang w:val="en-US"/>
        </w:rPr>
        <w:t>Design</w:t>
      </w:r>
    </w:p>
    <w:p w14:paraId="31AB44A0" w14:textId="70B29A66" w:rsidR="00A90783" w:rsidRPr="008C181A" w:rsidRDefault="00A90783" w:rsidP="00B167B8">
      <w:pPr>
        <w:spacing w:after="0" w:line="480" w:lineRule="auto"/>
        <w:ind w:firstLine="720"/>
        <w:rPr>
          <w:rFonts w:cstheme="minorHAnsi"/>
        </w:rPr>
      </w:pPr>
      <w:r w:rsidRPr="008C181A">
        <w:rPr>
          <w:rFonts w:cstheme="minorHAnsi"/>
          <w:lang w:val="en-US"/>
        </w:rPr>
        <w:t xml:space="preserve">A systematic review of the research on the abuse of adults with </w:t>
      </w:r>
      <w:r w:rsidR="00393B23" w:rsidRPr="008C181A">
        <w:rPr>
          <w:rFonts w:cstheme="minorHAnsi"/>
          <w:lang w:val="en-US"/>
        </w:rPr>
        <w:t>intellectual and other developmental disabilities</w:t>
      </w:r>
      <w:r w:rsidR="005B0F3D" w:rsidRPr="008C181A">
        <w:rPr>
          <w:rFonts w:cstheme="minorHAnsi"/>
          <w:lang w:val="en-US"/>
        </w:rPr>
        <w:t xml:space="preserve"> </w:t>
      </w:r>
      <w:r w:rsidRPr="008C181A">
        <w:rPr>
          <w:rFonts w:cstheme="minorHAnsi"/>
          <w:lang w:val="en-US"/>
        </w:rPr>
        <w:t xml:space="preserve">in </w:t>
      </w:r>
      <w:r w:rsidR="00A96F73" w:rsidRPr="008C181A">
        <w:rPr>
          <w:rFonts w:cstheme="minorHAnsi"/>
          <w:lang w:val="en-US"/>
        </w:rPr>
        <w:t xml:space="preserve">care </w:t>
      </w:r>
      <w:r w:rsidRPr="008C181A">
        <w:rPr>
          <w:rFonts w:cstheme="minorHAnsi"/>
          <w:lang w:val="en-US"/>
        </w:rPr>
        <w:t>services was conducted,</w:t>
      </w:r>
      <w:r w:rsidRPr="008C181A">
        <w:rPr>
          <w:rFonts w:cstheme="minorHAnsi"/>
        </w:rPr>
        <w:t xml:space="preserve"> </w:t>
      </w:r>
      <w:r w:rsidRPr="008C181A">
        <w:rPr>
          <w:rFonts w:cstheme="minorHAnsi"/>
          <w:shd w:val="clear" w:color="auto" w:fill="FFFFFF"/>
        </w:rPr>
        <w:t xml:space="preserve">incorporating quantitative and qualitative </w:t>
      </w:r>
      <w:r w:rsidR="001F51E5" w:rsidRPr="008C181A">
        <w:rPr>
          <w:rFonts w:cstheme="minorHAnsi"/>
          <w:shd w:val="clear" w:color="auto" w:fill="FFFFFF"/>
        </w:rPr>
        <w:t>studies</w:t>
      </w:r>
      <w:r w:rsidRPr="008C181A">
        <w:rPr>
          <w:rFonts w:cstheme="minorHAnsi"/>
        </w:rPr>
        <w:t xml:space="preserve">. Database and ancestry searches resulted in </w:t>
      </w:r>
      <w:r w:rsidR="00841CB3" w:rsidRPr="008C181A">
        <w:rPr>
          <w:rFonts w:cstheme="minorHAnsi"/>
        </w:rPr>
        <w:t>4</w:t>
      </w:r>
      <w:r w:rsidR="00393B23" w:rsidRPr="008C181A">
        <w:rPr>
          <w:rFonts w:cstheme="minorHAnsi"/>
        </w:rPr>
        <w:t>8</w:t>
      </w:r>
      <w:r w:rsidRPr="008C181A">
        <w:rPr>
          <w:rFonts w:cstheme="minorHAnsi"/>
        </w:rPr>
        <w:t xml:space="preserve"> articles that met the specific inclusion criteria. A data extraction template was used to record relevant information under the following heading</w:t>
      </w:r>
      <w:r w:rsidR="001F51E5" w:rsidRPr="008C181A">
        <w:rPr>
          <w:rFonts w:cstheme="minorHAnsi"/>
        </w:rPr>
        <w:t>s</w:t>
      </w:r>
      <w:r w:rsidRPr="008C181A">
        <w:rPr>
          <w:rFonts w:cstheme="minorHAnsi"/>
        </w:rPr>
        <w:t xml:space="preserve">: </w:t>
      </w:r>
      <w:r w:rsidR="00A2488C" w:rsidRPr="008C181A">
        <w:rPr>
          <w:rFonts w:cstheme="minorHAnsi"/>
        </w:rPr>
        <w:t>T</w:t>
      </w:r>
      <w:r w:rsidRPr="008C181A">
        <w:rPr>
          <w:rFonts w:cstheme="minorHAnsi"/>
        </w:rPr>
        <w:t xml:space="preserve">itle, author, year of publication, </w:t>
      </w:r>
      <w:r w:rsidR="0024564B" w:rsidRPr="008C181A">
        <w:rPr>
          <w:rFonts w:cstheme="minorHAnsi"/>
        </w:rPr>
        <w:t xml:space="preserve">country, </w:t>
      </w:r>
      <w:r w:rsidR="00CB223A" w:rsidRPr="008C181A">
        <w:rPr>
          <w:rFonts w:cstheme="minorHAnsi"/>
        </w:rPr>
        <w:t>sample</w:t>
      </w:r>
      <w:r w:rsidRPr="008C181A">
        <w:rPr>
          <w:rFonts w:cstheme="minorHAnsi"/>
        </w:rPr>
        <w:t xml:space="preserve">, </w:t>
      </w:r>
      <w:r w:rsidR="00CB223A" w:rsidRPr="008C181A">
        <w:rPr>
          <w:rFonts w:cstheme="minorHAnsi"/>
        </w:rPr>
        <w:t xml:space="preserve">study design and </w:t>
      </w:r>
      <w:r w:rsidRPr="008C181A">
        <w:rPr>
          <w:rFonts w:cstheme="minorHAnsi"/>
        </w:rPr>
        <w:t xml:space="preserve">methodology, </w:t>
      </w:r>
      <w:r w:rsidR="00CB223A" w:rsidRPr="008C181A">
        <w:rPr>
          <w:rFonts w:cstheme="minorHAnsi"/>
        </w:rPr>
        <w:t xml:space="preserve">study </w:t>
      </w:r>
      <w:r w:rsidR="0024564B" w:rsidRPr="008C181A">
        <w:rPr>
          <w:rFonts w:cstheme="minorHAnsi"/>
        </w:rPr>
        <w:t>aims, risk factors</w:t>
      </w:r>
      <w:r w:rsidR="00CB223A" w:rsidRPr="008C181A">
        <w:rPr>
          <w:rFonts w:cstheme="minorHAnsi"/>
        </w:rPr>
        <w:t xml:space="preserve"> for abuse</w:t>
      </w:r>
      <w:r w:rsidR="0024564B" w:rsidRPr="008C181A">
        <w:rPr>
          <w:rFonts w:cstheme="minorHAnsi"/>
        </w:rPr>
        <w:t>, protective factors</w:t>
      </w:r>
      <w:r w:rsidR="00CB223A" w:rsidRPr="008C181A">
        <w:rPr>
          <w:rFonts w:cstheme="minorHAnsi"/>
        </w:rPr>
        <w:t xml:space="preserve"> against abuse</w:t>
      </w:r>
      <w:r w:rsidR="0024564B" w:rsidRPr="008C181A">
        <w:rPr>
          <w:rFonts w:cstheme="minorHAnsi"/>
        </w:rPr>
        <w:t xml:space="preserve">, </w:t>
      </w:r>
      <w:r w:rsidR="00CB223A" w:rsidRPr="008C181A">
        <w:rPr>
          <w:rFonts w:cstheme="minorHAnsi"/>
        </w:rPr>
        <w:t xml:space="preserve">barriers to detecting abuse, methods of </w:t>
      </w:r>
      <w:r w:rsidR="00EA3E0A" w:rsidRPr="008C181A">
        <w:rPr>
          <w:rFonts w:cstheme="minorHAnsi"/>
        </w:rPr>
        <w:t>detecting abuse, tools</w:t>
      </w:r>
      <w:r w:rsidR="00CB223A" w:rsidRPr="008C181A">
        <w:rPr>
          <w:rFonts w:cstheme="minorHAnsi"/>
        </w:rPr>
        <w:t>/interventions to detect or prevent abuse</w:t>
      </w:r>
      <w:r w:rsidR="00EA3E0A" w:rsidRPr="008C181A">
        <w:rPr>
          <w:rFonts w:cstheme="minorHAnsi"/>
        </w:rPr>
        <w:t>, and external monitoring</w:t>
      </w:r>
      <w:r w:rsidR="00CB223A" w:rsidRPr="008C181A">
        <w:rPr>
          <w:rFonts w:cstheme="minorHAnsi"/>
        </w:rPr>
        <w:t xml:space="preserve"> of services</w:t>
      </w:r>
      <w:r w:rsidRPr="008C181A">
        <w:rPr>
          <w:rFonts w:cstheme="minorHAnsi"/>
        </w:rPr>
        <w:t xml:space="preserve">. The quantitative and qualitative findings </w:t>
      </w:r>
      <w:r w:rsidR="00C214B1" w:rsidRPr="008C181A">
        <w:rPr>
          <w:rFonts w:cstheme="minorHAnsi"/>
        </w:rPr>
        <w:t>we</w:t>
      </w:r>
      <w:r w:rsidRPr="008C181A">
        <w:rPr>
          <w:rFonts w:cstheme="minorHAnsi"/>
        </w:rPr>
        <w:t>re summarised</w:t>
      </w:r>
      <w:r w:rsidR="0024564B" w:rsidRPr="008C181A">
        <w:rPr>
          <w:rFonts w:cstheme="minorHAnsi"/>
        </w:rPr>
        <w:t>.</w:t>
      </w:r>
    </w:p>
    <w:p w14:paraId="1BCE09D1" w14:textId="77777777" w:rsidR="0024564B" w:rsidRPr="008C181A" w:rsidRDefault="0024564B" w:rsidP="00B167B8">
      <w:pPr>
        <w:spacing w:after="0" w:line="480" w:lineRule="auto"/>
        <w:rPr>
          <w:rFonts w:cstheme="minorHAnsi"/>
        </w:rPr>
      </w:pPr>
    </w:p>
    <w:p w14:paraId="6F3955BA" w14:textId="77777777" w:rsidR="00A90783" w:rsidRPr="008C181A" w:rsidRDefault="00A90783" w:rsidP="00B167B8">
      <w:pPr>
        <w:spacing w:after="0" w:line="480" w:lineRule="auto"/>
        <w:rPr>
          <w:rFonts w:cstheme="minorHAnsi"/>
          <w:b/>
          <w:bCs/>
          <w:lang w:val="en-US"/>
        </w:rPr>
      </w:pPr>
      <w:r w:rsidRPr="008C181A">
        <w:rPr>
          <w:rFonts w:cstheme="minorHAnsi"/>
          <w:b/>
          <w:bCs/>
          <w:lang w:val="en-US"/>
        </w:rPr>
        <w:t>Search Strategy</w:t>
      </w:r>
    </w:p>
    <w:p w14:paraId="61C390D3" w14:textId="5B3D852F" w:rsidR="006973B5" w:rsidRPr="008C181A" w:rsidRDefault="006973B5" w:rsidP="00B167B8">
      <w:pPr>
        <w:spacing w:after="0" w:line="480" w:lineRule="auto"/>
        <w:ind w:firstLine="720"/>
        <w:rPr>
          <w:rStyle w:val="Strong"/>
          <w:rFonts w:cstheme="minorHAnsi"/>
          <w:b w:val="0"/>
          <w:bCs w:val="0"/>
          <w:bdr w:val="none" w:sz="0" w:space="0" w:color="auto" w:frame="1"/>
        </w:rPr>
      </w:pPr>
      <w:r w:rsidRPr="008C181A">
        <w:rPr>
          <w:rFonts w:cstheme="minorHAnsi"/>
          <w:lang w:val="en-US"/>
        </w:rPr>
        <w:lastRenderedPageBreak/>
        <w:t xml:space="preserve">The </w:t>
      </w:r>
      <w:r w:rsidR="001F51E5" w:rsidRPr="008C181A">
        <w:rPr>
          <w:rFonts w:cstheme="minorHAnsi"/>
          <w:lang w:val="en-US"/>
        </w:rPr>
        <w:t xml:space="preserve">final </w:t>
      </w:r>
      <w:r w:rsidRPr="008C181A">
        <w:rPr>
          <w:rFonts w:cstheme="minorHAnsi"/>
          <w:lang w:val="en-US"/>
        </w:rPr>
        <w:t xml:space="preserve">global literature </w:t>
      </w:r>
      <w:r w:rsidR="00796781" w:rsidRPr="008C181A">
        <w:rPr>
          <w:rFonts w:cstheme="minorHAnsi"/>
          <w:lang w:val="en-US"/>
        </w:rPr>
        <w:t xml:space="preserve">searches </w:t>
      </w:r>
      <w:r w:rsidRPr="008C181A">
        <w:rPr>
          <w:rFonts w:cstheme="minorHAnsi"/>
          <w:lang w:val="en-US"/>
        </w:rPr>
        <w:t>in PsychINFO, PsychARTICLES, Medline,</w:t>
      </w:r>
      <w:r w:rsidRPr="008C181A">
        <w:rPr>
          <w:rFonts w:cstheme="minorHAnsi"/>
          <w:b/>
          <w:bCs/>
          <w:lang w:val="en-US"/>
        </w:rPr>
        <w:t xml:space="preserve"> </w:t>
      </w:r>
      <w:r w:rsidRPr="008C181A">
        <w:rPr>
          <w:rStyle w:val="Strong"/>
          <w:rFonts w:cstheme="minorHAnsi"/>
          <w:b w:val="0"/>
          <w:bCs w:val="0"/>
          <w:bdr w:val="none" w:sz="0" w:space="0" w:color="auto" w:frame="1"/>
        </w:rPr>
        <w:t xml:space="preserve">CINAHL Plus with Full Text, Criminal Justice Abstracts, SCOPUS, and PubMed </w:t>
      </w:r>
      <w:r w:rsidR="00796781" w:rsidRPr="008C181A">
        <w:rPr>
          <w:rStyle w:val="Strong"/>
          <w:rFonts w:cstheme="minorHAnsi"/>
          <w:b w:val="0"/>
          <w:bCs w:val="0"/>
          <w:bdr w:val="none" w:sz="0" w:space="0" w:color="auto" w:frame="1"/>
        </w:rPr>
        <w:t>(</w:t>
      </w:r>
      <w:r w:rsidR="00A90783" w:rsidRPr="008C181A">
        <w:rPr>
          <w:rStyle w:val="Strong"/>
          <w:rFonts w:cstheme="minorHAnsi"/>
          <w:b w:val="0"/>
          <w:bCs w:val="0"/>
          <w:bdr w:val="none" w:sz="0" w:space="0" w:color="auto" w:frame="1"/>
        </w:rPr>
        <w:t>and a</w:t>
      </w:r>
      <w:r w:rsidRPr="008C181A">
        <w:rPr>
          <w:rStyle w:val="Strong"/>
          <w:rFonts w:cstheme="minorHAnsi"/>
          <w:b w:val="0"/>
          <w:bCs w:val="0"/>
          <w:bdr w:val="none" w:sz="0" w:space="0" w:color="auto" w:frame="1"/>
        </w:rPr>
        <w:t>ncestry searches</w:t>
      </w:r>
      <w:r w:rsidR="00796781"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24564B" w:rsidRPr="008C181A">
        <w:rPr>
          <w:rStyle w:val="Strong"/>
          <w:rFonts w:cstheme="minorHAnsi"/>
          <w:b w:val="0"/>
          <w:bCs w:val="0"/>
          <w:bdr w:val="none" w:sz="0" w:space="0" w:color="auto" w:frame="1"/>
        </w:rPr>
        <w:t xml:space="preserve">were </w:t>
      </w:r>
      <w:r w:rsidRPr="008C181A">
        <w:rPr>
          <w:rStyle w:val="Strong"/>
          <w:rFonts w:cstheme="minorHAnsi"/>
          <w:b w:val="0"/>
          <w:bCs w:val="0"/>
          <w:bdr w:val="none" w:sz="0" w:space="0" w:color="auto" w:frame="1"/>
        </w:rPr>
        <w:t>conducted</w:t>
      </w:r>
      <w:r w:rsidR="0024564B" w:rsidRPr="008C181A">
        <w:rPr>
          <w:rStyle w:val="Strong"/>
          <w:rFonts w:cstheme="minorHAnsi"/>
          <w:b w:val="0"/>
          <w:bCs w:val="0"/>
          <w:bdr w:val="none" w:sz="0" w:space="0" w:color="auto" w:frame="1"/>
        </w:rPr>
        <w:t xml:space="preserve"> on 28</w:t>
      </w:r>
      <w:r w:rsidR="0024564B" w:rsidRPr="008C181A">
        <w:rPr>
          <w:rStyle w:val="Strong"/>
          <w:rFonts w:cstheme="minorHAnsi"/>
          <w:b w:val="0"/>
          <w:bCs w:val="0"/>
          <w:bdr w:val="none" w:sz="0" w:space="0" w:color="auto" w:frame="1"/>
          <w:vertAlign w:val="superscript"/>
        </w:rPr>
        <w:t>th</w:t>
      </w:r>
      <w:r w:rsidR="0024564B" w:rsidRPr="008C181A">
        <w:rPr>
          <w:rStyle w:val="Strong"/>
          <w:rFonts w:cstheme="minorHAnsi"/>
          <w:b w:val="0"/>
          <w:bCs w:val="0"/>
          <w:bdr w:val="none" w:sz="0" w:space="0" w:color="auto" w:frame="1"/>
        </w:rPr>
        <w:t xml:space="preserve"> July 2020</w:t>
      </w:r>
      <w:r w:rsidRPr="008C181A">
        <w:rPr>
          <w:rStyle w:val="Strong"/>
          <w:rFonts w:cstheme="minorHAnsi"/>
          <w:b w:val="0"/>
          <w:bCs w:val="0"/>
          <w:bdr w:val="none" w:sz="0" w:space="0" w:color="auto" w:frame="1"/>
        </w:rPr>
        <w:t xml:space="preserve">. Search terms used were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care regulation</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care quality assessment</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w:t>
      </w:r>
      <w:r w:rsidR="00393B23" w:rsidRPr="008C181A">
        <w:rPr>
          <w:rStyle w:val="Strong"/>
          <w:rFonts w:cstheme="minorHAnsi"/>
          <w:b w:val="0"/>
          <w:bCs w:val="0"/>
          <w:bdr w:val="none" w:sz="0" w:space="0" w:color="auto" w:frame="1"/>
        </w:rPr>
        <w:t xml:space="preserve"> “safeguarding”,</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detecting abuse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surveillance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closed culture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neglect</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mistreatment</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maltreatment</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learning disability service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intellectual disability service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autism service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residential care</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residential </w:t>
      </w:r>
      <w:r w:rsidR="00A90783" w:rsidRPr="008C181A">
        <w:rPr>
          <w:rStyle w:val="Strong"/>
          <w:rFonts w:cstheme="minorHAnsi"/>
          <w:b w:val="0"/>
          <w:bCs w:val="0"/>
          <w:bdr w:val="none" w:sz="0" w:space="0" w:color="auto" w:frame="1"/>
        </w:rPr>
        <w:t>facility”</w:t>
      </w:r>
      <w:r w:rsidRPr="008C181A">
        <w:rPr>
          <w:rStyle w:val="Strong"/>
          <w:rFonts w:cstheme="minorHAnsi"/>
          <w:b w:val="0"/>
          <w:bCs w:val="0"/>
          <w:bdr w:val="none" w:sz="0" w:space="0" w:color="auto" w:frame="1"/>
        </w:rPr>
        <w:t xml:space="preserve">, and </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skilled nursing </w:t>
      </w:r>
      <w:r w:rsidR="00A90783" w:rsidRPr="008C181A">
        <w:rPr>
          <w:rStyle w:val="Strong"/>
          <w:rFonts w:cstheme="minorHAnsi"/>
          <w:b w:val="0"/>
          <w:bCs w:val="0"/>
          <w:bdr w:val="none" w:sz="0" w:space="0" w:color="auto" w:frame="1"/>
        </w:rPr>
        <w:t>facilit</w:t>
      </w:r>
      <w:r w:rsidRPr="008C181A">
        <w:rPr>
          <w:rStyle w:val="Strong"/>
          <w:rFonts w:cstheme="minorHAnsi"/>
          <w:b w:val="0"/>
          <w:bCs w:val="0"/>
          <w:bdr w:val="none" w:sz="0" w:space="0" w:color="auto" w:frame="1"/>
        </w:rPr>
        <w:t>y</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Studies referring to children</w:t>
      </w:r>
      <w:r w:rsidR="00A90783" w:rsidRPr="008C181A">
        <w:rPr>
          <w:rStyle w:val="Strong"/>
          <w:rFonts w:cstheme="minorHAnsi"/>
          <w:b w:val="0"/>
          <w:bCs w:val="0"/>
          <w:bdr w:val="none" w:sz="0" w:space="0" w:color="auto" w:frame="1"/>
        </w:rPr>
        <w:t xml:space="preserve">, </w:t>
      </w:r>
      <w:r w:rsidRPr="008C181A">
        <w:rPr>
          <w:rStyle w:val="Strong"/>
          <w:rFonts w:cstheme="minorHAnsi"/>
          <w:b w:val="0"/>
          <w:bCs w:val="0"/>
          <w:bdr w:val="none" w:sz="0" w:space="0" w:color="auto" w:frame="1"/>
        </w:rPr>
        <w:t>adolescen</w:t>
      </w:r>
      <w:r w:rsidR="00082488" w:rsidRPr="008C181A">
        <w:rPr>
          <w:rStyle w:val="Strong"/>
          <w:rFonts w:cstheme="minorHAnsi"/>
          <w:b w:val="0"/>
          <w:bCs w:val="0"/>
          <w:bdr w:val="none" w:sz="0" w:space="0" w:color="auto" w:frame="1"/>
        </w:rPr>
        <w:t>ts</w:t>
      </w:r>
      <w:r w:rsidRPr="008C181A">
        <w:rPr>
          <w:rStyle w:val="Strong"/>
          <w:rFonts w:cstheme="minorHAnsi"/>
          <w:b w:val="0"/>
          <w:bCs w:val="0"/>
          <w:bdr w:val="none" w:sz="0" w:space="0" w:color="auto" w:frame="1"/>
        </w:rPr>
        <w:t xml:space="preserve">, </w:t>
      </w:r>
      <w:r w:rsidR="001F51E5" w:rsidRPr="008C181A">
        <w:rPr>
          <w:rStyle w:val="Strong"/>
          <w:rFonts w:cstheme="minorHAnsi"/>
          <w:b w:val="0"/>
          <w:bCs w:val="0"/>
          <w:bdr w:val="none" w:sz="0" w:space="0" w:color="auto" w:frame="1"/>
        </w:rPr>
        <w:t xml:space="preserve">and </w:t>
      </w:r>
      <w:r w:rsidRPr="008C181A">
        <w:rPr>
          <w:rStyle w:val="Strong"/>
          <w:rFonts w:cstheme="minorHAnsi"/>
          <w:b w:val="0"/>
          <w:bCs w:val="0"/>
          <w:bdr w:val="none" w:sz="0" w:space="0" w:color="auto" w:frame="1"/>
        </w:rPr>
        <w:t>elderly adults</w:t>
      </w:r>
      <w:r w:rsidR="001F51E5" w:rsidRPr="008C181A">
        <w:rPr>
          <w:rStyle w:val="Strong"/>
          <w:rFonts w:cstheme="minorHAnsi"/>
          <w:b w:val="0"/>
          <w:bCs w:val="0"/>
          <w:bdr w:val="none" w:sz="0" w:space="0" w:color="auto" w:frame="1"/>
        </w:rPr>
        <w:t xml:space="preserve"> (all without </w:t>
      </w:r>
      <w:r w:rsidR="00393B23" w:rsidRPr="008C181A">
        <w:rPr>
          <w:rStyle w:val="Strong"/>
          <w:rFonts w:cstheme="minorHAnsi"/>
          <w:b w:val="0"/>
          <w:bCs w:val="0"/>
          <w:bdr w:val="none" w:sz="0" w:space="0" w:color="auto" w:frame="1"/>
        </w:rPr>
        <w:t>intellectual and other developmental disabilities</w:t>
      </w:r>
      <w:r w:rsidR="001F51E5" w:rsidRPr="008C181A">
        <w:rPr>
          <w:rStyle w:val="Strong"/>
          <w:rFonts w:cstheme="minorHAnsi"/>
          <w:b w:val="0"/>
          <w:bCs w:val="0"/>
          <w:bdr w:val="none" w:sz="0" w:space="0" w:color="auto" w:frame="1"/>
        </w:rPr>
        <w:t>)</w:t>
      </w:r>
      <w:r w:rsidR="005B0F3D" w:rsidRPr="008C181A">
        <w:rPr>
          <w:rStyle w:val="Strong"/>
          <w:rFonts w:cstheme="minorHAnsi"/>
          <w:b w:val="0"/>
          <w:bCs w:val="0"/>
          <w:bdr w:val="none" w:sz="0" w:space="0" w:color="auto" w:frame="1"/>
        </w:rPr>
        <w:t xml:space="preserve"> were excluded</w:t>
      </w:r>
      <w:r w:rsidRPr="008C181A">
        <w:rPr>
          <w:rStyle w:val="Strong"/>
          <w:rFonts w:cstheme="minorHAnsi"/>
          <w:b w:val="0"/>
          <w:bCs w:val="0"/>
          <w:bdr w:val="none" w:sz="0" w:space="0" w:color="auto" w:frame="1"/>
        </w:rPr>
        <w:t>,</w:t>
      </w:r>
      <w:r w:rsidR="00796781" w:rsidRPr="008C181A">
        <w:rPr>
          <w:rStyle w:val="Strong"/>
          <w:rFonts w:cstheme="minorHAnsi"/>
          <w:b w:val="0"/>
          <w:bCs w:val="0"/>
          <w:bdr w:val="none" w:sz="0" w:space="0" w:color="auto" w:frame="1"/>
        </w:rPr>
        <w:t xml:space="preserve"> </w:t>
      </w:r>
      <w:r w:rsidR="001F51E5" w:rsidRPr="008C181A">
        <w:rPr>
          <w:rStyle w:val="Strong"/>
          <w:rFonts w:cstheme="minorHAnsi"/>
          <w:b w:val="0"/>
          <w:bCs w:val="0"/>
          <w:bdr w:val="none" w:sz="0" w:space="0" w:color="auto" w:frame="1"/>
        </w:rPr>
        <w:t>as well as</w:t>
      </w:r>
      <w:r w:rsidRPr="008C181A">
        <w:rPr>
          <w:rStyle w:val="Strong"/>
          <w:rFonts w:cstheme="minorHAnsi"/>
          <w:b w:val="0"/>
          <w:bCs w:val="0"/>
          <w:bdr w:val="none" w:sz="0" w:space="0" w:color="auto" w:frame="1"/>
        </w:rPr>
        <w:t xml:space="preserve"> </w:t>
      </w:r>
      <w:r w:rsidR="002009F4" w:rsidRPr="008C181A">
        <w:rPr>
          <w:rStyle w:val="Strong"/>
          <w:rFonts w:cstheme="minorHAnsi"/>
          <w:b w:val="0"/>
          <w:bdr w:val="none" w:sz="0" w:space="0" w:color="auto" w:frame="1"/>
        </w:rPr>
        <w:t>those w</w:t>
      </w:r>
      <w:r w:rsidR="001F51E5" w:rsidRPr="008C181A">
        <w:rPr>
          <w:rStyle w:val="Strong"/>
          <w:rFonts w:cstheme="minorHAnsi"/>
          <w:b w:val="0"/>
          <w:bdr w:val="none" w:sz="0" w:space="0" w:color="auto" w:frame="1"/>
        </w:rPr>
        <w:t>h</w:t>
      </w:r>
      <w:r w:rsidR="002009F4" w:rsidRPr="008C181A">
        <w:rPr>
          <w:rStyle w:val="Strong"/>
          <w:rFonts w:cstheme="minorHAnsi"/>
          <w:b w:val="0"/>
          <w:bdr w:val="none" w:sz="0" w:space="0" w:color="auto" w:frame="1"/>
        </w:rPr>
        <w:t>ere t</w:t>
      </w:r>
      <w:r w:rsidR="002009F4" w:rsidRPr="008C181A">
        <w:rPr>
          <w:rFonts w:cstheme="minorHAnsi"/>
          <w:lang w:val="en-US"/>
        </w:rPr>
        <w:t>he topic of the article did not relate to abuse perpetrated by professionals</w:t>
      </w:r>
      <w:r w:rsidR="005B0F3D" w:rsidRPr="008C181A">
        <w:rPr>
          <w:rFonts w:cstheme="minorHAnsi"/>
          <w:lang w:val="en-US"/>
        </w:rPr>
        <w:t xml:space="preserve"> or staff</w:t>
      </w:r>
      <w:r w:rsidR="002009F4" w:rsidRPr="008C181A">
        <w:rPr>
          <w:rFonts w:cstheme="minorHAnsi"/>
          <w:lang w:val="en-US"/>
        </w:rPr>
        <w:t>, or quality of care within services</w:t>
      </w:r>
      <w:r w:rsidRPr="008C181A">
        <w:rPr>
          <w:rStyle w:val="Strong"/>
          <w:rFonts w:cstheme="minorHAnsi"/>
          <w:b w:val="0"/>
          <w:bCs w:val="0"/>
          <w:bdr w:val="none" w:sz="0" w:space="0" w:color="auto" w:frame="1"/>
        </w:rPr>
        <w:t>. In addition, non-empirical articles (i.e., books, letters, reviews) were excluded</w:t>
      </w:r>
      <w:r w:rsidR="00A90783"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as were </w:t>
      </w:r>
      <w:r w:rsidR="00A90783" w:rsidRPr="008C181A">
        <w:rPr>
          <w:rStyle w:val="Strong"/>
          <w:rFonts w:cstheme="minorHAnsi"/>
          <w:b w:val="0"/>
          <w:bCs w:val="0"/>
          <w:bdr w:val="none" w:sz="0" w:space="0" w:color="auto" w:frame="1"/>
        </w:rPr>
        <w:t>articles</w:t>
      </w:r>
      <w:r w:rsidRPr="008C181A">
        <w:rPr>
          <w:rStyle w:val="Strong"/>
          <w:rFonts w:cstheme="minorHAnsi"/>
          <w:b w:val="0"/>
          <w:bCs w:val="0"/>
          <w:bdr w:val="none" w:sz="0" w:space="0" w:color="auto" w:frame="1"/>
        </w:rPr>
        <w:t xml:space="preserve"> not written in English (see Fig</w:t>
      </w:r>
      <w:r w:rsidR="009164DA" w:rsidRPr="008C181A">
        <w:rPr>
          <w:rStyle w:val="Strong"/>
          <w:rFonts w:cstheme="minorHAnsi"/>
          <w:b w:val="0"/>
          <w:bCs w:val="0"/>
          <w:bdr w:val="none" w:sz="0" w:space="0" w:color="auto" w:frame="1"/>
        </w:rPr>
        <w:t>.</w:t>
      </w:r>
      <w:r w:rsidRPr="008C181A">
        <w:rPr>
          <w:rStyle w:val="Strong"/>
          <w:rFonts w:cstheme="minorHAnsi"/>
          <w:b w:val="0"/>
          <w:bCs w:val="0"/>
          <w:bdr w:val="none" w:sz="0" w:space="0" w:color="auto" w:frame="1"/>
        </w:rPr>
        <w:t xml:space="preserve"> 1)</w:t>
      </w:r>
      <w:r w:rsidR="00BE4B2B" w:rsidRPr="008C181A">
        <w:rPr>
          <w:rStyle w:val="Strong"/>
          <w:rFonts w:cstheme="minorHAnsi"/>
          <w:b w:val="0"/>
          <w:bCs w:val="0"/>
          <w:bdr w:val="none" w:sz="0" w:space="0" w:color="auto" w:frame="1"/>
        </w:rPr>
        <w:t>.</w:t>
      </w:r>
      <w:r w:rsidR="0024564B" w:rsidRPr="008C181A">
        <w:rPr>
          <w:rFonts w:cstheme="minorHAnsi"/>
          <w:b/>
          <w:bCs/>
          <w:bdr w:val="none" w:sz="0" w:space="0" w:color="auto" w:frame="1"/>
        </w:rPr>
        <w:t xml:space="preserve"> </w:t>
      </w:r>
      <w:r w:rsidR="0024564B" w:rsidRPr="008C181A">
        <w:rPr>
          <w:rStyle w:val="Strong"/>
          <w:rFonts w:cstheme="minorHAnsi"/>
          <w:b w:val="0"/>
          <w:bCs w:val="0"/>
          <w:bdr w:val="none" w:sz="0" w:space="0" w:color="auto" w:frame="1"/>
        </w:rPr>
        <w:t xml:space="preserve">No </w:t>
      </w:r>
      <w:r w:rsidR="0024564B" w:rsidRPr="008C181A">
        <w:rPr>
          <w:rFonts w:cstheme="minorHAnsi"/>
        </w:rPr>
        <w:t>limits were applied to year of publication or country in which the study took place.</w:t>
      </w:r>
    </w:p>
    <w:p w14:paraId="6EC76EBA" w14:textId="0F6D49AD" w:rsidR="00936F5C" w:rsidRPr="008C181A" w:rsidRDefault="00936F5C" w:rsidP="00B167B8">
      <w:pPr>
        <w:spacing w:after="0" w:line="480" w:lineRule="auto"/>
        <w:rPr>
          <w:rStyle w:val="Strong"/>
          <w:rFonts w:cstheme="minorHAnsi"/>
          <w:b w:val="0"/>
          <w:bdr w:val="none" w:sz="0" w:space="0" w:color="auto" w:frame="1"/>
        </w:rPr>
      </w:pPr>
    </w:p>
    <w:p w14:paraId="759D7DF1" w14:textId="77777777" w:rsidR="0024564B" w:rsidRPr="008C181A" w:rsidRDefault="0024564B" w:rsidP="00B167B8">
      <w:pPr>
        <w:spacing w:after="0" w:line="480" w:lineRule="auto"/>
        <w:rPr>
          <w:rFonts w:cstheme="minorHAnsi"/>
          <w:b/>
          <w:lang w:val="en-US"/>
        </w:rPr>
      </w:pPr>
      <w:r w:rsidRPr="008C181A">
        <w:rPr>
          <w:rFonts w:cstheme="minorHAnsi"/>
          <w:b/>
          <w:lang w:val="en-US"/>
        </w:rPr>
        <w:t>Eligibility Criteria</w:t>
      </w:r>
    </w:p>
    <w:p w14:paraId="35F58F72" w14:textId="40E6D366" w:rsidR="0024564B" w:rsidRPr="008C181A" w:rsidRDefault="0024564B" w:rsidP="00B167B8">
      <w:pPr>
        <w:autoSpaceDE w:val="0"/>
        <w:autoSpaceDN w:val="0"/>
        <w:adjustRightInd w:val="0"/>
        <w:spacing w:after="0" w:line="480" w:lineRule="auto"/>
        <w:ind w:firstLine="360"/>
        <w:rPr>
          <w:rFonts w:cstheme="minorHAnsi"/>
          <w:lang w:val="en-US"/>
        </w:rPr>
      </w:pPr>
      <w:r w:rsidRPr="008C181A">
        <w:rPr>
          <w:rFonts w:cstheme="minorHAnsi"/>
          <w:lang w:val="en-US"/>
        </w:rPr>
        <w:t xml:space="preserve">The current review aimed to consolidate and evaluate the current research on the abuse of adults with </w:t>
      </w:r>
      <w:r w:rsidR="00393B23" w:rsidRPr="008C181A">
        <w:rPr>
          <w:rFonts w:cstheme="minorHAnsi"/>
          <w:lang w:val="en-US"/>
        </w:rPr>
        <w:t xml:space="preserve">intellectual and other developmental disabilities </w:t>
      </w:r>
      <w:r w:rsidRPr="008C181A">
        <w:rPr>
          <w:rFonts w:cstheme="minorHAnsi"/>
          <w:lang w:val="en-US"/>
        </w:rPr>
        <w:t>within</w:t>
      </w:r>
      <w:r w:rsidR="00EA3E0A" w:rsidRPr="008C181A">
        <w:rPr>
          <w:rFonts w:cstheme="minorHAnsi"/>
          <w:lang w:val="en-US"/>
        </w:rPr>
        <w:t xml:space="preserve"> </w:t>
      </w:r>
      <w:r w:rsidR="008008E9" w:rsidRPr="008C181A">
        <w:rPr>
          <w:rFonts w:cstheme="minorHAnsi"/>
          <w:lang w:val="en-US"/>
        </w:rPr>
        <w:t>community</w:t>
      </w:r>
      <w:r w:rsidR="00EA3E0A" w:rsidRPr="008C181A">
        <w:rPr>
          <w:rFonts w:cstheme="minorHAnsi"/>
          <w:lang w:val="en-US"/>
        </w:rPr>
        <w:t xml:space="preserve"> and inpatient</w:t>
      </w:r>
      <w:r w:rsidRPr="008C181A">
        <w:rPr>
          <w:rFonts w:cstheme="minorHAnsi"/>
          <w:lang w:val="en-US"/>
        </w:rPr>
        <w:t xml:space="preserve"> services. Articles were reviewed to ensure they met the inclusion </w:t>
      </w:r>
      <w:r w:rsidR="00D1563F" w:rsidRPr="008C181A">
        <w:rPr>
          <w:rFonts w:cstheme="minorHAnsi"/>
          <w:lang w:val="en-US"/>
        </w:rPr>
        <w:t xml:space="preserve">and exclusion </w:t>
      </w:r>
      <w:r w:rsidRPr="008C181A">
        <w:rPr>
          <w:rFonts w:cstheme="minorHAnsi"/>
          <w:lang w:val="en-US"/>
        </w:rPr>
        <w:t>criteria</w:t>
      </w:r>
      <w:r w:rsidR="00D1563F" w:rsidRPr="008C181A">
        <w:rPr>
          <w:rFonts w:cstheme="minorHAnsi"/>
          <w:lang w:val="en-US"/>
        </w:rPr>
        <w:t xml:space="preserve"> (see Table 1).</w:t>
      </w:r>
    </w:p>
    <w:p w14:paraId="34F69E57" w14:textId="742536EF" w:rsidR="00D1563F" w:rsidRPr="008C181A" w:rsidRDefault="00D1563F" w:rsidP="00B167B8">
      <w:pPr>
        <w:autoSpaceDE w:val="0"/>
        <w:autoSpaceDN w:val="0"/>
        <w:adjustRightInd w:val="0"/>
        <w:spacing w:after="0" w:line="480" w:lineRule="auto"/>
        <w:ind w:firstLine="360"/>
        <w:rPr>
          <w:rFonts w:cstheme="minorHAnsi"/>
          <w:lang w:val="en-US"/>
        </w:rPr>
      </w:pPr>
    </w:p>
    <w:p w14:paraId="52B96C07" w14:textId="3664B308" w:rsidR="00D1563F" w:rsidRPr="008C181A" w:rsidRDefault="00C42360" w:rsidP="00C42360">
      <w:pPr>
        <w:autoSpaceDE w:val="0"/>
        <w:autoSpaceDN w:val="0"/>
        <w:adjustRightInd w:val="0"/>
        <w:spacing w:after="0" w:line="480" w:lineRule="auto"/>
        <w:rPr>
          <w:rFonts w:cstheme="minorHAnsi"/>
          <w:b/>
          <w:bCs/>
          <w:lang w:val="en-US"/>
        </w:rPr>
      </w:pPr>
      <w:r w:rsidRPr="008C181A">
        <w:rPr>
          <w:rFonts w:cstheme="minorHAnsi"/>
          <w:b/>
          <w:bCs/>
          <w:lang w:val="en-US"/>
        </w:rPr>
        <w:t>Table 1</w:t>
      </w:r>
    </w:p>
    <w:p w14:paraId="5034FD57" w14:textId="47896EB6" w:rsidR="00C42360" w:rsidRPr="008C181A" w:rsidRDefault="00C42360" w:rsidP="00FA6D65">
      <w:pPr>
        <w:autoSpaceDE w:val="0"/>
        <w:autoSpaceDN w:val="0"/>
        <w:adjustRightInd w:val="0"/>
        <w:spacing w:after="0" w:line="480" w:lineRule="auto"/>
        <w:rPr>
          <w:rFonts w:cstheme="minorHAnsi"/>
          <w:i/>
          <w:iCs/>
          <w:lang w:val="en-US"/>
        </w:rPr>
      </w:pPr>
      <w:r w:rsidRPr="008C181A">
        <w:rPr>
          <w:rFonts w:cstheme="minorHAnsi"/>
          <w:i/>
          <w:iCs/>
          <w:lang w:val="en-US"/>
        </w:rPr>
        <w:t xml:space="preserve">Eligibility </w:t>
      </w:r>
      <w:r w:rsidR="007F2C78" w:rsidRPr="008C181A">
        <w:rPr>
          <w:rFonts w:cstheme="minorHAnsi"/>
          <w:i/>
          <w:iCs/>
          <w:lang w:val="en-US"/>
        </w:rPr>
        <w:t>c</w:t>
      </w:r>
      <w:r w:rsidRPr="008C181A">
        <w:rPr>
          <w:rFonts w:cstheme="minorHAnsi"/>
          <w:i/>
          <w:iCs/>
          <w:lang w:val="en-US"/>
        </w:rPr>
        <w:t>riteria</w:t>
      </w:r>
    </w:p>
    <w:p w14:paraId="2AAB7B62" w14:textId="5DFCD5FA" w:rsidR="00D1563F" w:rsidRPr="008C181A" w:rsidRDefault="000920CE" w:rsidP="000920CE">
      <w:pPr>
        <w:autoSpaceDE w:val="0"/>
        <w:autoSpaceDN w:val="0"/>
        <w:adjustRightInd w:val="0"/>
        <w:spacing w:after="0" w:line="480" w:lineRule="auto"/>
        <w:rPr>
          <w:rFonts w:cstheme="minorHAnsi"/>
          <w:lang w:val="en-US"/>
        </w:rPr>
      </w:pPr>
      <w:r w:rsidRPr="008C181A">
        <w:rPr>
          <w:rFonts w:cstheme="minorHAnsi"/>
          <w:lang w:val="en-US"/>
        </w:rPr>
        <w:t>[INSERT TABLE 1]</w:t>
      </w:r>
    </w:p>
    <w:p w14:paraId="47A9B70E" w14:textId="77777777" w:rsidR="000920CE" w:rsidRPr="008C181A" w:rsidRDefault="000920CE" w:rsidP="000920CE">
      <w:pPr>
        <w:autoSpaceDE w:val="0"/>
        <w:autoSpaceDN w:val="0"/>
        <w:adjustRightInd w:val="0"/>
        <w:spacing w:after="0" w:line="480" w:lineRule="auto"/>
        <w:rPr>
          <w:rFonts w:cstheme="minorHAnsi"/>
          <w:lang w:val="en-US"/>
        </w:rPr>
      </w:pPr>
    </w:p>
    <w:p w14:paraId="765A83E1" w14:textId="77777777" w:rsidR="002A5BAB" w:rsidRPr="008C181A" w:rsidRDefault="002A5BAB" w:rsidP="00B167B8">
      <w:pPr>
        <w:spacing w:after="0" w:line="480" w:lineRule="auto"/>
        <w:rPr>
          <w:rFonts w:cstheme="minorHAnsi"/>
          <w:b/>
        </w:rPr>
      </w:pPr>
      <w:r w:rsidRPr="008C181A">
        <w:rPr>
          <w:rFonts w:cstheme="minorHAnsi"/>
          <w:b/>
        </w:rPr>
        <w:t>Identification of studies</w:t>
      </w:r>
    </w:p>
    <w:p w14:paraId="09824A26" w14:textId="3A7C5793" w:rsidR="002A5BAB" w:rsidRPr="008C181A" w:rsidRDefault="002A5BAB" w:rsidP="00B167B8">
      <w:pPr>
        <w:spacing w:after="0" w:line="480" w:lineRule="auto"/>
        <w:ind w:firstLine="720"/>
        <w:rPr>
          <w:rFonts w:cstheme="minorHAnsi"/>
        </w:rPr>
      </w:pPr>
      <w:r w:rsidRPr="008C181A">
        <w:rPr>
          <w:rFonts w:cstheme="minorHAnsi"/>
        </w:rPr>
        <w:t>The initial search resulted in 15,</w:t>
      </w:r>
      <w:r w:rsidR="000E41E4" w:rsidRPr="008C181A">
        <w:rPr>
          <w:rFonts w:cstheme="minorHAnsi"/>
        </w:rPr>
        <w:t>3</w:t>
      </w:r>
      <w:r w:rsidR="00841CB3" w:rsidRPr="008C181A">
        <w:rPr>
          <w:rFonts w:cstheme="minorHAnsi"/>
        </w:rPr>
        <w:t>8</w:t>
      </w:r>
      <w:r w:rsidR="00393B23" w:rsidRPr="008C181A">
        <w:rPr>
          <w:rFonts w:cstheme="minorHAnsi"/>
        </w:rPr>
        <w:t>9</w:t>
      </w:r>
      <w:r w:rsidRPr="008C181A">
        <w:rPr>
          <w:rFonts w:cstheme="minorHAnsi"/>
        </w:rPr>
        <w:t xml:space="preserve"> papers. After duplicates were removed, 14,1</w:t>
      </w:r>
      <w:r w:rsidR="00B0064A" w:rsidRPr="008C181A">
        <w:rPr>
          <w:rFonts w:cstheme="minorHAnsi"/>
        </w:rPr>
        <w:t>9</w:t>
      </w:r>
      <w:r w:rsidR="00393B23" w:rsidRPr="008C181A">
        <w:rPr>
          <w:rFonts w:cstheme="minorHAnsi"/>
        </w:rPr>
        <w:t>6</w:t>
      </w:r>
      <w:r w:rsidRPr="008C181A">
        <w:rPr>
          <w:rFonts w:cstheme="minorHAnsi"/>
        </w:rPr>
        <w:t xml:space="preserve"> articles were included in the initial review of titles and abstracts. After the review of titles and abstracts, 14,0</w:t>
      </w:r>
      <w:r w:rsidR="00393B23" w:rsidRPr="008C181A">
        <w:rPr>
          <w:rFonts w:cstheme="minorHAnsi"/>
        </w:rPr>
        <w:t>70</w:t>
      </w:r>
      <w:r w:rsidRPr="008C181A">
        <w:rPr>
          <w:rFonts w:cstheme="minorHAnsi"/>
        </w:rPr>
        <w:t xml:space="preserve"> articles were excluded, and 1</w:t>
      </w:r>
      <w:r w:rsidR="00F807E0" w:rsidRPr="008C181A">
        <w:rPr>
          <w:rFonts w:cstheme="minorHAnsi"/>
        </w:rPr>
        <w:t>2</w:t>
      </w:r>
      <w:r w:rsidR="00393B23" w:rsidRPr="008C181A">
        <w:rPr>
          <w:rFonts w:cstheme="minorHAnsi"/>
        </w:rPr>
        <w:t>6</w:t>
      </w:r>
      <w:r w:rsidRPr="008C181A">
        <w:rPr>
          <w:rFonts w:cstheme="minorHAnsi"/>
        </w:rPr>
        <w:t xml:space="preserve"> articles were identified for full text review</w:t>
      </w:r>
      <w:r w:rsidR="00393B23" w:rsidRPr="008C181A">
        <w:rPr>
          <w:rFonts w:cstheme="minorHAnsi"/>
        </w:rPr>
        <w:t>.</w:t>
      </w:r>
      <w:r w:rsidRPr="008C181A">
        <w:rPr>
          <w:rFonts w:cstheme="minorHAnsi"/>
        </w:rPr>
        <w:t xml:space="preserve"> Following a </w:t>
      </w:r>
      <w:r w:rsidRPr="008C181A">
        <w:rPr>
          <w:rFonts w:cstheme="minorHAnsi"/>
        </w:rPr>
        <w:lastRenderedPageBreak/>
        <w:t>further review of 1</w:t>
      </w:r>
      <w:r w:rsidR="0098234F" w:rsidRPr="008C181A">
        <w:rPr>
          <w:rFonts w:cstheme="minorHAnsi"/>
        </w:rPr>
        <w:t>2</w:t>
      </w:r>
      <w:r w:rsidR="00393B23" w:rsidRPr="008C181A">
        <w:rPr>
          <w:rFonts w:cstheme="minorHAnsi"/>
        </w:rPr>
        <w:t>6</w:t>
      </w:r>
      <w:r w:rsidRPr="008C181A">
        <w:rPr>
          <w:rFonts w:cstheme="minorHAnsi"/>
        </w:rPr>
        <w:t xml:space="preserve"> full text articles against the eligibility criteria, </w:t>
      </w:r>
      <w:r w:rsidR="00841CB3" w:rsidRPr="008C181A">
        <w:rPr>
          <w:rFonts w:cstheme="minorHAnsi"/>
        </w:rPr>
        <w:t>4</w:t>
      </w:r>
      <w:r w:rsidR="00393B23" w:rsidRPr="008C181A">
        <w:rPr>
          <w:rFonts w:cstheme="minorHAnsi"/>
        </w:rPr>
        <w:t>8</w:t>
      </w:r>
      <w:r w:rsidRPr="008C181A">
        <w:rPr>
          <w:rFonts w:cstheme="minorHAnsi"/>
        </w:rPr>
        <w:t xml:space="preserve"> were included in the review</w:t>
      </w:r>
      <w:r w:rsidR="005B0F3D" w:rsidRPr="008C181A">
        <w:rPr>
          <w:rFonts w:cstheme="minorHAnsi"/>
        </w:rPr>
        <w:t xml:space="preserve"> – see Figure 1</w:t>
      </w:r>
      <w:r w:rsidRPr="008C181A">
        <w:rPr>
          <w:rFonts w:cstheme="minorHAnsi"/>
        </w:rPr>
        <w:t xml:space="preserve">.  </w:t>
      </w:r>
    </w:p>
    <w:p w14:paraId="4E01E1E8" w14:textId="3944683C" w:rsidR="00D62D21" w:rsidRPr="008C181A" w:rsidRDefault="00D62D21" w:rsidP="00B167B8">
      <w:pPr>
        <w:spacing w:after="0" w:line="480" w:lineRule="auto"/>
        <w:ind w:firstLine="720"/>
        <w:rPr>
          <w:rFonts w:cstheme="minorHAnsi"/>
        </w:rPr>
      </w:pPr>
    </w:p>
    <w:p w14:paraId="3D095E15" w14:textId="77777777" w:rsidR="00D62D21" w:rsidRPr="008C181A" w:rsidRDefault="00D62D21" w:rsidP="00B167B8">
      <w:pPr>
        <w:spacing w:after="0" w:line="480" w:lineRule="auto"/>
        <w:rPr>
          <w:rFonts w:cstheme="minorHAnsi"/>
        </w:rPr>
      </w:pPr>
      <w:r w:rsidRPr="008C181A">
        <w:rPr>
          <w:rFonts w:cstheme="minorHAnsi"/>
          <w:b/>
        </w:rPr>
        <w:t>Data extraction</w:t>
      </w:r>
    </w:p>
    <w:p w14:paraId="0E03B8AB" w14:textId="61F0DB23" w:rsidR="009164DA" w:rsidRPr="008C181A" w:rsidRDefault="00D62D21" w:rsidP="00773848">
      <w:pPr>
        <w:spacing w:after="0" w:line="480" w:lineRule="auto"/>
        <w:ind w:firstLine="720"/>
        <w:rPr>
          <w:rFonts w:cstheme="minorHAnsi"/>
        </w:rPr>
      </w:pPr>
      <w:r w:rsidRPr="008C181A">
        <w:rPr>
          <w:rFonts w:cstheme="minorHAnsi"/>
        </w:rPr>
        <w:t xml:space="preserve">Table </w:t>
      </w:r>
      <w:r w:rsidR="00D54B19" w:rsidRPr="008C181A">
        <w:rPr>
          <w:rFonts w:cstheme="minorHAnsi"/>
        </w:rPr>
        <w:t>2</w:t>
      </w:r>
      <w:r w:rsidRPr="008C181A">
        <w:rPr>
          <w:rFonts w:cstheme="minorHAnsi"/>
        </w:rPr>
        <w:t xml:space="preserve"> provides a summary of the key characteristics of the </w:t>
      </w:r>
      <w:r w:rsidR="00841CB3" w:rsidRPr="008C181A">
        <w:rPr>
          <w:rFonts w:cstheme="minorHAnsi"/>
        </w:rPr>
        <w:t>4</w:t>
      </w:r>
      <w:r w:rsidR="00393B23" w:rsidRPr="008C181A">
        <w:rPr>
          <w:rFonts w:cstheme="minorHAnsi"/>
        </w:rPr>
        <w:t>8</w:t>
      </w:r>
      <w:r w:rsidR="0031116E" w:rsidRPr="008C181A">
        <w:rPr>
          <w:rFonts w:cstheme="minorHAnsi"/>
        </w:rPr>
        <w:t xml:space="preserve"> articles</w:t>
      </w:r>
      <w:r w:rsidRPr="008C181A">
        <w:rPr>
          <w:rFonts w:cstheme="minorHAnsi"/>
        </w:rPr>
        <w:t xml:space="preserve"> included in the review.</w:t>
      </w:r>
    </w:p>
    <w:p w14:paraId="573F9D03" w14:textId="77777777" w:rsidR="000920CE" w:rsidRPr="008C181A" w:rsidRDefault="000920CE" w:rsidP="00773848">
      <w:pPr>
        <w:spacing w:after="0" w:line="480" w:lineRule="auto"/>
        <w:rPr>
          <w:rFonts w:cstheme="minorHAnsi"/>
          <w:shd w:val="clear" w:color="auto" w:fill="FFFFFF"/>
        </w:rPr>
      </w:pPr>
    </w:p>
    <w:p w14:paraId="743B2F64" w14:textId="00CB0C72" w:rsidR="006973B5" w:rsidRPr="008C181A" w:rsidRDefault="00D62D21" w:rsidP="00F83335">
      <w:pPr>
        <w:spacing w:line="480" w:lineRule="auto"/>
        <w:jc w:val="center"/>
        <w:rPr>
          <w:rStyle w:val="Strong"/>
          <w:rFonts w:cstheme="minorHAnsi"/>
          <w:bCs w:val="0"/>
          <w:bdr w:val="none" w:sz="0" w:space="0" w:color="auto" w:frame="1"/>
        </w:rPr>
      </w:pPr>
      <w:r w:rsidRPr="008C181A">
        <w:rPr>
          <w:rStyle w:val="Strong"/>
          <w:rFonts w:cstheme="minorHAnsi"/>
          <w:bCs w:val="0"/>
          <w:bdr w:val="none" w:sz="0" w:space="0" w:color="auto" w:frame="1"/>
        </w:rPr>
        <w:t>Results</w:t>
      </w:r>
    </w:p>
    <w:p w14:paraId="011958AF" w14:textId="77777777" w:rsidR="00D62D21" w:rsidRPr="008C181A" w:rsidRDefault="00D62D21" w:rsidP="00B167B8">
      <w:pPr>
        <w:spacing w:after="0" w:line="480" w:lineRule="auto"/>
        <w:rPr>
          <w:rStyle w:val="Strong"/>
          <w:rFonts w:cstheme="minorHAnsi"/>
          <w:bCs w:val="0"/>
          <w:bdr w:val="none" w:sz="0" w:space="0" w:color="auto" w:frame="1"/>
        </w:rPr>
      </w:pPr>
      <w:r w:rsidRPr="008C181A">
        <w:rPr>
          <w:rStyle w:val="Strong"/>
          <w:rFonts w:cstheme="minorHAnsi"/>
          <w:bCs w:val="0"/>
          <w:bdr w:val="none" w:sz="0" w:space="0" w:color="auto" w:frame="1"/>
        </w:rPr>
        <w:t>Study Characteristics</w:t>
      </w:r>
    </w:p>
    <w:p w14:paraId="446BD504" w14:textId="79066E2D" w:rsidR="00D62D21" w:rsidRPr="008C181A" w:rsidRDefault="00F807E0" w:rsidP="00B167B8">
      <w:pPr>
        <w:spacing w:after="0" w:line="480" w:lineRule="auto"/>
        <w:ind w:firstLine="720"/>
        <w:rPr>
          <w:rStyle w:val="Strong"/>
          <w:rFonts w:cstheme="minorHAnsi"/>
          <w:b w:val="0"/>
          <w:bdr w:val="none" w:sz="0" w:space="0" w:color="auto" w:frame="1"/>
        </w:rPr>
      </w:pPr>
      <w:r w:rsidRPr="008C181A">
        <w:rPr>
          <w:rStyle w:val="Strong"/>
          <w:rFonts w:cstheme="minorHAnsi"/>
          <w:b w:val="0"/>
          <w:bdr w:val="none" w:sz="0" w:space="0" w:color="auto" w:frame="1"/>
        </w:rPr>
        <w:t>Twenty</w:t>
      </w:r>
      <w:r w:rsidR="00B525D2" w:rsidRPr="008C181A">
        <w:rPr>
          <w:rStyle w:val="Strong"/>
          <w:rFonts w:cstheme="minorHAnsi"/>
          <w:b w:val="0"/>
          <w:bdr w:val="none" w:sz="0" w:space="0" w:color="auto" w:frame="1"/>
        </w:rPr>
        <w:t>-</w:t>
      </w:r>
      <w:r w:rsidR="005B42F7" w:rsidRPr="008C181A">
        <w:rPr>
          <w:rStyle w:val="Strong"/>
          <w:rFonts w:cstheme="minorHAnsi"/>
          <w:b w:val="0"/>
          <w:bdr w:val="none" w:sz="0" w:space="0" w:color="auto" w:frame="1"/>
        </w:rPr>
        <w:t>eight</w:t>
      </w:r>
      <w:r w:rsidR="005417DE" w:rsidRPr="008C181A">
        <w:rPr>
          <w:rStyle w:val="Strong"/>
          <w:rFonts w:cstheme="minorHAnsi"/>
          <w:b w:val="0"/>
          <w:bdr w:val="none" w:sz="0" w:space="0" w:color="auto" w:frame="1"/>
        </w:rPr>
        <w:t xml:space="preserve"> of the </w:t>
      </w:r>
      <w:r w:rsidR="00B525D2" w:rsidRPr="008C181A">
        <w:rPr>
          <w:rStyle w:val="Strong"/>
          <w:rFonts w:cstheme="minorHAnsi"/>
          <w:b w:val="0"/>
          <w:bdr w:val="none" w:sz="0" w:space="0" w:color="auto" w:frame="1"/>
        </w:rPr>
        <w:t>4</w:t>
      </w:r>
      <w:r w:rsidR="005B42F7" w:rsidRPr="008C181A">
        <w:rPr>
          <w:rStyle w:val="Strong"/>
          <w:rFonts w:cstheme="minorHAnsi"/>
          <w:b w:val="0"/>
          <w:bdr w:val="none" w:sz="0" w:space="0" w:color="auto" w:frame="1"/>
        </w:rPr>
        <w:t>8</w:t>
      </w:r>
      <w:r w:rsidR="005417DE" w:rsidRPr="008C181A">
        <w:rPr>
          <w:rStyle w:val="Strong"/>
          <w:rFonts w:cstheme="minorHAnsi"/>
          <w:b w:val="0"/>
          <w:bdr w:val="none" w:sz="0" w:space="0" w:color="auto" w:frame="1"/>
        </w:rPr>
        <w:t xml:space="preserve"> studies were condu</w:t>
      </w:r>
      <w:r w:rsidR="00D62D21" w:rsidRPr="008C181A">
        <w:rPr>
          <w:rStyle w:val="Strong"/>
          <w:rFonts w:cstheme="minorHAnsi"/>
          <w:b w:val="0"/>
          <w:bdr w:val="none" w:sz="0" w:space="0" w:color="auto" w:frame="1"/>
        </w:rPr>
        <w:t>cted in the UK</w:t>
      </w:r>
      <w:r w:rsidR="005417DE" w:rsidRPr="008C181A">
        <w:rPr>
          <w:rStyle w:val="Strong"/>
          <w:rFonts w:cstheme="minorHAnsi"/>
          <w:b w:val="0"/>
          <w:bdr w:val="none" w:sz="0" w:space="0" w:color="auto" w:frame="1"/>
        </w:rPr>
        <w:t xml:space="preserve">, </w:t>
      </w:r>
      <w:r w:rsidR="006339F6" w:rsidRPr="008C181A">
        <w:rPr>
          <w:rStyle w:val="Strong"/>
          <w:rFonts w:cstheme="minorHAnsi"/>
          <w:b w:val="0"/>
          <w:bdr w:val="none" w:sz="0" w:space="0" w:color="auto" w:frame="1"/>
        </w:rPr>
        <w:t>f</w:t>
      </w:r>
      <w:r w:rsidR="00B525D2" w:rsidRPr="008C181A">
        <w:rPr>
          <w:rStyle w:val="Strong"/>
          <w:rFonts w:cstheme="minorHAnsi"/>
          <w:b w:val="0"/>
          <w:bdr w:val="none" w:sz="0" w:space="0" w:color="auto" w:frame="1"/>
        </w:rPr>
        <w:t>ive</w:t>
      </w:r>
      <w:r w:rsidR="005417DE" w:rsidRPr="008C181A">
        <w:rPr>
          <w:rStyle w:val="Strong"/>
          <w:rFonts w:cstheme="minorHAnsi"/>
          <w:b w:val="0"/>
          <w:bdr w:val="none" w:sz="0" w:space="0" w:color="auto" w:frame="1"/>
        </w:rPr>
        <w:t xml:space="preserve"> in Australia</w:t>
      </w:r>
      <w:r w:rsidR="00D62D21" w:rsidRPr="008C181A">
        <w:rPr>
          <w:rStyle w:val="Strong"/>
          <w:rFonts w:cstheme="minorHAnsi"/>
          <w:b w:val="0"/>
          <w:bdr w:val="none" w:sz="0" w:space="0" w:color="auto" w:frame="1"/>
        </w:rPr>
        <w:t xml:space="preserve">, </w:t>
      </w:r>
      <w:r w:rsidR="005417DE" w:rsidRPr="008C181A">
        <w:rPr>
          <w:rStyle w:val="Strong"/>
          <w:rFonts w:cstheme="minorHAnsi"/>
          <w:b w:val="0"/>
          <w:bdr w:val="none" w:sz="0" w:space="0" w:color="auto" w:frame="1"/>
        </w:rPr>
        <w:t xml:space="preserve">one in </w:t>
      </w:r>
      <w:r w:rsidR="00D62D21" w:rsidRPr="008C181A">
        <w:rPr>
          <w:rStyle w:val="Strong"/>
          <w:rFonts w:cstheme="minorHAnsi"/>
          <w:b w:val="0"/>
          <w:bdr w:val="none" w:sz="0" w:space="0" w:color="auto" w:frame="1"/>
        </w:rPr>
        <w:t xml:space="preserve">Sweden, </w:t>
      </w:r>
      <w:r w:rsidR="003C3218" w:rsidRPr="008C181A">
        <w:rPr>
          <w:rStyle w:val="Strong"/>
          <w:rFonts w:cstheme="minorHAnsi"/>
          <w:b w:val="0"/>
          <w:bdr w:val="none" w:sz="0" w:space="0" w:color="auto" w:frame="1"/>
        </w:rPr>
        <w:t xml:space="preserve">one in Norway, </w:t>
      </w:r>
      <w:r w:rsidR="005417DE" w:rsidRPr="008C181A">
        <w:rPr>
          <w:rStyle w:val="Strong"/>
          <w:rFonts w:cstheme="minorHAnsi"/>
          <w:b w:val="0"/>
          <w:bdr w:val="none" w:sz="0" w:space="0" w:color="auto" w:frame="1"/>
        </w:rPr>
        <w:t xml:space="preserve">three in </w:t>
      </w:r>
      <w:r w:rsidR="00D62D21" w:rsidRPr="008C181A">
        <w:rPr>
          <w:rStyle w:val="Strong"/>
          <w:rFonts w:cstheme="minorHAnsi"/>
          <w:b w:val="0"/>
          <w:bdr w:val="none" w:sz="0" w:space="0" w:color="auto" w:frame="1"/>
        </w:rPr>
        <w:t xml:space="preserve">The Netherlands, </w:t>
      </w:r>
      <w:r w:rsidR="008A453E" w:rsidRPr="008C181A">
        <w:rPr>
          <w:rStyle w:val="Strong"/>
          <w:rFonts w:cstheme="minorHAnsi"/>
          <w:b w:val="0"/>
          <w:bdr w:val="none" w:sz="0" w:space="0" w:color="auto" w:frame="1"/>
        </w:rPr>
        <w:t>nine</w:t>
      </w:r>
      <w:r w:rsidR="005417DE" w:rsidRPr="008C181A">
        <w:rPr>
          <w:rStyle w:val="Strong"/>
          <w:rFonts w:cstheme="minorHAnsi"/>
          <w:b w:val="0"/>
          <w:bdr w:val="none" w:sz="0" w:space="0" w:color="auto" w:frame="1"/>
        </w:rPr>
        <w:t xml:space="preserve"> in</w:t>
      </w:r>
      <w:r w:rsidR="00D62D21" w:rsidRPr="008C181A">
        <w:rPr>
          <w:rStyle w:val="Strong"/>
          <w:rFonts w:cstheme="minorHAnsi"/>
          <w:b w:val="0"/>
          <w:bdr w:val="none" w:sz="0" w:space="0" w:color="auto" w:frame="1"/>
        </w:rPr>
        <w:t xml:space="preserve"> the USA</w:t>
      </w:r>
      <w:r w:rsidR="005417DE" w:rsidRPr="008C181A">
        <w:rPr>
          <w:rStyle w:val="Strong"/>
          <w:rFonts w:cstheme="minorHAnsi"/>
          <w:b w:val="0"/>
          <w:bdr w:val="none" w:sz="0" w:space="0" w:color="auto" w:frame="1"/>
        </w:rPr>
        <w:t xml:space="preserve"> and one</w:t>
      </w:r>
      <w:r w:rsidR="00D62D21" w:rsidRPr="008C181A">
        <w:rPr>
          <w:rStyle w:val="Strong"/>
          <w:rFonts w:cstheme="minorHAnsi"/>
          <w:b w:val="0"/>
          <w:bdr w:val="none" w:sz="0" w:space="0" w:color="auto" w:frame="1"/>
        </w:rPr>
        <w:t xml:space="preserve"> across the UK and USA.</w:t>
      </w:r>
    </w:p>
    <w:p w14:paraId="6C17284F" w14:textId="59D8ECF6" w:rsidR="00F1687F" w:rsidRPr="008C181A" w:rsidRDefault="005B42F7" w:rsidP="00B167B8">
      <w:pPr>
        <w:spacing w:after="0" w:line="480" w:lineRule="auto"/>
        <w:ind w:firstLine="720"/>
        <w:rPr>
          <w:rStyle w:val="Strong"/>
          <w:rFonts w:cstheme="minorHAnsi"/>
          <w:b w:val="0"/>
          <w:bdr w:val="none" w:sz="0" w:space="0" w:color="auto" w:frame="1"/>
        </w:rPr>
      </w:pPr>
      <w:r w:rsidRPr="008C181A">
        <w:rPr>
          <w:rStyle w:val="Strong"/>
          <w:rFonts w:cstheme="minorHAnsi"/>
          <w:b w:val="0"/>
          <w:bdr w:val="none" w:sz="0" w:space="0" w:color="auto" w:frame="1"/>
        </w:rPr>
        <w:t>Twenty-one</w:t>
      </w:r>
      <w:r w:rsidR="005417DE" w:rsidRPr="008C181A">
        <w:rPr>
          <w:rStyle w:val="Strong"/>
          <w:rFonts w:cstheme="minorHAnsi"/>
          <w:b w:val="0"/>
          <w:bdr w:val="none" w:sz="0" w:space="0" w:color="auto" w:frame="1"/>
        </w:rPr>
        <w:t xml:space="preserve"> of the </w:t>
      </w:r>
      <w:r w:rsidR="00B525D2" w:rsidRPr="008C181A">
        <w:rPr>
          <w:rStyle w:val="Strong"/>
          <w:rFonts w:cstheme="minorHAnsi"/>
          <w:b w:val="0"/>
          <w:bdr w:val="none" w:sz="0" w:space="0" w:color="auto" w:frame="1"/>
        </w:rPr>
        <w:t>4</w:t>
      </w:r>
      <w:r w:rsidRPr="008C181A">
        <w:rPr>
          <w:rStyle w:val="Strong"/>
          <w:rFonts w:cstheme="minorHAnsi"/>
          <w:b w:val="0"/>
          <w:bdr w:val="none" w:sz="0" w:space="0" w:color="auto" w:frame="1"/>
        </w:rPr>
        <w:t>8</w:t>
      </w:r>
      <w:r w:rsidR="005417DE" w:rsidRPr="008C181A">
        <w:rPr>
          <w:rStyle w:val="Strong"/>
          <w:rFonts w:cstheme="minorHAnsi"/>
          <w:b w:val="0"/>
          <w:bdr w:val="none" w:sz="0" w:space="0" w:color="auto" w:frame="1"/>
        </w:rPr>
        <w:t xml:space="preserve"> studies used a qualitative study design, </w:t>
      </w:r>
      <w:r w:rsidR="009B77DE" w:rsidRPr="008C181A">
        <w:rPr>
          <w:rStyle w:val="Strong"/>
          <w:rFonts w:cstheme="minorHAnsi"/>
          <w:b w:val="0"/>
          <w:bdr w:val="none" w:sz="0" w:space="0" w:color="auto" w:frame="1"/>
        </w:rPr>
        <w:t>1</w:t>
      </w:r>
      <w:r w:rsidR="00F83D09" w:rsidRPr="008C181A">
        <w:rPr>
          <w:rStyle w:val="Strong"/>
          <w:rFonts w:cstheme="minorHAnsi"/>
          <w:b w:val="0"/>
          <w:bdr w:val="none" w:sz="0" w:space="0" w:color="auto" w:frame="1"/>
        </w:rPr>
        <w:t>5</w:t>
      </w:r>
      <w:r w:rsidR="005417DE" w:rsidRPr="008C181A">
        <w:rPr>
          <w:rStyle w:val="Strong"/>
          <w:rFonts w:cstheme="minorHAnsi"/>
          <w:b w:val="0"/>
          <w:bdr w:val="none" w:sz="0" w:space="0" w:color="auto" w:frame="1"/>
        </w:rPr>
        <w:t xml:space="preserve"> used a quantitative s</w:t>
      </w:r>
      <w:r w:rsidR="00F1687F" w:rsidRPr="008C181A">
        <w:rPr>
          <w:rStyle w:val="Strong"/>
          <w:rFonts w:cstheme="minorHAnsi"/>
          <w:b w:val="0"/>
          <w:bdr w:val="none" w:sz="0" w:space="0" w:color="auto" w:frame="1"/>
        </w:rPr>
        <w:t xml:space="preserve">tudy design and </w:t>
      </w:r>
      <w:r w:rsidR="009B77DE" w:rsidRPr="008C181A">
        <w:rPr>
          <w:rStyle w:val="Strong"/>
          <w:rFonts w:cstheme="minorHAnsi"/>
          <w:b w:val="0"/>
          <w:bdr w:val="none" w:sz="0" w:space="0" w:color="auto" w:frame="1"/>
        </w:rPr>
        <w:t>1</w:t>
      </w:r>
      <w:r w:rsidR="00F83D09" w:rsidRPr="008C181A">
        <w:rPr>
          <w:rStyle w:val="Strong"/>
          <w:rFonts w:cstheme="minorHAnsi"/>
          <w:b w:val="0"/>
          <w:bdr w:val="none" w:sz="0" w:space="0" w:color="auto" w:frame="1"/>
        </w:rPr>
        <w:t>3</w:t>
      </w:r>
      <w:r w:rsidR="005417DE" w:rsidRPr="008C181A">
        <w:rPr>
          <w:rStyle w:val="Strong"/>
          <w:rFonts w:cstheme="minorHAnsi"/>
          <w:b w:val="0"/>
          <w:bdr w:val="none" w:sz="0" w:space="0" w:color="auto" w:frame="1"/>
        </w:rPr>
        <w:t xml:space="preserve"> used mixed methodology. </w:t>
      </w:r>
    </w:p>
    <w:p w14:paraId="77D7D111" w14:textId="5CBB67BA" w:rsidR="00D62D21" w:rsidRPr="008C181A" w:rsidRDefault="009C194E" w:rsidP="00B167B8">
      <w:pPr>
        <w:spacing w:after="0" w:line="480" w:lineRule="auto"/>
        <w:ind w:firstLine="720"/>
        <w:rPr>
          <w:rFonts w:cstheme="minorHAnsi"/>
        </w:rPr>
      </w:pPr>
      <w:r w:rsidRPr="008C181A">
        <w:rPr>
          <w:rFonts w:cstheme="minorHAnsi"/>
        </w:rPr>
        <w:t xml:space="preserve">Authors of </w:t>
      </w:r>
      <w:r w:rsidR="00686EE8" w:rsidRPr="008C181A">
        <w:rPr>
          <w:rFonts w:cstheme="minorHAnsi"/>
        </w:rPr>
        <w:t xml:space="preserve">12 </w:t>
      </w:r>
      <w:r w:rsidR="005417DE" w:rsidRPr="008C181A">
        <w:rPr>
          <w:rFonts w:cstheme="minorHAnsi"/>
        </w:rPr>
        <w:t xml:space="preserve">of the </w:t>
      </w:r>
      <w:r w:rsidR="00B525D2" w:rsidRPr="008C181A">
        <w:rPr>
          <w:rFonts w:cstheme="minorHAnsi"/>
        </w:rPr>
        <w:t>4</w:t>
      </w:r>
      <w:r w:rsidR="00686EE8" w:rsidRPr="008C181A">
        <w:rPr>
          <w:rFonts w:cstheme="minorHAnsi"/>
        </w:rPr>
        <w:t>8</w:t>
      </w:r>
      <w:r w:rsidR="005417DE" w:rsidRPr="008C181A">
        <w:rPr>
          <w:rFonts w:cstheme="minorHAnsi"/>
        </w:rPr>
        <w:t xml:space="preserve"> studies </w:t>
      </w:r>
      <w:r w:rsidRPr="008C181A">
        <w:rPr>
          <w:rFonts w:cstheme="minorHAnsi"/>
        </w:rPr>
        <w:t xml:space="preserve">used </w:t>
      </w:r>
      <w:r w:rsidR="00D62D21" w:rsidRPr="008C181A">
        <w:rPr>
          <w:rFonts w:cstheme="minorHAnsi"/>
        </w:rPr>
        <w:t>interviews</w:t>
      </w:r>
      <w:r w:rsidR="005417DE" w:rsidRPr="008C181A">
        <w:rPr>
          <w:rFonts w:cstheme="minorHAnsi"/>
        </w:rPr>
        <w:t xml:space="preserve">, </w:t>
      </w:r>
      <w:r w:rsidR="00686EE8" w:rsidRPr="008C181A">
        <w:rPr>
          <w:rFonts w:cstheme="minorHAnsi"/>
        </w:rPr>
        <w:t>9</w:t>
      </w:r>
      <w:r w:rsidR="003850B9" w:rsidRPr="008C181A">
        <w:rPr>
          <w:rFonts w:cstheme="minorHAnsi"/>
        </w:rPr>
        <w:t xml:space="preserve"> </w:t>
      </w:r>
      <w:r w:rsidRPr="008C181A">
        <w:rPr>
          <w:rFonts w:cstheme="minorHAnsi"/>
        </w:rPr>
        <w:t>used self-report</w:t>
      </w:r>
      <w:r w:rsidR="005631D8" w:rsidRPr="008C181A">
        <w:rPr>
          <w:rFonts w:cstheme="minorHAnsi"/>
        </w:rPr>
        <w:t xml:space="preserve"> </w:t>
      </w:r>
      <w:r w:rsidRPr="008C181A">
        <w:rPr>
          <w:rFonts w:cstheme="minorHAnsi"/>
        </w:rPr>
        <w:t>questionnaires/</w:t>
      </w:r>
      <w:r w:rsidR="005631D8" w:rsidRPr="008C181A">
        <w:rPr>
          <w:rFonts w:cstheme="minorHAnsi"/>
        </w:rPr>
        <w:t xml:space="preserve"> </w:t>
      </w:r>
      <w:r w:rsidRPr="008C181A">
        <w:rPr>
          <w:rFonts w:cstheme="minorHAnsi"/>
        </w:rPr>
        <w:t>surveys</w:t>
      </w:r>
      <w:r w:rsidR="00D62D21" w:rsidRPr="008C181A">
        <w:rPr>
          <w:rFonts w:cstheme="minorHAnsi"/>
        </w:rPr>
        <w:t xml:space="preserve">, </w:t>
      </w:r>
      <w:r w:rsidR="00686EE8" w:rsidRPr="008C181A">
        <w:rPr>
          <w:rFonts w:cstheme="minorHAnsi"/>
        </w:rPr>
        <w:t>10</w:t>
      </w:r>
      <w:r w:rsidR="003850B9" w:rsidRPr="008C181A">
        <w:rPr>
          <w:rFonts w:cstheme="minorHAnsi"/>
        </w:rPr>
        <w:t xml:space="preserve"> </w:t>
      </w:r>
      <w:r w:rsidR="00796781" w:rsidRPr="008C181A">
        <w:rPr>
          <w:rFonts w:cstheme="minorHAnsi"/>
        </w:rPr>
        <w:t xml:space="preserve">undertook </w:t>
      </w:r>
      <w:r w:rsidR="00D62D21" w:rsidRPr="008C181A">
        <w:rPr>
          <w:rFonts w:cstheme="minorHAnsi"/>
        </w:rPr>
        <w:t>documentary analysis</w:t>
      </w:r>
      <w:r w:rsidR="00BE0009" w:rsidRPr="008C181A">
        <w:rPr>
          <w:rFonts w:cstheme="minorHAnsi"/>
        </w:rPr>
        <w:t>,</w:t>
      </w:r>
      <w:r w:rsidR="007A438A" w:rsidRPr="008C181A">
        <w:rPr>
          <w:rFonts w:cstheme="minorHAnsi"/>
        </w:rPr>
        <w:t xml:space="preserve"> </w:t>
      </w:r>
      <w:r w:rsidR="00686EE8" w:rsidRPr="008C181A">
        <w:rPr>
          <w:rFonts w:cstheme="minorHAnsi"/>
        </w:rPr>
        <w:t>2</w:t>
      </w:r>
      <w:r w:rsidR="007A438A" w:rsidRPr="008C181A">
        <w:rPr>
          <w:rFonts w:cstheme="minorHAnsi"/>
        </w:rPr>
        <w:t xml:space="preserve"> conducted action research,</w:t>
      </w:r>
      <w:r w:rsidR="00BE0009" w:rsidRPr="008C181A">
        <w:rPr>
          <w:rFonts w:cstheme="minorHAnsi"/>
        </w:rPr>
        <w:t xml:space="preserve"> </w:t>
      </w:r>
      <w:r w:rsidR="00686EE8" w:rsidRPr="008C181A">
        <w:rPr>
          <w:rFonts w:cstheme="minorHAnsi"/>
        </w:rPr>
        <w:t>7</w:t>
      </w:r>
      <w:r w:rsidR="00796781" w:rsidRPr="008C181A">
        <w:rPr>
          <w:rFonts w:cstheme="minorHAnsi"/>
        </w:rPr>
        <w:t xml:space="preserve"> focussed on</w:t>
      </w:r>
      <w:r w:rsidR="003850B9" w:rsidRPr="008C181A">
        <w:rPr>
          <w:rFonts w:cstheme="minorHAnsi"/>
        </w:rPr>
        <w:t xml:space="preserve"> </w:t>
      </w:r>
      <w:r w:rsidR="00D62D21" w:rsidRPr="008C181A">
        <w:rPr>
          <w:rFonts w:cstheme="minorHAnsi"/>
        </w:rPr>
        <w:t>database analysis</w:t>
      </w:r>
      <w:r w:rsidR="00FB2051" w:rsidRPr="008C181A">
        <w:rPr>
          <w:rFonts w:cstheme="minorHAnsi"/>
        </w:rPr>
        <w:t xml:space="preserve">, </w:t>
      </w:r>
      <w:r w:rsidR="003850B9" w:rsidRPr="008C181A">
        <w:rPr>
          <w:rFonts w:cstheme="minorHAnsi"/>
        </w:rPr>
        <w:t xml:space="preserve">1 </w:t>
      </w:r>
      <w:r w:rsidR="005B0F3D" w:rsidRPr="008C181A">
        <w:rPr>
          <w:rFonts w:cstheme="minorHAnsi"/>
        </w:rPr>
        <w:t xml:space="preserve">used </w:t>
      </w:r>
      <w:r w:rsidR="003850B9" w:rsidRPr="008C181A">
        <w:rPr>
          <w:rFonts w:cstheme="minorHAnsi"/>
        </w:rPr>
        <w:t xml:space="preserve">concept mapping, </w:t>
      </w:r>
      <w:r w:rsidR="00686EE8" w:rsidRPr="008C181A">
        <w:rPr>
          <w:rFonts w:cstheme="minorHAnsi"/>
        </w:rPr>
        <w:t>4</w:t>
      </w:r>
      <w:r w:rsidR="003850B9" w:rsidRPr="008C181A">
        <w:rPr>
          <w:rFonts w:cstheme="minorHAnsi"/>
        </w:rPr>
        <w:t xml:space="preserve"> </w:t>
      </w:r>
      <w:r w:rsidR="00796781" w:rsidRPr="008C181A">
        <w:rPr>
          <w:rFonts w:cstheme="minorHAnsi"/>
        </w:rPr>
        <w:t xml:space="preserve">involved </w:t>
      </w:r>
      <w:r w:rsidR="00FB2051" w:rsidRPr="008C181A">
        <w:rPr>
          <w:rFonts w:cstheme="minorHAnsi"/>
        </w:rPr>
        <w:t>expert consensus</w:t>
      </w:r>
      <w:r w:rsidR="003850B9" w:rsidRPr="008C181A">
        <w:rPr>
          <w:rFonts w:cstheme="minorHAnsi"/>
        </w:rPr>
        <w:t>/</w:t>
      </w:r>
      <w:r w:rsidR="00FB2051" w:rsidRPr="008C181A">
        <w:rPr>
          <w:rFonts w:cstheme="minorHAnsi"/>
        </w:rPr>
        <w:t xml:space="preserve">focused group discussion, </w:t>
      </w:r>
      <w:r w:rsidR="00B525D2" w:rsidRPr="008C181A">
        <w:rPr>
          <w:rFonts w:cstheme="minorHAnsi"/>
        </w:rPr>
        <w:t xml:space="preserve">1 conducted a Delphi exercise, </w:t>
      </w:r>
      <w:r w:rsidR="00BE0009" w:rsidRPr="008C181A">
        <w:rPr>
          <w:rFonts w:cstheme="minorHAnsi"/>
        </w:rPr>
        <w:t xml:space="preserve">and </w:t>
      </w:r>
      <w:r w:rsidR="003850B9" w:rsidRPr="008C181A">
        <w:rPr>
          <w:rFonts w:cstheme="minorHAnsi"/>
        </w:rPr>
        <w:t>6</w:t>
      </w:r>
      <w:r w:rsidR="00BE0009" w:rsidRPr="008C181A">
        <w:rPr>
          <w:rFonts w:cstheme="minorHAnsi"/>
        </w:rPr>
        <w:t xml:space="preserve"> included </w:t>
      </w:r>
      <w:r w:rsidR="00FB2051" w:rsidRPr="008C181A">
        <w:rPr>
          <w:rFonts w:cstheme="minorHAnsi"/>
        </w:rPr>
        <w:t>participant observation</w:t>
      </w:r>
      <w:r w:rsidR="00BE0009" w:rsidRPr="008C181A">
        <w:rPr>
          <w:rFonts w:cstheme="minorHAnsi"/>
        </w:rPr>
        <w:t>s</w:t>
      </w:r>
      <w:r w:rsidR="00FB2051" w:rsidRPr="008C181A">
        <w:rPr>
          <w:rFonts w:cstheme="minorHAnsi"/>
        </w:rPr>
        <w:t>.</w:t>
      </w:r>
    </w:p>
    <w:p w14:paraId="2FDA781E" w14:textId="34EFB4B1" w:rsidR="001B691E" w:rsidRPr="008C181A" w:rsidRDefault="00DA52CE" w:rsidP="00B167B8">
      <w:pPr>
        <w:spacing w:after="0" w:line="480" w:lineRule="auto"/>
        <w:ind w:firstLine="720"/>
        <w:rPr>
          <w:rFonts w:cstheme="minorHAnsi"/>
        </w:rPr>
      </w:pPr>
      <w:r w:rsidRPr="008C181A">
        <w:rPr>
          <w:rFonts w:cstheme="minorHAnsi"/>
          <w:shd w:val="clear" w:color="auto" w:fill="FFFFFF"/>
        </w:rPr>
        <w:t xml:space="preserve">Authors of 19 of the 48 studies recruited a sample of professionals (n = 1,246) and two studies recruited relatives of adults with intellectual disabilities (n = 10). Authors of 14 studies included a sample of adults with intellectual and other developmental disabilities (n = 3,614). More specifically, some studies recruited only adults with intellectual disabilities (e.g., Beail &amp; Warden, 1995; Bigby &amp; Beadle-Brown, 2016), some also recruited adults with developmental disabilities (e.g., autistic adults; Bakken et al., 2012), whilst other studies did not focus on these populations specifically (e.g., Abner et al., 2019; Aylett, 2016; Brown &amp; Stein, 1988). </w:t>
      </w:r>
      <w:r w:rsidR="00BE0009" w:rsidRPr="008C181A">
        <w:rPr>
          <w:rFonts w:cstheme="minorHAnsi"/>
        </w:rPr>
        <w:t xml:space="preserve">The remaining </w:t>
      </w:r>
      <w:r w:rsidR="00E92667" w:rsidRPr="008C181A">
        <w:rPr>
          <w:rFonts w:cstheme="minorHAnsi"/>
        </w:rPr>
        <w:t>1</w:t>
      </w:r>
      <w:r w:rsidR="00686EE8" w:rsidRPr="008C181A">
        <w:rPr>
          <w:rFonts w:cstheme="minorHAnsi"/>
        </w:rPr>
        <w:t>8</w:t>
      </w:r>
      <w:r w:rsidR="00D11A95" w:rsidRPr="008C181A">
        <w:rPr>
          <w:rFonts w:cstheme="minorHAnsi"/>
        </w:rPr>
        <w:t xml:space="preserve"> studies</w:t>
      </w:r>
      <w:r w:rsidR="00BE0009" w:rsidRPr="008C181A">
        <w:rPr>
          <w:rFonts w:cstheme="minorHAnsi"/>
        </w:rPr>
        <w:t xml:space="preserve"> included</w:t>
      </w:r>
      <w:r w:rsidR="000106FA" w:rsidRPr="008C181A">
        <w:rPr>
          <w:rFonts w:cstheme="minorHAnsi"/>
        </w:rPr>
        <w:t>:</w:t>
      </w:r>
      <w:r w:rsidR="00BE0009" w:rsidRPr="008C181A">
        <w:rPr>
          <w:rFonts w:cstheme="minorHAnsi"/>
        </w:rPr>
        <w:t xml:space="preserve"> </w:t>
      </w:r>
      <w:r w:rsidR="00E147A0" w:rsidRPr="008C181A">
        <w:rPr>
          <w:rFonts w:cstheme="minorHAnsi"/>
        </w:rPr>
        <w:t>6</w:t>
      </w:r>
      <w:r w:rsidR="00BE0009" w:rsidRPr="008C181A">
        <w:rPr>
          <w:rFonts w:cstheme="minorHAnsi"/>
        </w:rPr>
        <w:t xml:space="preserve"> ethnographic field</w:t>
      </w:r>
      <w:r w:rsidR="00E92667" w:rsidRPr="008C181A">
        <w:rPr>
          <w:rFonts w:cstheme="minorHAnsi"/>
        </w:rPr>
        <w:t xml:space="preserve">/action research </w:t>
      </w:r>
      <w:r w:rsidR="000D59BF" w:rsidRPr="008C181A">
        <w:rPr>
          <w:rFonts w:cstheme="minorHAnsi"/>
        </w:rPr>
        <w:t xml:space="preserve">studies </w:t>
      </w:r>
      <w:r w:rsidR="00E92667" w:rsidRPr="008C181A">
        <w:rPr>
          <w:rFonts w:cstheme="minorHAnsi"/>
        </w:rPr>
        <w:t>within services</w:t>
      </w:r>
      <w:r w:rsidR="00BE0009" w:rsidRPr="008C181A">
        <w:rPr>
          <w:rFonts w:cstheme="minorHAnsi"/>
        </w:rPr>
        <w:t>,</w:t>
      </w:r>
      <w:r w:rsidR="00D11A95" w:rsidRPr="008C181A">
        <w:rPr>
          <w:rFonts w:cstheme="minorHAnsi"/>
        </w:rPr>
        <w:t xml:space="preserve"> </w:t>
      </w:r>
      <w:r w:rsidR="00E147A0" w:rsidRPr="008C181A">
        <w:rPr>
          <w:rFonts w:cstheme="minorHAnsi"/>
        </w:rPr>
        <w:t>5</w:t>
      </w:r>
      <w:r w:rsidR="00BE0009" w:rsidRPr="008C181A">
        <w:rPr>
          <w:rFonts w:cstheme="minorHAnsi"/>
        </w:rPr>
        <w:t xml:space="preserve"> documentary analys</w:t>
      </w:r>
      <w:r w:rsidR="009A4BCA" w:rsidRPr="008C181A">
        <w:rPr>
          <w:rFonts w:cstheme="minorHAnsi"/>
        </w:rPr>
        <w:t>e</w:t>
      </w:r>
      <w:r w:rsidR="00BE0009" w:rsidRPr="008C181A">
        <w:rPr>
          <w:rFonts w:cstheme="minorHAnsi"/>
        </w:rPr>
        <w:t>s</w:t>
      </w:r>
      <w:r w:rsidR="009A4BCA" w:rsidRPr="008C181A">
        <w:rPr>
          <w:rFonts w:cstheme="minorHAnsi"/>
        </w:rPr>
        <w:t xml:space="preserve"> of sources that referred to adults with </w:t>
      </w:r>
      <w:r w:rsidR="000D59BF" w:rsidRPr="008C181A">
        <w:rPr>
          <w:rFonts w:cstheme="minorHAnsi"/>
        </w:rPr>
        <w:t>intellectual and other developmental disabilities</w:t>
      </w:r>
      <w:r w:rsidR="00F10B86" w:rsidRPr="008C181A">
        <w:rPr>
          <w:rFonts w:cstheme="minorHAnsi"/>
        </w:rPr>
        <w:t xml:space="preserve"> </w:t>
      </w:r>
      <w:r w:rsidR="009A4BCA" w:rsidRPr="008C181A">
        <w:rPr>
          <w:rFonts w:cstheme="minorHAnsi"/>
        </w:rPr>
        <w:t xml:space="preserve">who had been </w:t>
      </w:r>
      <w:r w:rsidR="009A4BCA" w:rsidRPr="008C181A">
        <w:rPr>
          <w:rFonts w:cstheme="minorHAnsi"/>
        </w:rPr>
        <w:lastRenderedPageBreak/>
        <w:t>abused within services</w:t>
      </w:r>
      <w:r w:rsidR="00073F6A" w:rsidRPr="008C181A">
        <w:rPr>
          <w:rFonts w:cstheme="minorHAnsi"/>
        </w:rPr>
        <w:t xml:space="preserve">, </w:t>
      </w:r>
      <w:r w:rsidR="00E147A0" w:rsidRPr="008C181A">
        <w:rPr>
          <w:rFonts w:cstheme="minorHAnsi"/>
        </w:rPr>
        <w:t>1</w:t>
      </w:r>
      <w:r w:rsidR="0092512D" w:rsidRPr="008C181A">
        <w:rPr>
          <w:rFonts w:cstheme="minorHAnsi"/>
        </w:rPr>
        <w:t xml:space="preserve"> study </w:t>
      </w:r>
      <w:r w:rsidR="00E147A0" w:rsidRPr="008C181A">
        <w:rPr>
          <w:rFonts w:cstheme="minorHAnsi"/>
        </w:rPr>
        <w:t>which included</w:t>
      </w:r>
      <w:r w:rsidR="0092512D" w:rsidRPr="008C181A">
        <w:rPr>
          <w:rFonts w:cstheme="minorHAnsi"/>
        </w:rPr>
        <w:t xml:space="preserve"> evidence from a literature review</w:t>
      </w:r>
      <w:r w:rsidR="00F10B86" w:rsidRPr="008C181A">
        <w:rPr>
          <w:rFonts w:cstheme="minorHAnsi"/>
        </w:rPr>
        <w:t>,</w:t>
      </w:r>
      <w:r w:rsidR="0092512D" w:rsidRPr="008C181A">
        <w:rPr>
          <w:rFonts w:cstheme="minorHAnsi"/>
        </w:rPr>
        <w:t xml:space="preserve"> team consensus process, and community partnershi</w:t>
      </w:r>
      <w:r w:rsidR="00073F6A" w:rsidRPr="008C181A">
        <w:rPr>
          <w:rFonts w:cstheme="minorHAnsi"/>
        </w:rPr>
        <w:t>p</w:t>
      </w:r>
      <w:r w:rsidR="00FB3EAF" w:rsidRPr="008C181A">
        <w:rPr>
          <w:rFonts w:cstheme="minorHAnsi"/>
        </w:rPr>
        <w:t>,</w:t>
      </w:r>
      <w:r w:rsidR="00073F6A" w:rsidRPr="008C181A">
        <w:rPr>
          <w:rFonts w:cstheme="minorHAnsi"/>
        </w:rPr>
        <w:t xml:space="preserve"> and </w:t>
      </w:r>
      <w:r w:rsidR="00E147A0" w:rsidRPr="008C181A">
        <w:rPr>
          <w:rFonts w:cstheme="minorHAnsi"/>
        </w:rPr>
        <w:t>3</w:t>
      </w:r>
      <w:r w:rsidR="009C194E" w:rsidRPr="008C181A">
        <w:rPr>
          <w:rFonts w:cstheme="minorHAnsi"/>
        </w:rPr>
        <w:t xml:space="preserve"> studies </w:t>
      </w:r>
      <w:r w:rsidR="00E147A0" w:rsidRPr="008C181A">
        <w:rPr>
          <w:rFonts w:cstheme="minorHAnsi"/>
        </w:rPr>
        <w:t>whereby data w</w:t>
      </w:r>
      <w:r w:rsidR="00241D25" w:rsidRPr="008C181A">
        <w:rPr>
          <w:rFonts w:cstheme="minorHAnsi"/>
        </w:rPr>
        <w:t>ere</w:t>
      </w:r>
      <w:r w:rsidR="00E147A0" w:rsidRPr="008C181A">
        <w:rPr>
          <w:rFonts w:cstheme="minorHAnsi"/>
        </w:rPr>
        <w:t xml:space="preserve"> collected</w:t>
      </w:r>
      <w:r w:rsidR="00073F6A" w:rsidRPr="008C181A">
        <w:rPr>
          <w:rFonts w:cstheme="minorHAnsi"/>
        </w:rPr>
        <w:t xml:space="preserve"> concerning </w:t>
      </w:r>
      <w:r w:rsidR="00E147A0" w:rsidRPr="008C181A">
        <w:rPr>
          <w:rFonts w:cstheme="minorHAnsi"/>
        </w:rPr>
        <w:t xml:space="preserve">reported </w:t>
      </w:r>
      <w:r w:rsidR="009C194E" w:rsidRPr="008C181A">
        <w:rPr>
          <w:rFonts w:cstheme="minorHAnsi"/>
        </w:rPr>
        <w:t>cases of abuse</w:t>
      </w:r>
      <w:r w:rsidR="00CC4899" w:rsidRPr="008C181A">
        <w:rPr>
          <w:rFonts w:cstheme="minorHAnsi"/>
        </w:rPr>
        <w:t xml:space="preserve"> </w:t>
      </w:r>
      <w:r w:rsidR="00E147A0" w:rsidRPr="008C181A">
        <w:rPr>
          <w:rFonts w:cstheme="minorHAnsi"/>
        </w:rPr>
        <w:t>from professional teams</w:t>
      </w:r>
      <w:r w:rsidR="00CC4899" w:rsidRPr="008C181A">
        <w:rPr>
          <w:rFonts w:cstheme="minorHAnsi"/>
        </w:rPr>
        <w:t>.</w:t>
      </w:r>
    </w:p>
    <w:p w14:paraId="5A9C5A50" w14:textId="77777777" w:rsidR="00476439" w:rsidRPr="008C181A" w:rsidRDefault="00476439" w:rsidP="00B167B8">
      <w:pPr>
        <w:spacing w:after="0" w:line="480" w:lineRule="auto"/>
        <w:ind w:firstLine="720"/>
        <w:rPr>
          <w:rFonts w:cstheme="minorHAnsi"/>
        </w:rPr>
      </w:pPr>
    </w:p>
    <w:p w14:paraId="4C32AFBA" w14:textId="77777777" w:rsidR="00476439" w:rsidRPr="008C181A" w:rsidRDefault="00476439" w:rsidP="00476439">
      <w:pPr>
        <w:spacing w:after="0" w:line="480" w:lineRule="auto"/>
        <w:rPr>
          <w:rStyle w:val="Strong"/>
          <w:rFonts w:cstheme="minorHAnsi"/>
          <w:bCs w:val="0"/>
          <w:bdr w:val="none" w:sz="0" w:space="0" w:color="auto" w:frame="1"/>
        </w:rPr>
      </w:pPr>
      <w:r w:rsidRPr="008C181A">
        <w:rPr>
          <w:rStyle w:val="Strong"/>
          <w:rFonts w:cstheme="minorHAnsi"/>
          <w:bCs w:val="0"/>
          <w:bdr w:val="none" w:sz="0" w:space="0" w:color="auto" w:frame="1"/>
        </w:rPr>
        <w:t>Quality Appraisal</w:t>
      </w:r>
    </w:p>
    <w:p w14:paraId="4F8C5866" w14:textId="77777777" w:rsidR="00476439" w:rsidRPr="008C181A" w:rsidRDefault="00476439" w:rsidP="00476439">
      <w:pPr>
        <w:autoSpaceDE w:val="0"/>
        <w:autoSpaceDN w:val="0"/>
        <w:adjustRightInd w:val="0"/>
        <w:spacing w:after="0" w:line="480" w:lineRule="auto"/>
        <w:ind w:firstLine="720"/>
        <w:rPr>
          <w:rFonts w:cstheme="minorHAnsi"/>
        </w:rPr>
      </w:pPr>
      <w:r w:rsidRPr="008C181A">
        <w:rPr>
          <w:rFonts w:cstheme="minorHAnsi"/>
        </w:rPr>
        <w:t xml:space="preserve">Each study underwent a standard critical appraisal process using the Mixed Methods Appraisal Tool (MMAT; Hong et al., 2018; 2019). The first author rated the methodological quality of all included articles and articles were given a rating of between 0* (papers did not meet any of the requirements) to 5* (all requirements were met, indicating the research was of good methodological quality). There were 21 qualitative studies, 12 mixed methods studies and 15 quantitative studies. They were each appraised on 5 criteria relating to the appropriateness of methodology, data analysis techniques and data collection techniques, the representativeness of the sample, reliability of outcome data, and the researchers’ interpretation of research findings (see Table 3). </w:t>
      </w:r>
    </w:p>
    <w:p w14:paraId="56281520" w14:textId="77777777" w:rsidR="00476439" w:rsidRPr="008C181A" w:rsidRDefault="00476439" w:rsidP="00476439">
      <w:pPr>
        <w:autoSpaceDE w:val="0"/>
        <w:autoSpaceDN w:val="0"/>
        <w:adjustRightInd w:val="0"/>
        <w:spacing w:after="0" w:line="480" w:lineRule="auto"/>
        <w:ind w:firstLine="720"/>
      </w:pPr>
      <w:r w:rsidRPr="008C181A">
        <w:rPr>
          <w:rFonts w:cstheme="minorHAnsi"/>
        </w:rPr>
        <w:t xml:space="preserve">All articles were rated by the first author in accordance with the MMAT User Guide (2018) and 20 (42%) were rated by the second author (percentage agreement on the 5 criteria for each of 20 papers: 90%). Only half of the included studies were rated 4* out of a possible 5* (50%). The remaining studies were rated as 1* (8.3 %), 2* (14.6%), 3* (16.7 %), or 5* (10.4%). Most studies were fraught with methodological limitations (e.g., ungeneralisable, unrepresentative samples, lack of matched comparison samples, reliance on retrospective data collection, lack of standardized instruments), which impacted study outcomes and limited the extent to which findings can be relied upon. </w:t>
      </w:r>
    </w:p>
    <w:p w14:paraId="5ABF3ED2" w14:textId="77777777" w:rsidR="00476439" w:rsidRPr="008C181A" w:rsidRDefault="00476439" w:rsidP="00476439">
      <w:pPr>
        <w:autoSpaceDE w:val="0"/>
        <w:autoSpaceDN w:val="0"/>
        <w:adjustRightInd w:val="0"/>
        <w:spacing w:after="0" w:line="480" w:lineRule="auto"/>
        <w:ind w:firstLine="720"/>
        <w:rPr>
          <w:rFonts w:cstheme="minorHAnsi"/>
        </w:rPr>
      </w:pPr>
      <w:r w:rsidRPr="008C181A">
        <w:rPr>
          <w:rFonts w:cstheme="minorHAnsi"/>
        </w:rPr>
        <w:t xml:space="preserve">When using a quantitative methodological approach to research, the highest quality of research design, with the lowest risk of researcher bias is a randomised controlled trial (RCT), followed by controlled trials. Relatively few of the studies were quantitative and none were randomised controlled trails (for example, of an intervention to reduce the occurrence of abuse), though some did compare two groups (for example, abused and non-abused groups). </w:t>
      </w:r>
      <w:r w:rsidRPr="008C181A">
        <w:rPr>
          <w:rFonts w:eastAsia="Times New Roman" w:cstheme="minorHAnsi"/>
          <w:lang w:eastAsia="en-GB"/>
        </w:rPr>
        <w:t xml:space="preserve">Several </w:t>
      </w:r>
      <w:r w:rsidRPr="008C181A">
        <w:rPr>
          <w:rFonts w:eastAsia="Times New Roman" w:cstheme="minorHAnsi"/>
          <w:lang w:eastAsia="en-GB"/>
        </w:rPr>
        <w:lastRenderedPageBreak/>
        <w:t xml:space="preserve">authors of </w:t>
      </w:r>
      <w:r w:rsidRPr="008C181A">
        <w:rPr>
          <w:rFonts w:cstheme="minorHAnsi"/>
        </w:rPr>
        <w:t xml:space="preserve">quantitative studies with non-randomised comparison samples did not recruit a fully representative sample of participants (e.g., </w:t>
      </w:r>
      <w:r w:rsidRPr="008C181A">
        <w:rPr>
          <w:rFonts w:eastAsia="Times New Roman" w:cstheme="minorHAnsi"/>
          <w:lang w:eastAsia="en-GB"/>
        </w:rPr>
        <w:t xml:space="preserve">Humphreys et al., 2020; Langdon et al., 2006). Due to an overreliance on retrospective data collection, methodologies and database/documentary analyses, missing data was a consistent weakness of included research (e.g., Abner et al., 2019; Hussein et al., 2009). For those studies categorised as quantitative descriptive studies, common methodological limitations included a small and thus unrepresentative sample (e.g., </w:t>
      </w:r>
      <w:r w:rsidRPr="008C181A">
        <w:rPr>
          <w:rFonts w:cstheme="minorHAnsi"/>
        </w:rPr>
        <w:t xml:space="preserve">Allington, 1992; </w:t>
      </w:r>
      <w:r w:rsidRPr="008C181A">
        <w:t xml:space="preserve">Beail &amp; Warden, 1995; </w:t>
      </w:r>
      <w:r w:rsidRPr="008C181A">
        <w:rPr>
          <w:rFonts w:eastAsia="Times New Roman" w:cstheme="minorHAnsi"/>
          <w:lang w:eastAsia="en-GB"/>
        </w:rPr>
        <w:t xml:space="preserve">Bigby &amp; Beadle-Brown, 2016; Bigby et al., 2015; Fyson &amp; Kitson, 2012). Furthermore, measures used within research with adults with intellectual and other developmental disabilities were frequently reported as inappropriate due to lack of reliability and validity (e.g., Bigby &amp; Beadle-Brown, 2016; Bigby et al., 2015; Furey et al., 1994; Moring et al., 2019). </w:t>
      </w:r>
    </w:p>
    <w:p w14:paraId="75D9E217" w14:textId="77777777" w:rsidR="00476439" w:rsidRPr="008C181A" w:rsidRDefault="00476439" w:rsidP="00476439">
      <w:pPr>
        <w:autoSpaceDE w:val="0"/>
        <w:autoSpaceDN w:val="0"/>
        <w:adjustRightInd w:val="0"/>
        <w:spacing w:after="0" w:line="480" w:lineRule="auto"/>
        <w:ind w:firstLine="720"/>
        <w:rPr>
          <w:rFonts w:eastAsia="Times New Roman" w:cstheme="minorHAnsi"/>
          <w:lang w:eastAsia="en-GB"/>
        </w:rPr>
      </w:pPr>
      <w:r w:rsidRPr="008C181A">
        <w:rPr>
          <w:rFonts w:cstheme="minorHAnsi"/>
        </w:rPr>
        <w:t>Perhaps due to the sensitive nature of the topic, most researchers focusing on the abuse of adults with intellectual and other developmental disabilities have taken a qualitative approach to their research, including five studies that were rated a maximum of 5*. Authors of three of these studies conducted interviews with staff (</w:t>
      </w:r>
      <w:r w:rsidRPr="008C181A">
        <w:t xml:space="preserve">Fyson &amp; Patterson, 2019; </w:t>
      </w:r>
      <w:r w:rsidRPr="008C181A">
        <w:rPr>
          <w:rFonts w:eastAsia="Times New Roman" w:cstheme="minorHAnsi"/>
          <w:lang w:eastAsia="en-GB"/>
        </w:rPr>
        <w:t xml:space="preserve">Parley, 2010; Patterson &amp; Fyson, 2016) and </w:t>
      </w:r>
      <w:r w:rsidRPr="008C181A">
        <w:rPr>
          <w:rFonts w:cstheme="minorHAnsi"/>
        </w:rPr>
        <w:t>authors of one study recruited consumers identified as part of a class action lawsuit on behalf of adults identified as having ‘mental retardation’ and inappropriately residing in a state psychiatric hospital (</w:t>
      </w:r>
      <w:r w:rsidRPr="008C181A">
        <w:rPr>
          <w:rFonts w:eastAsia="Times New Roman" w:cstheme="minorHAnsi"/>
          <w:lang w:eastAsia="en-GB"/>
        </w:rPr>
        <w:t>Ahlgrim-Delzell &amp; Dudley, 2001)</w:t>
      </w:r>
      <w:r w:rsidRPr="008C181A">
        <w:rPr>
          <w:rFonts w:cstheme="minorHAnsi"/>
        </w:rPr>
        <w:t xml:space="preserve">. The final study rated 5*used secondary data to </w:t>
      </w:r>
      <w:r w:rsidRPr="008C181A">
        <w:rPr>
          <w:rFonts w:eastAsia="Times New Roman" w:cstheme="minorHAnsi"/>
          <w:lang w:eastAsia="en-GB"/>
        </w:rPr>
        <w:t>examine the conclusions and recommendations reported in executive summaries of adult serious case reviews to ascertain common and diverse themes using thematic analysis methodology (Aylett, 2016).</w:t>
      </w:r>
      <w:r w:rsidRPr="008C181A">
        <w:rPr>
          <w:rFonts w:eastAsia="Times New Roman" w:cstheme="minorHAnsi"/>
          <w:sz w:val="18"/>
          <w:szCs w:val="18"/>
          <w:lang w:eastAsia="en-GB"/>
        </w:rPr>
        <w:t xml:space="preserve"> </w:t>
      </w:r>
      <w:r w:rsidRPr="008C181A">
        <w:rPr>
          <w:rFonts w:cstheme="minorHAnsi"/>
        </w:rPr>
        <w:t xml:space="preserve">Several authors of studies that took a qualitative approach and were rated less than 5*, did not support their interpretation of findings with sufficient data, whereby some studies did not provide any quotations from participant interviews or field notes of researchers (e.g., </w:t>
      </w:r>
      <w:r w:rsidRPr="008C181A">
        <w:t xml:space="preserve">Brown &amp; Stein, 1988; </w:t>
      </w:r>
      <w:r w:rsidRPr="008C181A">
        <w:rPr>
          <w:rFonts w:eastAsia="Times New Roman" w:cstheme="minorHAnsi"/>
          <w:lang w:eastAsia="en-GB"/>
        </w:rPr>
        <w:t>Cambridge, 1999; Fyson &amp; Kitson, 2012). For other studies, there was no clear link</w:t>
      </w:r>
      <w:r w:rsidRPr="008C181A">
        <w:rPr>
          <w:rFonts w:cstheme="minorHAnsi"/>
        </w:rPr>
        <w:t xml:space="preserve"> between qualitative data sources, data collection, analysis, or interpretation (e.g., </w:t>
      </w:r>
      <w:r w:rsidRPr="008C181A">
        <w:rPr>
          <w:rFonts w:eastAsia="Times New Roman" w:cstheme="minorHAnsi"/>
          <w:lang w:eastAsia="en-GB"/>
        </w:rPr>
        <w:t xml:space="preserve">Ramsey-Klawsnik &amp; Teaster, 2012; Rees &amp; Manthorpe, 2010; Rytterström et al., 2013; Zuckerman et al., 1986). </w:t>
      </w:r>
    </w:p>
    <w:p w14:paraId="3A23C715" w14:textId="5F8C30CA" w:rsidR="00476439" w:rsidRPr="008C181A" w:rsidRDefault="00476439" w:rsidP="00476439">
      <w:pPr>
        <w:autoSpaceDE w:val="0"/>
        <w:autoSpaceDN w:val="0"/>
        <w:adjustRightInd w:val="0"/>
        <w:spacing w:after="0" w:line="480" w:lineRule="auto"/>
        <w:rPr>
          <w:rFonts w:cstheme="minorHAnsi"/>
          <w:lang w:val="en-US"/>
        </w:rPr>
      </w:pPr>
      <w:r w:rsidRPr="008C181A">
        <w:rPr>
          <w:rFonts w:eastAsia="Times New Roman" w:cstheme="minorHAnsi"/>
          <w:lang w:eastAsia="en-GB"/>
        </w:rPr>
        <w:lastRenderedPageBreak/>
        <w:t xml:space="preserve">Lastly, all 11 of the studies that utilised a mixed methods design did not meet the criteria for  </w:t>
      </w:r>
      <w:r w:rsidRPr="008C181A">
        <w:rPr>
          <w:rFonts w:cstheme="minorHAnsi"/>
        </w:rPr>
        <w:t>the two different components of the methods involved, therefore limiting the quality of the studies included for review (e.g., Allington, 1992;</w:t>
      </w:r>
      <w:r w:rsidRPr="008C181A">
        <w:rPr>
          <w:rFonts w:eastAsia="Times New Roman" w:cstheme="minorHAnsi"/>
          <w:lang w:eastAsia="en-GB"/>
        </w:rPr>
        <w:t xml:space="preserve"> Bigby &amp; Beadle-Brown, 2016; Bigby et al., 2015).</w:t>
      </w:r>
    </w:p>
    <w:p w14:paraId="6CAE13E0" w14:textId="77777777" w:rsidR="00CA1EC6" w:rsidRPr="008C181A" w:rsidRDefault="00CA1EC6" w:rsidP="00B167B8">
      <w:pPr>
        <w:autoSpaceDE w:val="0"/>
        <w:autoSpaceDN w:val="0"/>
        <w:adjustRightInd w:val="0"/>
        <w:spacing w:after="0" w:line="480" w:lineRule="auto"/>
        <w:rPr>
          <w:rFonts w:cstheme="minorHAnsi"/>
          <w:lang w:val="en-US"/>
        </w:rPr>
      </w:pPr>
    </w:p>
    <w:p w14:paraId="654E1E12" w14:textId="049A48F5" w:rsidR="00CD3632" w:rsidRPr="008C181A" w:rsidRDefault="00CD3632" w:rsidP="00B167B8">
      <w:pPr>
        <w:autoSpaceDE w:val="0"/>
        <w:autoSpaceDN w:val="0"/>
        <w:adjustRightInd w:val="0"/>
        <w:spacing w:after="0" w:line="480" w:lineRule="auto"/>
        <w:rPr>
          <w:rFonts w:cstheme="minorHAnsi"/>
          <w:b/>
          <w:bCs/>
          <w:lang w:val="en-US"/>
        </w:rPr>
      </w:pPr>
      <w:r w:rsidRPr="008C181A">
        <w:rPr>
          <w:rFonts w:cstheme="minorHAnsi"/>
          <w:b/>
          <w:bCs/>
          <w:lang w:val="en-US"/>
        </w:rPr>
        <w:t>Sociodemographic characteristics</w:t>
      </w:r>
    </w:p>
    <w:p w14:paraId="01D2DFC5" w14:textId="560F40A9" w:rsidR="00CD3632" w:rsidRPr="008C181A" w:rsidRDefault="00CD3632" w:rsidP="00B167B8">
      <w:pPr>
        <w:autoSpaceDE w:val="0"/>
        <w:autoSpaceDN w:val="0"/>
        <w:adjustRightInd w:val="0"/>
        <w:spacing w:after="0" w:line="480" w:lineRule="auto"/>
        <w:ind w:firstLine="720"/>
        <w:rPr>
          <w:lang w:val="en-US"/>
        </w:rPr>
      </w:pPr>
      <w:r w:rsidRPr="008C181A">
        <w:rPr>
          <w:b/>
          <w:bCs/>
          <w:lang w:val="en-US"/>
        </w:rPr>
        <w:t>Age</w:t>
      </w:r>
      <w:r w:rsidRPr="008C181A">
        <w:rPr>
          <w:lang w:val="en-US"/>
        </w:rPr>
        <w:t xml:space="preserve">. Authors of </w:t>
      </w:r>
      <w:r w:rsidR="00073F6A" w:rsidRPr="008C181A">
        <w:rPr>
          <w:lang w:val="en-US"/>
        </w:rPr>
        <w:t>1</w:t>
      </w:r>
      <w:r w:rsidR="003E3BE4" w:rsidRPr="008C181A">
        <w:rPr>
          <w:lang w:val="en-US"/>
        </w:rPr>
        <w:t>5</w:t>
      </w:r>
      <w:r w:rsidRPr="008C181A">
        <w:rPr>
          <w:lang w:val="en-US"/>
        </w:rPr>
        <w:t xml:space="preserve"> of the </w:t>
      </w:r>
      <w:r w:rsidR="00B525D2" w:rsidRPr="008C181A">
        <w:rPr>
          <w:lang w:val="en-US"/>
        </w:rPr>
        <w:t>4</w:t>
      </w:r>
      <w:r w:rsidR="003E3BE4" w:rsidRPr="008C181A">
        <w:rPr>
          <w:lang w:val="en-US"/>
        </w:rPr>
        <w:t>8</w:t>
      </w:r>
      <w:r w:rsidRPr="008C181A">
        <w:rPr>
          <w:lang w:val="en-US"/>
        </w:rPr>
        <w:t xml:space="preserve"> studies reported the age of adults with intellectual and other developmental disabilities who had experienced abuse (n = </w:t>
      </w:r>
      <w:r w:rsidR="003E3BE4" w:rsidRPr="008C181A">
        <w:rPr>
          <w:lang w:val="en-US"/>
        </w:rPr>
        <w:t>4,530</w:t>
      </w:r>
      <w:r w:rsidR="00702ECD" w:rsidRPr="008C181A">
        <w:rPr>
          <w:lang w:val="en-US"/>
        </w:rPr>
        <w:t>;</w:t>
      </w:r>
      <w:r w:rsidRPr="008C181A">
        <w:rPr>
          <w:lang w:val="en-US"/>
        </w:rPr>
        <w:t xml:space="preserve"> M</w:t>
      </w:r>
      <w:r w:rsidR="002009F4" w:rsidRPr="008C181A">
        <w:rPr>
          <w:lang w:val="en-US"/>
        </w:rPr>
        <w:t>ean</w:t>
      </w:r>
      <w:r w:rsidRPr="008C181A">
        <w:rPr>
          <w:lang w:val="en-US"/>
        </w:rPr>
        <w:t xml:space="preserve"> = </w:t>
      </w:r>
      <w:r w:rsidR="003E3BE4" w:rsidRPr="008C181A">
        <w:rPr>
          <w:lang w:val="en-US"/>
        </w:rPr>
        <w:t>37.8</w:t>
      </w:r>
      <w:r w:rsidRPr="008C181A">
        <w:rPr>
          <w:lang w:val="en-US"/>
        </w:rPr>
        <w:t>).</w:t>
      </w:r>
      <w:r w:rsidR="006B0A02" w:rsidRPr="008C181A">
        <w:rPr>
          <w:lang w:val="en-US"/>
        </w:rPr>
        <w:t xml:space="preserve"> This sample is inclusive of </w:t>
      </w:r>
      <w:r w:rsidR="00BE18A1" w:rsidRPr="008C181A">
        <w:rPr>
          <w:lang w:val="en-US"/>
        </w:rPr>
        <w:t xml:space="preserve">some </w:t>
      </w:r>
      <w:r w:rsidR="006B0A02" w:rsidRPr="008C181A">
        <w:rPr>
          <w:lang w:val="en-US"/>
        </w:rPr>
        <w:t xml:space="preserve">participants (n = 16) aged between </w:t>
      </w:r>
      <w:r w:rsidR="00CA1EC6" w:rsidRPr="008C181A">
        <w:rPr>
          <w:lang w:val="en-US"/>
        </w:rPr>
        <w:t xml:space="preserve">under </w:t>
      </w:r>
      <w:r w:rsidR="006B0A02" w:rsidRPr="008C181A">
        <w:rPr>
          <w:lang w:val="en-US"/>
        </w:rPr>
        <w:t xml:space="preserve">20 years </w:t>
      </w:r>
      <w:r w:rsidR="00CA1EC6" w:rsidRPr="008C181A">
        <w:rPr>
          <w:lang w:val="en-US"/>
        </w:rPr>
        <w:t xml:space="preserve">of age </w:t>
      </w:r>
      <w:r w:rsidR="006B0A02" w:rsidRPr="008C181A">
        <w:rPr>
          <w:lang w:val="en-US"/>
        </w:rPr>
        <w:t>as reported by Rusch et al. (1986).</w:t>
      </w:r>
    </w:p>
    <w:p w14:paraId="4106834A" w14:textId="3A2E1BCF" w:rsidR="00AB1DA8" w:rsidRPr="008C181A" w:rsidRDefault="00AB1DA8" w:rsidP="00B167B8">
      <w:pPr>
        <w:autoSpaceDE w:val="0"/>
        <w:autoSpaceDN w:val="0"/>
        <w:adjustRightInd w:val="0"/>
        <w:spacing w:after="0" w:line="480" w:lineRule="auto"/>
        <w:ind w:firstLine="720"/>
        <w:rPr>
          <w:lang w:val="en-US"/>
        </w:rPr>
      </w:pPr>
      <w:r w:rsidRPr="008C181A">
        <w:rPr>
          <w:b/>
          <w:bCs/>
          <w:lang w:val="en-US"/>
        </w:rPr>
        <w:t>Gender</w:t>
      </w:r>
      <w:r w:rsidRPr="008C181A">
        <w:rPr>
          <w:lang w:val="en-US"/>
        </w:rPr>
        <w:t xml:space="preserve">. Authors of </w:t>
      </w:r>
      <w:r w:rsidR="008A453E" w:rsidRPr="008C181A">
        <w:rPr>
          <w:lang w:val="en-US"/>
        </w:rPr>
        <w:t>1</w:t>
      </w:r>
      <w:r w:rsidR="00333262" w:rsidRPr="008C181A">
        <w:rPr>
          <w:lang w:val="en-US"/>
        </w:rPr>
        <w:t>1</w:t>
      </w:r>
      <w:r w:rsidRPr="008C181A">
        <w:rPr>
          <w:lang w:val="en-US"/>
        </w:rPr>
        <w:t xml:space="preserve"> of the </w:t>
      </w:r>
      <w:r w:rsidR="00B525D2" w:rsidRPr="008C181A">
        <w:rPr>
          <w:lang w:val="en-US"/>
        </w:rPr>
        <w:t>4</w:t>
      </w:r>
      <w:r w:rsidR="003E3BE4" w:rsidRPr="008C181A">
        <w:rPr>
          <w:lang w:val="en-US"/>
        </w:rPr>
        <w:t>8</w:t>
      </w:r>
      <w:r w:rsidRPr="008C181A">
        <w:rPr>
          <w:lang w:val="en-US"/>
        </w:rPr>
        <w:t xml:space="preserve"> studies reported the gender of adults with intellectual and other developmental disabilities </w:t>
      </w:r>
      <w:r w:rsidR="002009F4" w:rsidRPr="008C181A">
        <w:rPr>
          <w:lang w:val="en-US"/>
        </w:rPr>
        <w:t xml:space="preserve">who had experienced abuse </w:t>
      </w:r>
      <w:r w:rsidRPr="008C181A">
        <w:rPr>
          <w:lang w:val="en-US"/>
        </w:rPr>
        <w:t xml:space="preserve">(n = </w:t>
      </w:r>
      <w:r w:rsidR="008A453E" w:rsidRPr="008C181A">
        <w:rPr>
          <w:lang w:val="en-US"/>
        </w:rPr>
        <w:t>2,</w:t>
      </w:r>
      <w:r w:rsidR="003E3BE4" w:rsidRPr="008C181A">
        <w:rPr>
          <w:lang w:val="en-US"/>
        </w:rPr>
        <w:t>2</w:t>
      </w:r>
      <w:r w:rsidR="00333262" w:rsidRPr="008C181A">
        <w:rPr>
          <w:lang w:val="en-US"/>
        </w:rPr>
        <w:t>63</w:t>
      </w:r>
      <w:r w:rsidRPr="008C181A">
        <w:rPr>
          <w:lang w:val="en-US"/>
        </w:rPr>
        <w:t xml:space="preserve">), with findings suggesting </w:t>
      </w:r>
      <w:r w:rsidR="008A453E" w:rsidRPr="008C181A">
        <w:rPr>
          <w:lang w:val="en-US"/>
        </w:rPr>
        <w:t>5</w:t>
      </w:r>
      <w:r w:rsidR="003E3BE4" w:rsidRPr="008C181A">
        <w:rPr>
          <w:lang w:val="en-US"/>
        </w:rPr>
        <w:t>2</w:t>
      </w:r>
      <w:r w:rsidR="00333262" w:rsidRPr="008C181A">
        <w:rPr>
          <w:lang w:val="en-US"/>
        </w:rPr>
        <w:t>.1</w:t>
      </w:r>
      <w:r w:rsidRPr="008C181A">
        <w:rPr>
          <w:lang w:val="en-US"/>
        </w:rPr>
        <w:t>%</w:t>
      </w:r>
      <w:r w:rsidR="004E4BB6" w:rsidRPr="008C181A">
        <w:rPr>
          <w:lang w:val="en-US"/>
        </w:rPr>
        <w:t xml:space="preserve"> were female</w:t>
      </w:r>
      <w:r w:rsidR="00E646E9" w:rsidRPr="008C181A">
        <w:rPr>
          <w:lang w:val="en-US"/>
        </w:rPr>
        <w:t xml:space="preserve"> (n = 1</w:t>
      </w:r>
      <w:r w:rsidR="008A453E" w:rsidRPr="008C181A">
        <w:rPr>
          <w:lang w:val="en-US"/>
        </w:rPr>
        <w:t>,1</w:t>
      </w:r>
      <w:r w:rsidR="003E3BE4" w:rsidRPr="008C181A">
        <w:rPr>
          <w:lang w:val="en-US"/>
        </w:rPr>
        <w:t>8</w:t>
      </w:r>
      <w:r w:rsidR="00333262" w:rsidRPr="008C181A">
        <w:rPr>
          <w:lang w:val="en-US"/>
        </w:rPr>
        <w:t>0</w:t>
      </w:r>
      <w:r w:rsidR="00E646E9" w:rsidRPr="008C181A">
        <w:rPr>
          <w:lang w:val="en-US"/>
        </w:rPr>
        <w:t>)</w:t>
      </w:r>
      <w:r w:rsidR="004E4BB6" w:rsidRPr="008C181A">
        <w:rPr>
          <w:lang w:val="en-US"/>
        </w:rPr>
        <w:t>,</w:t>
      </w:r>
      <w:r w:rsidRPr="008C181A">
        <w:rPr>
          <w:lang w:val="en-US"/>
        </w:rPr>
        <w:t xml:space="preserve"> compared to </w:t>
      </w:r>
      <w:r w:rsidR="003E3BE4" w:rsidRPr="008C181A">
        <w:rPr>
          <w:lang w:val="en-US"/>
        </w:rPr>
        <w:t>4</w:t>
      </w:r>
      <w:r w:rsidR="00333262" w:rsidRPr="008C181A">
        <w:rPr>
          <w:lang w:val="en-US"/>
        </w:rPr>
        <w:t>7.9</w:t>
      </w:r>
      <w:r w:rsidR="00E646E9" w:rsidRPr="008C181A">
        <w:rPr>
          <w:lang w:val="en-US"/>
        </w:rPr>
        <w:t xml:space="preserve">% </w:t>
      </w:r>
      <w:r w:rsidRPr="008C181A">
        <w:rPr>
          <w:lang w:val="en-US"/>
        </w:rPr>
        <w:t>male</w:t>
      </w:r>
      <w:r w:rsidR="00E646E9" w:rsidRPr="008C181A">
        <w:rPr>
          <w:lang w:val="en-US"/>
        </w:rPr>
        <w:t xml:space="preserve"> (n = </w:t>
      </w:r>
      <w:r w:rsidR="008A453E" w:rsidRPr="008C181A">
        <w:rPr>
          <w:lang w:val="en-US"/>
        </w:rPr>
        <w:t>1,0</w:t>
      </w:r>
      <w:r w:rsidR="00333262" w:rsidRPr="008C181A">
        <w:rPr>
          <w:lang w:val="en-US"/>
        </w:rPr>
        <w:t>83</w:t>
      </w:r>
      <w:r w:rsidR="00E646E9" w:rsidRPr="008C181A">
        <w:rPr>
          <w:lang w:val="en-US"/>
        </w:rPr>
        <w:t>)</w:t>
      </w:r>
      <w:r w:rsidRPr="008C181A">
        <w:rPr>
          <w:lang w:val="en-US"/>
        </w:rPr>
        <w:t>.</w:t>
      </w:r>
    </w:p>
    <w:p w14:paraId="0DC5EE1C" w14:textId="2386929B" w:rsidR="00CD3632" w:rsidRPr="008C181A" w:rsidRDefault="00CD3632" w:rsidP="00B167B8">
      <w:pPr>
        <w:autoSpaceDE w:val="0"/>
        <w:autoSpaceDN w:val="0"/>
        <w:adjustRightInd w:val="0"/>
        <w:spacing w:after="0" w:line="480" w:lineRule="auto"/>
        <w:ind w:firstLine="720"/>
        <w:rPr>
          <w:lang w:val="en-US"/>
        </w:rPr>
      </w:pPr>
      <w:r w:rsidRPr="008C181A">
        <w:rPr>
          <w:b/>
          <w:bCs/>
          <w:lang w:val="en-US"/>
        </w:rPr>
        <w:t>Ethnicity</w:t>
      </w:r>
      <w:r w:rsidRPr="008C181A">
        <w:rPr>
          <w:lang w:val="en-US"/>
        </w:rPr>
        <w:t xml:space="preserve">. Authors of </w:t>
      </w:r>
      <w:r w:rsidR="002668C8" w:rsidRPr="008C181A">
        <w:rPr>
          <w:lang w:val="en-US"/>
        </w:rPr>
        <w:t>four</w:t>
      </w:r>
      <w:r w:rsidRPr="008C181A">
        <w:rPr>
          <w:lang w:val="en-US"/>
        </w:rPr>
        <w:t xml:space="preserve"> of the </w:t>
      </w:r>
      <w:r w:rsidR="00B525D2" w:rsidRPr="008C181A">
        <w:rPr>
          <w:lang w:val="en-US"/>
        </w:rPr>
        <w:t>4</w:t>
      </w:r>
      <w:r w:rsidR="00702E2B" w:rsidRPr="008C181A">
        <w:rPr>
          <w:lang w:val="en-US"/>
        </w:rPr>
        <w:t>8</w:t>
      </w:r>
      <w:r w:rsidRPr="008C181A">
        <w:rPr>
          <w:lang w:val="en-US"/>
        </w:rPr>
        <w:t xml:space="preserve"> studies reported the ethnicit</w:t>
      </w:r>
      <w:r w:rsidR="002668C8" w:rsidRPr="008C181A">
        <w:rPr>
          <w:lang w:val="en-US"/>
        </w:rPr>
        <w:t>ies</w:t>
      </w:r>
      <w:r w:rsidRPr="008C181A">
        <w:rPr>
          <w:lang w:val="en-US"/>
        </w:rPr>
        <w:t xml:space="preserve"> of adults with intellectual and other developmental disabilities who had experienced abuse </w:t>
      </w:r>
      <w:r w:rsidR="00024A24" w:rsidRPr="008C181A">
        <w:rPr>
          <w:lang w:val="en-US"/>
        </w:rPr>
        <w:t>(n = 2,166). F</w:t>
      </w:r>
      <w:r w:rsidRPr="008C181A">
        <w:rPr>
          <w:lang w:val="en-US"/>
        </w:rPr>
        <w:t>indings suggest</w:t>
      </w:r>
      <w:r w:rsidR="00024A24" w:rsidRPr="008C181A">
        <w:rPr>
          <w:lang w:val="en-US"/>
        </w:rPr>
        <w:t xml:space="preserve">ed </w:t>
      </w:r>
      <w:r w:rsidRPr="008C181A">
        <w:rPr>
          <w:lang w:val="en-US"/>
        </w:rPr>
        <w:t xml:space="preserve">the majority were </w:t>
      </w:r>
      <w:r w:rsidR="00024A24" w:rsidRPr="008C181A">
        <w:rPr>
          <w:lang w:val="en-US"/>
        </w:rPr>
        <w:t xml:space="preserve">White (n = 1,908), </w:t>
      </w:r>
      <w:r w:rsidRPr="008C181A">
        <w:rPr>
          <w:lang w:val="en-US"/>
        </w:rPr>
        <w:t xml:space="preserve">Caucasian (n = </w:t>
      </w:r>
      <w:r w:rsidR="00024A24" w:rsidRPr="008C181A">
        <w:rPr>
          <w:lang w:val="en-US"/>
        </w:rPr>
        <w:t>56</w:t>
      </w:r>
      <w:r w:rsidRPr="008C181A">
        <w:rPr>
          <w:lang w:val="en-US"/>
        </w:rPr>
        <w:t>)</w:t>
      </w:r>
      <w:r w:rsidR="00024A24" w:rsidRPr="008C181A">
        <w:rPr>
          <w:lang w:val="en-US"/>
        </w:rPr>
        <w:t>, or White British (n = 28)</w:t>
      </w:r>
      <w:r w:rsidRPr="008C181A">
        <w:rPr>
          <w:lang w:val="en-US"/>
        </w:rPr>
        <w:t xml:space="preserve">. Other ethnicities reported included </w:t>
      </w:r>
      <w:r w:rsidR="00702E2B" w:rsidRPr="008C181A">
        <w:rPr>
          <w:lang w:val="en-US"/>
        </w:rPr>
        <w:t>African American</w:t>
      </w:r>
      <w:r w:rsidRPr="008C181A">
        <w:rPr>
          <w:lang w:val="en-US"/>
        </w:rPr>
        <w:t xml:space="preserve"> (n = </w:t>
      </w:r>
      <w:r w:rsidR="00A115FA" w:rsidRPr="008C181A">
        <w:rPr>
          <w:lang w:val="en-US"/>
        </w:rPr>
        <w:t>54</w:t>
      </w:r>
      <w:r w:rsidRPr="008C181A">
        <w:rPr>
          <w:lang w:val="en-US"/>
        </w:rPr>
        <w:t xml:space="preserve">), </w:t>
      </w:r>
      <w:r w:rsidR="00A115FA" w:rsidRPr="008C181A">
        <w:rPr>
          <w:lang w:val="en-US"/>
        </w:rPr>
        <w:t xml:space="preserve">South </w:t>
      </w:r>
      <w:r w:rsidRPr="008C181A">
        <w:rPr>
          <w:lang w:val="en-US"/>
        </w:rPr>
        <w:t xml:space="preserve">Asian (n = </w:t>
      </w:r>
      <w:r w:rsidR="00A115FA" w:rsidRPr="008C181A">
        <w:rPr>
          <w:lang w:val="en-US"/>
        </w:rPr>
        <w:t>1</w:t>
      </w:r>
      <w:r w:rsidRPr="008C181A">
        <w:rPr>
          <w:lang w:val="en-US"/>
        </w:rPr>
        <w:t>)</w:t>
      </w:r>
      <w:r w:rsidR="00D9272F" w:rsidRPr="008C181A">
        <w:rPr>
          <w:lang w:val="en-US"/>
        </w:rPr>
        <w:t xml:space="preserve">, </w:t>
      </w:r>
      <w:r w:rsidR="00024A24" w:rsidRPr="008C181A">
        <w:rPr>
          <w:lang w:val="en-US"/>
        </w:rPr>
        <w:t>and black or other minority ethnic group (n = 119).</w:t>
      </w:r>
    </w:p>
    <w:p w14:paraId="4C48393A" w14:textId="5B1B3163" w:rsidR="00BD4E35" w:rsidRPr="008C181A" w:rsidRDefault="00BD4E35" w:rsidP="00476439">
      <w:pPr>
        <w:spacing w:after="0" w:line="480" w:lineRule="auto"/>
        <w:rPr>
          <w:lang w:val="en-US"/>
        </w:rPr>
      </w:pPr>
    </w:p>
    <w:p w14:paraId="02DA9A99" w14:textId="5AECDF88" w:rsidR="00940A51" w:rsidRPr="008C181A" w:rsidRDefault="00940A51" w:rsidP="00B167B8">
      <w:pPr>
        <w:spacing w:after="0" w:line="480" w:lineRule="auto"/>
        <w:rPr>
          <w:b/>
          <w:bCs/>
          <w:lang w:val="en-US"/>
        </w:rPr>
      </w:pPr>
      <w:r w:rsidRPr="008C181A">
        <w:rPr>
          <w:b/>
          <w:bCs/>
          <w:lang w:val="en-US"/>
        </w:rPr>
        <w:t>Risk factors</w:t>
      </w:r>
    </w:p>
    <w:p w14:paraId="0AA64430" w14:textId="64078497" w:rsidR="00BD4E35" w:rsidRPr="008C181A" w:rsidRDefault="008D150D" w:rsidP="00B167B8">
      <w:pPr>
        <w:spacing w:after="0" w:line="480" w:lineRule="auto"/>
        <w:ind w:firstLine="720"/>
        <w:rPr>
          <w:lang w:val="en-US"/>
        </w:rPr>
      </w:pPr>
      <w:r w:rsidRPr="008C181A">
        <w:rPr>
          <w:lang w:val="en-US"/>
        </w:rPr>
        <w:t xml:space="preserve">Authors of </w:t>
      </w:r>
      <w:r w:rsidR="00D2731A" w:rsidRPr="008C181A">
        <w:rPr>
          <w:lang w:val="en-US"/>
        </w:rPr>
        <w:t>3</w:t>
      </w:r>
      <w:r w:rsidR="000D56BE" w:rsidRPr="008C181A">
        <w:rPr>
          <w:lang w:val="en-US"/>
        </w:rPr>
        <w:t>1</w:t>
      </w:r>
      <w:r w:rsidRPr="008C181A">
        <w:rPr>
          <w:lang w:val="en-US"/>
        </w:rPr>
        <w:t xml:space="preserve"> of the </w:t>
      </w:r>
      <w:r w:rsidR="00B525D2" w:rsidRPr="008C181A">
        <w:rPr>
          <w:lang w:val="en-US"/>
        </w:rPr>
        <w:t>4</w:t>
      </w:r>
      <w:r w:rsidR="00D2731A" w:rsidRPr="008C181A">
        <w:rPr>
          <w:lang w:val="en-US"/>
        </w:rPr>
        <w:t>8</w:t>
      </w:r>
      <w:r w:rsidRPr="008C181A">
        <w:rPr>
          <w:lang w:val="en-US"/>
        </w:rPr>
        <w:t xml:space="preserve"> studies reported on risk factors </w:t>
      </w:r>
      <w:r w:rsidR="00EA30CA" w:rsidRPr="008C181A">
        <w:rPr>
          <w:lang w:val="en-US"/>
        </w:rPr>
        <w:t>associated with</w:t>
      </w:r>
      <w:r w:rsidRPr="008C181A">
        <w:rPr>
          <w:lang w:val="en-US"/>
        </w:rPr>
        <w:t xml:space="preserve"> the abuse of adults with </w:t>
      </w:r>
      <w:r w:rsidR="00635B6E" w:rsidRPr="008C181A">
        <w:rPr>
          <w:lang w:val="en-US"/>
        </w:rPr>
        <w:t>intellectual and other developmental disabilities</w:t>
      </w:r>
      <w:r w:rsidR="00F10B86" w:rsidRPr="008C181A">
        <w:rPr>
          <w:lang w:val="en-US"/>
        </w:rPr>
        <w:t xml:space="preserve"> </w:t>
      </w:r>
      <w:r w:rsidRPr="008C181A">
        <w:rPr>
          <w:lang w:val="en-US"/>
        </w:rPr>
        <w:t>within services</w:t>
      </w:r>
      <w:r w:rsidR="00796781" w:rsidRPr="008C181A">
        <w:rPr>
          <w:lang w:val="en-US"/>
        </w:rPr>
        <w:t>,</w:t>
      </w:r>
      <w:r w:rsidR="00BD4E35" w:rsidRPr="008C181A">
        <w:rPr>
          <w:lang w:val="en-US"/>
        </w:rPr>
        <w:t xml:space="preserve"> </w:t>
      </w:r>
      <w:r w:rsidR="0039127F" w:rsidRPr="008C181A">
        <w:rPr>
          <w:lang w:val="en-US"/>
        </w:rPr>
        <w:t>including</w:t>
      </w:r>
      <w:r w:rsidRPr="008C181A">
        <w:rPr>
          <w:lang w:val="en-US"/>
        </w:rPr>
        <w:t xml:space="preserve"> victim characteristics</w:t>
      </w:r>
      <w:r w:rsidR="007B77CA" w:rsidRPr="008C181A">
        <w:rPr>
          <w:lang w:val="en-US"/>
        </w:rPr>
        <w:t>,</w:t>
      </w:r>
      <w:r w:rsidRPr="008C181A">
        <w:rPr>
          <w:lang w:val="en-US"/>
        </w:rPr>
        <w:t xml:space="preserve"> perpetrator characteristics, and organizational factors. </w:t>
      </w:r>
    </w:p>
    <w:p w14:paraId="05CA8731" w14:textId="04548085" w:rsidR="0075124E" w:rsidRPr="008C181A" w:rsidRDefault="008D150D" w:rsidP="00B167B8">
      <w:pPr>
        <w:spacing w:after="0" w:line="480" w:lineRule="auto"/>
        <w:ind w:firstLine="720"/>
        <w:rPr>
          <w:lang w:val="en-US"/>
        </w:rPr>
      </w:pPr>
      <w:r w:rsidRPr="008C181A">
        <w:rPr>
          <w:lang w:val="en-US"/>
        </w:rPr>
        <w:t>Victim characteristics</w:t>
      </w:r>
      <w:r w:rsidR="00DD734F" w:rsidRPr="008C181A">
        <w:rPr>
          <w:lang w:val="en-US"/>
        </w:rPr>
        <w:t xml:space="preserve"> associated with increased risk of victimization </w:t>
      </w:r>
      <w:r w:rsidR="0075124E" w:rsidRPr="008C181A">
        <w:rPr>
          <w:lang w:val="en-US"/>
        </w:rPr>
        <w:t>of</w:t>
      </w:r>
      <w:r w:rsidR="00DD734F" w:rsidRPr="008C181A">
        <w:rPr>
          <w:lang w:val="en-US"/>
        </w:rPr>
        <w:t xml:space="preserve"> abuse within services include</w:t>
      </w:r>
      <w:r w:rsidR="00F10B86" w:rsidRPr="008C181A">
        <w:rPr>
          <w:lang w:val="en-US"/>
        </w:rPr>
        <w:t>d</w:t>
      </w:r>
      <w:r w:rsidR="0075124E" w:rsidRPr="008C181A">
        <w:rPr>
          <w:lang w:val="en-US"/>
        </w:rPr>
        <w:t>: (i)</w:t>
      </w:r>
      <w:r w:rsidR="00DD734F" w:rsidRPr="008C181A">
        <w:rPr>
          <w:lang w:val="en-US"/>
        </w:rPr>
        <w:t xml:space="preserve"> service-user’s gender,</w:t>
      </w:r>
      <w:r w:rsidR="0075124E" w:rsidRPr="008C181A">
        <w:rPr>
          <w:lang w:val="en-US"/>
        </w:rPr>
        <w:t xml:space="preserve"> with females being more at risk of sexual abuse compared to males</w:t>
      </w:r>
      <w:r w:rsidR="00DD734F" w:rsidRPr="008C181A">
        <w:rPr>
          <w:lang w:val="en-US"/>
        </w:rPr>
        <w:t xml:space="preserve">, </w:t>
      </w:r>
      <w:r w:rsidR="0075124E" w:rsidRPr="008C181A">
        <w:rPr>
          <w:lang w:val="en-US"/>
        </w:rPr>
        <w:t xml:space="preserve">(ii) </w:t>
      </w:r>
      <w:r w:rsidR="00FB3EAF" w:rsidRPr="008C181A">
        <w:rPr>
          <w:lang w:val="en-US"/>
        </w:rPr>
        <w:t>more severe</w:t>
      </w:r>
      <w:r w:rsidR="00DD734F" w:rsidRPr="008C181A">
        <w:rPr>
          <w:lang w:val="en-US"/>
        </w:rPr>
        <w:t xml:space="preserve"> </w:t>
      </w:r>
      <w:r w:rsidR="007655D4" w:rsidRPr="008C181A">
        <w:rPr>
          <w:lang w:val="en-US"/>
        </w:rPr>
        <w:t>learning disability</w:t>
      </w:r>
      <w:r w:rsidR="002259BB" w:rsidRPr="008C181A">
        <w:rPr>
          <w:lang w:val="en-US"/>
        </w:rPr>
        <w:t xml:space="preserve"> and </w:t>
      </w:r>
      <w:r w:rsidR="007655D4" w:rsidRPr="008C181A">
        <w:rPr>
          <w:lang w:val="en-US"/>
        </w:rPr>
        <w:t>communication difficulties</w:t>
      </w:r>
      <w:r w:rsidR="0075124E" w:rsidRPr="008C181A">
        <w:rPr>
          <w:lang w:val="en-US"/>
        </w:rPr>
        <w:t xml:space="preserve">, (iii) being known to services over time or since birth, (iv) </w:t>
      </w:r>
      <w:r w:rsidR="003C53C6" w:rsidRPr="008C181A">
        <w:rPr>
          <w:lang w:val="en-US"/>
        </w:rPr>
        <w:t>an escalation of challenging</w:t>
      </w:r>
      <w:r w:rsidR="0075124E" w:rsidRPr="008C181A">
        <w:rPr>
          <w:lang w:val="en-US"/>
        </w:rPr>
        <w:t xml:space="preserve"> behaviour, (v) previous abuse </w:t>
      </w:r>
      <w:r w:rsidR="0075124E" w:rsidRPr="008C181A">
        <w:rPr>
          <w:lang w:val="en-US"/>
        </w:rPr>
        <w:lastRenderedPageBreak/>
        <w:t xml:space="preserve">victimization, </w:t>
      </w:r>
      <w:r w:rsidR="005D239D" w:rsidRPr="008C181A">
        <w:rPr>
          <w:lang w:val="en-US"/>
        </w:rPr>
        <w:t xml:space="preserve">and </w:t>
      </w:r>
      <w:r w:rsidR="0075124E" w:rsidRPr="008C181A">
        <w:rPr>
          <w:lang w:val="en-US"/>
        </w:rPr>
        <w:t xml:space="preserve">(vi) having some </w:t>
      </w:r>
      <w:r w:rsidR="005D239D" w:rsidRPr="008C181A">
        <w:rPr>
          <w:lang w:val="en-US"/>
        </w:rPr>
        <w:t xml:space="preserve">reported </w:t>
      </w:r>
      <w:r w:rsidR="0075124E" w:rsidRPr="008C181A">
        <w:rPr>
          <w:lang w:val="en-US"/>
        </w:rPr>
        <w:t xml:space="preserve">involvement in an individual behaviour management programme or </w:t>
      </w:r>
      <w:r w:rsidR="005D239D" w:rsidRPr="008C181A">
        <w:rPr>
          <w:lang w:val="en-US"/>
        </w:rPr>
        <w:t xml:space="preserve">being in receipt of </w:t>
      </w:r>
      <w:r w:rsidR="0075124E" w:rsidRPr="008C181A">
        <w:rPr>
          <w:lang w:val="en-US"/>
        </w:rPr>
        <w:t>a drug to control behaviour (</w:t>
      </w:r>
      <w:r w:rsidR="00F15EEC" w:rsidRPr="008C181A">
        <w:rPr>
          <w:lang w:val="en-US"/>
        </w:rPr>
        <w:t>e.g.,</w:t>
      </w:r>
      <w:r w:rsidR="009164DA" w:rsidRPr="008C181A">
        <w:rPr>
          <w:lang w:val="en-US"/>
        </w:rPr>
        <w:t xml:space="preserve"> </w:t>
      </w:r>
      <w:r w:rsidR="007B77CA" w:rsidRPr="008C181A">
        <w:rPr>
          <w:lang w:val="en-US"/>
        </w:rPr>
        <w:t>Bigby</w:t>
      </w:r>
      <w:r w:rsidR="009164DA" w:rsidRPr="008C181A">
        <w:rPr>
          <w:lang w:val="en-US"/>
        </w:rPr>
        <w:t xml:space="preserve"> et al.</w:t>
      </w:r>
      <w:r w:rsidR="007B77CA" w:rsidRPr="008C181A">
        <w:rPr>
          <w:lang w:val="en-US"/>
        </w:rPr>
        <w:t xml:space="preserve">, </w:t>
      </w:r>
      <w:r w:rsidR="000B481F" w:rsidRPr="008C181A">
        <w:rPr>
          <w:lang w:val="en-US"/>
        </w:rPr>
        <w:t>1995</w:t>
      </w:r>
      <w:r w:rsidR="00DD734F" w:rsidRPr="008C181A">
        <w:rPr>
          <w:lang w:val="en-US"/>
        </w:rPr>
        <w:t xml:space="preserve">; </w:t>
      </w:r>
      <w:r w:rsidR="0075124E" w:rsidRPr="008C181A">
        <w:rPr>
          <w:lang w:val="en-US"/>
        </w:rPr>
        <w:t>Cambridge</w:t>
      </w:r>
      <w:r w:rsidR="009164DA" w:rsidRPr="008C181A">
        <w:rPr>
          <w:lang w:val="en-US"/>
        </w:rPr>
        <w:t xml:space="preserve"> et al.</w:t>
      </w:r>
      <w:r w:rsidR="0075124E" w:rsidRPr="008C181A">
        <w:rPr>
          <w:lang w:val="en-US"/>
        </w:rPr>
        <w:t>, 2011</w:t>
      </w:r>
      <w:r w:rsidR="000C340E" w:rsidRPr="008C181A">
        <w:rPr>
          <w:lang w:val="en-US"/>
        </w:rPr>
        <w:t>b</w:t>
      </w:r>
      <w:r w:rsidR="0075124E" w:rsidRPr="008C181A">
        <w:rPr>
          <w:lang w:val="en-US"/>
        </w:rPr>
        <w:t>;</w:t>
      </w:r>
      <w:r w:rsidR="007C7647" w:rsidRPr="008C181A">
        <w:rPr>
          <w:lang w:val="en-US"/>
        </w:rPr>
        <w:t xml:space="preserve"> McCartney &amp; Campbell, 1998). </w:t>
      </w:r>
      <w:r w:rsidR="008B03F4" w:rsidRPr="008C181A">
        <w:rPr>
          <w:lang w:val="en-US"/>
        </w:rPr>
        <w:t>In contrast, Marchetti and McCarthy</w:t>
      </w:r>
      <w:r w:rsidR="008B03F4" w:rsidRPr="008C181A">
        <w:t xml:space="preserve"> </w:t>
      </w:r>
      <w:r w:rsidR="008B03F4" w:rsidRPr="008C181A">
        <w:rPr>
          <w:lang w:val="en-US"/>
        </w:rPr>
        <w:t>(1990) reported that abused service-users were similar to the general resident population on basic demographic variables, but more of the abused residents had higher intellectual quotient scores and adaptive behavior levels.</w:t>
      </w:r>
      <w:r w:rsidR="000A6500" w:rsidRPr="008C181A">
        <w:rPr>
          <w:lang w:val="en-US"/>
        </w:rPr>
        <w:t xml:space="preserve"> However, their findings focused only on confirmed cases of abuse</w:t>
      </w:r>
      <w:r w:rsidR="000106FA" w:rsidRPr="008C181A">
        <w:rPr>
          <w:lang w:val="en-US"/>
        </w:rPr>
        <w:t xml:space="preserve"> (where presumably the victim was able to speak about what happened)</w:t>
      </w:r>
      <w:r w:rsidR="000A6500" w:rsidRPr="008C181A">
        <w:rPr>
          <w:lang w:val="en-US"/>
        </w:rPr>
        <w:t xml:space="preserve"> and confounding factors were not accounted for in the analysis.</w:t>
      </w:r>
    </w:p>
    <w:p w14:paraId="1E329393" w14:textId="72D3CD53" w:rsidR="00D76FCC" w:rsidRPr="008C181A" w:rsidRDefault="00226967" w:rsidP="00B167B8">
      <w:pPr>
        <w:spacing w:after="0" w:line="480" w:lineRule="auto"/>
        <w:ind w:firstLine="720"/>
        <w:rPr>
          <w:lang w:val="en-US"/>
        </w:rPr>
      </w:pPr>
      <w:r w:rsidRPr="008C181A">
        <w:rPr>
          <w:lang w:val="en-US"/>
        </w:rPr>
        <w:t>Individual c</w:t>
      </w:r>
      <w:r w:rsidR="00A77376" w:rsidRPr="008C181A">
        <w:rPr>
          <w:lang w:val="en-US"/>
        </w:rPr>
        <w:t>haracteristics</w:t>
      </w:r>
      <w:r w:rsidRPr="008C181A">
        <w:rPr>
          <w:lang w:val="en-US"/>
        </w:rPr>
        <w:t xml:space="preserve"> associated with the perpetration of abuse</w:t>
      </w:r>
      <w:r w:rsidR="00A77376" w:rsidRPr="008C181A">
        <w:rPr>
          <w:lang w:val="en-US"/>
        </w:rPr>
        <w:t xml:space="preserve"> included</w:t>
      </w:r>
      <w:r w:rsidRPr="008C181A">
        <w:rPr>
          <w:lang w:val="en-US"/>
        </w:rPr>
        <w:t xml:space="preserve">: </w:t>
      </w:r>
      <w:r w:rsidR="00F6316C" w:rsidRPr="008C181A">
        <w:rPr>
          <w:lang w:val="en-US"/>
        </w:rPr>
        <w:t xml:space="preserve">(i) </w:t>
      </w:r>
      <w:r w:rsidRPr="008C181A">
        <w:rPr>
          <w:lang w:val="en-US"/>
        </w:rPr>
        <w:t xml:space="preserve">gender, with </w:t>
      </w:r>
      <w:r w:rsidR="00A77376" w:rsidRPr="008C181A">
        <w:rPr>
          <w:lang w:val="en-US"/>
        </w:rPr>
        <w:t>male</w:t>
      </w:r>
      <w:r w:rsidRPr="008C181A">
        <w:rPr>
          <w:lang w:val="en-US"/>
        </w:rPr>
        <w:t xml:space="preserve">s more likely to perpetrate abuse compared to females, (ii) newer employees, (iii) previous perpetrators of abuse, (iv) </w:t>
      </w:r>
      <w:r w:rsidR="007C2D9B" w:rsidRPr="008C181A">
        <w:rPr>
          <w:lang w:val="en-US"/>
        </w:rPr>
        <w:t>s</w:t>
      </w:r>
      <w:r w:rsidR="004765DB" w:rsidRPr="008C181A">
        <w:rPr>
          <w:lang w:val="en-US"/>
        </w:rPr>
        <w:t>taff's inability to cope with increasing stress</w:t>
      </w:r>
      <w:r w:rsidRPr="008C181A">
        <w:rPr>
          <w:lang w:val="en-US"/>
        </w:rPr>
        <w:t xml:space="preserve"> or</w:t>
      </w:r>
      <w:r w:rsidR="004765DB" w:rsidRPr="008C181A">
        <w:rPr>
          <w:lang w:val="en-US"/>
        </w:rPr>
        <w:t xml:space="preserve"> </w:t>
      </w:r>
      <w:r w:rsidRPr="008C181A">
        <w:rPr>
          <w:lang w:val="en-US"/>
        </w:rPr>
        <w:t xml:space="preserve">staff’s </w:t>
      </w:r>
      <w:r w:rsidR="004765DB" w:rsidRPr="008C181A">
        <w:rPr>
          <w:lang w:val="en-US"/>
        </w:rPr>
        <w:t>inappropriate means of relieving stress</w:t>
      </w:r>
      <w:r w:rsidRPr="008C181A">
        <w:rPr>
          <w:lang w:val="en-US"/>
        </w:rPr>
        <w:t>,</w:t>
      </w:r>
      <w:r w:rsidR="0039127F" w:rsidRPr="008C181A">
        <w:rPr>
          <w:lang w:val="en-US"/>
        </w:rPr>
        <w:t xml:space="preserve"> </w:t>
      </w:r>
      <w:r w:rsidR="00F6316C" w:rsidRPr="008C181A">
        <w:rPr>
          <w:lang w:val="en-US"/>
        </w:rPr>
        <w:t xml:space="preserve">and </w:t>
      </w:r>
      <w:r w:rsidRPr="008C181A">
        <w:rPr>
          <w:lang w:val="en-US"/>
        </w:rPr>
        <w:t>(v)</w:t>
      </w:r>
      <w:r w:rsidR="00F6316C" w:rsidRPr="008C181A">
        <w:rPr>
          <w:lang w:val="en-US"/>
        </w:rPr>
        <w:t xml:space="preserve"> </w:t>
      </w:r>
      <w:r w:rsidR="005415B5" w:rsidRPr="008C181A">
        <w:rPr>
          <w:lang w:val="en-US"/>
        </w:rPr>
        <w:t xml:space="preserve">staff </w:t>
      </w:r>
      <w:r w:rsidR="00867A8A" w:rsidRPr="008C181A">
        <w:rPr>
          <w:lang w:val="en-US"/>
        </w:rPr>
        <w:t>perceptio</w:t>
      </w:r>
      <w:r w:rsidR="005415B5" w:rsidRPr="008C181A">
        <w:rPr>
          <w:lang w:val="en-US"/>
        </w:rPr>
        <w:t>ns</w:t>
      </w:r>
      <w:r w:rsidR="00867A8A" w:rsidRPr="008C181A">
        <w:rPr>
          <w:lang w:val="en-US"/>
        </w:rPr>
        <w:t xml:space="preserve"> of</w:t>
      </w:r>
      <w:r w:rsidR="00F6316C" w:rsidRPr="008C181A">
        <w:rPr>
          <w:lang w:val="en-US"/>
        </w:rPr>
        <w:t xml:space="preserve">, </w:t>
      </w:r>
      <w:r w:rsidR="00F10B86" w:rsidRPr="008C181A">
        <w:rPr>
          <w:lang w:val="en-US"/>
        </w:rPr>
        <w:t>or attitudes towards</w:t>
      </w:r>
      <w:r w:rsidR="00E07FEE" w:rsidRPr="008C181A">
        <w:rPr>
          <w:lang w:val="en-US"/>
        </w:rPr>
        <w:t xml:space="preserve"> service-users</w:t>
      </w:r>
      <w:r w:rsidR="00F6316C" w:rsidRPr="008C181A">
        <w:rPr>
          <w:lang w:val="en-US"/>
        </w:rPr>
        <w:t xml:space="preserve"> </w:t>
      </w:r>
      <w:r w:rsidRPr="008C181A">
        <w:rPr>
          <w:lang w:val="en-US"/>
        </w:rPr>
        <w:t>(</w:t>
      </w:r>
      <w:r w:rsidR="00F15EEC" w:rsidRPr="008C181A">
        <w:rPr>
          <w:lang w:val="en-US"/>
        </w:rPr>
        <w:t xml:space="preserve">e.g., </w:t>
      </w:r>
      <w:r w:rsidR="00E250DD" w:rsidRPr="008C181A">
        <w:rPr>
          <w:lang w:val="en-US"/>
        </w:rPr>
        <w:t xml:space="preserve">Beail &amp; Warden, 1995; Brown &amp; Stein, 1988; </w:t>
      </w:r>
      <w:r w:rsidRPr="008C181A">
        <w:rPr>
          <w:lang w:val="en-US"/>
        </w:rPr>
        <w:t>Furey</w:t>
      </w:r>
      <w:r w:rsidR="009164DA" w:rsidRPr="008C181A">
        <w:rPr>
          <w:lang w:val="en-US"/>
        </w:rPr>
        <w:t xml:space="preserve"> et al.</w:t>
      </w:r>
      <w:r w:rsidRPr="008C181A">
        <w:rPr>
          <w:lang w:val="en-US"/>
        </w:rPr>
        <w:t>, 1994;</w:t>
      </w:r>
      <w:r w:rsidR="00E8020E" w:rsidRPr="008C181A">
        <w:rPr>
          <w:lang w:val="en-US"/>
        </w:rPr>
        <w:t xml:space="preserve"> Hollomotz, 2012;</w:t>
      </w:r>
      <w:r w:rsidR="00EB49DB" w:rsidRPr="008C181A">
        <w:rPr>
          <w:lang w:val="en-US"/>
        </w:rPr>
        <w:t xml:space="preserve"> </w:t>
      </w:r>
      <w:r w:rsidR="005415B5" w:rsidRPr="008C181A">
        <w:rPr>
          <w:lang w:val="en-US"/>
        </w:rPr>
        <w:t>Marsland</w:t>
      </w:r>
      <w:r w:rsidR="009164DA" w:rsidRPr="008C181A">
        <w:rPr>
          <w:lang w:val="en-US"/>
        </w:rPr>
        <w:t xml:space="preserve"> et al.</w:t>
      </w:r>
      <w:r w:rsidR="005415B5" w:rsidRPr="008C181A">
        <w:rPr>
          <w:lang w:val="en-US"/>
        </w:rPr>
        <w:t xml:space="preserve">, 2007; </w:t>
      </w:r>
      <w:r w:rsidR="00D2731A" w:rsidRPr="008C181A">
        <w:rPr>
          <w:lang w:val="en-US"/>
        </w:rPr>
        <w:t>Turk &amp; Brown, 1993</w:t>
      </w:r>
      <w:r w:rsidRPr="008C181A">
        <w:rPr>
          <w:lang w:val="en-US"/>
        </w:rPr>
        <w:t>)</w:t>
      </w:r>
      <w:r w:rsidR="005415B5" w:rsidRPr="008C181A">
        <w:rPr>
          <w:lang w:val="en-US"/>
        </w:rPr>
        <w:t>.</w:t>
      </w:r>
      <w:r w:rsidRPr="008C181A">
        <w:rPr>
          <w:lang w:val="en-US"/>
        </w:rPr>
        <w:t xml:space="preserve"> For example, beliefs that adults with intellectual disabilities </w:t>
      </w:r>
      <w:r w:rsidR="00867A8A" w:rsidRPr="008C181A">
        <w:rPr>
          <w:lang w:val="en-US"/>
        </w:rPr>
        <w:t>are</w:t>
      </w:r>
      <w:r w:rsidR="00C057EC" w:rsidRPr="008C181A">
        <w:rPr>
          <w:lang w:val="en-US"/>
        </w:rPr>
        <w:t xml:space="preserve"> </w:t>
      </w:r>
      <w:r w:rsidR="0039127F" w:rsidRPr="008C181A">
        <w:rPr>
          <w:lang w:val="en-US"/>
        </w:rPr>
        <w:t xml:space="preserve">fundamentally different, </w:t>
      </w:r>
      <w:r w:rsidR="002009F4" w:rsidRPr="008C181A">
        <w:rPr>
          <w:lang w:val="en-US"/>
        </w:rPr>
        <w:t xml:space="preserve">they are </w:t>
      </w:r>
      <w:r w:rsidR="00F10B86" w:rsidRPr="008C181A">
        <w:rPr>
          <w:lang w:val="en-US"/>
        </w:rPr>
        <w:t>‘</w:t>
      </w:r>
      <w:r w:rsidR="0039127F" w:rsidRPr="008C181A">
        <w:rPr>
          <w:lang w:val="en-US"/>
        </w:rPr>
        <w:t>too disabled</w:t>
      </w:r>
      <w:r w:rsidR="00F10B86" w:rsidRPr="008C181A">
        <w:rPr>
          <w:lang w:val="en-US"/>
        </w:rPr>
        <w:t>’</w:t>
      </w:r>
      <w:r w:rsidR="0039127F" w:rsidRPr="008C181A">
        <w:rPr>
          <w:lang w:val="en-US"/>
        </w:rPr>
        <w:t xml:space="preserve">, </w:t>
      </w:r>
      <w:r w:rsidRPr="008C181A">
        <w:rPr>
          <w:lang w:val="en-US"/>
        </w:rPr>
        <w:t xml:space="preserve">and </w:t>
      </w:r>
      <w:r w:rsidR="00F10B86" w:rsidRPr="008C181A">
        <w:rPr>
          <w:lang w:val="en-US"/>
        </w:rPr>
        <w:t>‘</w:t>
      </w:r>
      <w:r w:rsidR="00867A8A" w:rsidRPr="008C181A">
        <w:rPr>
          <w:lang w:val="en-US"/>
        </w:rPr>
        <w:t xml:space="preserve">have </w:t>
      </w:r>
      <w:r w:rsidR="0039127F" w:rsidRPr="008C181A">
        <w:rPr>
          <w:lang w:val="en-US"/>
        </w:rPr>
        <w:t>no skills</w:t>
      </w:r>
      <w:r w:rsidR="00F10B86" w:rsidRPr="008C181A">
        <w:rPr>
          <w:lang w:val="en-US"/>
        </w:rPr>
        <w:t>’</w:t>
      </w:r>
      <w:r w:rsidRPr="008C181A">
        <w:rPr>
          <w:lang w:val="en-US"/>
        </w:rPr>
        <w:t xml:space="preserve"> </w:t>
      </w:r>
      <w:r w:rsidR="00D21809" w:rsidRPr="008C181A">
        <w:rPr>
          <w:lang w:val="en-US"/>
        </w:rPr>
        <w:t>w</w:t>
      </w:r>
      <w:r w:rsidR="00F10B86" w:rsidRPr="008C181A">
        <w:rPr>
          <w:lang w:val="en-US"/>
        </w:rPr>
        <w:t>ere</w:t>
      </w:r>
      <w:r w:rsidR="00D21809" w:rsidRPr="008C181A">
        <w:rPr>
          <w:lang w:val="en-US"/>
        </w:rPr>
        <w:t xml:space="preserve"> a risk factor for abuse </w:t>
      </w:r>
      <w:r w:rsidRPr="008C181A">
        <w:rPr>
          <w:lang w:val="en-US"/>
        </w:rPr>
        <w:t>(</w:t>
      </w:r>
      <w:r w:rsidR="005415B5" w:rsidRPr="008C181A">
        <w:rPr>
          <w:lang w:val="en-US"/>
        </w:rPr>
        <w:t xml:space="preserve">e.g., </w:t>
      </w:r>
      <w:r w:rsidR="0039127F" w:rsidRPr="008C181A">
        <w:rPr>
          <w:lang w:val="en-US"/>
        </w:rPr>
        <w:t>Bigby &amp; Beadle-Brown, 2016).</w:t>
      </w:r>
      <w:r w:rsidR="000E61DA" w:rsidRPr="008C181A">
        <w:rPr>
          <w:lang w:val="en-US"/>
        </w:rPr>
        <w:t xml:space="preserve"> </w:t>
      </w:r>
      <w:r w:rsidR="00F6316C" w:rsidRPr="008C181A">
        <w:rPr>
          <w:lang w:val="en-US"/>
        </w:rPr>
        <w:t xml:space="preserve">Such beliefs may </w:t>
      </w:r>
      <w:r w:rsidR="00241D25" w:rsidRPr="008C181A">
        <w:rPr>
          <w:lang w:val="en-US"/>
        </w:rPr>
        <w:t>underlie</w:t>
      </w:r>
      <w:r w:rsidR="00F6316C" w:rsidRPr="008C181A">
        <w:rPr>
          <w:lang w:val="en-US"/>
        </w:rPr>
        <w:t xml:space="preserve"> experiences of inequality between staff and service users characterized by distortions of power and control (Manthorpe &amp; Martineau, 2015).</w:t>
      </w:r>
    </w:p>
    <w:p w14:paraId="62B51282" w14:textId="20EC05A7" w:rsidR="00B62D75" w:rsidRPr="008C181A" w:rsidRDefault="00C910FA" w:rsidP="00B167B8">
      <w:pPr>
        <w:spacing w:after="0" w:line="480" w:lineRule="auto"/>
        <w:ind w:firstLine="720"/>
        <w:rPr>
          <w:lang w:val="en-US"/>
        </w:rPr>
      </w:pPr>
      <w:r w:rsidRPr="008C181A">
        <w:rPr>
          <w:lang w:val="en-US"/>
        </w:rPr>
        <w:t>Organizational</w:t>
      </w:r>
      <w:r w:rsidR="00732D8D" w:rsidRPr="008C181A">
        <w:rPr>
          <w:lang w:val="en-US"/>
        </w:rPr>
        <w:t xml:space="preserve"> risk</w:t>
      </w:r>
      <w:r w:rsidR="004765DB" w:rsidRPr="008C181A">
        <w:rPr>
          <w:lang w:val="en-US"/>
        </w:rPr>
        <w:t xml:space="preserve"> factors</w:t>
      </w:r>
      <w:r w:rsidR="00F00B35" w:rsidRPr="008C181A">
        <w:rPr>
          <w:lang w:val="en-US"/>
        </w:rPr>
        <w:t xml:space="preserve"> associated with a higher risk of abuse within services</w:t>
      </w:r>
      <w:r w:rsidR="004765DB" w:rsidRPr="008C181A">
        <w:rPr>
          <w:lang w:val="en-US"/>
        </w:rPr>
        <w:t xml:space="preserve"> </w:t>
      </w:r>
      <w:r w:rsidR="00E917F4" w:rsidRPr="008C181A">
        <w:rPr>
          <w:lang w:val="en-US"/>
        </w:rPr>
        <w:t>related predominantly to</w:t>
      </w:r>
      <w:r w:rsidR="00F6316C" w:rsidRPr="008C181A">
        <w:rPr>
          <w:lang w:val="en-US"/>
        </w:rPr>
        <w:t xml:space="preserve"> managerial weaknesses,</w:t>
      </w:r>
      <w:r w:rsidR="00E917F4" w:rsidRPr="008C181A">
        <w:rPr>
          <w:lang w:val="en-US"/>
        </w:rPr>
        <w:t xml:space="preserve"> </w:t>
      </w:r>
      <w:r w:rsidR="00F2681E" w:rsidRPr="008C181A">
        <w:rPr>
          <w:lang w:val="en-US"/>
        </w:rPr>
        <w:t>poor</w:t>
      </w:r>
      <w:r w:rsidR="00E917F4" w:rsidRPr="008C181A">
        <w:rPr>
          <w:lang w:val="en-US"/>
        </w:rPr>
        <w:t xml:space="preserve"> </w:t>
      </w:r>
      <w:r w:rsidR="00F2681E" w:rsidRPr="008C181A">
        <w:rPr>
          <w:lang w:val="en-US"/>
        </w:rPr>
        <w:t>implementation of policy</w:t>
      </w:r>
      <w:r w:rsidR="00121CAE" w:rsidRPr="008C181A">
        <w:rPr>
          <w:lang w:val="en-US"/>
        </w:rPr>
        <w:t xml:space="preserve">, </w:t>
      </w:r>
      <w:r w:rsidR="00F2681E" w:rsidRPr="008C181A">
        <w:rPr>
          <w:lang w:val="en-US"/>
        </w:rPr>
        <w:t>and inadequate monitoring of services</w:t>
      </w:r>
      <w:r w:rsidR="00E917F4" w:rsidRPr="008C181A">
        <w:rPr>
          <w:lang w:val="en-US"/>
        </w:rPr>
        <w:t>. Issues concerning inadequate monitoring procedures included</w:t>
      </w:r>
      <w:r w:rsidR="00F6316C" w:rsidRPr="008C181A">
        <w:rPr>
          <w:lang w:val="en-US"/>
        </w:rPr>
        <w:t xml:space="preserve"> </w:t>
      </w:r>
      <w:r w:rsidR="00E917F4" w:rsidRPr="008C181A">
        <w:rPr>
          <w:lang w:val="en-US"/>
        </w:rPr>
        <w:t>a lack of outside monitoring visits and poor monitoring of service users placed out of area</w:t>
      </w:r>
      <w:r w:rsidR="00EA30CA" w:rsidRPr="008C181A">
        <w:rPr>
          <w:lang w:val="en-US"/>
        </w:rPr>
        <w:t xml:space="preserve"> (e.g., Cambridge</w:t>
      </w:r>
      <w:r w:rsidR="009164DA" w:rsidRPr="008C181A">
        <w:rPr>
          <w:lang w:val="en-US"/>
        </w:rPr>
        <w:t xml:space="preserve"> et al.</w:t>
      </w:r>
      <w:r w:rsidR="00EA30CA" w:rsidRPr="008C181A">
        <w:rPr>
          <w:lang w:val="en-US"/>
        </w:rPr>
        <w:t>, 2011</w:t>
      </w:r>
      <w:r w:rsidR="000C340E" w:rsidRPr="008C181A">
        <w:rPr>
          <w:lang w:val="en-US"/>
        </w:rPr>
        <w:t>a</w:t>
      </w:r>
      <w:r w:rsidR="00EA30CA" w:rsidRPr="008C181A">
        <w:rPr>
          <w:lang w:val="en-US"/>
        </w:rPr>
        <w:t>)</w:t>
      </w:r>
      <w:r w:rsidR="00E917F4" w:rsidRPr="008C181A">
        <w:rPr>
          <w:lang w:val="en-US"/>
        </w:rPr>
        <w:t>.</w:t>
      </w:r>
      <w:r w:rsidR="002266B2" w:rsidRPr="008C181A">
        <w:rPr>
          <w:lang w:val="en-US"/>
        </w:rPr>
        <w:t xml:space="preserve"> </w:t>
      </w:r>
      <w:r w:rsidR="00E917F4" w:rsidRPr="008C181A">
        <w:rPr>
          <w:lang w:val="en-US"/>
        </w:rPr>
        <w:t>P</w:t>
      </w:r>
      <w:r w:rsidR="00E8020E" w:rsidRPr="008C181A">
        <w:rPr>
          <w:lang w:val="en-US"/>
        </w:rPr>
        <w:t xml:space="preserve">oor management </w:t>
      </w:r>
      <w:r w:rsidR="00E917F4" w:rsidRPr="008C181A">
        <w:rPr>
          <w:lang w:val="en-US"/>
        </w:rPr>
        <w:t xml:space="preserve">was </w:t>
      </w:r>
      <w:r w:rsidR="00E8020E" w:rsidRPr="008C181A">
        <w:rPr>
          <w:lang w:val="en-US"/>
        </w:rPr>
        <w:t xml:space="preserve">characterized by </w:t>
      </w:r>
      <w:r w:rsidR="00F42DED" w:rsidRPr="008C181A">
        <w:rPr>
          <w:lang w:val="en-US"/>
        </w:rPr>
        <w:t xml:space="preserve">a </w:t>
      </w:r>
      <w:r w:rsidR="002D3746" w:rsidRPr="008C181A">
        <w:rPr>
          <w:lang w:val="en-US"/>
        </w:rPr>
        <w:t xml:space="preserve">lack of </w:t>
      </w:r>
      <w:r w:rsidR="00C73267" w:rsidRPr="008C181A">
        <w:rPr>
          <w:lang w:val="en-US"/>
        </w:rPr>
        <w:t xml:space="preserve">managerial </w:t>
      </w:r>
      <w:r w:rsidR="002D3746" w:rsidRPr="008C181A">
        <w:rPr>
          <w:lang w:val="en-US"/>
        </w:rPr>
        <w:t>supp</w:t>
      </w:r>
      <w:r w:rsidR="007C2D9B" w:rsidRPr="008C181A">
        <w:rPr>
          <w:lang w:val="en-US"/>
        </w:rPr>
        <w:t>o</w:t>
      </w:r>
      <w:r w:rsidR="002D3746" w:rsidRPr="008C181A">
        <w:rPr>
          <w:lang w:val="en-US"/>
        </w:rPr>
        <w:t>rt</w:t>
      </w:r>
      <w:r w:rsidR="00C73267" w:rsidRPr="008C181A">
        <w:rPr>
          <w:lang w:val="en-US"/>
        </w:rPr>
        <w:t xml:space="preserve"> for </w:t>
      </w:r>
      <w:r w:rsidR="000106FA" w:rsidRPr="008C181A">
        <w:rPr>
          <w:lang w:val="en-US"/>
        </w:rPr>
        <w:t xml:space="preserve">front-line </w:t>
      </w:r>
      <w:r w:rsidR="00C73267" w:rsidRPr="008C181A">
        <w:rPr>
          <w:lang w:val="en-US"/>
        </w:rPr>
        <w:t>staff</w:t>
      </w:r>
      <w:r w:rsidR="00F2681E" w:rsidRPr="008C181A">
        <w:rPr>
          <w:lang w:val="en-US"/>
        </w:rPr>
        <w:t>,</w:t>
      </w:r>
      <w:r w:rsidR="002266B2" w:rsidRPr="008C181A">
        <w:rPr>
          <w:lang w:val="en-US"/>
        </w:rPr>
        <w:t xml:space="preserve"> </w:t>
      </w:r>
      <w:r w:rsidR="00FA2549" w:rsidRPr="008C181A">
        <w:rPr>
          <w:lang w:val="en-US"/>
        </w:rPr>
        <w:t>negative relationships between staff and senior colleagues</w:t>
      </w:r>
      <w:r w:rsidR="00F00B35" w:rsidRPr="008C181A">
        <w:rPr>
          <w:lang w:val="en-US"/>
        </w:rPr>
        <w:t xml:space="preserve">, </w:t>
      </w:r>
      <w:r w:rsidR="00BF1D60" w:rsidRPr="008C181A">
        <w:rPr>
          <w:lang w:val="en-US"/>
        </w:rPr>
        <w:t>a need for staff training</w:t>
      </w:r>
      <w:r w:rsidR="00E917F4" w:rsidRPr="008C181A">
        <w:rPr>
          <w:lang w:val="en-US"/>
        </w:rPr>
        <w:t>, resistance to change, barriers to collaborative working (e.g., a lack of team meetings</w:t>
      </w:r>
      <w:r w:rsidR="002266B2" w:rsidRPr="008C181A">
        <w:rPr>
          <w:lang w:val="en-US"/>
        </w:rPr>
        <w:t xml:space="preserve"> and reflective practice</w:t>
      </w:r>
      <w:r w:rsidR="00E917F4" w:rsidRPr="008C181A">
        <w:rPr>
          <w:lang w:val="en-US"/>
        </w:rPr>
        <w:t xml:space="preserve">), </w:t>
      </w:r>
      <w:r w:rsidR="00BF1D60" w:rsidRPr="008C181A">
        <w:rPr>
          <w:lang w:val="en-US"/>
        </w:rPr>
        <w:t xml:space="preserve">and </w:t>
      </w:r>
      <w:r w:rsidR="00E917F4" w:rsidRPr="008C181A">
        <w:rPr>
          <w:lang w:val="en-US"/>
        </w:rPr>
        <w:t>poor communication and/or engagement with the commissioning local authority and parents/carers</w:t>
      </w:r>
      <w:r w:rsidR="00BF1D60" w:rsidRPr="008C181A">
        <w:rPr>
          <w:lang w:val="en-US"/>
        </w:rPr>
        <w:t xml:space="preserve"> (Allington, 1992; Hutchison &amp; Kroese, 2016; Manthorpe &amp; Martineau, 2015). </w:t>
      </w:r>
      <w:r w:rsidR="00BD199D" w:rsidRPr="008C181A">
        <w:rPr>
          <w:lang w:val="en-US"/>
        </w:rPr>
        <w:t>Furthermore, a</w:t>
      </w:r>
      <w:r w:rsidR="00E917F4" w:rsidRPr="008C181A">
        <w:rPr>
          <w:lang w:val="en-US"/>
        </w:rPr>
        <w:t xml:space="preserve"> lack of </w:t>
      </w:r>
      <w:r w:rsidR="00E917F4" w:rsidRPr="008C181A">
        <w:rPr>
          <w:lang w:val="en-US"/>
        </w:rPr>
        <w:lastRenderedPageBreak/>
        <w:t xml:space="preserve">community participation, repeated cancellations of appointments, poor quality care plans, </w:t>
      </w:r>
      <w:r w:rsidR="002266B2" w:rsidRPr="008C181A">
        <w:rPr>
          <w:lang w:val="en-US"/>
        </w:rPr>
        <w:t xml:space="preserve">and </w:t>
      </w:r>
      <w:r w:rsidR="00E917F4" w:rsidRPr="008C181A">
        <w:rPr>
          <w:lang w:val="en-US"/>
        </w:rPr>
        <w:t>isolated or poorly maintained environments</w:t>
      </w:r>
      <w:r w:rsidR="008A1392" w:rsidRPr="008C181A">
        <w:rPr>
          <w:lang w:val="en-US"/>
        </w:rPr>
        <w:t xml:space="preserve"> </w:t>
      </w:r>
      <w:r w:rsidR="00BF1D60" w:rsidRPr="008C181A">
        <w:rPr>
          <w:lang w:val="en-US"/>
        </w:rPr>
        <w:t>also characterized services where abuse had been reported (Bigby &amp; Beadle-Brown, 2016</w:t>
      </w:r>
      <w:r w:rsidR="00756598" w:rsidRPr="008C181A">
        <w:rPr>
          <w:lang w:val="en-US"/>
        </w:rPr>
        <w:t>; Cambridge, 1999; Marsland</w:t>
      </w:r>
      <w:r w:rsidR="009164DA" w:rsidRPr="008C181A">
        <w:rPr>
          <w:lang w:val="en-US"/>
        </w:rPr>
        <w:t xml:space="preserve"> et al.</w:t>
      </w:r>
      <w:r w:rsidR="00756598" w:rsidRPr="008C181A">
        <w:rPr>
          <w:lang w:val="en-US"/>
        </w:rPr>
        <w:t>, 2007</w:t>
      </w:r>
      <w:r w:rsidR="00BF1D60" w:rsidRPr="008C181A">
        <w:rPr>
          <w:lang w:val="en-US"/>
        </w:rPr>
        <w:t xml:space="preserve">). </w:t>
      </w:r>
      <w:r w:rsidR="002266B2" w:rsidRPr="008C181A">
        <w:rPr>
          <w:lang w:val="en-US"/>
        </w:rPr>
        <w:t>Organisations at increased risk of abusive practice showed evidence of</w:t>
      </w:r>
      <w:r w:rsidR="00E917F4" w:rsidRPr="008C181A">
        <w:rPr>
          <w:lang w:val="en-US"/>
        </w:rPr>
        <w:t xml:space="preserve"> poor processes for reporting concerns</w:t>
      </w:r>
      <w:r w:rsidR="002266B2" w:rsidRPr="008C181A">
        <w:rPr>
          <w:lang w:val="en-US"/>
        </w:rPr>
        <w:t xml:space="preserve"> and </w:t>
      </w:r>
      <w:r w:rsidR="00E917F4" w:rsidRPr="008C181A">
        <w:rPr>
          <w:lang w:val="en-US"/>
        </w:rPr>
        <w:t>minimal attempts to implement adult protection polic</w:t>
      </w:r>
      <w:r w:rsidR="002266B2" w:rsidRPr="008C181A">
        <w:rPr>
          <w:lang w:val="en-US"/>
        </w:rPr>
        <w:t>ies. S</w:t>
      </w:r>
      <w:r w:rsidR="00745D32" w:rsidRPr="008C181A">
        <w:rPr>
          <w:lang w:val="en-US"/>
        </w:rPr>
        <w:t>taff</w:t>
      </w:r>
      <w:r w:rsidR="00B06C3E" w:rsidRPr="008C181A">
        <w:rPr>
          <w:lang w:val="en-US"/>
        </w:rPr>
        <w:t xml:space="preserve"> shortages</w:t>
      </w:r>
      <w:r w:rsidR="002266B2" w:rsidRPr="008C181A">
        <w:rPr>
          <w:lang w:val="en-US"/>
        </w:rPr>
        <w:t xml:space="preserve">, </w:t>
      </w:r>
      <w:r w:rsidR="007C7647" w:rsidRPr="008C181A">
        <w:rPr>
          <w:lang w:val="en-US"/>
        </w:rPr>
        <w:t>high staff turnover</w:t>
      </w:r>
      <w:r w:rsidR="002266B2" w:rsidRPr="008C181A">
        <w:rPr>
          <w:lang w:val="en-US"/>
        </w:rPr>
        <w:t>, and poor recruitment strategies further negatively impacted the quality of services and increased the risk of abuse</w:t>
      </w:r>
      <w:r w:rsidR="008A1392" w:rsidRPr="008C181A">
        <w:rPr>
          <w:lang w:val="en-US"/>
        </w:rPr>
        <w:t xml:space="preserve"> (e.g., Manthorpe &amp; Martineau, 2015; Marsland</w:t>
      </w:r>
      <w:r w:rsidR="009164DA" w:rsidRPr="008C181A">
        <w:rPr>
          <w:lang w:val="en-US"/>
        </w:rPr>
        <w:t xml:space="preserve"> et al.</w:t>
      </w:r>
      <w:r w:rsidR="008A1392" w:rsidRPr="008C181A">
        <w:rPr>
          <w:lang w:val="en-US"/>
        </w:rPr>
        <w:t>, 2007; Parley, 2010)</w:t>
      </w:r>
      <w:r w:rsidR="002266B2" w:rsidRPr="008C181A">
        <w:rPr>
          <w:lang w:val="en-US"/>
        </w:rPr>
        <w:t xml:space="preserve">. </w:t>
      </w:r>
    </w:p>
    <w:p w14:paraId="42FA936D" w14:textId="44DA09F8" w:rsidR="002B09BE" w:rsidRPr="008C181A" w:rsidRDefault="00D2731A" w:rsidP="00F108C1">
      <w:pPr>
        <w:spacing w:after="0" w:line="480" w:lineRule="auto"/>
        <w:ind w:firstLine="720"/>
        <w:rPr>
          <w:lang w:val="en-US"/>
        </w:rPr>
      </w:pPr>
      <w:r w:rsidRPr="008C181A">
        <w:rPr>
          <w:lang w:val="en-US"/>
        </w:rPr>
        <w:t xml:space="preserve">Gillett and Kroese (2003), focused on </w:t>
      </w:r>
      <w:r w:rsidR="009D25C8" w:rsidRPr="008C181A">
        <w:rPr>
          <w:lang w:val="en-US"/>
        </w:rPr>
        <w:t xml:space="preserve">the </w:t>
      </w:r>
      <w:r w:rsidRPr="008C181A">
        <w:rPr>
          <w:lang w:val="en-US"/>
        </w:rPr>
        <w:t>quality of life of service-users in low and high performing residential services for people with intellectual disabilities</w:t>
      </w:r>
      <w:r w:rsidR="009D25C8" w:rsidRPr="008C181A">
        <w:rPr>
          <w:lang w:val="en-US"/>
        </w:rPr>
        <w:t xml:space="preserve">. </w:t>
      </w:r>
      <w:r w:rsidR="000D56BE" w:rsidRPr="008C181A">
        <w:rPr>
          <w:lang w:val="en-US"/>
        </w:rPr>
        <w:t>Interesting</w:t>
      </w:r>
      <w:r w:rsidR="000106FA" w:rsidRPr="008C181A">
        <w:rPr>
          <w:lang w:val="en-US"/>
        </w:rPr>
        <w:t>ly</w:t>
      </w:r>
      <w:r w:rsidR="00E93E06" w:rsidRPr="008C181A">
        <w:rPr>
          <w:lang w:val="en-US"/>
        </w:rPr>
        <w:t>,</w:t>
      </w:r>
      <w:r w:rsidR="000D56BE" w:rsidRPr="008C181A">
        <w:rPr>
          <w:lang w:val="en-US"/>
        </w:rPr>
        <w:t xml:space="preserve"> </w:t>
      </w:r>
      <w:r w:rsidR="00241D25" w:rsidRPr="008C181A">
        <w:rPr>
          <w:lang w:val="en-US"/>
        </w:rPr>
        <w:t xml:space="preserve">the </w:t>
      </w:r>
      <w:r w:rsidR="001038A6" w:rsidRPr="008C181A">
        <w:rPr>
          <w:lang w:val="en-US"/>
        </w:rPr>
        <w:t>researchers found</w:t>
      </w:r>
      <w:r w:rsidR="000D56BE" w:rsidRPr="008C181A">
        <w:rPr>
          <w:lang w:val="en-US"/>
        </w:rPr>
        <w:t xml:space="preserve"> no difference in staff turnover or staff absence between the low and high performing service</w:t>
      </w:r>
      <w:r w:rsidR="00241D25" w:rsidRPr="008C181A">
        <w:rPr>
          <w:lang w:val="en-US"/>
        </w:rPr>
        <w:t>, though their sample size was small and this may be the reason for their finding (several factors such as work satisfaction, and job strain have been identified in other literature (e.g., Hatton et al., 2001).</w:t>
      </w:r>
      <w:r w:rsidR="00E93E06" w:rsidRPr="008C181A">
        <w:rPr>
          <w:lang w:val="en-US"/>
        </w:rPr>
        <w:t xml:space="preserve"> </w:t>
      </w:r>
      <w:r w:rsidR="00241D25" w:rsidRPr="008C181A">
        <w:rPr>
          <w:lang w:val="en-US"/>
        </w:rPr>
        <w:t xml:space="preserve">Gillett and Kroese did however discover differences in staff culture between the low and high performing services, with </w:t>
      </w:r>
      <w:r w:rsidRPr="008C181A">
        <w:rPr>
          <w:lang w:val="en-US"/>
        </w:rPr>
        <w:t xml:space="preserve">organizational norms of </w:t>
      </w:r>
      <w:r w:rsidR="00B5376F" w:rsidRPr="008C181A">
        <w:rPr>
          <w:lang w:val="en-US"/>
        </w:rPr>
        <w:t>“</w:t>
      </w:r>
      <w:r w:rsidRPr="008C181A">
        <w:rPr>
          <w:lang w:val="en-US"/>
        </w:rPr>
        <w:t>confrontation and criticism</w:t>
      </w:r>
      <w:r w:rsidR="00B5376F" w:rsidRPr="008C181A">
        <w:rPr>
          <w:lang w:val="en-US"/>
        </w:rPr>
        <w:t>”</w:t>
      </w:r>
      <w:r w:rsidRPr="008C181A">
        <w:rPr>
          <w:lang w:val="en-US"/>
        </w:rPr>
        <w:t xml:space="preserve">, </w:t>
      </w:r>
      <w:r w:rsidR="00B5376F" w:rsidRPr="008C181A">
        <w:rPr>
          <w:lang w:val="en-US"/>
        </w:rPr>
        <w:t>“</w:t>
      </w:r>
      <w:r w:rsidRPr="008C181A">
        <w:rPr>
          <w:lang w:val="en-US"/>
        </w:rPr>
        <w:t>win against others</w:t>
      </w:r>
      <w:r w:rsidR="00B5376F" w:rsidRPr="008C181A">
        <w:rPr>
          <w:lang w:val="en-US"/>
        </w:rPr>
        <w:t>”</w:t>
      </w:r>
      <w:r w:rsidRPr="008C181A">
        <w:rPr>
          <w:lang w:val="en-US"/>
        </w:rPr>
        <w:t xml:space="preserve">, </w:t>
      </w:r>
      <w:r w:rsidR="00B5376F" w:rsidRPr="008C181A">
        <w:rPr>
          <w:lang w:val="en-US"/>
        </w:rPr>
        <w:t>“</w:t>
      </w:r>
      <w:r w:rsidRPr="008C181A">
        <w:rPr>
          <w:lang w:val="en-US"/>
        </w:rPr>
        <w:t>compete rather than co-operate</w:t>
      </w:r>
      <w:r w:rsidR="00B5376F" w:rsidRPr="008C181A">
        <w:rPr>
          <w:lang w:val="en-US"/>
        </w:rPr>
        <w:t>”</w:t>
      </w:r>
      <w:r w:rsidRPr="008C181A">
        <w:rPr>
          <w:lang w:val="en-US"/>
        </w:rPr>
        <w:t xml:space="preserve">, </w:t>
      </w:r>
      <w:r w:rsidR="00B5376F" w:rsidRPr="008C181A">
        <w:rPr>
          <w:lang w:val="en-US"/>
        </w:rPr>
        <w:t>“</w:t>
      </w:r>
      <w:r w:rsidRPr="008C181A">
        <w:rPr>
          <w:lang w:val="en-US"/>
        </w:rPr>
        <w:t>never making a mistake</w:t>
      </w:r>
      <w:r w:rsidR="00B5376F" w:rsidRPr="008C181A">
        <w:rPr>
          <w:lang w:val="en-US"/>
        </w:rPr>
        <w:t>”</w:t>
      </w:r>
      <w:r w:rsidRPr="008C181A">
        <w:rPr>
          <w:lang w:val="en-US"/>
        </w:rPr>
        <w:t xml:space="preserve"> and </w:t>
      </w:r>
      <w:r w:rsidR="00B5376F" w:rsidRPr="008C181A">
        <w:rPr>
          <w:lang w:val="en-US"/>
        </w:rPr>
        <w:t>“</w:t>
      </w:r>
      <w:r w:rsidRPr="008C181A">
        <w:rPr>
          <w:lang w:val="en-US"/>
        </w:rPr>
        <w:t xml:space="preserve">the setting of unrealistically high </w:t>
      </w:r>
      <w:r w:rsidR="001038A6" w:rsidRPr="008C181A">
        <w:rPr>
          <w:lang w:val="en-US"/>
        </w:rPr>
        <w:t>goals” being</w:t>
      </w:r>
      <w:r w:rsidRPr="008C181A">
        <w:rPr>
          <w:lang w:val="en-US"/>
        </w:rPr>
        <w:t xml:space="preserve"> associated with the lower performing service.</w:t>
      </w:r>
      <w:r w:rsidR="009D25C8" w:rsidRPr="008C181A">
        <w:rPr>
          <w:lang w:val="en-US"/>
        </w:rPr>
        <w:t xml:space="preserve"> </w:t>
      </w:r>
      <w:r w:rsidR="0006134A" w:rsidRPr="008C181A">
        <w:rPr>
          <w:lang w:val="en-US"/>
        </w:rPr>
        <w:t xml:space="preserve">More recent research suggests organizational </w:t>
      </w:r>
      <w:r w:rsidR="00B5376F" w:rsidRPr="008C181A">
        <w:rPr>
          <w:lang w:val="en-US"/>
        </w:rPr>
        <w:t xml:space="preserve">risk factors </w:t>
      </w:r>
      <w:r w:rsidR="0006134A" w:rsidRPr="008C181A">
        <w:rPr>
          <w:lang w:val="en-US"/>
        </w:rPr>
        <w:t xml:space="preserve">and </w:t>
      </w:r>
      <w:r w:rsidR="00B5376F" w:rsidRPr="008C181A">
        <w:rPr>
          <w:lang w:val="en-US"/>
        </w:rPr>
        <w:t>norms</w:t>
      </w:r>
      <w:r w:rsidR="0006134A" w:rsidRPr="008C181A">
        <w:rPr>
          <w:lang w:val="en-US"/>
        </w:rPr>
        <w:t xml:space="preserve"> can</w:t>
      </w:r>
      <w:r w:rsidR="00B5376F" w:rsidRPr="008C181A">
        <w:rPr>
          <w:lang w:val="en-US"/>
        </w:rPr>
        <w:t xml:space="preserve"> create a </w:t>
      </w:r>
      <w:r w:rsidR="009D25C8" w:rsidRPr="008C181A">
        <w:rPr>
          <w:lang w:val="en-US"/>
        </w:rPr>
        <w:t>culture of abuse</w:t>
      </w:r>
      <w:r w:rsidR="0006134A" w:rsidRPr="008C181A">
        <w:rPr>
          <w:lang w:val="en-US"/>
        </w:rPr>
        <w:t xml:space="preserve"> characterized by</w:t>
      </w:r>
      <w:r w:rsidR="009D25C8" w:rsidRPr="008C181A">
        <w:rPr>
          <w:lang w:val="en-US"/>
        </w:rPr>
        <w:t xml:space="preserve"> the absence of caring values,</w:t>
      </w:r>
      <w:r w:rsidR="00DA4FC3" w:rsidRPr="008C181A">
        <w:rPr>
          <w:lang w:val="en-US"/>
        </w:rPr>
        <w:t xml:space="preserve"> service</w:t>
      </w:r>
      <w:r w:rsidR="009D25C8" w:rsidRPr="008C181A">
        <w:rPr>
          <w:lang w:val="en-US"/>
        </w:rPr>
        <w:t xml:space="preserve"> isolation, ineffective staff supervision, intimidation, </w:t>
      </w:r>
      <w:r w:rsidR="00F15EEC" w:rsidRPr="008C181A">
        <w:rPr>
          <w:lang w:val="en-US"/>
        </w:rPr>
        <w:t xml:space="preserve">a </w:t>
      </w:r>
      <w:r w:rsidR="009D25C8" w:rsidRPr="008C181A">
        <w:rPr>
          <w:lang w:val="en-US"/>
        </w:rPr>
        <w:t xml:space="preserve">punishing regime, institutionalized practice, inexperience, anti-professionalism, barriers to disclosure, poor support for whistleblowers, deficiencies in service audits, </w:t>
      </w:r>
      <w:r w:rsidR="00B5376F" w:rsidRPr="008C181A">
        <w:rPr>
          <w:lang w:val="en-US"/>
        </w:rPr>
        <w:t xml:space="preserve">staff collusion, </w:t>
      </w:r>
      <w:r w:rsidR="009D25C8" w:rsidRPr="008C181A">
        <w:rPr>
          <w:lang w:val="en-US"/>
        </w:rPr>
        <w:t xml:space="preserve">poor inter-professional communication, poor recognition of staff skills, lack of clarity in care management, difficulties in market management and </w:t>
      </w:r>
      <w:r w:rsidR="00DA4FC3" w:rsidRPr="008C181A">
        <w:rPr>
          <w:lang w:val="en-US"/>
        </w:rPr>
        <w:t xml:space="preserve">poor </w:t>
      </w:r>
      <w:r w:rsidR="009D25C8" w:rsidRPr="008C181A">
        <w:rPr>
          <w:lang w:val="en-US"/>
        </w:rPr>
        <w:t xml:space="preserve">service satisfaction (Cambridge, 1999; </w:t>
      </w:r>
      <w:r w:rsidR="00241D25" w:rsidRPr="008C181A">
        <w:rPr>
          <w:lang w:val="en-US"/>
        </w:rPr>
        <w:t xml:space="preserve">Humphreys et al., 2020; </w:t>
      </w:r>
      <w:r w:rsidR="009D25C8" w:rsidRPr="008C181A">
        <w:rPr>
          <w:lang w:val="en-US"/>
        </w:rPr>
        <w:t>Marsland</w:t>
      </w:r>
      <w:r w:rsidR="009164DA" w:rsidRPr="008C181A">
        <w:rPr>
          <w:lang w:val="en-US"/>
        </w:rPr>
        <w:t xml:space="preserve"> et al.</w:t>
      </w:r>
      <w:r w:rsidR="009D25C8" w:rsidRPr="008C181A">
        <w:rPr>
          <w:lang w:val="en-US"/>
        </w:rPr>
        <w:t>, 2007</w:t>
      </w:r>
      <w:r w:rsidR="00B5376F" w:rsidRPr="008C181A">
        <w:rPr>
          <w:lang w:val="en-US"/>
        </w:rPr>
        <w:t>; Rytterström</w:t>
      </w:r>
      <w:r w:rsidR="009164DA" w:rsidRPr="008C181A">
        <w:rPr>
          <w:lang w:val="en-US"/>
        </w:rPr>
        <w:t xml:space="preserve"> et al.</w:t>
      </w:r>
      <w:r w:rsidR="00B5376F" w:rsidRPr="008C181A">
        <w:rPr>
          <w:lang w:val="en-US"/>
        </w:rPr>
        <w:t>, 2013; Taylor &amp; Dodd, 2003</w:t>
      </w:r>
      <w:r w:rsidR="009D25C8" w:rsidRPr="008C181A">
        <w:rPr>
          <w:lang w:val="en-US"/>
        </w:rPr>
        <w:t xml:space="preserve">). </w:t>
      </w:r>
    </w:p>
    <w:p w14:paraId="05E097FF" w14:textId="77777777" w:rsidR="00B5376F" w:rsidRPr="008C181A" w:rsidRDefault="00B5376F" w:rsidP="00B167B8">
      <w:pPr>
        <w:spacing w:after="0" w:line="480" w:lineRule="auto"/>
        <w:rPr>
          <w:b/>
          <w:bCs/>
          <w:i/>
          <w:iCs/>
          <w:lang w:val="en-US"/>
        </w:rPr>
      </w:pPr>
    </w:p>
    <w:p w14:paraId="43A57732" w14:textId="3803D3C9" w:rsidR="00940A51" w:rsidRPr="008C181A" w:rsidRDefault="00B5376F" w:rsidP="00B167B8">
      <w:pPr>
        <w:spacing w:after="0" w:line="480" w:lineRule="auto"/>
        <w:rPr>
          <w:b/>
          <w:bCs/>
          <w:lang w:val="en-US"/>
        </w:rPr>
      </w:pPr>
      <w:r w:rsidRPr="008C181A">
        <w:rPr>
          <w:b/>
          <w:bCs/>
          <w:lang w:val="en-US"/>
        </w:rPr>
        <w:t>P</w:t>
      </w:r>
      <w:r w:rsidR="00940A51" w:rsidRPr="008C181A">
        <w:rPr>
          <w:b/>
          <w:bCs/>
          <w:lang w:val="en-US"/>
        </w:rPr>
        <w:t>rotective factors</w:t>
      </w:r>
    </w:p>
    <w:p w14:paraId="68EC22ED" w14:textId="6F0B28E8" w:rsidR="001C1E18" w:rsidRPr="008C181A" w:rsidRDefault="001C1E18" w:rsidP="00B167B8">
      <w:pPr>
        <w:spacing w:after="0" w:line="480" w:lineRule="auto"/>
        <w:ind w:firstLine="720"/>
        <w:rPr>
          <w:lang w:val="en-US"/>
        </w:rPr>
      </w:pPr>
      <w:r w:rsidRPr="008C181A">
        <w:rPr>
          <w:lang w:val="en-US"/>
        </w:rPr>
        <w:lastRenderedPageBreak/>
        <w:t>Authors of</w:t>
      </w:r>
      <w:r w:rsidR="00C438B3" w:rsidRPr="008C181A">
        <w:rPr>
          <w:lang w:val="en-US"/>
        </w:rPr>
        <w:t xml:space="preserve"> </w:t>
      </w:r>
      <w:r w:rsidR="00FA17C6" w:rsidRPr="008C181A">
        <w:rPr>
          <w:lang w:val="en-US"/>
        </w:rPr>
        <w:t>1</w:t>
      </w:r>
      <w:r w:rsidR="00F004C6" w:rsidRPr="008C181A">
        <w:rPr>
          <w:lang w:val="en-US"/>
        </w:rPr>
        <w:t>3</w:t>
      </w:r>
      <w:r w:rsidRPr="008C181A">
        <w:rPr>
          <w:lang w:val="en-US"/>
        </w:rPr>
        <w:t xml:space="preserve"> of the </w:t>
      </w:r>
      <w:r w:rsidR="00B525D2" w:rsidRPr="008C181A">
        <w:rPr>
          <w:lang w:val="en-US"/>
        </w:rPr>
        <w:t>4</w:t>
      </w:r>
      <w:r w:rsidR="00FA17C6" w:rsidRPr="008C181A">
        <w:rPr>
          <w:lang w:val="en-US"/>
        </w:rPr>
        <w:t>8</w:t>
      </w:r>
      <w:r w:rsidRPr="008C181A">
        <w:rPr>
          <w:lang w:val="en-US"/>
        </w:rPr>
        <w:t xml:space="preserve"> studies reported on factors </w:t>
      </w:r>
      <w:r w:rsidR="0013310C" w:rsidRPr="008C181A">
        <w:rPr>
          <w:lang w:val="en-US"/>
        </w:rPr>
        <w:t>that protected against the</w:t>
      </w:r>
      <w:r w:rsidRPr="008C181A">
        <w:rPr>
          <w:lang w:val="en-US"/>
        </w:rPr>
        <w:t xml:space="preserve"> abuse </w:t>
      </w:r>
      <w:r w:rsidR="0013310C" w:rsidRPr="008C181A">
        <w:rPr>
          <w:lang w:val="en-US"/>
        </w:rPr>
        <w:t xml:space="preserve">of adults with </w:t>
      </w:r>
      <w:r w:rsidR="00FA17C6" w:rsidRPr="008C181A">
        <w:rPr>
          <w:lang w:val="en-US"/>
        </w:rPr>
        <w:t>intellectual and other developmental disabilities</w:t>
      </w:r>
      <w:r w:rsidR="00F10B86" w:rsidRPr="008C181A">
        <w:rPr>
          <w:lang w:val="en-US"/>
        </w:rPr>
        <w:t xml:space="preserve"> </w:t>
      </w:r>
      <w:r w:rsidRPr="008C181A">
        <w:rPr>
          <w:lang w:val="en-US"/>
        </w:rPr>
        <w:t>within services. Protective factors included</w:t>
      </w:r>
      <w:r w:rsidR="00AB03AB" w:rsidRPr="008C181A">
        <w:rPr>
          <w:lang w:val="en-US"/>
        </w:rPr>
        <w:t xml:space="preserve"> </w:t>
      </w:r>
      <w:r w:rsidR="0013310C" w:rsidRPr="008C181A">
        <w:rPr>
          <w:lang w:val="en-US"/>
        </w:rPr>
        <w:t xml:space="preserve">the </w:t>
      </w:r>
      <w:r w:rsidR="00FA17C6" w:rsidRPr="008C181A">
        <w:rPr>
          <w:lang w:val="en-US"/>
        </w:rPr>
        <w:t xml:space="preserve">service-users </w:t>
      </w:r>
      <w:r w:rsidR="00AB03AB" w:rsidRPr="008C181A">
        <w:rPr>
          <w:lang w:val="en-US"/>
        </w:rPr>
        <w:t>characteristics</w:t>
      </w:r>
      <w:r w:rsidR="00EB49DB" w:rsidRPr="008C181A">
        <w:rPr>
          <w:lang w:val="en-US"/>
        </w:rPr>
        <w:t>,</w:t>
      </w:r>
      <w:r w:rsidR="00AB03AB" w:rsidRPr="008C181A">
        <w:rPr>
          <w:lang w:val="en-US"/>
        </w:rPr>
        <w:t xml:space="preserve"> </w:t>
      </w:r>
      <w:r w:rsidR="0013310C" w:rsidRPr="008C181A">
        <w:rPr>
          <w:lang w:val="en-US"/>
        </w:rPr>
        <w:t>the characteristics of staff</w:t>
      </w:r>
      <w:r w:rsidR="00C438B3" w:rsidRPr="008C181A">
        <w:rPr>
          <w:lang w:val="en-US"/>
        </w:rPr>
        <w:t xml:space="preserve">, </w:t>
      </w:r>
      <w:r w:rsidR="0013310C" w:rsidRPr="008C181A">
        <w:rPr>
          <w:lang w:val="en-US"/>
        </w:rPr>
        <w:t xml:space="preserve">and </w:t>
      </w:r>
      <w:r w:rsidR="00AB03AB" w:rsidRPr="008C181A">
        <w:rPr>
          <w:lang w:val="en-US"/>
        </w:rPr>
        <w:t>organizational factors</w:t>
      </w:r>
      <w:r w:rsidR="0013310C" w:rsidRPr="008C181A">
        <w:rPr>
          <w:lang w:val="en-US"/>
        </w:rPr>
        <w:t>.</w:t>
      </w:r>
    </w:p>
    <w:p w14:paraId="3C8E0A0E" w14:textId="76442547" w:rsidR="00AB03AB" w:rsidRPr="008C181A" w:rsidRDefault="00FB3EAF" w:rsidP="00B167B8">
      <w:pPr>
        <w:spacing w:after="0" w:line="480" w:lineRule="auto"/>
        <w:ind w:firstLine="720"/>
        <w:rPr>
          <w:lang w:val="en-US"/>
        </w:rPr>
      </w:pPr>
      <w:r w:rsidRPr="008C181A">
        <w:rPr>
          <w:lang w:val="en-US"/>
        </w:rPr>
        <w:t>Protective c</w:t>
      </w:r>
      <w:r w:rsidR="00AB03AB" w:rsidRPr="008C181A">
        <w:rPr>
          <w:lang w:val="en-US"/>
        </w:rPr>
        <w:t xml:space="preserve">haracteristics of </w:t>
      </w:r>
      <w:r w:rsidR="00FA17C6" w:rsidRPr="008C181A">
        <w:rPr>
          <w:lang w:val="en-US"/>
        </w:rPr>
        <w:t xml:space="preserve">service-users </w:t>
      </w:r>
      <w:r w:rsidR="00AB03AB" w:rsidRPr="008C181A">
        <w:rPr>
          <w:lang w:val="en-US"/>
        </w:rPr>
        <w:t>included</w:t>
      </w:r>
      <w:r w:rsidR="00F15EEC" w:rsidRPr="008C181A">
        <w:rPr>
          <w:lang w:val="en-US"/>
        </w:rPr>
        <w:t xml:space="preserve"> </w:t>
      </w:r>
      <w:r w:rsidR="00B62D75" w:rsidRPr="008C181A">
        <w:rPr>
          <w:lang w:val="en-US"/>
        </w:rPr>
        <w:t>an</w:t>
      </w:r>
      <w:r w:rsidR="0013310C" w:rsidRPr="008C181A">
        <w:rPr>
          <w:lang w:val="en-US"/>
        </w:rPr>
        <w:t xml:space="preserve"> ability to report information</w:t>
      </w:r>
      <w:r w:rsidR="00B62D75" w:rsidRPr="008C181A">
        <w:rPr>
          <w:lang w:val="en-US"/>
        </w:rPr>
        <w:t xml:space="preserve"> (i.e., communication skills)</w:t>
      </w:r>
      <w:r w:rsidR="0013310C" w:rsidRPr="008C181A">
        <w:rPr>
          <w:lang w:val="en-US"/>
        </w:rPr>
        <w:t>,</w:t>
      </w:r>
      <w:r w:rsidR="00AB03AB" w:rsidRPr="008C181A">
        <w:rPr>
          <w:lang w:val="en-US"/>
        </w:rPr>
        <w:t xml:space="preserve"> knowledge of their right not to be violated, control over their own safeguarding (i.e., knowledge of </w:t>
      </w:r>
      <w:r w:rsidR="00EB49DB" w:rsidRPr="008C181A">
        <w:rPr>
          <w:lang w:val="en-US"/>
        </w:rPr>
        <w:t>how to</w:t>
      </w:r>
      <w:r w:rsidR="00AB03AB" w:rsidRPr="008C181A">
        <w:rPr>
          <w:lang w:val="en-US"/>
        </w:rPr>
        <w:t xml:space="preserve"> self-report a safeguarding concern), an understanding of social relationships, good coping strategies, and assertiveness skills (</w:t>
      </w:r>
      <w:r w:rsidR="0013310C" w:rsidRPr="008C181A">
        <w:rPr>
          <w:lang w:val="en-US"/>
        </w:rPr>
        <w:t xml:space="preserve">Ahlgrim-Delzell &amp; Dudley, 2001; </w:t>
      </w:r>
      <w:r w:rsidR="00AB03AB" w:rsidRPr="008C181A">
        <w:rPr>
          <w:lang w:val="en-US"/>
        </w:rPr>
        <w:t xml:space="preserve">Hollomotz, 2012). </w:t>
      </w:r>
    </w:p>
    <w:p w14:paraId="06A2EE67" w14:textId="3B432A7E" w:rsidR="00D54540" w:rsidRPr="008C181A" w:rsidRDefault="00D54540" w:rsidP="00B167B8">
      <w:pPr>
        <w:spacing w:after="0" w:line="480" w:lineRule="auto"/>
        <w:ind w:firstLine="720"/>
        <w:rPr>
          <w:highlight w:val="yellow"/>
          <w:lang w:val="en-US"/>
        </w:rPr>
      </w:pPr>
      <w:r w:rsidRPr="008C181A">
        <w:rPr>
          <w:lang w:val="en-US"/>
        </w:rPr>
        <w:t>Protective factors related to the characteristics of staff included: positive attitudes towards residents, acknowledgment and attendance to difference, recognition and respect for service-user preferences,</w:t>
      </w:r>
      <w:r w:rsidR="004C0B63" w:rsidRPr="008C181A">
        <w:rPr>
          <w:lang w:val="en-US"/>
        </w:rPr>
        <w:t xml:space="preserve"> </w:t>
      </w:r>
      <w:r w:rsidRPr="008C181A">
        <w:rPr>
          <w:lang w:val="en-US"/>
        </w:rPr>
        <w:t>intrinsic motivat</w:t>
      </w:r>
      <w:r w:rsidR="00FA17C6" w:rsidRPr="008C181A">
        <w:rPr>
          <w:lang w:val="en-US"/>
        </w:rPr>
        <w:t>ion</w:t>
      </w:r>
      <w:r w:rsidRPr="008C181A">
        <w:rPr>
          <w:lang w:val="en-US"/>
        </w:rPr>
        <w:t xml:space="preserve">, </w:t>
      </w:r>
      <w:r w:rsidR="00FA17C6" w:rsidRPr="008C181A">
        <w:rPr>
          <w:lang w:val="en-US"/>
        </w:rPr>
        <w:t xml:space="preserve">confidence to challenge bad practice, </w:t>
      </w:r>
      <w:r w:rsidR="004C0B63" w:rsidRPr="008C181A">
        <w:rPr>
          <w:lang w:val="en-US"/>
        </w:rPr>
        <w:t xml:space="preserve">and </w:t>
      </w:r>
      <w:r w:rsidR="00FA17C6" w:rsidRPr="008C181A">
        <w:rPr>
          <w:lang w:val="en-US"/>
        </w:rPr>
        <w:t xml:space="preserve">having a </w:t>
      </w:r>
      <w:r w:rsidR="001038A6" w:rsidRPr="008C181A">
        <w:rPr>
          <w:lang w:val="en-US"/>
        </w:rPr>
        <w:t>positive relationship</w:t>
      </w:r>
      <w:r w:rsidRPr="008C181A">
        <w:rPr>
          <w:lang w:val="en-US"/>
        </w:rPr>
        <w:t xml:space="preserve"> with senior colleagues</w:t>
      </w:r>
      <w:r w:rsidR="00E93E06" w:rsidRPr="008C181A">
        <w:rPr>
          <w:lang w:val="en-US"/>
        </w:rPr>
        <w:t>,</w:t>
      </w:r>
      <w:r w:rsidRPr="008C181A">
        <w:rPr>
          <w:lang w:val="en-US"/>
        </w:rPr>
        <w:t xml:space="preserve"> whereby </w:t>
      </w:r>
      <w:r w:rsidR="00FA17C6" w:rsidRPr="008C181A">
        <w:rPr>
          <w:lang w:val="en-US"/>
        </w:rPr>
        <w:t>staff fe</w:t>
      </w:r>
      <w:r w:rsidR="00DA4FC3" w:rsidRPr="008C181A">
        <w:rPr>
          <w:lang w:val="en-US"/>
        </w:rPr>
        <w:t>lt</w:t>
      </w:r>
      <w:r w:rsidRPr="008C181A">
        <w:rPr>
          <w:lang w:val="en-US"/>
        </w:rPr>
        <w:t xml:space="preserve"> listened to and valued (</w:t>
      </w:r>
      <w:r w:rsidR="007B77CA" w:rsidRPr="008C181A">
        <w:rPr>
          <w:lang w:val="en-US"/>
        </w:rPr>
        <w:t>Bigby</w:t>
      </w:r>
      <w:r w:rsidR="009164DA" w:rsidRPr="008C181A">
        <w:rPr>
          <w:lang w:val="en-US"/>
        </w:rPr>
        <w:t xml:space="preserve"> et al., </w:t>
      </w:r>
      <w:r w:rsidR="007B77CA" w:rsidRPr="008C181A">
        <w:rPr>
          <w:lang w:val="en-US"/>
        </w:rPr>
        <w:t xml:space="preserve">2012; </w:t>
      </w:r>
      <w:r w:rsidRPr="008C181A">
        <w:rPr>
          <w:lang w:val="en-US"/>
        </w:rPr>
        <w:t xml:space="preserve">Bigby &amp; Beadle-Brown, 2016; </w:t>
      </w:r>
      <w:r w:rsidR="00FA17C6" w:rsidRPr="008C181A">
        <w:rPr>
          <w:lang w:val="en-US"/>
        </w:rPr>
        <w:t xml:space="preserve">Calcraft, 2007; Gillett &amp; Kroese, 2003; </w:t>
      </w:r>
      <w:r w:rsidRPr="008C181A">
        <w:rPr>
          <w:lang w:val="en-US"/>
        </w:rPr>
        <w:t>Hutchison &amp; Kroese, 2016)</w:t>
      </w:r>
      <w:r w:rsidR="001B6EBC" w:rsidRPr="008C181A">
        <w:rPr>
          <w:lang w:val="en-US"/>
        </w:rPr>
        <w:t xml:space="preserve">. </w:t>
      </w:r>
      <w:r w:rsidR="00A34DB4" w:rsidRPr="008C181A">
        <w:rPr>
          <w:lang w:val="en-US"/>
        </w:rPr>
        <w:t xml:space="preserve">McCartney &amp; Campbell (1998) reported greater percentages of perpetrating staff in the ‘newer’ staff category (i.e., employed for no longer than one year) and fewer in the long-term staff category (employed for over five years) in comparison to a random sample of direct care staff. </w:t>
      </w:r>
      <w:r w:rsidR="00495ECB" w:rsidRPr="008C181A">
        <w:rPr>
          <w:lang w:val="en-US"/>
        </w:rPr>
        <w:t>Interestingly,</w:t>
      </w:r>
      <w:r w:rsidR="00DA4FC3" w:rsidRPr="008C181A">
        <w:rPr>
          <w:lang w:val="en-US"/>
        </w:rPr>
        <w:t xml:space="preserve"> some</w:t>
      </w:r>
      <w:r w:rsidR="00495ECB" w:rsidRPr="008C181A">
        <w:rPr>
          <w:lang w:val="en-US"/>
        </w:rPr>
        <w:t xml:space="preserve"> r</w:t>
      </w:r>
      <w:r w:rsidR="00A34DB4" w:rsidRPr="008C181A">
        <w:rPr>
          <w:lang w:val="en-US"/>
        </w:rPr>
        <w:t xml:space="preserve">esearchers also reported </w:t>
      </w:r>
      <w:r w:rsidR="00495ECB" w:rsidRPr="008C181A">
        <w:rPr>
          <w:lang w:val="en-US"/>
        </w:rPr>
        <w:t>that</w:t>
      </w:r>
      <w:r w:rsidR="00DA4FC3" w:rsidRPr="008C181A">
        <w:rPr>
          <w:lang w:val="en-US"/>
        </w:rPr>
        <w:t xml:space="preserve"> newer staff more often</w:t>
      </w:r>
      <w:r w:rsidR="001B6EBC" w:rsidRPr="008C181A">
        <w:rPr>
          <w:lang w:val="en-US"/>
        </w:rPr>
        <w:t xml:space="preserve"> </w:t>
      </w:r>
      <w:r w:rsidR="00495ECB" w:rsidRPr="008C181A">
        <w:rPr>
          <w:lang w:val="en-US"/>
        </w:rPr>
        <w:t>reported abuse. These</w:t>
      </w:r>
      <w:r w:rsidR="00DA4FC3" w:rsidRPr="008C181A">
        <w:rPr>
          <w:lang w:val="en-US"/>
        </w:rPr>
        <w:t xml:space="preserve"> apparently contradictory</w:t>
      </w:r>
      <w:r w:rsidR="00495ECB" w:rsidRPr="008C181A">
        <w:rPr>
          <w:lang w:val="en-US"/>
        </w:rPr>
        <w:t xml:space="preserve"> findings require further exploration.</w:t>
      </w:r>
    </w:p>
    <w:p w14:paraId="3AE85739" w14:textId="43570408" w:rsidR="008342FE" w:rsidRPr="008C181A" w:rsidRDefault="00FB3EAF" w:rsidP="00B167B8">
      <w:pPr>
        <w:spacing w:after="0" w:line="480" w:lineRule="auto"/>
        <w:ind w:firstLine="720"/>
        <w:rPr>
          <w:lang w:val="en-US"/>
        </w:rPr>
      </w:pPr>
      <w:r w:rsidRPr="008C181A">
        <w:rPr>
          <w:lang w:val="en-US"/>
        </w:rPr>
        <w:t>Protective o</w:t>
      </w:r>
      <w:r w:rsidR="00D50B0A" w:rsidRPr="008C181A">
        <w:rPr>
          <w:lang w:val="en-US"/>
        </w:rPr>
        <w:t>rganizational</w:t>
      </w:r>
      <w:r w:rsidR="00AB03AB" w:rsidRPr="008C181A">
        <w:rPr>
          <w:lang w:val="en-US"/>
        </w:rPr>
        <w:t xml:space="preserve"> factors included</w:t>
      </w:r>
      <w:r w:rsidR="00F15EEC" w:rsidRPr="008C181A">
        <w:rPr>
          <w:lang w:val="en-US"/>
        </w:rPr>
        <w:t xml:space="preserve"> the </w:t>
      </w:r>
      <w:r w:rsidR="008342FE" w:rsidRPr="008C181A">
        <w:rPr>
          <w:lang w:val="en-US"/>
        </w:rPr>
        <w:t>clear leadership</w:t>
      </w:r>
      <w:r w:rsidR="00F15EEC" w:rsidRPr="008C181A">
        <w:rPr>
          <w:lang w:val="en-US"/>
        </w:rPr>
        <w:t xml:space="preserve"> of </w:t>
      </w:r>
      <w:r w:rsidR="004C0B63" w:rsidRPr="008C181A">
        <w:rPr>
          <w:lang w:val="en-US"/>
        </w:rPr>
        <w:t xml:space="preserve">a manager </w:t>
      </w:r>
      <w:r w:rsidR="0013310C" w:rsidRPr="008C181A">
        <w:rPr>
          <w:lang w:val="en-US"/>
        </w:rPr>
        <w:t xml:space="preserve">whose values </w:t>
      </w:r>
      <w:r w:rsidR="005700F6" w:rsidRPr="008C181A">
        <w:rPr>
          <w:lang w:val="en-US"/>
        </w:rPr>
        <w:t>were</w:t>
      </w:r>
      <w:r w:rsidR="0013310C" w:rsidRPr="008C181A">
        <w:rPr>
          <w:lang w:val="en-US"/>
        </w:rPr>
        <w:t xml:space="preserve"> aligned with those of other staff and the </w:t>
      </w:r>
      <w:r w:rsidR="00F166E8" w:rsidRPr="008C181A">
        <w:rPr>
          <w:lang w:val="en-US"/>
        </w:rPr>
        <w:t>organization</w:t>
      </w:r>
      <w:r w:rsidR="00E720B7" w:rsidRPr="008C181A">
        <w:rPr>
          <w:lang w:val="en-US"/>
        </w:rPr>
        <w:t>. Other protective factors included</w:t>
      </w:r>
      <w:r w:rsidR="00AB03AB" w:rsidRPr="008C181A">
        <w:rPr>
          <w:lang w:val="en-US"/>
        </w:rPr>
        <w:t xml:space="preserve"> </w:t>
      </w:r>
      <w:r w:rsidR="004C0B63" w:rsidRPr="008C181A">
        <w:rPr>
          <w:lang w:val="en-US"/>
        </w:rPr>
        <w:t xml:space="preserve">clear </w:t>
      </w:r>
      <w:r w:rsidR="008342FE" w:rsidRPr="008C181A">
        <w:rPr>
          <w:lang w:val="en-US"/>
        </w:rPr>
        <w:t>guidance at work</w:t>
      </w:r>
      <w:r w:rsidR="00F15EEC" w:rsidRPr="008C181A">
        <w:rPr>
          <w:lang w:val="en-US"/>
        </w:rPr>
        <w:t>,</w:t>
      </w:r>
      <w:r w:rsidR="00D54540" w:rsidRPr="008C181A">
        <w:rPr>
          <w:lang w:val="en-US"/>
        </w:rPr>
        <w:t xml:space="preserve"> supervisors who worked alongside staff (e.g., modelling, monitoring and correcting practice)</w:t>
      </w:r>
      <w:r w:rsidR="00F15EEC" w:rsidRPr="008C181A">
        <w:rPr>
          <w:lang w:val="en-US"/>
        </w:rPr>
        <w:t>,</w:t>
      </w:r>
      <w:r w:rsidR="00AB03AB" w:rsidRPr="008C181A">
        <w:rPr>
          <w:lang w:val="en-US"/>
        </w:rPr>
        <w:t xml:space="preserve"> </w:t>
      </w:r>
      <w:r w:rsidR="00D17B5C" w:rsidRPr="008C181A">
        <w:rPr>
          <w:lang w:val="en-US"/>
        </w:rPr>
        <w:t>good communication</w:t>
      </w:r>
      <w:r w:rsidR="00E720B7" w:rsidRPr="008C181A">
        <w:rPr>
          <w:lang w:val="en-US"/>
        </w:rPr>
        <w:t>,</w:t>
      </w:r>
      <w:r w:rsidR="00D17B5C" w:rsidRPr="008C181A">
        <w:rPr>
          <w:lang w:val="en-US"/>
        </w:rPr>
        <w:t xml:space="preserve"> shared decision making</w:t>
      </w:r>
      <w:r w:rsidR="00E720B7" w:rsidRPr="008C181A">
        <w:rPr>
          <w:lang w:val="en-US"/>
        </w:rPr>
        <w:t>,</w:t>
      </w:r>
      <w:r w:rsidR="00D17B5C" w:rsidRPr="008C181A">
        <w:rPr>
          <w:lang w:val="en-US"/>
        </w:rPr>
        <w:t xml:space="preserve"> the embracing of new ideas and</w:t>
      </w:r>
      <w:r w:rsidR="005700F6" w:rsidRPr="008C181A">
        <w:rPr>
          <w:lang w:val="en-US"/>
        </w:rPr>
        <w:t xml:space="preserve"> external visitors</w:t>
      </w:r>
      <w:r w:rsidR="00E720B7" w:rsidRPr="008C181A">
        <w:rPr>
          <w:lang w:val="en-US"/>
        </w:rPr>
        <w:t>,</w:t>
      </w:r>
      <w:r w:rsidR="00D17B5C" w:rsidRPr="008C181A">
        <w:rPr>
          <w:lang w:val="en-US"/>
        </w:rPr>
        <w:t xml:space="preserve"> </w:t>
      </w:r>
      <w:r w:rsidR="00AB03AB" w:rsidRPr="008C181A">
        <w:rPr>
          <w:lang w:val="en-US"/>
        </w:rPr>
        <w:t>good connections with the community</w:t>
      </w:r>
      <w:r w:rsidR="00E720B7" w:rsidRPr="008C181A">
        <w:rPr>
          <w:lang w:val="en-US"/>
        </w:rPr>
        <w:t>,</w:t>
      </w:r>
      <w:r w:rsidR="00AB03AB" w:rsidRPr="008C181A">
        <w:rPr>
          <w:lang w:val="en-US"/>
        </w:rPr>
        <w:t xml:space="preserve"> </w:t>
      </w:r>
      <w:r w:rsidR="00D54540" w:rsidRPr="008C181A">
        <w:rPr>
          <w:lang w:val="en-US"/>
        </w:rPr>
        <w:t xml:space="preserve">good relations with </w:t>
      </w:r>
      <w:r w:rsidR="005700F6" w:rsidRPr="008C181A">
        <w:rPr>
          <w:lang w:val="en-US"/>
        </w:rPr>
        <w:t xml:space="preserve">the </w:t>
      </w:r>
      <w:r w:rsidR="00D54540" w:rsidRPr="008C181A">
        <w:rPr>
          <w:lang w:val="en-US"/>
        </w:rPr>
        <w:t>safeguarding team</w:t>
      </w:r>
      <w:r w:rsidR="00E720B7" w:rsidRPr="008C181A">
        <w:rPr>
          <w:lang w:val="en-US"/>
        </w:rPr>
        <w:t>,</w:t>
      </w:r>
      <w:r w:rsidR="00D54540" w:rsidRPr="008C181A">
        <w:rPr>
          <w:lang w:val="en-US"/>
        </w:rPr>
        <w:t xml:space="preserve"> </w:t>
      </w:r>
      <w:r w:rsidR="00D17B5C" w:rsidRPr="008C181A">
        <w:rPr>
          <w:lang w:val="en-US"/>
        </w:rPr>
        <w:t xml:space="preserve">regular </w:t>
      </w:r>
      <w:r w:rsidR="00D54540" w:rsidRPr="008C181A">
        <w:rPr>
          <w:lang w:val="en-US"/>
        </w:rPr>
        <w:t>staff training</w:t>
      </w:r>
      <w:r w:rsidR="00E720B7" w:rsidRPr="008C181A">
        <w:rPr>
          <w:lang w:val="en-US"/>
        </w:rPr>
        <w:t>,</w:t>
      </w:r>
      <w:r w:rsidR="00D54540" w:rsidRPr="008C181A">
        <w:rPr>
          <w:lang w:val="en-US"/>
        </w:rPr>
        <w:t xml:space="preserve"> </w:t>
      </w:r>
      <w:r w:rsidR="001B6EBC" w:rsidRPr="008C181A">
        <w:rPr>
          <w:lang w:val="en-US"/>
        </w:rPr>
        <w:t>independent staff appraisal and supervision</w:t>
      </w:r>
      <w:r w:rsidR="00E720B7" w:rsidRPr="008C181A">
        <w:rPr>
          <w:lang w:val="en-US"/>
        </w:rPr>
        <w:t>,</w:t>
      </w:r>
      <w:r w:rsidR="001B6EBC" w:rsidRPr="008C181A">
        <w:rPr>
          <w:lang w:val="en-US"/>
        </w:rPr>
        <w:t xml:space="preserve"> a consistent use of disciplinary procedures</w:t>
      </w:r>
      <w:r w:rsidR="00A1231D" w:rsidRPr="008C181A">
        <w:rPr>
          <w:lang w:val="en-US"/>
        </w:rPr>
        <w:t xml:space="preserve"> for staff</w:t>
      </w:r>
      <w:r w:rsidR="00E720B7" w:rsidRPr="008C181A">
        <w:rPr>
          <w:lang w:val="en-US"/>
        </w:rPr>
        <w:t>,</w:t>
      </w:r>
      <w:r w:rsidR="001B6EBC" w:rsidRPr="008C181A">
        <w:rPr>
          <w:lang w:val="en-US"/>
        </w:rPr>
        <w:t xml:space="preserve"> </w:t>
      </w:r>
      <w:r w:rsidR="00F05BED" w:rsidRPr="008C181A">
        <w:rPr>
          <w:lang w:val="en-US"/>
        </w:rPr>
        <w:t>support for whistleblowers</w:t>
      </w:r>
      <w:r w:rsidR="00E720B7" w:rsidRPr="008C181A">
        <w:rPr>
          <w:lang w:val="en-US"/>
        </w:rPr>
        <w:t>,</w:t>
      </w:r>
      <w:r w:rsidR="00F05BED" w:rsidRPr="008C181A">
        <w:rPr>
          <w:lang w:val="en-US"/>
        </w:rPr>
        <w:t xml:space="preserve"> </w:t>
      </w:r>
      <w:r w:rsidR="00D50B0A" w:rsidRPr="008C181A">
        <w:rPr>
          <w:lang w:val="en-US"/>
        </w:rPr>
        <w:t>reflective practice</w:t>
      </w:r>
      <w:r w:rsidR="00E720B7" w:rsidRPr="008C181A">
        <w:rPr>
          <w:lang w:val="en-US"/>
        </w:rPr>
        <w:t>,</w:t>
      </w:r>
      <w:r w:rsidR="00D54540" w:rsidRPr="008C181A">
        <w:rPr>
          <w:lang w:val="en-US"/>
        </w:rPr>
        <w:t xml:space="preserve"> shared</w:t>
      </w:r>
      <w:r w:rsidR="0013310C" w:rsidRPr="008C181A">
        <w:rPr>
          <w:lang w:val="en-US"/>
        </w:rPr>
        <w:t xml:space="preserve"> responsibility for practice quality</w:t>
      </w:r>
      <w:r w:rsidR="00DA4FC3" w:rsidRPr="008C181A">
        <w:rPr>
          <w:lang w:val="en-US"/>
        </w:rPr>
        <w:t>,</w:t>
      </w:r>
      <w:r w:rsidR="0013310C" w:rsidRPr="008C181A">
        <w:rPr>
          <w:lang w:val="en-US"/>
        </w:rPr>
        <w:t xml:space="preserve"> </w:t>
      </w:r>
      <w:r w:rsidR="00D54540" w:rsidRPr="008C181A">
        <w:rPr>
          <w:lang w:val="en-US"/>
        </w:rPr>
        <w:t>e</w:t>
      </w:r>
      <w:r w:rsidR="0013310C" w:rsidRPr="008C181A">
        <w:rPr>
          <w:lang w:val="en-US"/>
        </w:rPr>
        <w:t>nabling teamwork</w:t>
      </w:r>
      <w:r w:rsidR="00E720B7" w:rsidRPr="008C181A">
        <w:rPr>
          <w:lang w:val="en-US"/>
        </w:rPr>
        <w:t>,</w:t>
      </w:r>
      <w:r w:rsidR="0013310C" w:rsidRPr="008C181A">
        <w:rPr>
          <w:lang w:val="en-US"/>
        </w:rPr>
        <w:t xml:space="preserve"> </w:t>
      </w:r>
      <w:r w:rsidR="00E720B7" w:rsidRPr="008C181A">
        <w:rPr>
          <w:lang w:val="en-US"/>
        </w:rPr>
        <w:t xml:space="preserve">and </w:t>
      </w:r>
      <w:r w:rsidR="0013310C" w:rsidRPr="008C181A">
        <w:rPr>
          <w:lang w:val="en-US"/>
        </w:rPr>
        <w:t>person centered</w:t>
      </w:r>
      <w:r w:rsidR="004C0B63" w:rsidRPr="008C181A">
        <w:rPr>
          <w:lang w:val="en-US"/>
        </w:rPr>
        <w:t xml:space="preserve"> working practices</w:t>
      </w:r>
      <w:r w:rsidR="00E720B7" w:rsidRPr="008C181A">
        <w:rPr>
          <w:lang w:val="en-US"/>
        </w:rPr>
        <w:t xml:space="preserve"> </w:t>
      </w:r>
      <w:r w:rsidR="00F83C9D" w:rsidRPr="008C181A">
        <w:rPr>
          <w:lang w:val="en-US"/>
        </w:rPr>
        <w:t xml:space="preserve">(Bigby et al., 2012; </w:t>
      </w:r>
      <w:r w:rsidR="00F83C9D" w:rsidRPr="008C181A">
        <w:rPr>
          <w:lang w:val="en-US"/>
        </w:rPr>
        <w:lastRenderedPageBreak/>
        <w:t>Bigby &amp; Beadle-Brown, 2016; Calcraft, 2007; Cambridge, 1999; Furey</w:t>
      </w:r>
      <w:r w:rsidR="009164DA" w:rsidRPr="008C181A">
        <w:rPr>
          <w:lang w:val="en-US"/>
        </w:rPr>
        <w:t xml:space="preserve"> et al.</w:t>
      </w:r>
      <w:r w:rsidR="00F83C9D" w:rsidRPr="008C181A">
        <w:rPr>
          <w:lang w:val="en-US"/>
        </w:rPr>
        <w:t>, 1994; Hutchison &amp; Kroese, 2016; Jones &amp; Kroese, 2006; Rees &amp; Manthorpe, 2010; Rytterström</w:t>
      </w:r>
      <w:r w:rsidR="009164DA" w:rsidRPr="008C181A">
        <w:rPr>
          <w:lang w:val="en-US"/>
        </w:rPr>
        <w:t xml:space="preserve"> et al.</w:t>
      </w:r>
      <w:r w:rsidR="00F83C9D" w:rsidRPr="008C181A">
        <w:rPr>
          <w:lang w:val="en-US"/>
        </w:rPr>
        <w:t xml:space="preserve">, 2013). </w:t>
      </w:r>
      <w:r w:rsidR="00E720B7" w:rsidRPr="008C181A">
        <w:rPr>
          <w:lang w:val="en-US"/>
        </w:rPr>
        <w:t>Protective</w:t>
      </w:r>
      <w:r w:rsidR="00F83C9D" w:rsidRPr="008C181A">
        <w:rPr>
          <w:lang w:val="en-US"/>
        </w:rPr>
        <w:t xml:space="preserve"> factors created </w:t>
      </w:r>
      <w:r w:rsidR="00D50B0A" w:rsidRPr="008C181A">
        <w:rPr>
          <w:lang w:val="en-US"/>
        </w:rPr>
        <w:t>a caring culture</w:t>
      </w:r>
      <w:r w:rsidR="008342FE" w:rsidRPr="008C181A">
        <w:rPr>
          <w:lang w:val="en-US"/>
        </w:rPr>
        <w:t xml:space="preserve"> </w:t>
      </w:r>
      <w:r w:rsidR="0013310C" w:rsidRPr="008C181A">
        <w:rPr>
          <w:lang w:val="en-US"/>
        </w:rPr>
        <w:t xml:space="preserve">characterized as coherent, respectful, enabling for </w:t>
      </w:r>
      <w:r w:rsidR="00A1231D" w:rsidRPr="008C181A">
        <w:rPr>
          <w:lang w:val="en-US"/>
        </w:rPr>
        <w:t>service-users</w:t>
      </w:r>
      <w:r w:rsidR="0013310C" w:rsidRPr="008C181A">
        <w:rPr>
          <w:lang w:val="en-US"/>
        </w:rPr>
        <w:t>, and motivating for staff</w:t>
      </w:r>
      <w:r w:rsidR="00F83C9D" w:rsidRPr="008C181A">
        <w:rPr>
          <w:lang w:val="en-US"/>
        </w:rPr>
        <w:t xml:space="preserve">. Arguably, the establishment of a </w:t>
      </w:r>
      <w:r w:rsidR="00844B6A" w:rsidRPr="008C181A">
        <w:rPr>
          <w:lang w:val="en-US"/>
        </w:rPr>
        <w:t xml:space="preserve">positive </w:t>
      </w:r>
      <w:r w:rsidR="00E720B7" w:rsidRPr="008C181A">
        <w:rPr>
          <w:lang w:val="en-US"/>
        </w:rPr>
        <w:t>culture</w:t>
      </w:r>
      <w:r w:rsidR="00F83C9D" w:rsidRPr="008C181A">
        <w:rPr>
          <w:lang w:val="en-US"/>
        </w:rPr>
        <w:t xml:space="preserve"> that was</w:t>
      </w:r>
      <w:r w:rsidR="00844B6A" w:rsidRPr="008C181A">
        <w:rPr>
          <w:lang w:val="en-US"/>
        </w:rPr>
        <w:t xml:space="preserve"> operationalized and embedded through structures such as formal policy and processes</w:t>
      </w:r>
      <w:r w:rsidR="00F83C9D" w:rsidRPr="008C181A">
        <w:rPr>
          <w:lang w:val="en-US"/>
        </w:rPr>
        <w:t xml:space="preserve"> </w:t>
      </w:r>
      <w:r w:rsidR="00B62D75" w:rsidRPr="008C181A">
        <w:rPr>
          <w:lang w:val="en-US"/>
        </w:rPr>
        <w:t>protected against abusive practice</w:t>
      </w:r>
      <w:r w:rsidR="00F83C9D" w:rsidRPr="008C181A">
        <w:rPr>
          <w:lang w:val="en-US"/>
        </w:rPr>
        <w:t>.</w:t>
      </w:r>
    </w:p>
    <w:p w14:paraId="0CE2398B" w14:textId="5DC640F1" w:rsidR="00024130" w:rsidRPr="008C181A" w:rsidRDefault="00024130" w:rsidP="00B167B8">
      <w:pPr>
        <w:spacing w:after="0" w:line="480" w:lineRule="auto"/>
        <w:rPr>
          <w:lang w:val="en-US"/>
        </w:rPr>
      </w:pPr>
    </w:p>
    <w:p w14:paraId="00D92D96" w14:textId="7AB5EDDA" w:rsidR="00024130" w:rsidRPr="008C181A" w:rsidRDefault="00024130" w:rsidP="00B167B8">
      <w:pPr>
        <w:spacing w:after="0" w:line="480" w:lineRule="auto"/>
        <w:rPr>
          <w:b/>
          <w:bCs/>
          <w:lang w:val="en-US"/>
        </w:rPr>
      </w:pPr>
      <w:r w:rsidRPr="008C181A">
        <w:rPr>
          <w:b/>
          <w:bCs/>
          <w:lang w:val="en-US"/>
        </w:rPr>
        <w:t>Barriers to detecting abuse</w:t>
      </w:r>
      <w:r w:rsidR="0083383B" w:rsidRPr="008C181A">
        <w:rPr>
          <w:b/>
          <w:bCs/>
          <w:lang w:val="en-US"/>
        </w:rPr>
        <w:t xml:space="preserve"> </w:t>
      </w:r>
    </w:p>
    <w:p w14:paraId="35DC89B3" w14:textId="0AE1E02D" w:rsidR="00FD2D7C" w:rsidRPr="008C181A" w:rsidRDefault="00024130" w:rsidP="00B167B8">
      <w:pPr>
        <w:spacing w:after="0" w:line="480" w:lineRule="auto"/>
        <w:ind w:firstLine="720"/>
        <w:rPr>
          <w:lang w:val="en-US"/>
        </w:rPr>
      </w:pPr>
      <w:r w:rsidRPr="008C181A">
        <w:rPr>
          <w:lang w:val="en-US"/>
        </w:rPr>
        <w:t xml:space="preserve">Authors of </w:t>
      </w:r>
      <w:r w:rsidR="000F7F6C" w:rsidRPr="008C181A">
        <w:rPr>
          <w:lang w:val="en-US"/>
        </w:rPr>
        <w:t>11</w:t>
      </w:r>
      <w:r w:rsidRPr="008C181A">
        <w:rPr>
          <w:lang w:val="en-US"/>
        </w:rPr>
        <w:t xml:space="preserve"> of the </w:t>
      </w:r>
      <w:r w:rsidR="00B525D2" w:rsidRPr="008C181A">
        <w:rPr>
          <w:lang w:val="en-US"/>
        </w:rPr>
        <w:t>4</w:t>
      </w:r>
      <w:r w:rsidR="00F004C6" w:rsidRPr="008C181A">
        <w:rPr>
          <w:lang w:val="en-US"/>
        </w:rPr>
        <w:t>8</w:t>
      </w:r>
      <w:r w:rsidRPr="008C181A">
        <w:rPr>
          <w:lang w:val="en-US"/>
        </w:rPr>
        <w:t xml:space="preserve"> studies reported barriers to detecting abuse within services for adults with</w:t>
      </w:r>
      <w:r w:rsidR="00AB4AE2" w:rsidRPr="008C181A">
        <w:rPr>
          <w:lang w:val="en-US"/>
        </w:rPr>
        <w:t xml:space="preserve"> </w:t>
      </w:r>
      <w:r w:rsidR="00F004C6" w:rsidRPr="008C181A">
        <w:rPr>
          <w:lang w:val="en-US"/>
        </w:rPr>
        <w:t>intellectual and other developmental disabilities</w:t>
      </w:r>
      <w:r w:rsidRPr="008C181A">
        <w:rPr>
          <w:lang w:val="en-US"/>
        </w:rPr>
        <w:t xml:space="preserve">. </w:t>
      </w:r>
      <w:r w:rsidR="00FD2D7C" w:rsidRPr="008C181A">
        <w:t xml:space="preserve">A key barrier to the detection of abuse </w:t>
      </w:r>
      <w:r w:rsidR="004F5056" w:rsidRPr="008C181A">
        <w:t>w</w:t>
      </w:r>
      <w:r w:rsidR="00DA4FC3" w:rsidRPr="008C181A">
        <w:t>as</w:t>
      </w:r>
      <w:r w:rsidR="005F45F2" w:rsidRPr="008C181A">
        <w:t xml:space="preserve"> </w:t>
      </w:r>
      <w:r w:rsidR="00FD2D7C" w:rsidRPr="008C181A">
        <w:t xml:space="preserve">a lack of awareness and knowledge amongst staff </w:t>
      </w:r>
      <w:r w:rsidR="00FD2D7C" w:rsidRPr="008C181A">
        <w:rPr>
          <w:lang w:val="en-US"/>
        </w:rPr>
        <w:t>regarding what constitutes abuse and when intervention is warranted (Aylett, 2006).</w:t>
      </w:r>
      <w:r w:rsidR="00FD2D7C" w:rsidRPr="008C181A">
        <w:t xml:space="preserve"> </w:t>
      </w:r>
      <w:r w:rsidR="004F5056" w:rsidRPr="008C181A">
        <w:t xml:space="preserve">For example, </w:t>
      </w:r>
      <w:r w:rsidR="005F45F2" w:rsidRPr="008C181A">
        <w:t>evidence suggest</w:t>
      </w:r>
      <w:r w:rsidR="00DA4FC3" w:rsidRPr="008C181A">
        <w:t>ed that</w:t>
      </w:r>
      <w:r w:rsidR="005F45F2" w:rsidRPr="008C181A">
        <w:t xml:space="preserve"> </w:t>
      </w:r>
      <w:r w:rsidR="004F5056" w:rsidRPr="008C181A">
        <w:t>neglect</w:t>
      </w:r>
      <w:r w:rsidR="004F5056" w:rsidRPr="008C181A">
        <w:rPr>
          <w:lang w:val="en-US"/>
        </w:rPr>
        <w:t xml:space="preserve"> and financial abuse of adults with intellectual and other developmental disabilities </w:t>
      </w:r>
      <w:r w:rsidR="00DA4FC3" w:rsidRPr="008C181A">
        <w:rPr>
          <w:lang w:val="en-US"/>
        </w:rPr>
        <w:t>wa</w:t>
      </w:r>
      <w:r w:rsidR="004F5056" w:rsidRPr="008C181A">
        <w:rPr>
          <w:lang w:val="en-US"/>
        </w:rPr>
        <w:t xml:space="preserve">s frequently minimized and not reported (Brown &amp; Stein, 2000; Taylor &amp; Dodd, 2003). </w:t>
      </w:r>
      <w:r w:rsidR="00FD2D7C" w:rsidRPr="008C181A">
        <w:rPr>
          <w:lang w:val="en-US"/>
        </w:rPr>
        <w:t xml:space="preserve">Arguably a lack of guidance may lead to differing thresholds for reporting abuse. </w:t>
      </w:r>
      <w:r w:rsidR="005F45F2" w:rsidRPr="008C181A">
        <w:rPr>
          <w:lang w:val="en-US"/>
        </w:rPr>
        <w:t>R</w:t>
      </w:r>
      <w:r w:rsidR="00FD2D7C" w:rsidRPr="008C181A">
        <w:rPr>
          <w:lang w:val="en-US"/>
        </w:rPr>
        <w:t xml:space="preserve">esearch conducted by Taylor and Dodd (2003) </w:t>
      </w:r>
      <w:r w:rsidR="005F45F2" w:rsidRPr="008C181A">
        <w:rPr>
          <w:lang w:val="en-US"/>
        </w:rPr>
        <w:t xml:space="preserve">found </w:t>
      </w:r>
      <w:r w:rsidR="00FD2D7C" w:rsidRPr="008C181A">
        <w:rPr>
          <w:lang w:val="en-US"/>
        </w:rPr>
        <w:t xml:space="preserve">staff </w:t>
      </w:r>
      <w:r w:rsidR="005F45F2" w:rsidRPr="008C181A">
        <w:rPr>
          <w:lang w:val="en-US"/>
        </w:rPr>
        <w:t>were</w:t>
      </w:r>
      <w:r w:rsidR="00FD2D7C" w:rsidRPr="008C181A">
        <w:rPr>
          <w:lang w:val="en-US"/>
        </w:rPr>
        <w:t xml:space="preserve"> reluctan</w:t>
      </w:r>
      <w:r w:rsidR="005F45F2" w:rsidRPr="008C181A">
        <w:rPr>
          <w:lang w:val="en-US"/>
        </w:rPr>
        <w:t xml:space="preserve">t </w:t>
      </w:r>
      <w:r w:rsidR="00FD2D7C" w:rsidRPr="008C181A">
        <w:rPr>
          <w:lang w:val="en-US"/>
        </w:rPr>
        <w:t>to report abuse if they had not witnessed the abuse themselves</w:t>
      </w:r>
      <w:r w:rsidR="005F45F2" w:rsidRPr="008C181A">
        <w:rPr>
          <w:lang w:val="en-US"/>
        </w:rPr>
        <w:t xml:space="preserve">, </w:t>
      </w:r>
      <w:r w:rsidR="00FD2D7C" w:rsidRPr="008C181A">
        <w:rPr>
          <w:lang w:val="en-US"/>
        </w:rPr>
        <w:t xml:space="preserve">if they felt there was a lack of evidence, if the service user had a history of making false allegations, if the service-user was suffering from poor mental health, or if they had concerns over breaking service-user confidentiality (Taylor &amp; Dodd, 2003). </w:t>
      </w:r>
      <w:r w:rsidR="005F45F2" w:rsidRPr="008C181A">
        <w:rPr>
          <w:lang w:val="en-US"/>
        </w:rPr>
        <w:t>In addition to a lack of physical or witness evidence to support allegations of abuse, cognitive deficits and associated communication difficulties of service users made allegations more difficult to assess and abuse more difficult to detect (Fyson &amp; Kitson, 2012; McCartney &amp; Campbell, 1998; Ramsey-Klawsnik &amp; Teaster, 2012; Turk &amp; Brown, 1993).</w:t>
      </w:r>
    </w:p>
    <w:p w14:paraId="3B4A5E85" w14:textId="77777777" w:rsidR="00C05052" w:rsidRPr="008C181A" w:rsidRDefault="00FD2D7C" w:rsidP="00B167B8">
      <w:pPr>
        <w:spacing w:after="0" w:line="480" w:lineRule="auto"/>
        <w:ind w:firstLine="720"/>
        <w:rPr>
          <w:lang w:val="en-US"/>
        </w:rPr>
      </w:pPr>
      <w:r w:rsidRPr="008C181A">
        <w:rPr>
          <w:lang w:val="en-US"/>
        </w:rPr>
        <w:t>Other b</w:t>
      </w:r>
      <w:r w:rsidR="00024130" w:rsidRPr="008C181A">
        <w:rPr>
          <w:lang w:val="en-US"/>
        </w:rPr>
        <w:t>arriers included a lack of inter</w:t>
      </w:r>
      <w:r w:rsidR="00AB4AE2" w:rsidRPr="008C181A">
        <w:rPr>
          <w:lang w:val="en-US"/>
        </w:rPr>
        <w:t>-</w:t>
      </w:r>
      <w:r w:rsidR="00024130" w:rsidRPr="008C181A">
        <w:rPr>
          <w:lang w:val="en-US"/>
        </w:rPr>
        <w:t>professional collaboration and expert consultation, inconsistent approaches to investigations, delayed reporting of abuse, delayed investigations, biased and leading questioning of victims by untrained professionals, lack of time to conduct a thorough investigation, and lack of resources (Ahlgrim-Delzell &amp; Dudley, 2001; Cambridge et al., 2011</w:t>
      </w:r>
      <w:r w:rsidR="000C340E" w:rsidRPr="008C181A">
        <w:rPr>
          <w:lang w:val="en-US"/>
        </w:rPr>
        <w:t>a</w:t>
      </w:r>
      <w:r w:rsidR="00024130" w:rsidRPr="008C181A">
        <w:rPr>
          <w:lang w:val="en-US"/>
        </w:rPr>
        <w:t xml:space="preserve">; Fyson </w:t>
      </w:r>
      <w:r w:rsidR="00024130" w:rsidRPr="008C181A">
        <w:rPr>
          <w:lang w:val="en-US"/>
        </w:rPr>
        <w:lastRenderedPageBreak/>
        <w:t xml:space="preserve">&amp; Kitson, 2012; </w:t>
      </w:r>
      <w:r w:rsidR="007648CA" w:rsidRPr="008C181A">
        <w:rPr>
          <w:lang w:val="en-US"/>
        </w:rPr>
        <w:t xml:space="preserve">Ottmann et al., 2017; </w:t>
      </w:r>
      <w:r w:rsidR="00024130" w:rsidRPr="008C181A">
        <w:rPr>
          <w:lang w:val="en-US"/>
        </w:rPr>
        <w:t xml:space="preserve">Ramsey-Klawsnik &amp; Teaster, 2012; Zuckerman et al., 1986). Fyson &amp; Kitson (2012) reported that the amount of time </w:t>
      </w:r>
      <w:r w:rsidR="004F5056" w:rsidRPr="008C181A">
        <w:rPr>
          <w:lang w:val="en-US"/>
        </w:rPr>
        <w:t xml:space="preserve">investigations </w:t>
      </w:r>
      <w:r w:rsidR="00024130" w:rsidRPr="008C181A">
        <w:rPr>
          <w:lang w:val="en-US"/>
        </w:rPr>
        <w:t xml:space="preserve">took </w:t>
      </w:r>
      <w:r w:rsidR="004F5056" w:rsidRPr="008C181A">
        <w:rPr>
          <w:lang w:val="en-US"/>
        </w:rPr>
        <w:t>to complete</w:t>
      </w:r>
      <w:r w:rsidR="00024130" w:rsidRPr="008C181A">
        <w:rPr>
          <w:lang w:val="en-US"/>
        </w:rPr>
        <w:t xml:space="preserve"> led safeguarding to be perceived in a negative light</w:t>
      </w:r>
      <w:r w:rsidR="00B62D75" w:rsidRPr="008C181A">
        <w:rPr>
          <w:lang w:val="en-US"/>
        </w:rPr>
        <w:t xml:space="preserve"> by </w:t>
      </w:r>
      <w:r w:rsidR="005F45F2" w:rsidRPr="008C181A">
        <w:rPr>
          <w:lang w:val="en-US"/>
        </w:rPr>
        <w:t>staff and</w:t>
      </w:r>
      <w:r w:rsidR="00024130" w:rsidRPr="008C181A">
        <w:rPr>
          <w:lang w:val="en-US"/>
        </w:rPr>
        <w:t xml:space="preserve"> highlighted apparent tensions between undertaking safeguarding work and fulfilling ongoing care management duties. </w:t>
      </w:r>
    </w:p>
    <w:p w14:paraId="6EDF2F10" w14:textId="74E2E01D" w:rsidR="007648CA" w:rsidRPr="008C181A" w:rsidRDefault="007648CA" w:rsidP="00B167B8">
      <w:pPr>
        <w:spacing w:after="0" w:line="480" w:lineRule="auto"/>
        <w:ind w:firstLine="720"/>
      </w:pPr>
      <w:r w:rsidRPr="008C181A">
        <w:rPr>
          <w:lang w:val="en-US"/>
        </w:rPr>
        <w:t xml:space="preserve">Using a Delphi exercise, </w:t>
      </w:r>
      <w:r w:rsidR="00653600" w:rsidRPr="008C181A">
        <w:rPr>
          <w:lang w:val="en-US"/>
        </w:rPr>
        <w:t xml:space="preserve">Ottmann et al. (2017) sought the opinions of </w:t>
      </w:r>
      <w:r w:rsidR="00AC7BF2" w:rsidRPr="008C181A">
        <w:rPr>
          <w:lang w:val="en-US"/>
        </w:rPr>
        <w:t xml:space="preserve">249 disability services staff and managers working in child and adult </w:t>
      </w:r>
      <w:r w:rsidRPr="008C181A">
        <w:rPr>
          <w:lang w:val="en-US"/>
        </w:rPr>
        <w:t xml:space="preserve">disability </w:t>
      </w:r>
      <w:r w:rsidR="00AC7BF2" w:rsidRPr="008C181A">
        <w:rPr>
          <w:lang w:val="en-US"/>
        </w:rPr>
        <w:t>services in Australia</w:t>
      </w:r>
      <w:r w:rsidRPr="008C181A">
        <w:rPr>
          <w:lang w:val="en-US"/>
        </w:rPr>
        <w:t xml:space="preserve"> on the k</w:t>
      </w:r>
      <w:r w:rsidR="00AC7BF2" w:rsidRPr="008C181A">
        <w:rPr>
          <w:lang w:val="en-US"/>
        </w:rPr>
        <w:t xml:space="preserve">ey </w:t>
      </w:r>
      <w:r w:rsidR="00653600" w:rsidRPr="008C181A">
        <w:rPr>
          <w:lang w:val="en-US"/>
        </w:rPr>
        <w:t xml:space="preserve">barriers to </w:t>
      </w:r>
      <w:r w:rsidR="00AC7BF2" w:rsidRPr="008C181A">
        <w:rPr>
          <w:lang w:val="en-US"/>
        </w:rPr>
        <w:t>effective safeguarding</w:t>
      </w:r>
      <w:r w:rsidRPr="008C181A">
        <w:rPr>
          <w:lang w:val="en-US"/>
        </w:rPr>
        <w:t xml:space="preserve">. </w:t>
      </w:r>
      <w:r w:rsidR="004F5056" w:rsidRPr="008C181A">
        <w:rPr>
          <w:lang w:val="en-US"/>
        </w:rPr>
        <w:t xml:space="preserve">Barriers </w:t>
      </w:r>
      <w:r w:rsidR="00241D25" w:rsidRPr="008C181A">
        <w:rPr>
          <w:lang w:val="en-US"/>
        </w:rPr>
        <w:t xml:space="preserve">they reported </w:t>
      </w:r>
      <w:r w:rsidRPr="008C181A">
        <w:rPr>
          <w:lang w:val="en-US"/>
        </w:rPr>
        <w:t>included</w:t>
      </w:r>
      <w:r w:rsidR="00653600" w:rsidRPr="008C181A">
        <w:rPr>
          <w:lang w:val="en-US"/>
        </w:rPr>
        <w:t xml:space="preserve"> </w:t>
      </w:r>
      <w:r w:rsidR="00E93E06" w:rsidRPr="008C181A">
        <w:rPr>
          <w:lang w:val="en-US"/>
        </w:rPr>
        <w:t>organizational</w:t>
      </w:r>
      <w:r w:rsidR="00653600" w:rsidRPr="008C181A">
        <w:rPr>
          <w:lang w:val="en-US"/>
        </w:rPr>
        <w:t xml:space="preserve"> issues</w:t>
      </w:r>
      <w:r w:rsidR="00AC7BF2" w:rsidRPr="008C181A">
        <w:rPr>
          <w:lang w:val="en-US"/>
        </w:rPr>
        <w:t xml:space="preserve"> (e.g., downgrading the severity of incidents, not investigating allegations of abuse</w:t>
      </w:r>
      <w:r w:rsidR="00653600" w:rsidRPr="008C181A">
        <w:rPr>
          <w:lang w:val="en-US"/>
        </w:rPr>
        <w:t xml:space="preserve">, </w:t>
      </w:r>
      <w:r w:rsidR="00AC7BF2" w:rsidRPr="008C181A">
        <w:t xml:space="preserve">unsatisfactory policies and practice guidelines, hierarchical processes, poor relationships and communication, lack of staff training, a culture committed to preserving the status quo), </w:t>
      </w:r>
      <w:r w:rsidRPr="008C181A">
        <w:t xml:space="preserve">defective </w:t>
      </w:r>
      <w:r w:rsidR="00653600" w:rsidRPr="008C181A">
        <w:rPr>
          <w:lang w:val="en-US"/>
        </w:rPr>
        <w:t>management practice,</w:t>
      </w:r>
      <w:r w:rsidR="00AC7BF2" w:rsidRPr="008C181A">
        <w:rPr>
          <w:lang w:val="en-US"/>
        </w:rPr>
        <w:t xml:space="preserve"> </w:t>
      </w:r>
      <w:r w:rsidRPr="008C181A">
        <w:rPr>
          <w:lang w:val="en-US"/>
        </w:rPr>
        <w:t xml:space="preserve">client issues (e.g., </w:t>
      </w:r>
      <w:r w:rsidRPr="008C181A">
        <w:t>the limited capacity of and lack of support provided to people with disability), and external factors (e.g., a lack of resources</w:t>
      </w:r>
      <w:r w:rsidR="00AD2FBD" w:rsidRPr="008C181A">
        <w:t>)</w:t>
      </w:r>
      <w:r w:rsidRPr="008C181A">
        <w:t>.</w:t>
      </w:r>
      <w:r w:rsidR="00B62D75" w:rsidRPr="008C181A">
        <w:t xml:space="preserve"> </w:t>
      </w:r>
    </w:p>
    <w:p w14:paraId="360E628A" w14:textId="77777777" w:rsidR="000F7F6C" w:rsidRPr="008C181A" w:rsidRDefault="000F7F6C" w:rsidP="00B167B8">
      <w:pPr>
        <w:spacing w:after="0" w:line="480" w:lineRule="auto"/>
        <w:rPr>
          <w:b/>
          <w:bCs/>
          <w:i/>
          <w:iCs/>
          <w:lang w:val="en-US"/>
        </w:rPr>
      </w:pPr>
    </w:p>
    <w:p w14:paraId="0A523EBB" w14:textId="55A5006E" w:rsidR="00DC2C81" w:rsidRPr="008C181A" w:rsidRDefault="000F7F6C" w:rsidP="00B167B8">
      <w:pPr>
        <w:spacing w:after="0" w:line="480" w:lineRule="auto"/>
        <w:rPr>
          <w:b/>
          <w:bCs/>
          <w:lang w:val="en-US"/>
        </w:rPr>
      </w:pPr>
      <w:r w:rsidRPr="008C181A">
        <w:rPr>
          <w:b/>
          <w:bCs/>
          <w:lang w:val="en-US"/>
        </w:rPr>
        <w:t>Improving practice to d</w:t>
      </w:r>
      <w:r w:rsidR="00EA3E0A" w:rsidRPr="008C181A">
        <w:rPr>
          <w:b/>
          <w:bCs/>
          <w:lang w:val="en-US"/>
        </w:rPr>
        <w:t>etect abuse</w:t>
      </w:r>
    </w:p>
    <w:p w14:paraId="14FD88F5" w14:textId="166AFEEF" w:rsidR="00A10872" w:rsidRPr="008C181A" w:rsidRDefault="00643EC5" w:rsidP="00B167B8">
      <w:pPr>
        <w:spacing w:after="0" w:line="480" w:lineRule="auto"/>
        <w:ind w:firstLine="720"/>
        <w:rPr>
          <w:lang w:val="en-US"/>
        </w:rPr>
      </w:pPr>
      <w:r w:rsidRPr="008C181A">
        <w:rPr>
          <w:lang w:val="en-US"/>
        </w:rPr>
        <w:t>In addition to the identification of protective factors identified, t</w:t>
      </w:r>
      <w:r w:rsidR="00177CB6" w:rsidRPr="008C181A">
        <w:rPr>
          <w:lang w:val="en-US"/>
        </w:rPr>
        <w:t xml:space="preserve">he current review highlighted </w:t>
      </w:r>
      <w:r w:rsidR="001862B8" w:rsidRPr="008C181A">
        <w:rPr>
          <w:lang w:val="en-US"/>
        </w:rPr>
        <w:t>several</w:t>
      </w:r>
      <w:r w:rsidR="00177CB6" w:rsidRPr="008C181A">
        <w:rPr>
          <w:lang w:val="en-US"/>
        </w:rPr>
        <w:t xml:space="preserve"> areas where practice could be improved to </w:t>
      </w:r>
      <w:r w:rsidR="001862B8" w:rsidRPr="008C181A">
        <w:rPr>
          <w:lang w:val="en-US"/>
        </w:rPr>
        <w:t xml:space="preserve">increase the likelihood of abuse being detected within services. </w:t>
      </w:r>
      <w:r w:rsidR="00FE6CFD" w:rsidRPr="008C181A">
        <w:rPr>
          <w:lang w:val="en-US"/>
        </w:rPr>
        <w:t xml:space="preserve">Authors of </w:t>
      </w:r>
      <w:r w:rsidR="00653600" w:rsidRPr="008C181A">
        <w:rPr>
          <w:lang w:val="en-US"/>
        </w:rPr>
        <w:t>2</w:t>
      </w:r>
      <w:r w:rsidR="00087B0A" w:rsidRPr="008C181A">
        <w:rPr>
          <w:lang w:val="en-US"/>
        </w:rPr>
        <w:t>2</w:t>
      </w:r>
      <w:r w:rsidR="00FE6CFD" w:rsidRPr="008C181A">
        <w:rPr>
          <w:lang w:val="en-US"/>
        </w:rPr>
        <w:t xml:space="preserve"> of the </w:t>
      </w:r>
      <w:r w:rsidR="00B525D2" w:rsidRPr="008C181A">
        <w:rPr>
          <w:lang w:val="en-US"/>
        </w:rPr>
        <w:t>4</w:t>
      </w:r>
      <w:r w:rsidR="00682BE2" w:rsidRPr="008C181A">
        <w:rPr>
          <w:lang w:val="en-US"/>
        </w:rPr>
        <w:t>8</w:t>
      </w:r>
      <w:r w:rsidR="00FE6CFD" w:rsidRPr="008C181A">
        <w:rPr>
          <w:lang w:val="en-US"/>
        </w:rPr>
        <w:t xml:space="preserve"> studies made recommendations for how </w:t>
      </w:r>
      <w:r w:rsidR="00F2359F" w:rsidRPr="008C181A">
        <w:rPr>
          <w:lang w:val="en-US"/>
        </w:rPr>
        <w:t xml:space="preserve">staff within </w:t>
      </w:r>
      <w:r w:rsidR="00FE6CFD" w:rsidRPr="008C181A">
        <w:rPr>
          <w:lang w:val="en-US"/>
        </w:rPr>
        <w:t xml:space="preserve">services could improve practice </w:t>
      </w:r>
      <w:r w:rsidR="00635B6E" w:rsidRPr="008C181A">
        <w:rPr>
          <w:lang w:val="en-US"/>
        </w:rPr>
        <w:t>to</w:t>
      </w:r>
      <w:r w:rsidR="00FE6CFD" w:rsidRPr="008C181A">
        <w:rPr>
          <w:lang w:val="en-US"/>
        </w:rPr>
        <w:t xml:space="preserve"> </w:t>
      </w:r>
      <w:r w:rsidR="00872DD1" w:rsidRPr="008C181A">
        <w:rPr>
          <w:lang w:val="en-US"/>
        </w:rPr>
        <w:t>effectively detect abuse</w:t>
      </w:r>
      <w:r w:rsidR="00FE6CFD" w:rsidRPr="008C181A">
        <w:rPr>
          <w:lang w:val="en-US"/>
        </w:rPr>
        <w:t xml:space="preserve">. </w:t>
      </w:r>
      <w:r w:rsidR="00B04F70" w:rsidRPr="008C181A">
        <w:rPr>
          <w:lang w:val="en-US"/>
        </w:rPr>
        <w:t>Recommendation</w:t>
      </w:r>
      <w:r w:rsidR="00F2359F" w:rsidRPr="008C181A">
        <w:rPr>
          <w:lang w:val="en-US"/>
        </w:rPr>
        <w:t>s</w:t>
      </w:r>
      <w:r w:rsidR="00B04F70" w:rsidRPr="008C181A">
        <w:rPr>
          <w:lang w:val="en-US"/>
        </w:rPr>
        <w:t xml:space="preserve"> included the need for staff to</w:t>
      </w:r>
      <w:r w:rsidR="00EA6CE7" w:rsidRPr="008C181A">
        <w:rPr>
          <w:lang w:val="en-US"/>
        </w:rPr>
        <w:t xml:space="preserve"> </w:t>
      </w:r>
      <w:r w:rsidR="004820F5" w:rsidRPr="008C181A">
        <w:rPr>
          <w:lang w:val="en-US"/>
        </w:rPr>
        <w:t>observ</w:t>
      </w:r>
      <w:r w:rsidR="00B04F70" w:rsidRPr="008C181A">
        <w:rPr>
          <w:lang w:val="en-US"/>
        </w:rPr>
        <w:t xml:space="preserve">e, </w:t>
      </w:r>
      <w:r w:rsidR="004820F5" w:rsidRPr="008C181A">
        <w:rPr>
          <w:lang w:val="en-US"/>
        </w:rPr>
        <w:t>report</w:t>
      </w:r>
      <w:r w:rsidR="00FE6CFD" w:rsidRPr="008C181A">
        <w:rPr>
          <w:lang w:val="en-US"/>
        </w:rPr>
        <w:t xml:space="preserve"> </w:t>
      </w:r>
      <w:r w:rsidR="00B04F70" w:rsidRPr="008C181A">
        <w:rPr>
          <w:lang w:val="en-US"/>
        </w:rPr>
        <w:t xml:space="preserve">and question the causes </w:t>
      </w:r>
      <w:r w:rsidR="00744492" w:rsidRPr="008C181A">
        <w:rPr>
          <w:lang w:val="en-US"/>
        </w:rPr>
        <w:t>of</w:t>
      </w:r>
      <w:r w:rsidR="00B04F70" w:rsidRPr="008C181A">
        <w:rPr>
          <w:lang w:val="en-US"/>
        </w:rPr>
        <w:t xml:space="preserve"> any </w:t>
      </w:r>
      <w:r w:rsidR="00273252" w:rsidRPr="008C181A">
        <w:rPr>
          <w:lang w:val="en-US"/>
        </w:rPr>
        <w:t xml:space="preserve">changes in </w:t>
      </w:r>
      <w:r w:rsidR="00FE6CFD" w:rsidRPr="008C181A">
        <w:rPr>
          <w:lang w:val="en-US"/>
        </w:rPr>
        <w:t xml:space="preserve">the </w:t>
      </w:r>
      <w:r w:rsidR="00273252" w:rsidRPr="008C181A">
        <w:rPr>
          <w:lang w:val="en-US"/>
        </w:rPr>
        <w:t>behaviour</w:t>
      </w:r>
      <w:r w:rsidR="00FE6CFD" w:rsidRPr="008C181A">
        <w:rPr>
          <w:lang w:val="en-US"/>
        </w:rPr>
        <w:t xml:space="preserve"> of</w:t>
      </w:r>
      <w:r w:rsidR="004820F5" w:rsidRPr="008C181A">
        <w:rPr>
          <w:lang w:val="en-US"/>
        </w:rPr>
        <w:t xml:space="preserve"> service-users</w:t>
      </w:r>
      <w:r w:rsidR="000F7F6C" w:rsidRPr="008C181A">
        <w:rPr>
          <w:lang w:val="en-US"/>
        </w:rPr>
        <w:t xml:space="preserve"> (e.g., increased anxiety, increased disruptive or aggressive behaviour; Turk &amp; Brown, 1993)</w:t>
      </w:r>
      <w:r w:rsidR="00B04F70" w:rsidRPr="008C181A">
        <w:rPr>
          <w:lang w:val="en-US"/>
        </w:rPr>
        <w:t>,</w:t>
      </w:r>
      <w:r w:rsidR="00FE6CFD" w:rsidRPr="008C181A">
        <w:rPr>
          <w:lang w:val="en-US"/>
        </w:rPr>
        <w:t xml:space="preserve"> </w:t>
      </w:r>
      <w:r w:rsidR="00EA6CE7" w:rsidRPr="008C181A">
        <w:rPr>
          <w:lang w:val="en-US"/>
        </w:rPr>
        <w:t xml:space="preserve">and </w:t>
      </w:r>
      <w:r w:rsidR="00640B5F" w:rsidRPr="008C181A">
        <w:rPr>
          <w:lang w:val="en-US"/>
        </w:rPr>
        <w:t xml:space="preserve">to </w:t>
      </w:r>
      <w:r w:rsidR="00EA6CE7" w:rsidRPr="008C181A">
        <w:rPr>
          <w:lang w:val="en-US"/>
        </w:rPr>
        <w:t xml:space="preserve">build relationships with service users’ </w:t>
      </w:r>
      <w:r w:rsidR="001862B8" w:rsidRPr="008C181A">
        <w:rPr>
          <w:lang w:val="en-US"/>
        </w:rPr>
        <w:t xml:space="preserve">and their </w:t>
      </w:r>
      <w:r w:rsidR="00EA6CE7" w:rsidRPr="008C181A">
        <w:rPr>
          <w:lang w:val="en-US"/>
        </w:rPr>
        <w:t>families</w:t>
      </w:r>
      <w:r w:rsidR="00321A01" w:rsidRPr="008C181A">
        <w:rPr>
          <w:lang w:val="en-US"/>
        </w:rPr>
        <w:t xml:space="preserve">, </w:t>
      </w:r>
      <w:r w:rsidR="00744492" w:rsidRPr="008C181A">
        <w:rPr>
          <w:lang w:val="en-US"/>
        </w:rPr>
        <w:t xml:space="preserve">whilst </w:t>
      </w:r>
      <w:r w:rsidR="00321A01" w:rsidRPr="008C181A">
        <w:rPr>
          <w:lang w:val="en-US"/>
        </w:rPr>
        <w:t xml:space="preserve">ensuring they </w:t>
      </w:r>
      <w:r w:rsidR="00640B5F" w:rsidRPr="008C181A">
        <w:rPr>
          <w:lang w:val="en-US"/>
        </w:rPr>
        <w:t>we</w:t>
      </w:r>
      <w:r w:rsidR="00321A01" w:rsidRPr="008C181A">
        <w:rPr>
          <w:lang w:val="en-US"/>
        </w:rPr>
        <w:t>re aware of the process for raising concerns</w:t>
      </w:r>
      <w:r w:rsidR="00F2359F" w:rsidRPr="008C181A">
        <w:rPr>
          <w:lang w:val="en-US"/>
        </w:rPr>
        <w:t xml:space="preserve"> (Bright</w:t>
      </w:r>
      <w:r w:rsidR="009164DA" w:rsidRPr="008C181A">
        <w:rPr>
          <w:lang w:val="en-US"/>
        </w:rPr>
        <w:t xml:space="preserve"> et al.</w:t>
      </w:r>
      <w:r w:rsidR="00F2359F" w:rsidRPr="008C181A">
        <w:rPr>
          <w:lang w:val="en-US"/>
        </w:rPr>
        <w:t>, 2018; Hollomotz, 2012)</w:t>
      </w:r>
      <w:r w:rsidR="00EA6CE7" w:rsidRPr="008C181A">
        <w:rPr>
          <w:lang w:val="en-US"/>
        </w:rPr>
        <w:t>.</w:t>
      </w:r>
      <w:r w:rsidR="003349AB" w:rsidRPr="008C181A">
        <w:rPr>
          <w:lang w:val="en-US"/>
        </w:rPr>
        <w:t xml:space="preserve"> Furthermore, </w:t>
      </w:r>
      <w:r w:rsidR="00022D7A" w:rsidRPr="008C181A">
        <w:rPr>
          <w:lang w:val="en-US"/>
        </w:rPr>
        <w:t>staff should have a good knowledge of the service-users they are working with and ensure the service-user’s</w:t>
      </w:r>
      <w:r w:rsidR="004C0B63" w:rsidRPr="008C181A">
        <w:rPr>
          <w:lang w:val="en-US"/>
        </w:rPr>
        <w:t xml:space="preserve"> </w:t>
      </w:r>
      <w:r w:rsidR="002E1C1F" w:rsidRPr="008C181A">
        <w:rPr>
          <w:lang w:val="en-US"/>
        </w:rPr>
        <w:t xml:space="preserve">interests </w:t>
      </w:r>
      <w:r w:rsidR="00022D7A" w:rsidRPr="008C181A">
        <w:rPr>
          <w:lang w:val="en-US"/>
        </w:rPr>
        <w:t xml:space="preserve">are </w:t>
      </w:r>
      <w:r w:rsidR="003349AB" w:rsidRPr="008C181A">
        <w:rPr>
          <w:lang w:val="en-US"/>
        </w:rPr>
        <w:t xml:space="preserve">identified and </w:t>
      </w:r>
      <w:r w:rsidR="002E1C1F" w:rsidRPr="008C181A">
        <w:rPr>
          <w:lang w:val="en-US"/>
        </w:rPr>
        <w:t>prioritized</w:t>
      </w:r>
      <w:r w:rsidR="003349AB" w:rsidRPr="008C181A">
        <w:rPr>
          <w:lang w:val="en-US"/>
        </w:rPr>
        <w:t xml:space="preserve"> through reflective practice</w:t>
      </w:r>
      <w:r w:rsidR="00022D7A" w:rsidRPr="008C181A">
        <w:rPr>
          <w:lang w:val="en-US"/>
        </w:rPr>
        <w:t xml:space="preserve"> (Bigby et al., 2012). Policies and protocols should be </w:t>
      </w:r>
      <w:r w:rsidR="00E93E06" w:rsidRPr="008C181A">
        <w:rPr>
          <w:lang w:val="en-US"/>
        </w:rPr>
        <w:t>followed,</w:t>
      </w:r>
      <w:r w:rsidR="00022D7A" w:rsidRPr="008C181A">
        <w:rPr>
          <w:lang w:val="en-US"/>
        </w:rPr>
        <w:t xml:space="preserve"> and i</w:t>
      </w:r>
      <w:r w:rsidR="002E1C1F" w:rsidRPr="008C181A">
        <w:rPr>
          <w:lang w:val="en-US"/>
        </w:rPr>
        <w:t xml:space="preserve">mmediate action taken </w:t>
      </w:r>
      <w:r w:rsidR="00022D7A" w:rsidRPr="008C181A">
        <w:rPr>
          <w:lang w:val="en-US"/>
        </w:rPr>
        <w:t xml:space="preserve">by staff </w:t>
      </w:r>
      <w:r w:rsidR="002E1C1F" w:rsidRPr="008C181A">
        <w:rPr>
          <w:lang w:val="en-US"/>
        </w:rPr>
        <w:t xml:space="preserve">when abuse </w:t>
      </w:r>
      <w:r w:rsidR="00022D7A" w:rsidRPr="008C181A">
        <w:rPr>
          <w:lang w:val="en-US"/>
        </w:rPr>
        <w:t>i</w:t>
      </w:r>
      <w:r w:rsidR="002E1C1F" w:rsidRPr="008C181A">
        <w:rPr>
          <w:lang w:val="en-US"/>
        </w:rPr>
        <w:t>s reported</w:t>
      </w:r>
      <w:r w:rsidR="00022D7A" w:rsidRPr="008C181A">
        <w:rPr>
          <w:lang w:val="en-US"/>
        </w:rPr>
        <w:t xml:space="preserve">, whereby </w:t>
      </w:r>
      <w:r w:rsidR="002E1C1F" w:rsidRPr="008C181A">
        <w:rPr>
          <w:lang w:val="en-US"/>
        </w:rPr>
        <w:t>information provided by alleged victims of abuse</w:t>
      </w:r>
      <w:r w:rsidR="00022D7A" w:rsidRPr="008C181A">
        <w:rPr>
          <w:lang w:val="en-US"/>
        </w:rPr>
        <w:t xml:space="preserve"> is documented</w:t>
      </w:r>
      <w:r w:rsidR="003349AB" w:rsidRPr="008C181A">
        <w:rPr>
          <w:lang w:val="en-US"/>
        </w:rPr>
        <w:t>,</w:t>
      </w:r>
      <w:r w:rsidR="00022D7A" w:rsidRPr="008C181A">
        <w:rPr>
          <w:lang w:val="en-US"/>
        </w:rPr>
        <w:t xml:space="preserve"> and</w:t>
      </w:r>
      <w:r w:rsidR="003349AB" w:rsidRPr="008C181A">
        <w:rPr>
          <w:lang w:val="en-US"/>
        </w:rPr>
        <w:t xml:space="preserve"> </w:t>
      </w:r>
      <w:r w:rsidR="00022D7A" w:rsidRPr="008C181A">
        <w:rPr>
          <w:lang w:val="en-US"/>
        </w:rPr>
        <w:t xml:space="preserve">relevant </w:t>
      </w:r>
      <w:r w:rsidR="002E1C1F" w:rsidRPr="008C181A">
        <w:rPr>
          <w:lang w:val="en-US"/>
        </w:rPr>
        <w:t>authorities</w:t>
      </w:r>
      <w:r w:rsidR="00022D7A" w:rsidRPr="008C181A">
        <w:rPr>
          <w:lang w:val="en-US"/>
        </w:rPr>
        <w:t xml:space="preserve"> are </w:t>
      </w:r>
      <w:r w:rsidR="00022D7A" w:rsidRPr="008C181A">
        <w:rPr>
          <w:lang w:val="en-US"/>
        </w:rPr>
        <w:lastRenderedPageBreak/>
        <w:t>informed</w:t>
      </w:r>
      <w:r w:rsidR="002E1C1F" w:rsidRPr="008C181A">
        <w:rPr>
          <w:lang w:val="en-US"/>
        </w:rPr>
        <w:t xml:space="preserve"> (</w:t>
      </w:r>
      <w:r w:rsidR="003349AB" w:rsidRPr="008C181A">
        <w:rPr>
          <w:lang w:val="en-US"/>
        </w:rPr>
        <w:t xml:space="preserve">Bigby et al., 2012; </w:t>
      </w:r>
      <w:r w:rsidR="002E1C1F" w:rsidRPr="008C181A">
        <w:rPr>
          <w:lang w:val="en-US"/>
        </w:rPr>
        <w:t>Ramsey-Klawsnik</w:t>
      </w:r>
      <w:r w:rsidR="00BD6B39" w:rsidRPr="008C181A">
        <w:rPr>
          <w:lang w:val="en-US"/>
        </w:rPr>
        <w:t xml:space="preserve"> &amp;</w:t>
      </w:r>
      <w:r w:rsidR="002E1C1F" w:rsidRPr="008C181A">
        <w:rPr>
          <w:lang w:val="en-US"/>
        </w:rPr>
        <w:t xml:space="preserve"> Teaster, 2012). </w:t>
      </w:r>
      <w:r w:rsidR="00F2359F" w:rsidRPr="008C181A">
        <w:rPr>
          <w:lang w:val="en-US"/>
        </w:rPr>
        <w:t>Staff should receive regular unannounced visits by supervisors,</w:t>
      </w:r>
      <w:r w:rsidR="002E1C1F" w:rsidRPr="008C181A">
        <w:rPr>
          <w:lang w:val="en-US"/>
        </w:rPr>
        <w:t xml:space="preserve"> regular clinical</w:t>
      </w:r>
      <w:r w:rsidR="00F2359F" w:rsidRPr="008C181A">
        <w:rPr>
          <w:lang w:val="en-US"/>
        </w:rPr>
        <w:t xml:space="preserve"> supervision and training (e.g., on topics including </w:t>
      </w:r>
      <w:r w:rsidR="00653600" w:rsidRPr="008C181A">
        <w:rPr>
          <w:lang w:val="en-US"/>
        </w:rPr>
        <w:t xml:space="preserve">the relational dynamics of abuse, </w:t>
      </w:r>
      <w:r w:rsidR="00F2359F" w:rsidRPr="008C181A">
        <w:rPr>
          <w:lang w:val="en-US"/>
        </w:rPr>
        <w:t>appropriate boundaries, patterns</w:t>
      </w:r>
      <w:r w:rsidR="00653600" w:rsidRPr="008C181A">
        <w:rPr>
          <w:lang w:val="en-US"/>
        </w:rPr>
        <w:t>/signs</w:t>
      </w:r>
      <w:r w:rsidR="00F2359F" w:rsidRPr="008C181A">
        <w:rPr>
          <w:lang w:val="en-US"/>
        </w:rPr>
        <w:t xml:space="preserve"> of abuse, appropriate response to suspected cases of abuse) </w:t>
      </w:r>
      <w:r w:rsidR="00872DD1" w:rsidRPr="008C181A">
        <w:rPr>
          <w:lang w:val="en-US"/>
        </w:rPr>
        <w:t xml:space="preserve">to ensure they </w:t>
      </w:r>
      <w:r w:rsidR="00F2359F" w:rsidRPr="008C181A">
        <w:rPr>
          <w:lang w:val="en-US"/>
        </w:rPr>
        <w:t xml:space="preserve">feel </w:t>
      </w:r>
      <w:r w:rsidR="00872DD1" w:rsidRPr="008C181A">
        <w:rPr>
          <w:lang w:val="en-US"/>
        </w:rPr>
        <w:t xml:space="preserve">both </w:t>
      </w:r>
      <w:r w:rsidR="00F2359F" w:rsidRPr="008C181A">
        <w:rPr>
          <w:lang w:val="en-US"/>
        </w:rPr>
        <w:t xml:space="preserve">supported and empowered in their role (Allington, 1992; </w:t>
      </w:r>
      <w:r w:rsidR="002E1C1F" w:rsidRPr="008C181A">
        <w:rPr>
          <w:lang w:val="en-US"/>
        </w:rPr>
        <w:t>Furey</w:t>
      </w:r>
      <w:r w:rsidR="009164DA" w:rsidRPr="008C181A">
        <w:rPr>
          <w:lang w:val="en-US"/>
        </w:rPr>
        <w:t xml:space="preserve"> et al.</w:t>
      </w:r>
      <w:r w:rsidR="002E1C1F" w:rsidRPr="008C181A">
        <w:rPr>
          <w:lang w:val="en-US"/>
        </w:rPr>
        <w:t xml:space="preserve">, 1994; </w:t>
      </w:r>
      <w:r w:rsidR="00653600" w:rsidRPr="008C181A">
        <w:rPr>
          <w:lang w:val="en-US"/>
        </w:rPr>
        <w:t xml:space="preserve">Fyson &amp; Patterson, 2019; </w:t>
      </w:r>
      <w:r w:rsidR="002E1C1F" w:rsidRPr="008C181A">
        <w:rPr>
          <w:lang w:val="en-US"/>
        </w:rPr>
        <w:t xml:space="preserve">Hutchison &amp; Kroese, 2016; </w:t>
      </w:r>
      <w:r w:rsidR="00474509" w:rsidRPr="008C181A">
        <w:rPr>
          <w:lang w:val="en-US"/>
        </w:rPr>
        <w:t xml:space="preserve">Marchetti </w:t>
      </w:r>
      <w:r w:rsidR="009164DA" w:rsidRPr="008C181A">
        <w:rPr>
          <w:lang w:val="en-US"/>
        </w:rPr>
        <w:t>&amp;</w:t>
      </w:r>
      <w:r w:rsidR="00474509" w:rsidRPr="008C181A">
        <w:rPr>
          <w:lang w:val="en-US"/>
        </w:rPr>
        <w:t xml:space="preserve"> McCarthy, 1990; </w:t>
      </w:r>
      <w:r w:rsidR="00653600" w:rsidRPr="008C181A">
        <w:rPr>
          <w:lang w:val="en-US"/>
        </w:rPr>
        <w:t xml:space="preserve">Ottmann et al., 2017; </w:t>
      </w:r>
      <w:r w:rsidR="00F2359F" w:rsidRPr="008C181A">
        <w:rPr>
          <w:lang w:val="en-US"/>
        </w:rPr>
        <w:t>Ramsey-Klawsnik</w:t>
      </w:r>
      <w:r w:rsidR="00BD6B39" w:rsidRPr="008C181A">
        <w:rPr>
          <w:lang w:val="en-US"/>
        </w:rPr>
        <w:t xml:space="preserve"> &amp; </w:t>
      </w:r>
      <w:r w:rsidR="00F2359F" w:rsidRPr="008C181A">
        <w:rPr>
          <w:lang w:val="en-US"/>
        </w:rPr>
        <w:t>Teaster</w:t>
      </w:r>
      <w:r w:rsidR="00BD6B39" w:rsidRPr="008C181A">
        <w:rPr>
          <w:lang w:val="en-US"/>
        </w:rPr>
        <w:t>,</w:t>
      </w:r>
      <w:r w:rsidR="00F2359F" w:rsidRPr="008C181A">
        <w:rPr>
          <w:lang w:val="en-US"/>
        </w:rPr>
        <w:t xml:space="preserve"> 2012).</w:t>
      </w:r>
      <w:r w:rsidR="00A919CA" w:rsidRPr="008C181A">
        <w:rPr>
          <w:lang w:val="en-US"/>
        </w:rPr>
        <w:t xml:space="preserve"> </w:t>
      </w:r>
    </w:p>
    <w:p w14:paraId="40A7EE83" w14:textId="62FD503E" w:rsidR="00087B0A" w:rsidRPr="008C181A" w:rsidRDefault="00B04F70" w:rsidP="00B167B8">
      <w:pPr>
        <w:spacing w:after="0" w:line="480" w:lineRule="auto"/>
        <w:ind w:firstLine="720"/>
        <w:rPr>
          <w:lang w:val="en-US"/>
        </w:rPr>
      </w:pPr>
      <w:r w:rsidRPr="008C181A">
        <w:rPr>
          <w:lang w:val="en-US"/>
        </w:rPr>
        <w:t>Service managers should look to build</w:t>
      </w:r>
      <w:r w:rsidR="00FE6CFD" w:rsidRPr="008C181A">
        <w:rPr>
          <w:lang w:val="en-US"/>
        </w:rPr>
        <w:t xml:space="preserve"> collaborative working relationships</w:t>
      </w:r>
      <w:r w:rsidR="00EA6CE7" w:rsidRPr="008C181A">
        <w:rPr>
          <w:lang w:val="en-US"/>
        </w:rPr>
        <w:t xml:space="preserve"> </w:t>
      </w:r>
      <w:r w:rsidR="00543434" w:rsidRPr="008C181A">
        <w:rPr>
          <w:lang w:val="en-US"/>
        </w:rPr>
        <w:t xml:space="preserve">between professionals </w:t>
      </w:r>
      <w:r w:rsidR="00EA6CE7" w:rsidRPr="008C181A">
        <w:rPr>
          <w:lang w:val="en-US"/>
        </w:rPr>
        <w:t>within their services</w:t>
      </w:r>
      <w:r w:rsidR="00543434" w:rsidRPr="008C181A">
        <w:rPr>
          <w:lang w:val="en-US"/>
        </w:rPr>
        <w:t xml:space="preserve">, service-user </w:t>
      </w:r>
      <w:r w:rsidR="00E93E06" w:rsidRPr="008C181A">
        <w:rPr>
          <w:lang w:val="en-US"/>
        </w:rPr>
        <w:t>families,</w:t>
      </w:r>
      <w:r w:rsidR="00543434" w:rsidRPr="008C181A">
        <w:rPr>
          <w:lang w:val="en-US"/>
        </w:rPr>
        <w:t xml:space="preserve"> and </w:t>
      </w:r>
      <w:r w:rsidR="00EA6CE7" w:rsidRPr="008C181A">
        <w:rPr>
          <w:lang w:val="en-US"/>
        </w:rPr>
        <w:t>external professionals</w:t>
      </w:r>
      <w:r w:rsidR="004820F5" w:rsidRPr="008C181A">
        <w:rPr>
          <w:lang w:val="en-US"/>
        </w:rPr>
        <w:t xml:space="preserve"> (e.g., </w:t>
      </w:r>
      <w:r w:rsidR="00F2359F" w:rsidRPr="008C181A">
        <w:rPr>
          <w:lang w:val="en-US"/>
        </w:rPr>
        <w:t xml:space="preserve">adult protection services) </w:t>
      </w:r>
      <w:r w:rsidR="004820F5" w:rsidRPr="008C181A">
        <w:rPr>
          <w:lang w:val="en-US"/>
        </w:rPr>
        <w:t>through</w:t>
      </w:r>
      <w:r w:rsidR="00F2359F" w:rsidRPr="008C181A">
        <w:rPr>
          <w:lang w:val="en-US"/>
        </w:rPr>
        <w:t xml:space="preserve"> </w:t>
      </w:r>
      <w:r w:rsidR="002E1C1F" w:rsidRPr="008C181A">
        <w:rPr>
          <w:lang w:val="en-US"/>
        </w:rPr>
        <w:t xml:space="preserve">effective communication, </w:t>
      </w:r>
      <w:r w:rsidR="00F2359F" w:rsidRPr="008C181A">
        <w:rPr>
          <w:lang w:val="en-US"/>
        </w:rPr>
        <w:t>training,</w:t>
      </w:r>
      <w:r w:rsidR="004820F5" w:rsidRPr="008C181A">
        <w:rPr>
          <w:lang w:val="en-US"/>
        </w:rPr>
        <w:t xml:space="preserve"> regular team meetings, and structured team building</w:t>
      </w:r>
      <w:r w:rsidRPr="008C181A">
        <w:rPr>
          <w:lang w:val="en-US"/>
        </w:rPr>
        <w:t xml:space="preserve"> activi</w:t>
      </w:r>
      <w:r w:rsidR="00EA6CE7" w:rsidRPr="008C181A">
        <w:rPr>
          <w:lang w:val="en-US"/>
        </w:rPr>
        <w:t>ti</w:t>
      </w:r>
      <w:r w:rsidRPr="008C181A">
        <w:rPr>
          <w:lang w:val="en-US"/>
        </w:rPr>
        <w:t>es</w:t>
      </w:r>
      <w:r w:rsidR="002E1C1F" w:rsidRPr="008C181A">
        <w:rPr>
          <w:lang w:val="en-US"/>
        </w:rPr>
        <w:t xml:space="preserve"> (</w:t>
      </w:r>
      <w:r w:rsidR="00166734" w:rsidRPr="008C181A">
        <w:rPr>
          <w:lang w:val="en-US"/>
        </w:rPr>
        <w:t xml:space="preserve">Lymbery, 2005, 2010; </w:t>
      </w:r>
      <w:r w:rsidR="00F2359F" w:rsidRPr="008C181A">
        <w:rPr>
          <w:lang w:val="en-US"/>
        </w:rPr>
        <w:t>Mickan &amp; Rodger 2005; Rees &amp; Manthorpe, 2010</w:t>
      </w:r>
      <w:r w:rsidRPr="008C181A">
        <w:rPr>
          <w:lang w:val="en-US"/>
        </w:rPr>
        <w:t>).</w:t>
      </w:r>
      <w:r w:rsidR="00F2359F" w:rsidRPr="008C181A">
        <w:rPr>
          <w:lang w:val="en-US"/>
        </w:rPr>
        <w:t xml:space="preserve"> </w:t>
      </w:r>
      <w:r w:rsidR="00087B0A" w:rsidRPr="008C181A">
        <w:rPr>
          <w:lang w:val="en-US"/>
        </w:rPr>
        <w:t xml:space="preserve">In addition, </w:t>
      </w:r>
      <w:r w:rsidR="000D56BE" w:rsidRPr="008C181A">
        <w:rPr>
          <w:lang w:val="en-US"/>
        </w:rPr>
        <w:t>managers should be support</w:t>
      </w:r>
      <w:r w:rsidR="00E93E06" w:rsidRPr="008C181A">
        <w:rPr>
          <w:lang w:val="en-US"/>
        </w:rPr>
        <w:t>ive</w:t>
      </w:r>
      <w:r w:rsidR="000D56BE" w:rsidRPr="008C181A">
        <w:rPr>
          <w:lang w:val="en-US"/>
        </w:rPr>
        <w:t xml:space="preserve"> of staff who report abuse. K</w:t>
      </w:r>
      <w:r w:rsidR="00087B0A" w:rsidRPr="008C181A">
        <w:rPr>
          <w:lang w:val="en-US"/>
        </w:rPr>
        <w:t xml:space="preserve">nowledge of the Public Interest Disclosure Act </w:t>
      </w:r>
      <w:r w:rsidR="00E93E06" w:rsidRPr="008C181A">
        <w:rPr>
          <w:lang w:val="en-US"/>
        </w:rPr>
        <w:t>(</w:t>
      </w:r>
      <w:r w:rsidR="00087B0A" w:rsidRPr="008C181A">
        <w:rPr>
          <w:lang w:val="en-US"/>
        </w:rPr>
        <w:t>1998</w:t>
      </w:r>
      <w:r w:rsidR="00E93E06" w:rsidRPr="008C181A">
        <w:rPr>
          <w:lang w:val="en-US"/>
        </w:rPr>
        <w:t>)</w:t>
      </w:r>
      <w:r w:rsidR="00087B0A" w:rsidRPr="008C181A">
        <w:rPr>
          <w:lang w:val="en-US"/>
        </w:rPr>
        <w:t xml:space="preserve"> would help to ensure </w:t>
      </w:r>
      <w:r w:rsidR="000D56BE" w:rsidRPr="008C181A">
        <w:rPr>
          <w:lang w:val="en-US"/>
        </w:rPr>
        <w:t>staff</w:t>
      </w:r>
      <w:r w:rsidR="00087B0A" w:rsidRPr="008C181A">
        <w:rPr>
          <w:lang w:val="en-US"/>
        </w:rPr>
        <w:t xml:space="preserve"> who report abuse do not suffer detrimental treatment or victimization (Calcraft, 2007). Managers should be seen to act on concerns being raised and provide appropriate feedback regarding the investigation and offer opportunities for reflection on incidents (Calcraft, 2007). </w:t>
      </w:r>
    </w:p>
    <w:p w14:paraId="3113AADA" w14:textId="47C67E50" w:rsidR="00B04F70" w:rsidRPr="008C181A" w:rsidRDefault="0019180A" w:rsidP="00B167B8">
      <w:pPr>
        <w:spacing w:after="0" w:line="480" w:lineRule="auto"/>
        <w:ind w:firstLine="720"/>
        <w:rPr>
          <w:lang w:val="en-US"/>
        </w:rPr>
      </w:pPr>
      <w:r w:rsidRPr="008C181A">
        <w:rPr>
          <w:lang w:val="en-US"/>
        </w:rPr>
        <w:t xml:space="preserve">Services need to be sufficiently open to outside scrutiny to increase the probability of abuse being detected and </w:t>
      </w:r>
      <w:r w:rsidR="003A77AF" w:rsidRPr="008C181A">
        <w:rPr>
          <w:lang w:val="en-US"/>
        </w:rPr>
        <w:t xml:space="preserve">detailed advice </w:t>
      </w:r>
      <w:r w:rsidR="00872DD1" w:rsidRPr="008C181A">
        <w:rPr>
          <w:lang w:val="en-US"/>
        </w:rPr>
        <w:t xml:space="preserve">is required </w:t>
      </w:r>
      <w:r w:rsidR="003A77AF" w:rsidRPr="008C181A">
        <w:rPr>
          <w:lang w:val="en-US"/>
        </w:rPr>
        <w:t>for care staff about when and how to involve other agencies following an allegation of abuse being raised (</w:t>
      </w:r>
      <w:r w:rsidRPr="008C181A">
        <w:rPr>
          <w:lang w:val="en-US"/>
        </w:rPr>
        <w:t>Cambridge et al., 2011</w:t>
      </w:r>
      <w:r w:rsidR="000C340E" w:rsidRPr="008C181A">
        <w:rPr>
          <w:lang w:val="en-US"/>
        </w:rPr>
        <w:t>a</w:t>
      </w:r>
      <w:r w:rsidRPr="008C181A">
        <w:rPr>
          <w:lang w:val="en-US"/>
        </w:rPr>
        <w:t xml:space="preserve">; </w:t>
      </w:r>
      <w:r w:rsidR="003A77AF" w:rsidRPr="008C181A">
        <w:rPr>
          <w:lang w:val="en-US"/>
        </w:rPr>
        <w:t>Hussein</w:t>
      </w:r>
      <w:r w:rsidR="009164DA" w:rsidRPr="008C181A">
        <w:rPr>
          <w:lang w:val="en-US"/>
        </w:rPr>
        <w:t xml:space="preserve"> et al.</w:t>
      </w:r>
      <w:r w:rsidR="003A77AF" w:rsidRPr="008C181A">
        <w:rPr>
          <w:lang w:val="en-US"/>
        </w:rPr>
        <w:t>, 2009)</w:t>
      </w:r>
      <w:r w:rsidR="00F2359F" w:rsidRPr="008C181A">
        <w:rPr>
          <w:lang w:val="en-US"/>
        </w:rPr>
        <w:t>.</w:t>
      </w:r>
      <w:r w:rsidR="002E1C1F" w:rsidRPr="008C181A">
        <w:rPr>
          <w:lang w:val="en-US"/>
        </w:rPr>
        <w:t xml:space="preserve"> </w:t>
      </w:r>
      <w:r w:rsidR="00B04F70" w:rsidRPr="008C181A">
        <w:rPr>
          <w:lang w:val="en-US"/>
        </w:rPr>
        <w:t xml:space="preserve">Recruitment strategies </w:t>
      </w:r>
      <w:r w:rsidR="00EA6CE7" w:rsidRPr="008C181A">
        <w:rPr>
          <w:lang w:val="en-US"/>
        </w:rPr>
        <w:t xml:space="preserve">for new staff </w:t>
      </w:r>
      <w:r w:rsidR="00B04F70" w:rsidRPr="008C181A">
        <w:rPr>
          <w:lang w:val="en-US"/>
        </w:rPr>
        <w:t>should include an</w:t>
      </w:r>
      <w:r w:rsidR="004820F5" w:rsidRPr="008C181A">
        <w:rPr>
          <w:lang w:val="en-US"/>
        </w:rPr>
        <w:t xml:space="preserve"> assessment of intrinsic motivation to work in care</w:t>
      </w:r>
      <w:r w:rsidR="00B66B60" w:rsidRPr="008C181A">
        <w:rPr>
          <w:lang w:val="en-US"/>
        </w:rPr>
        <w:t xml:space="preserve"> and </w:t>
      </w:r>
      <w:r w:rsidR="00B04F70" w:rsidRPr="008C181A">
        <w:rPr>
          <w:lang w:val="en-US"/>
        </w:rPr>
        <w:t>background checks</w:t>
      </w:r>
      <w:r w:rsidR="00B66B60" w:rsidRPr="008C181A">
        <w:rPr>
          <w:lang w:val="en-US"/>
        </w:rPr>
        <w:t xml:space="preserve"> (Hutchison &amp; Kroese, 2016; Ramsey-Klawsnik &amp; Teaster, 2012). B</w:t>
      </w:r>
      <w:r w:rsidR="00872DD1" w:rsidRPr="008C181A">
        <w:rPr>
          <w:lang w:val="en-US"/>
        </w:rPr>
        <w:t>right</w:t>
      </w:r>
      <w:r w:rsidR="009164DA" w:rsidRPr="008C181A">
        <w:rPr>
          <w:lang w:val="en-US"/>
        </w:rPr>
        <w:t xml:space="preserve"> et al. </w:t>
      </w:r>
      <w:r w:rsidR="00B66B60" w:rsidRPr="008C181A">
        <w:rPr>
          <w:lang w:val="en-US"/>
        </w:rPr>
        <w:t>(</w:t>
      </w:r>
      <w:r w:rsidR="00872DD1" w:rsidRPr="008C181A">
        <w:rPr>
          <w:lang w:val="en-US"/>
        </w:rPr>
        <w:t>2018</w:t>
      </w:r>
      <w:r w:rsidR="00B66B60" w:rsidRPr="008C181A">
        <w:rPr>
          <w:lang w:val="en-US"/>
        </w:rPr>
        <w:t xml:space="preserve">) further suggested that involving families of service-users with </w:t>
      </w:r>
      <w:r w:rsidR="000D56BE" w:rsidRPr="008C181A">
        <w:rPr>
          <w:lang w:val="en-US"/>
        </w:rPr>
        <w:t>intellectual and other developmental disabilities</w:t>
      </w:r>
      <w:r w:rsidR="00B66B60" w:rsidRPr="008C181A">
        <w:rPr>
          <w:lang w:val="en-US"/>
        </w:rPr>
        <w:t xml:space="preserve"> in the training and </w:t>
      </w:r>
      <w:r w:rsidR="00022D7A" w:rsidRPr="008C181A">
        <w:rPr>
          <w:lang w:val="en-US"/>
        </w:rPr>
        <w:t xml:space="preserve">the </w:t>
      </w:r>
      <w:r w:rsidR="00B66B60" w:rsidRPr="008C181A">
        <w:rPr>
          <w:lang w:val="en-US"/>
        </w:rPr>
        <w:t>recruitment</w:t>
      </w:r>
      <w:r w:rsidR="00022D7A" w:rsidRPr="008C181A">
        <w:rPr>
          <w:lang w:val="en-US"/>
        </w:rPr>
        <w:t xml:space="preserve"> of </w:t>
      </w:r>
      <w:r w:rsidR="00B66B60" w:rsidRPr="008C181A">
        <w:rPr>
          <w:lang w:val="en-US"/>
        </w:rPr>
        <w:t xml:space="preserve">staff could help to increase understanding and empathy </w:t>
      </w:r>
      <w:r w:rsidR="00022D7A" w:rsidRPr="008C181A">
        <w:rPr>
          <w:lang w:val="en-US"/>
        </w:rPr>
        <w:t>towards</w:t>
      </w:r>
      <w:r w:rsidR="00B66B60" w:rsidRPr="008C181A">
        <w:rPr>
          <w:lang w:val="en-US"/>
        </w:rPr>
        <w:t xml:space="preserve"> each other.</w:t>
      </w:r>
      <w:r w:rsidR="00872DD1" w:rsidRPr="008C181A">
        <w:rPr>
          <w:lang w:val="en-US"/>
        </w:rPr>
        <w:t xml:space="preserve"> </w:t>
      </w:r>
    </w:p>
    <w:p w14:paraId="245B6E54" w14:textId="1C989BD7" w:rsidR="00695C37" w:rsidRPr="008C181A" w:rsidRDefault="003A77AF" w:rsidP="00B167B8">
      <w:pPr>
        <w:spacing w:after="0" w:line="480" w:lineRule="auto"/>
        <w:ind w:firstLine="720"/>
        <w:rPr>
          <w:lang w:val="en-US"/>
        </w:rPr>
      </w:pPr>
      <w:r w:rsidRPr="008C181A">
        <w:rPr>
          <w:lang w:val="en-US"/>
        </w:rPr>
        <w:t xml:space="preserve">Most importantly, service-users themselves should be given more control and feel empowered to direct their own safeguarding by providing clear information </w:t>
      </w:r>
      <w:r w:rsidR="00241D25" w:rsidRPr="008C181A">
        <w:rPr>
          <w:lang w:val="en-US"/>
        </w:rPr>
        <w:t xml:space="preserve">to them </w:t>
      </w:r>
      <w:r w:rsidRPr="008C181A">
        <w:rPr>
          <w:lang w:val="en-US"/>
        </w:rPr>
        <w:t xml:space="preserve">about what constitutes abuse and the safeguarding referral process (Hollomotz, 2012). For example, findings </w:t>
      </w:r>
      <w:r w:rsidRPr="008C181A">
        <w:rPr>
          <w:lang w:val="en-US"/>
        </w:rPr>
        <w:lastRenderedPageBreak/>
        <w:t>highlight</w:t>
      </w:r>
      <w:r w:rsidR="00DA45F0" w:rsidRPr="008C181A">
        <w:rPr>
          <w:lang w:val="en-US"/>
        </w:rPr>
        <w:t>ed</w:t>
      </w:r>
      <w:r w:rsidRPr="008C181A">
        <w:rPr>
          <w:lang w:val="en-US"/>
        </w:rPr>
        <w:t xml:space="preserve"> the importance of providing sex education </w:t>
      </w:r>
      <w:r w:rsidR="00022D7A" w:rsidRPr="008C181A">
        <w:rPr>
          <w:lang w:val="en-US"/>
        </w:rPr>
        <w:t xml:space="preserve">and assertiveness training </w:t>
      </w:r>
      <w:r w:rsidRPr="008C181A">
        <w:rPr>
          <w:lang w:val="en-US"/>
        </w:rPr>
        <w:t xml:space="preserve">to </w:t>
      </w:r>
      <w:r w:rsidR="00087B0A" w:rsidRPr="008C181A">
        <w:rPr>
          <w:lang w:val="en-US"/>
        </w:rPr>
        <w:t>p</w:t>
      </w:r>
      <w:r w:rsidRPr="008C181A">
        <w:rPr>
          <w:lang w:val="en-US"/>
        </w:rPr>
        <w:t>eople with intellectual disabilities to help with prevention and early detection of sexual abuse (Cambridge et al., 2011</w:t>
      </w:r>
      <w:r w:rsidR="000C340E" w:rsidRPr="008C181A">
        <w:rPr>
          <w:lang w:val="en-US"/>
        </w:rPr>
        <w:t>a</w:t>
      </w:r>
      <w:r w:rsidR="00087B0A" w:rsidRPr="008C181A">
        <w:rPr>
          <w:lang w:val="en-US"/>
        </w:rPr>
        <w:t>; Turk &amp; Brown, 1993</w:t>
      </w:r>
      <w:r w:rsidRPr="008C181A">
        <w:rPr>
          <w:lang w:val="en-US"/>
        </w:rPr>
        <w:t>). Additionally, service users should have an independent advocate who can notice and raise concerns on their behalf (Bright</w:t>
      </w:r>
      <w:r w:rsidR="009164DA" w:rsidRPr="008C181A">
        <w:rPr>
          <w:lang w:val="en-US"/>
        </w:rPr>
        <w:t xml:space="preserve"> et al.</w:t>
      </w:r>
      <w:r w:rsidRPr="008C181A">
        <w:rPr>
          <w:lang w:val="en-US"/>
        </w:rPr>
        <w:t>, 2018).</w:t>
      </w:r>
    </w:p>
    <w:p w14:paraId="3623A131" w14:textId="77777777" w:rsidR="003349AB" w:rsidRPr="008C181A" w:rsidRDefault="003349AB" w:rsidP="00B167B8">
      <w:pPr>
        <w:spacing w:after="0" w:line="480" w:lineRule="auto"/>
        <w:ind w:firstLine="720"/>
        <w:rPr>
          <w:lang w:val="en-US"/>
        </w:rPr>
      </w:pPr>
    </w:p>
    <w:p w14:paraId="388628FE" w14:textId="17F57980" w:rsidR="00EA3E0A" w:rsidRPr="008C181A" w:rsidRDefault="00EA3E0A" w:rsidP="00B167B8">
      <w:pPr>
        <w:spacing w:after="0" w:line="480" w:lineRule="auto"/>
        <w:rPr>
          <w:b/>
          <w:bCs/>
          <w:lang w:val="en-US"/>
        </w:rPr>
      </w:pPr>
      <w:r w:rsidRPr="008C181A">
        <w:rPr>
          <w:b/>
          <w:bCs/>
          <w:lang w:val="en-US"/>
        </w:rPr>
        <w:t>Tools to detect abuse</w:t>
      </w:r>
    </w:p>
    <w:p w14:paraId="5A3E3A7A" w14:textId="3057D0E9" w:rsidR="00502380" w:rsidRPr="008C181A" w:rsidRDefault="00501AD1" w:rsidP="00B167B8">
      <w:pPr>
        <w:spacing w:after="0" w:line="480" w:lineRule="auto"/>
        <w:ind w:firstLine="720"/>
        <w:rPr>
          <w:lang w:val="en-US"/>
        </w:rPr>
      </w:pPr>
      <w:r w:rsidRPr="008C181A">
        <w:rPr>
          <w:lang w:val="en-US"/>
        </w:rPr>
        <w:t xml:space="preserve">Authors of </w:t>
      </w:r>
      <w:r w:rsidR="000B481F" w:rsidRPr="008C181A">
        <w:rPr>
          <w:lang w:val="en-US"/>
        </w:rPr>
        <w:t>6</w:t>
      </w:r>
      <w:r w:rsidR="003C53C6" w:rsidRPr="008C181A">
        <w:rPr>
          <w:lang w:val="en-US"/>
        </w:rPr>
        <w:t xml:space="preserve"> </w:t>
      </w:r>
      <w:r w:rsidRPr="008C181A">
        <w:rPr>
          <w:lang w:val="en-US"/>
        </w:rPr>
        <w:t xml:space="preserve">of the </w:t>
      </w:r>
      <w:r w:rsidR="00B525D2" w:rsidRPr="008C181A">
        <w:rPr>
          <w:lang w:val="en-US"/>
        </w:rPr>
        <w:t>4</w:t>
      </w:r>
      <w:r w:rsidR="00682BE2" w:rsidRPr="008C181A">
        <w:rPr>
          <w:lang w:val="en-US"/>
        </w:rPr>
        <w:t>8</w:t>
      </w:r>
      <w:r w:rsidRPr="008C181A">
        <w:rPr>
          <w:lang w:val="en-US"/>
        </w:rPr>
        <w:t xml:space="preserve"> studies referred to specific tools</w:t>
      </w:r>
      <w:r w:rsidR="003C53C6" w:rsidRPr="008C181A">
        <w:rPr>
          <w:lang w:val="en-US"/>
        </w:rPr>
        <w:t xml:space="preserve"> that could be used</w:t>
      </w:r>
      <w:r w:rsidRPr="008C181A">
        <w:rPr>
          <w:lang w:val="en-US"/>
        </w:rPr>
        <w:t xml:space="preserve"> to aid in the detection of abuse within services for </w:t>
      </w:r>
      <w:r w:rsidR="00FB3EAF" w:rsidRPr="008C181A">
        <w:rPr>
          <w:lang w:val="en-US"/>
        </w:rPr>
        <w:t xml:space="preserve">people with </w:t>
      </w:r>
      <w:r w:rsidR="00111F1A" w:rsidRPr="008C181A">
        <w:rPr>
          <w:lang w:val="en-US"/>
        </w:rPr>
        <w:t>intellectual and other developmental disabilities</w:t>
      </w:r>
      <w:r w:rsidR="004C0B63" w:rsidRPr="008C181A">
        <w:rPr>
          <w:lang w:val="en-US"/>
        </w:rPr>
        <w:t>,</w:t>
      </w:r>
      <w:r w:rsidR="003C53C6" w:rsidRPr="008C181A">
        <w:rPr>
          <w:lang w:val="en-US"/>
        </w:rPr>
        <w:t xml:space="preserve"> including </w:t>
      </w:r>
      <w:r w:rsidR="00502380" w:rsidRPr="008C181A">
        <w:rPr>
          <w:lang w:val="en-US"/>
        </w:rPr>
        <w:t>surveillance</w:t>
      </w:r>
      <w:r w:rsidR="003C53C6" w:rsidRPr="008C181A">
        <w:rPr>
          <w:lang w:val="en-US"/>
        </w:rPr>
        <w:t xml:space="preserve"> technology</w:t>
      </w:r>
      <w:r w:rsidR="000B481F" w:rsidRPr="008C181A">
        <w:rPr>
          <w:lang w:val="en-US"/>
        </w:rPr>
        <w:t xml:space="preserve">, </w:t>
      </w:r>
      <w:r w:rsidR="003C53C6" w:rsidRPr="008C181A">
        <w:rPr>
          <w:lang w:val="en-US"/>
        </w:rPr>
        <w:t>an assessment of culture</w:t>
      </w:r>
      <w:r w:rsidR="000B481F" w:rsidRPr="008C181A">
        <w:rPr>
          <w:lang w:val="en-US"/>
        </w:rPr>
        <w:t>, ward atmosphere and social climate.</w:t>
      </w:r>
    </w:p>
    <w:p w14:paraId="5A5D3EBC" w14:textId="00CB7638" w:rsidR="00502380" w:rsidRPr="008C181A" w:rsidRDefault="00502380" w:rsidP="00B167B8">
      <w:pPr>
        <w:spacing w:after="0" w:line="480" w:lineRule="auto"/>
        <w:ind w:firstLine="720"/>
        <w:rPr>
          <w:rFonts w:cstheme="minorHAnsi"/>
          <w:lang w:val="en-US"/>
        </w:rPr>
      </w:pPr>
      <w:r w:rsidRPr="008C181A">
        <w:rPr>
          <w:lang w:val="en-US"/>
        </w:rPr>
        <w:t>Evidence from the current review suggest</w:t>
      </w:r>
      <w:r w:rsidR="00AB4AE2" w:rsidRPr="008C181A">
        <w:rPr>
          <w:lang w:val="en-US"/>
        </w:rPr>
        <w:t>ed</w:t>
      </w:r>
      <w:r w:rsidRPr="008C181A">
        <w:rPr>
          <w:lang w:val="en-US"/>
        </w:rPr>
        <w:t xml:space="preserve"> s</w:t>
      </w:r>
      <w:r w:rsidR="00D76FCC" w:rsidRPr="008C181A">
        <w:rPr>
          <w:lang w:val="en-US"/>
        </w:rPr>
        <w:t>urveillance technology c</w:t>
      </w:r>
      <w:r w:rsidR="00AB4AE2" w:rsidRPr="008C181A">
        <w:rPr>
          <w:lang w:val="en-US"/>
        </w:rPr>
        <w:t>ould</w:t>
      </w:r>
      <w:r w:rsidR="00D76FCC" w:rsidRPr="008C181A">
        <w:rPr>
          <w:lang w:val="en-US"/>
        </w:rPr>
        <w:t xml:space="preserve"> contribute to the detection of abuse</w:t>
      </w:r>
      <w:r w:rsidR="00F108C1" w:rsidRPr="008C181A">
        <w:rPr>
          <w:lang w:val="en-US"/>
        </w:rPr>
        <w:t>,</w:t>
      </w:r>
      <w:r w:rsidR="00D76FCC" w:rsidRPr="008C181A">
        <w:rPr>
          <w:lang w:val="en-US"/>
        </w:rPr>
        <w:t xml:space="preserve"> and autonomy of service-users, but only if it is set in a truly person-centered approach (Niemeijer</w:t>
      </w:r>
      <w:r w:rsidR="009164DA" w:rsidRPr="008C181A">
        <w:rPr>
          <w:lang w:val="en-US"/>
        </w:rPr>
        <w:t xml:space="preserve"> et al.</w:t>
      </w:r>
      <w:r w:rsidR="00D76FCC" w:rsidRPr="008C181A">
        <w:rPr>
          <w:lang w:val="en-US"/>
        </w:rPr>
        <w:t xml:space="preserve">, 2015). Surveillance technology should support and enhance the capabilities of the client, </w:t>
      </w:r>
      <w:r w:rsidR="00B35750" w:rsidRPr="008C181A">
        <w:rPr>
          <w:lang w:val="en-US"/>
        </w:rPr>
        <w:t>re</w:t>
      </w:r>
      <w:r w:rsidR="00D76FCC" w:rsidRPr="008C181A">
        <w:rPr>
          <w:lang w:val="en-US"/>
        </w:rPr>
        <w:t>duc</w:t>
      </w:r>
      <w:r w:rsidR="00B35750" w:rsidRPr="008C181A">
        <w:rPr>
          <w:lang w:val="en-US"/>
        </w:rPr>
        <w:t>e</w:t>
      </w:r>
      <w:r w:rsidR="00D76FCC" w:rsidRPr="008C181A">
        <w:rPr>
          <w:lang w:val="en-US"/>
        </w:rPr>
        <w:t xml:space="preserve"> </w:t>
      </w:r>
      <w:r w:rsidR="00B35750" w:rsidRPr="008C181A">
        <w:rPr>
          <w:lang w:val="en-US"/>
        </w:rPr>
        <w:t>r</w:t>
      </w:r>
      <w:r w:rsidR="00D76FCC" w:rsidRPr="008C181A">
        <w:rPr>
          <w:lang w:val="en-US"/>
        </w:rPr>
        <w:t>estrictions, be based on a vision of its benefits and risks, involve staff who are equipped to work safely with surveillance technology, be user-friendly, and attend to the client (Niemeijer</w:t>
      </w:r>
      <w:r w:rsidR="009164DA" w:rsidRPr="008C181A">
        <w:rPr>
          <w:lang w:val="en-US"/>
        </w:rPr>
        <w:t xml:space="preserve"> et al.,</w:t>
      </w:r>
      <w:r w:rsidR="00D76FCC" w:rsidRPr="008C181A">
        <w:rPr>
          <w:lang w:val="en-US"/>
        </w:rPr>
        <w:t xml:space="preserve"> 2013). A clear and well-formulated vision for the use of surveillance technology that is understood and supported by all </w:t>
      </w:r>
      <w:r w:rsidR="00D76FCC" w:rsidRPr="008C181A">
        <w:rPr>
          <w:rFonts w:cstheme="minorHAnsi"/>
          <w:lang w:val="en-US"/>
        </w:rPr>
        <w:t>stakeholders is imperative to successful implementation (Niemeijer</w:t>
      </w:r>
      <w:r w:rsidR="009164DA" w:rsidRPr="008C181A">
        <w:rPr>
          <w:rFonts w:cstheme="minorHAnsi"/>
          <w:lang w:val="en-US"/>
        </w:rPr>
        <w:t xml:space="preserve"> et al.</w:t>
      </w:r>
      <w:r w:rsidR="00D76FCC" w:rsidRPr="008C181A">
        <w:rPr>
          <w:rFonts w:cstheme="minorHAnsi"/>
          <w:lang w:val="en-US"/>
        </w:rPr>
        <w:t xml:space="preserve">, 2014). </w:t>
      </w:r>
    </w:p>
    <w:p w14:paraId="40E5BFA3" w14:textId="7B5B1DB6" w:rsidR="003C53C6" w:rsidRPr="008C181A" w:rsidRDefault="006A01CD" w:rsidP="00095E0A">
      <w:pPr>
        <w:autoSpaceDE w:val="0"/>
        <w:autoSpaceDN w:val="0"/>
        <w:adjustRightInd w:val="0"/>
        <w:spacing w:after="0" w:line="480" w:lineRule="auto"/>
        <w:ind w:firstLine="720"/>
        <w:rPr>
          <w:rFonts w:cstheme="minorHAnsi"/>
          <w:lang w:val="en-US"/>
        </w:rPr>
      </w:pPr>
      <w:r w:rsidRPr="008C181A">
        <w:rPr>
          <w:rFonts w:cstheme="minorHAnsi"/>
          <w:lang w:val="en-US"/>
        </w:rPr>
        <w:t>Evidence also suggest</w:t>
      </w:r>
      <w:r w:rsidR="00AA1B47" w:rsidRPr="008C181A">
        <w:rPr>
          <w:rFonts w:cstheme="minorHAnsi"/>
          <w:lang w:val="en-US"/>
        </w:rPr>
        <w:t>ed</w:t>
      </w:r>
      <w:r w:rsidRPr="008C181A">
        <w:rPr>
          <w:rFonts w:cstheme="minorHAnsi"/>
          <w:lang w:val="en-US"/>
        </w:rPr>
        <w:t xml:space="preserve"> th</w:t>
      </w:r>
      <w:r w:rsidR="00241D25" w:rsidRPr="008C181A">
        <w:rPr>
          <w:rFonts w:cstheme="minorHAnsi"/>
          <w:lang w:val="en-US"/>
        </w:rPr>
        <w:t>at th</w:t>
      </w:r>
      <w:r w:rsidRPr="008C181A">
        <w:rPr>
          <w:rFonts w:cstheme="minorHAnsi"/>
          <w:lang w:val="en-US"/>
        </w:rPr>
        <w:t>e a</w:t>
      </w:r>
      <w:r w:rsidR="00FA30FA" w:rsidRPr="008C181A">
        <w:rPr>
          <w:rFonts w:cstheme="minorHAnsi"/>
          <w:lang w:val="en-US"/>
        </w:rPr>
        <w:t xml:space="preserve">ssessment of culture, atmosphere and social climate </w:t>
      </w:r>
      <w:r w:rsidRPr="008C181A">
        <w:rPr>
          <w:rFonts w:cstheme="minorHAnsi"/>
          <w:lang w:val="en-US"/>
        </w:rPr>
        <w:t>could</w:t>
      </w:r>
      <w:r w:rsidR="00FA30FA" w:rsidRPr="008C181A">
        <w:rPr>
          <w:rFonts w:cstheme="minorHAnsi"/>
          <w:lang w:val="en-US"/>
        </w:rPr>
        <w:t xml:space="preserve"> contribute towards the detection of abuse. </w:t>
      </w:r>
      <w:r w:rsidR="00C44FC7" w:rsidRPr="008C181A">
        <w:rPr>
          <w:rFonts w:cstheme="minorHAnsi"/>
          <w:lang w:val="en-US"/>
        </w:rPr>
        <w:t>Bakken</w:t>
      </w:r>
      <w:r w:rsidR="009164DA" w:rsidRPr="008C181A">
        <w:rPr>
          <w:rFonts w:cstheme="minorHAnsi"/>
          <w:lang w:val="en-US"/>
        </w:rPr>
        <w:t xml:space="preserve"> et al.</w:t>
      </w:r>
      <w:r w:rsidR="00C44FC7" w:rsidRPr="008C181A">
        <w:rPr>
          <w:rFonts w:cstheme="minorHAnsi"/>
          <w:lang w:val="en-US"/>
        </w:rPr>
        <w:t xml:space="preserve"> (2012) in Norway examined whether adults with intellectual disabilities c</w:t>
      </w:r>
      <w:r w:rsidR="00AA1B47" w:rsidRPr="008C181A">
        <w:rPr>
          <w:rFonts w:cstheme="minorHAnsi"/>
          <w:lang w:val="en-US"/>
        </w:rPr>
        <w:t>ould</w:t>
      </w:r>
      <w:r w:rsidR="00C44FC7" w:rsidRPr="008C181A">
        <w:rPr>
          <w:rFonts w:cstheme="minorHAnsi"/>
          <w:lang w:val="en-US"/>
        </w:rPr>
        <w:t xml:space="preserve"> reliably rate the Ward Atmosphere Scale-Real Wa</w:t>
      </w:r>
      <w:r w:rsidR="00B35750" w:rsidRPr="008C181A">
        <w:rPr>
          <w:rFonts w:cstheme="minorHAnsi"/>
          <w:lang w:val="en-US"/>
        </w:rPr>
        <w:t>r</w:t>
      </w:r>
      <w:r w:rsidR="00C44FC7" w:rsidRPr="008C181A">
        <w:rPr>
          <w:rFonts w:cstheme="minorHAnsi"/>
          <w:lang w:val="en-US"/>
        </w:rPr>
        <w:t xml:space="preserve">d (WAS-R), a self-report questionnaire comprised of </w:t>
      </w:r>
      <w:r w:rsidR="00C44FC7" w:rsidRPr="008C181A">
        <w:rPr>
          <w:rFonts w:cstheme="minorHAnsi"/>
        </w:rPr>
        <w:t xml:space="preserve">82 items rated on a four-point scale measuring involvement, support, spontaneity, autonomy, practical orientation, personal problem orientation, angry and aggressive behaviour, order and organisation, program clarity, staff control, and staff attitude to expressed feelings. However, findings suggested </w:t>
      </w:r>
      <w:r w:rsidR="00A02FE4" w:rsidRPr="008C181A">
        <w:rPr>
          <w:rFonts w:cstheme="minorHAnsi"/>
        </w:rPr>
        <w:t>participants req</w:t>
      </w:r>
      <w:r w:rsidR="00C44FC7" w:rsidRPr="008C181A">
        <w:rPr>
          <w:rFonts w:cstheme="minorHAnsi"/>
        </w:rPr>
        <w:t xml:space="preserve">uired help to complete the questionnaire with the interviewer needing to </w:t>
      </w:r>
      <w:r w:rsidR="0029564A" w:rsidRPr="008C181A">
        <w:rPr>
          <w:rFonts w:cstheme="minorHAnsi"/>
        </w:rPr>
        <w:t>reformulate</w:t>
      </w:r>
      <w:r w:rsidR="00C44FC7" w:rsidRPr="008C181A">
        <w:rPr>
          <w:rFonts w:cstheme="minorHAnsi"/>
        </w:rPr>
        <w:t xml:space="preserve"> difficult phrases or questions with double negation as well as provide practical examples of the content of the questions. Adults with moderate </w:t>
      </w:r>
      <w:r w:rsidR="00C44FC7" w:rsidRPr="008C181A">
        <w:rPr>
          <w:rFonts w:cstheme="minorHAnsi"/>
        </w:rPr>
        <w:lastRenderedPageBreak/>
        <w:t>intellectual disabilities compared to those with mild intellectual disabilities found the items particularly challenging and</w:t>
      </w:r>
      <w:r w:rsidR="002412ED" w:rsidRPr="008C181A">
        <w:rPr>
          <w:rFonts w:cstheme="minorHAnsi"/>
        </w:rPr>
        <w:t xml:space="preserve"> they</w:t>
      </w:r>
      <w:r w:rsidR="00C44FC7" w:rsidRPr="008C181A">
        <w:rPr>
          <w:rFonts w:cstheme="minorHAnsi"/>
        </w:rPr>
        <w:t xml:space="preserve"> could not rate the </w:t>
      </w:r>
      <w:r w:rsidR="002412ED" w:rsidRPr="008C181A">
        <w:rPr>
          <w:rFonts w:cstheme="minorHAnsi"/>
        </w:rPr>
        <w:t>questionnaire items</w:t>
      </w:r>
      <w:r w:rsidR="00C44FC7" w:rsidRPr="008C181A">
        <w:rPr>
          <w:rFonts w:cstheme="minorHAnsi"/>
        </w:rPr>
        <w:t xml:space="preserve"> reliably.</w:t>
      </w:r>
      <w:r w:rsidR="002412ED" w:rsidRPr="008C181A">
        <w:rPr>
          <w:rFonts w:cstheme="minorHAnsi"/>
          <w:lang w:val="en-US"/>
        </w:rPr>
        <w:t xml:space="preserve"> </w:t>
      </w:r>
      <w:r w:rsidR="008660E6" w:rsidRPr="008C181A">
        <w:rPr>
          <w:rFonts w:cstheme="minorHAnsi"/>
          <w:lang w:val="en-US"/>
        </w:rPr>
        <w:t>In contrast, f</w:t>
      </w:r>
      <w:r w:rsidR="002412ED" w:rsidRPr="008C181A">
        <w:rPr>
          <w:rFonts w:cstheme="minorHAnsi"/>
          <w:lang w:val="en-US"/>
        </w:rPr>
        <w:t>indings of a study conducted by Langdon</w:t>
      </w:r>
      <w:r w:rsidR="00E93E06" w:rsidRPr="008C181A">
        <w:rPr>
          <w:rFonts w:cstheme="minorHAnsi"/>
          <w:lang w:val="en-US"/>
        </w:rPr>
        <w:t xml:space="preserve"> et al.</w:t>
      </w:r>
      <w:r w:rsidR="002412ED" w:rsidRPr="008C181A">
        <w:rPr>
          <w:rFonts w:cstheme="minorHAnsi"/>
          <w:lang w:val="en-US"/>
        </w:rPr>
        <w:t xml:space="preserve"> (2006) showed</w:t>
      </w:r>
      <w:r w:rsidR="003802E9" w:rsidRPr="008C181A">
        <w:rPr>
          <w:rFonts w:cstheme="minorHAnsi"/>
          <w:lang w:val="en-US"/>
        </w:rPr>
        <w:t xml:space="preserve"> that </w:t>
      </w:r>
      <w:r w:rsidR="002412ED" w:rsidRPr="008C181A">
        <w:rPr>
          <w:rFonts w:cstheme="minorHAnsi"/>
          <w:lang w:val="en-US"/>
        </w:rPr>
        <w:t xml:space="preserve">the Correctional Institutions Environment Scale </w:t>
      </w:r>
      <w:r w:rsidR="003802E9" w:rsidRPr="008C181A">
        <w:rPr>
          <w:rFonts w:cstheme="minorHAnsi"/>
          <w:lang w:val="en-US"/>
        </w:rPr>
        <w:t>(</w:t>
      </w:r>
      <w:r w:rsidR="002412ED" w:rsidRPr="008C181A">
        <w:rPr>
          <w:rFonts w:cstheme="minorHAnsi"/>
          <w:lang w:val="en-US"/>
        </w:rPr>
        <w:t>a measure of social climate focusing on involvement, support, personal problem orientation, and staff control</w:t>
      </w:r>
      <w:r w:rsidR="003802E9" w:rsidRPr="008C181A">
        <w:rPr>
          <w:rFonts w:cstheme="minorHAnsi"/>
          <w:lang w:val="en-US"/>
        </w:rPr>
        <w:t xml:space="preserve">) could be used </w:t>
      </w:r>
      <w:r w:rsidR="002412ED" w:rsidRPr="008C181A">
        <w:rPr>
          <w:rFonts w:cstheme="minorHAnsi"/>
          <w:lang w:val="en-US"/>
        </w:rPr>
        <w:t xml:space="preserve">to investigate the staff and service-users’ perceptions of the social climate within a low and a </w:t>
      </w:r>
      <w:r w:rsidR="003E3F11" w:rsidRPr="008C181A">
        <w:rPr>
          <w:rFonts w:cstheme="minorHAnsi"/>
          <w:lang w:val="en-US"/>
        </w:rPr>
        <w:t>medium secure service</w:t>
      </w:r>
      <w:r w:rsidR="002412ED" w:rsidRPr="008C181A">
        <w:rPr>
          <w:rFonts w:cstheme="minorHAnsi"/>
          <w:lang w:val="en-US"/>
        </w:rPr>
        <w:t xml:space="preserve"> for adults with intellectual disabilities</w:t>
      </w:r>
      <w:r w:rsidR="00AA1B47" w:rsidRPr="008C181A">
        <w:rPr>
          <w:rFonts w:cstheme="minorHAnsi"/>
          <w:lang w:val="en-US"/>
        </w:rPr>
        <w:t>,</w:t>
      </w:r>
      <w:r w:rsidR="002412ED" w:rsidRPr="008C181A">
        <w:rPr>
          <w:rFonts w:cstheme="minorHAnsi"/>
          <w:lang w:val="en-US"/>
        </w:rPr>
        <w:t xml:space="preserve"> </w:t>
      </w:r>
      <w:r w:rsidR="003802E9" w:rsidRPr="008C181A">
        <w:rPr>
          <w:rFonts w:cstheme="minorHAnsi"/>
          <w:lang w:val="en-US"/>
        </w:rPr>
        <w:t xml:space="preserve">and the scale </w:t>
      </w:r>
      <w:r w:rsidR="002412ED" w:rsidRPr="008C181A">
        <w:rPr>
          <w:rFonts w:cstheme="minorHAnsi"/>
          <w:lang w:val="en-US"/>
        </w:rPr>
        <w:t>was valid for use within forensic services</w:t>
      </w:r>
      <w:r w:rsidR="00095E0A" w:rsidRPr="008C181A">
        <w:rPr>
          <w:rFonts w:cstheme="minorHAnsi"/>
          <w:lang w:val="en-US"/>
        </w:rPr>
        <w:t>.</w:t>
      </w:r>
      <w:r w:rsidR="008660E6" w:rsidRPr="008C181A">
        <w:rPr>
          <w:rFonts w:cstheme="minorHAnsi"/>
          <w:lang w:val="en-US"/>
        </w:rPr>
        <w:t xml:space="preserve"> </w:t>
      </w:r>
      <w:r w:rsidR="003802E9" w:rsidRPr="008C181A">
        <w:rPr>
          <w:rFonts w:cstheme="minorHAnsi"/>
          <w:lang w:val="en-US"/>
        </w:rPr>
        <w:t>Most promisingly</w:t>
      </w:r>
      <w:r w:rsidR="008660E6" w:rsidRPr="008C181A">
        <w:rPr>
          <w:rFonts w:cstheme="minorHAnsi"/>
          <w:lang w:val="en-US"/>
        </w:rPr>
        <w:t>, t</w:t>
      </w:r>
      <w:r w:rsidR="003C53C6" w:rsidRPr="008C181A">
        <w:rPr>
          <w:rFonts w:cstheme="minorHAnsi"/>
          <w:lang w:val="en-US"/>
        </w:rPr>
        <w:t>he Group Home Culture Scale</w:t>
      </w:r>
      <w:r w:rsidR="008660E6" w:rsidRPr="008C181A">
        <w:rPr>
          <w:rFonts w:cstheme="minorHAnsi"/>
          <w:lang w:val="en-US"/>
        </w:rPr>
        <w:t xml:space="preserve">, which </w:t>
      </w:r>
      <w:r w:rsidR="00502380" w:rsidRPr="008C181A">
        <w:rPr>
          <w:rFonts w:cstheme="minorHAnsi"/>
          <w:lang w:val="en-US"/>
        </w:rPr>
        <w:t>measures seven dimensions of organizational culture</w:t>
      </w:r>
      <w:r w:rsidR="003C53C6" w:rsidRPr="008C181A">
        <w:rPr>
          <w:rFonts w:cstheme="minorHAnsi"/>
          <w:lang w:val="en-US"/>
        </w:rPr>
        <w:t xml:space="preserve"> </w:t>
      </w:r>
      <w:r w:rsidR="00502380" w:rsidRPr="008C181A">
        <w:rPr>
          <w:rFonts w:cstheme="minorHAnsi"/>
          <w:lang w:val="en-US"/>
        </w:rPr>
        <w:t>in group homes</w:t>
      </w:r>
      <w:r w:rsidR="008660E6" w:rsidRPr="008C181A">
        <w:rPr>
          <w:rFonts w:cstheme="minorHAnsi"/>
          <w:lang w:val="en-US"/>
        </w:rPr>
        <w:t>, has acceptable</w:t>
      </w:r>
      <w:r w:rsidR="00AA1B47" w:rsidRPr="008C181A">
        <w:rPr>
          <w:rFonts w:ascii="Open Sans" w:hAnsi="Open Sans" w:cs="Open Sans"/>
          <w:shd w:val="clear" w:color="auto" w:fill="FFFFFF"/>
        </w:rPr>
        <w:t xml:space="preserve"> </w:t>
      </w:r>
      <w:r w:rsidR="008660E6" w:rsidRPr="008C181A">
        <w:rPr>
          <w:rFonts w:cstheme="minorHAnsi"/>
          <w:shd w:val="clear" w:color="auto" w:fill="FFFFFF"/>
        </w:rPr>
        <w:t>content and face</w:t>
      </w:r>
      <w:r w:rsidR="003802E9" w:rsidRPr="008C181A">
        <w:rPr>
          <w:rFonts w:cstheme="minorHAnsi"/>
          <w:shd w:val="clear" w:color="auto" w:fill="FFFFFF"/>
        </w:rPr>
        <w:t xml:space="preserve"> validity </w:t>
      </w:r>
      <w:r w:rsidR="008660E6" w:rsidRPr="008C181A">
        <w:rPr>
          <w:rFonts w:cstheme="minorHAnsi"/>
          <w:shd w:val="clear" w:color="auto" w:fill="FFFFFF"/>
        </w:rPr>
        <w:t>(</w:t>
      </w:r>
      <w:r w:rsidR="008660E6" w:rsidRPr="008C181A">
        <w:rPr>
          <w:rFonts w:cstheme="minorHAnsi"/>
          <w:lang w:val="en-US"/>
        </w:rPr>
        <w:t>Humphreys</w:t>
      </w:r>
      <w:r w:rsidR="009164DA" w:rsidRPr="008C181A">
        <w:rPr>
          <w:rFonts w:cstheme="minorHAnsi"/>
          <w:lang w:val="en-US"/>
        </w:rPr>
        <w:t xml:space="preserve"> et al.</w:t>
      </w:r>
      <w:r w:rsidR="008660E6" w:rsidRPr="008C181A">
        <w:rPr>
          <w:rFonts w:cstheme="minorHAnsi"/>
          <w:lang w:val="en-US"/>
        </w:rPr>
        <w:t>, 2020)</w:t>
      </w:r>
      <w:r w:rsidR="008660E6" w:rsidRPr="008C181A">
        <w:rPr>
          <w:rFonts w:ascii="Open Sans" w:hAnsi="Open Sans" w:cs="Open Sans"/>
          <w:shd w:val="clear" w:color="auto" w:fill="FFFFFF"/>
        </w:rPr>
        <w:t>.</w:t>
      </w:r>
      <w:r w:rsidR="00502380" w:rsidRPr="008C181A">
        <w:rPr>
          <w:rFonts w:cstheme="minorHAnsi"/>
          <w:lang w:val="en-US"/>
        </w:rPr>
        <w:t xml:space="preserve"> </w:t>
      </w:r>
      <w:r w:rsidR="008660E6" w:rsidRPr="008C181A">
        <w:rPr>
          <w:rFonts w:cstheme="minorHAnsi"/>
          <w:lang w:val="en-US"/>
        </w:rPr>
        <w:t>The Group Home Culture Scale is a self-report staff questionnaire measuring</w:t>
      </w:r>
      <w:r w:rsidR="00502380" w:rsidRPr="008C181A">
        <w:rPr>
          <w:rFonts w:cstheme="minorHAnsi"/>
        </w:rPr>
        <w:t xml:space="preserve">: (i) </w:t>
      </w:r>
      <w:r w:rsidR="007D7541" w:rsidRPr="008C181A">
        <w:rPr>
          <w:rFonts w:cstheme="minorHAnsi"/>
        </w:rPr>
        <w:t xml:space="preserve">the extent to which </w:t>
      </w:r>
      <w:r w:rsidR="00502380" w:rsidRPr="008C181A">
        <w:rPr>
          <w:rFonts w:cstheme="minorHAnsi"/>
        </w:rPr>
        <w:t>staff practices are directed towards enhancing the well-being of each resident</w:t>
      </w:r>
      <w:r w:rsidR="00502380" w:rsidRPr="008C181A">
        <w:rPr>
          <w:rFonts w:cstheme="minorHAnsi"/>
          <w:lang w:val="en-US"/>
        </w:rPr>
        <w:t>, (ii)</w:t>
      </w:r>
      <w:r w:rsidR="007D7541" w:rsidRPr="008C181A">
        <w:rPr>
          <w:rFonts w:cstheme="minorHAnsi"/>
          <w:lang w:val="en-US"/>
        </w:rPr>
        <w:t xml:space="preserve"> whether</w:t>
      </w:r>
      <w:r w:rsidR="00502380" w:rsidRPr="008C181A">
        <w:rPr>
          <w:rFonts w:cstheme="minorHAnsi"/>
          <w:lang w:val="en-US"/>
        </w:rPr>
        <w:t xml:space="preserve"> </w:t>
      </w:r>
      <w:r w:rsidR="00502380" w:rsidRPr="008C181A">
        <w:rPr>
          <w:rFonts w:cstheme="minorHAnsi"/>
        </w:rPr>
        <w:t xml:space="preserve">there are divisions within the staff team that have a detrimental influence on team dynamics, (iii) </w:t>
      </w:r>
      <w:r w:rsidR="003E3F11" w:rsidRPr="008C181A">
        <w:rPr>
          <w:rFonts w:cstheme="minorHAnsi"/>
        </w:rPr>
        <w:t>the extent to which the</w:t>
      </w:r>
      <w:r w:rsidR="00502380" w:rsidRPr="008C181A">
        <w:rPr>
          <w:rFonts w:cstheme="minorHAnsi"/>
        </w:rPr>
        <w:t xml:space="preserve"> supervisor engages in leadership practices that transmits and embeds the culture, (iv) staff positive perception of organizational support and priorities, (v) </w:t>
      </w:r>
      <w:r w:rsidR="007D7541" w:rsidRPr="008C181A">
        <w:rPr>
          <w:rFonts w:cstheme="minorHAnsi"/>
        </w:rPr>
        <w:t xml:space="preserve">the extent to which </w:t>
      </w:r>
      <w:r w:rsidR="00502380" w:rsidRPr="008C181A">
        <w:rPr>
          <w:rFonts w:cstheme="minorHAnsi"/>
        </w:rPr>
        <w:t>staff value the residents and the relationships they have with them, (vi)</w:t>
      </w:r>
      <w:r w:rsidR="007D7541" w:rsidRPr="008C181A">
        <w:rPr>
          <w:rFonts w:cstheme="minorHAnsi"/>
        </w:rPr>
        <w:t xml:space="preserve"> </w:t>
      </w:r>
      <w:r w:rsidR="003E3F11" w:rsidRPr="008C181A">
        <w:rPr>
          <w:rFonts w:cstheme="minorHAnsi"/>
        </w:rPr>
        <w:t>whether</w:t>
      </w:r>
      <w:r w:rsidR="00502380" w:rsidRPr="008C181A">
        <w:rPr>
          <w:rFonts w:cstheme="minorHAnsi"/>
        </w:rPr>
        <w:t xml:space="preserve"> there is social distance between staff and residents, where staff regard the residents to be </w:t>
      </w:r>
      <w:r w:rsidR="009C24CC" w:rsidRPr="008C181A">
        <w:rPr>
          <w:rFonts w:cstheme="minorHAnsi"/>
        </w:rPr>
        <w:t xml:space="preserve">not </w:t>
      </w:r>
      <w:r w:rsidR="00502380" w:rsidRPr="008C181A">
        <w:rPr>
          <w:rFonts w:cstheme="minorHAnsi"/>
        </w:rPr>
        <w:t xml:space="preserve">fundamentally different from themselves, and (vii) </w:t>
      </w:r>
      <w:r w:rsidR="003E3F11" w:rsidRPr="008C181A">
        <w:rPr>
          <w:rFonts w:cstheme="minorHAnsi"/>
        </w:rPr>
        <w:t xml:space="preserve">the extent to which </w:t>
      </w:r>
      <w:r w:rsidR="00502380" w:rsidRPr="008C181A">
        <w:rPr>
          <w:rFonts w:cstheme="minorHAnsi"/>
        </w:rPr>
        <w:t>staff members’ values align with the espoused values of the organization</w:t>
      </w:r>
      <w:r w:rsidR="00502380" w:rsidRPr="008C181A">
        <w:rPr>
          <w:rFonts w:cstheme="minorHAnsi"/>
          <w:lang w:val="en-US"/>
        </w:rPr>
        <w:t xml:space="preserve"> </w:t>
      </w:r>
      <w:r w:rsidR="003C53C6" w:rsidRPr="008C181A">
        <w:rPr>
          <w:rFonts w:cstheme="minorHAnsi"/>
          <w:lang w:val="en-US"/>
        </w:rPr>
        <w:t>(Humphreys</w:t>
      </w:r>
      <w:r w:rsidR="009164DA" w:rsidRPr="008C181A">
        <w:rPr>
          <w:rFonts w:cstheme="minorHAnsi"/>
          <w:lang w:val="en-US"/>
        </w:rPr>
        <w:t xml:space="preserve"> et al.</w:t>
      </w:r>
      <w:r w:rsidR="003C53C6" w:rsidRPr="008C181A">
        <w:rPr>
          <w:rFonts w:cstheme="minorHAnsi"/>
          <w:lang w:val="en-US"/>
        </w:rPr>
        <w:t>, 2020).</w:t>
      </w:r>
    </w:p>
    <w:p w14:paraId="6F70DE8B" w14:textId="77777777" w:rsidR="001A558D" w:rsidRPr="008C181A" w:rsidRDefault="001A558D" w:rsidP="00095E0A">
      <w:pPr>
        <w:autoSpaceDE w:val="0"/>
        <w:autoSpaceDN w:val="0"/>
        <w:adjustRightInd w:val="0"/>
        <w:spacing w:after="0" w:line="480" w:lineRule="auto"/>
        <w:ind w:firstLine="720"/>
        <w:rPr>
          <w:rFonts w:cstheme="minorHAnsi"/>
        </w:rPr>
      </w:pPr>
    </w:p>
    <w:p w14:paraId="4D6F52BD" w14:textId="0D270CD5" w:rsidR="00032190" w:rsidRPr="008C181A" w:rsidRDefault="00032190" w:rsidP="00095E0A">
      <w:pPr>
        <w:spacing w:after="0" w:line="480" w:lineRule="auto"/>
        <w:rPr>
          <w:b/>
          <w:bCs/>
          <w:lang w:val="en-US"/>
        </w:rPr>
      </w:pPr>
      <w:r w:rsidRPr="008C181A">
        <w:rPr>
          <w:b/>
          <w:bCs/>
          <w:lang w:val="en-US"/>
        </w:rPr>
        <w:t>External monitoring</w:t>
      </w:r>
    </w:p>
    <w:p w14:paraId="514D91EE" w14:textId="5231047F" w:rsidR="003E5BFC" w:rsidRPr="008C181A" w:rsidRDefault="00032190" w:rsidP="00B167B8">
      <w:pPr>
        <w:spacing w:after="0" w:line="480" w:lineRule="auto"/>
        <w:ind w:firstLine="720"/>
        <w:rPr>
          <w:lang w:val="en-US"/>
        </w:rPr>
      </w:pPr>
      <w:r w:rsidRPr="008C181A">
        <w:rPr>
          <w:lang w:val="en-US"/>
        </w:rPr>
        <w:t>Authors of 1</w:t>
      </w:r>
      <w:r w:rsidR="003E5BFC" w:rsidRPr="008C181A">
        <w:rPr>
          <w:lang w:val="en-US"/>
        </w:rPr>
        <w:t>5</w:t>
      </w:r>
      <w:r w:rsidRPr="008C181A">
        <w:rPr>
          <w:lang w:val="en-US"/>
        </w:rPr>
        <w:t xml:space="preserve"> of the </w:t>
      </w:r>
      <w:r w:rsidR="00B525D2" w:rsidRPr="008C181A">
        <w:rPr>
          <w:lang w:val="en-US"/>
        </w:rPr>
        <w:t>4</w:t>
      </w:r>
      <w:r w:rsidR="00682BE2" w:rsidRPr="008C181A">
        <w:rPr>
          <w:lang w:val="en-US"/>
        </w:rPr>
        <w:t>8</w:t>
      </w:r>
      <w:r w:rsidRPr="008C181A">
        <w:rPr>
          <w:lang w:val="en-US"/>
        </w:rPr>
        <w:t xml:space="preserve"> studies made recommendations for how external monitoring of services could be improved to increase the likelihood of abuse being detected within services. Recommendations included ensuring investigators have sufficient time, resources, supervision, access to expert consultation and appropriate training (e.g., on the risk factors for abuse) to ensure they are able to investigate a case thoroughly, promptly, and with as much information as possible (Abner et al., 2019; Ramsey-Klawsnik</w:t>
      </w:r>
      <w:r w:rsidR="00BD6B39" w:rsidRPr="008C181A">
        <w:rPr>
          <w:lang w:val="en-US"/>
        </w:rPr>
        <w:t xml:space="preserve"> &amp;</w:t>
      </w:r>
      <w:r w:rsidRPr="008C181A">
        <w:rPr>
          <w:lang w:val="en-US"/>
        </w:rPr>
        <w:t xml:space="preserve"> Teaster, 2012; Rees &amp; Manthorpe, 2010). </w:t>
      </w:r>
      <w:r w:rsidR="003E5BFC" w:rsidRPr="008C181A">
        <w:rPr>
          <w:lang w:val="en-US"/>
        </w:rPr>
        <w:t xml:space="preserve">Furthermore, </w:t>
      </w:r>
      <w:r w:rsidR="003E5BFC" w:rsidRPr="008C181A">
        <w:rPr>
          <w:lang w:val="en-US"/>
        </w:rPr>
        <w:lastRenderedPageBreak/>
        <w:t>information concerning early indicators of abuse need</w:t>
      </w:r>
      <w:r w:rsidR="00E475AC" w:rsidRPr="008C181A">
        <w:rPr>
          <w:lang w:val="en-US"/>
        </w:rPr>
        <w:t>ed</w:t>
      </w:r>
      <w:r w:rsidR="003E5BFC" w:rsidRPr="008C181A">
        <w:rPr>
          <w:lang w:val="en-US"/>
        </w:rPr>
        <w:t xml:space="preserve"> to be shared with professionals and family carers to enable them to identify and express their concerns. Likewise, information about early indicators </w:t>
      </w:r>
      <w:r w:rsidR="00E475AC" w:rsidRPr="008C181A">
        <w:rPr>
          <w:lang w:val="en-US"/>
        </w:rPr>
        <w:t>wa</w:t>
      </w:r>
      <w:r w:rsidR="003E5BFC" w:rsidRPr="008C181A">
        <w:rPr>
          <w:lang w:val="en-US"/>
        </w:rPr>
        <w:t xml:space="preserve">s also required within the wider care system, so that commissioners, senior </w:t>
      </w:r>
      <w:r w:rsidR="0070696A" w:rsidRPr="008C181A">
        <w:rPr>
          <w:lang w:val="en-US"/>
        </w:rPr>
        <w:t>managers,</w:t>
      </w:r>
      <w:r w:rsidR="003E5BFC" w:rsidRPr="008C181A">
        <w:rPr>
          <w:lang w:val="en-US"/>
        </w:rPr>
        <w:t xml:space="preserve"> and decision makers </w:t>
      </w:r>
      <w:r w:rsidR="00E475AC" w:rsidRPr="008C181A">
        <w:rPr>
          <w:lang w:val="en-US"/>
        </w:rPr>
        <w:t>we</w:t>
      </w:r>
      <w:r w:rsidR="003E5BFC" w:rsidRPr="008C181A">
        <w:rPr>
          <w:lang w:val="en-US"/>
        </w:rPr>
        <w:t>re equipped to recognize and respond effectively to such concerns (Marsland</w:t>
      </w:r>
      <w:r w:rsidR="00095E0A" w:rsidRPr="008C181A">
        <w:rPr>
          <w:lang w:val="en-US"/>
        </w:rPr>
        <w:t xml:space="preserve"> et al.</w:t>
      </w:r>
      <w:r w:rsidR="003E5BFC" w:rsidRPr="008C181A">
        <w:rPr>
          <w:lang w:val="en-US"/>
        </w:rPr>
        <w:t>, 2007). Additionally, research protocols should be utilized to ensure researchers visiting services also respond systematically and effectively to disclosures (Sammet</w:t>
      </w:r>
      <w:r w:rsidR="00095E0A" w:rsidRPr="008C181A">
        <w:rPr>
          <w:lang w:val="en-US"/>
        </w:rPr>
        <w:t xml:space="preserve"> et al.</w:t>
      </w:r>
      <w:r w:rsidR="003E5BFC" w:rsidRPr="008C181A">
        <w:rPr>
          <w:lang w:val="en-US"/>
        </w:rPr>
        <w:t xml:space="preserve">, 2019). </w:t>
      </w:r>
    </w:p>
    <w:p w14:paraId="404EF582" w14:textId="4370E3BE" w:rsidR="00032190" w:rsidRPr="008C181A" w:rsidRDefault="00032190" w:rsidP="00B167B8">
      <w:pPr>
        <w:spacing w:after="0" w:line="480" w:lineRule="auto"/>
        <w:ind w:firstLine="720"/>
        <w:rPr>
          <w:lang w:val="en-US"/>
        </w:rPr>
      </w:pPr>
      <w:r w:rsidRPr="008C181A">
        <w:rPr>
          <w:lang w:val="en-US"/>
        </w:rPr>
        <w:t>More broadly, a review of adult protection record-keeping practices was recommended to ensure a more consistent and detailed approach across regions for adult protection case management and social work practices (Cambridge et al., 2011</w:t>
      </w:r>
      <w:r w:rsidR="000C340E" w:rsidRPr="008C181A">
        <w:rPr>
          <w:lang w:val="en-US"/>
        </w:rPr>
        <w:t>b</w:t>
      </w:r>
      <w:r w:rsidRPr="008C181A">
        <w:rPr>
          <w:lang w:val="en-US"/>
        </w:rPr>
        <w:t xml:space="preserve">; Fyson, 2015; Manthorpe &amp; Martineau, 2015), as well as computerized recording and case management tools which aid, rather than hinder, effective practice (Fyson &amp; Kitson, 2012). More specifically, Manthorpe &amp; Martineau (2015) recommended the monitoring of out-of-area placements and effective collation of concerns. Further, mental health services and practitioners should routinely engage and utilize mainstream adult protection-reporting arrangements (Cambridge et al., 2011a; Cambridge et al., 2011b). Other recommendations included unannounced inspections, and assessments of the culture of care providers (Halladay &amp; Harrington, 2015). </w:t>
      </w:r>
      <w:r w:rsidR="007375D8" w:rsidRPr="008C181A">
        <w:rPr>
          <w:lang w:val="en-US"/>
        </w:rPr>
        <w:t xml:space="preserve">Further research is required that includes the development of observational tools and evaluation measures that can be used by researchers and regulators to better identify abuse within services </w:t>
      </w:r>
      <w:r w:rsidRPr="008C181A">
        <w:rPr>
          <w:lang w:val="en-US"/>
        </w:rPr>
        <w:t xml:space="preserve">(Bigby &amp; Beadle-Brown, 2016; Hollomotz, 2012). </w:t>
      </w:r>
      <w:r w:rsidR="00E475AC" w:rsidRPr="008C181A">
        <w:rPr>
          <w:lang w:val="en-US"/>
        </w:rPr>
        <w:t>It was recommended that f</w:t>
      </w:r>
      <w:r w:rsidRPr="008C181A">
        <w:rPr>
          <w:lang w:val="en-US"/>
        </w:rPr>
        <w:t>acilities that fail to adequately protect residents, fail to train employees regarding resident abuse, or fail to respond appropriately to alleged abuse must be sanctioned and compelled to improve (Ramsey-Klawsnik</w:t>
      </w:r>
      <w:r w:rsidR="00BD6B39" w:rsidRPr="008C181A">
        <w:rPr>
          <w:lang w:val="en-US"/>
        </w:rPr>
        <w:t xml:space="preserve"> &amp;</w:t>
      </w:r>
      <w:r w:rsidR="00BB480A" w:rsidRPr="008C181A">
        <w:rPr>
          <w:lang w:val="en-US"/>
        </w:rPr>
        <w:t xml:space="preserve"> </w:t>
      </w:r>
      <w:r w:rsidR="00BD6B39" w:rsidRPr="008C181A">
        <w:rPr>
          <w:lang w:val="en-US"/>
        </w:rPr>
        <w:t>T</w:t>
      </w:r>
      <w:r w:rsidRPr="008C181A">
        <w:rPr>
          <w:lang w:val="en-US"/>
        </w:rPr>
        <w:t>easter, 2012).</w:t>
      </w:r>
    </w:p>
    <w:p w14:paraId="0C9A40EE" w14:textId="77777777" w:rsidR="007375D8" w:rsidRPr="008C181A" w:rsidRDefault="007375D8" w:rsidP="00B167B8">
      <w:pPr>
        <w:spacing w:after="0" w:line="480" w:lineRule="auto"/>
        <w:ind w:firstLine="720"/>
        <w:rPr>
          <w:lang w:val="en-US"/>
        </w:rPr>
      </w:pPr>
    </w:p>
    <w:p w14:paraId="1FF32419" w14:textId="7BA05B55" w:rsidR="00940A51" w:rsidRPr="008C181A" w:rsidRDefault="00592FDF" w:rsidP="00F83335">
      <w:pPr>
        <w:spacing w:after="0" w:line="480" w:lineRule="auto"/>
        <w:jc w:val="center"/>
        <w:rPr>
          <w:b/>
          <w:bCs/>
          <w:lang w:val="en-US"/>
        </w:rPr>
      </w:pPr>
      <w:r w:rsidRPr="008C181A">
        <w:rPr>
          <w:b/>
          <w:bCs/>
          <w:lang w:val="en-US"/>
        </w:rPr>
        <w:t>Discussion</w:t>
      </w:r>
    </w:p>
    <w:p w14:paraId="4633CBC2" w14:textId="71985930" w:rsidR="007E4868" w:rsidRPr="008C181A" w:rsidRDefault="00C920F7" w:rsidP="00B167B8">
      <w:pPr>
        <w:spacing w:after="0" w:line="480" w:lineRule="auto"/>
        <w:ind w:firstLine="720"/>
        <w:rPr>
          <w:rFonts w:cstheme="minorHAnsi"/>
        </w:rPr>
      </w:pPr>
      <w:r w:rsidRPr="008C181A">
        <w:rPr>
          <w:lang w:val="en-US"/>
        </w:rPr>
        <w:t xml:space="preserve">The current systematic review aimed to </w:t>
      </w:r>
      <w:r w:rsidRPr="008C181A">
        <w:rPr>
          <w:rFonts w:cstheme="minorHAnsi"/>
        </w:rPr>
        <w:t>highlight the risk and protective factors for abuse of adults with intellectual disabilities and other developmental disabilities</w:t>
      </w:r>
      <w:r w:rsidR="00241D25" w:rsidRPr="008C181A">
        <w:rPr>
          <w:rFonts w:cstheme="minorHAnsi"/>
        </w:rPr>
        <w:t xml:space="preserve"> in care services</w:t>
      </w:r>
      <w:r w:rsidRPr="008C181A">
        <w:rPr>
          <w:rFonts w:cstheme="minorHAnsi"/>
        </w:rPr>
        <w:t>, and</w:t>
      </w:r>
      <w:r w:rsidR="003A4F58" w:rsidRPr="008C181A">
        <w:rPr>
          <w:rFonts w:cstheme="minorHAnsi"/>
        </w:rPr>
        <w:t xml:space="preserve"> to</w:t>
      </w:r>
      <w:r w:rsidRPr="008C181A">
        <w:rPr>
          <w:rFonts w:cstheme="minorHAnsi"/>
        </w:rPr>
        <w:t xml:space="preserve"> identify any assessment tools or interventions designed to prevent or detect abuse</w:t>
      </w:r>
      <w:r w:rsidR="00095E0A" w:rsidRPr="008C181A">
        <w:rPr>
          <w:rFonts w:cstheme="minorHAnsi"/>
        </w:rPr>
        <w:t>.</w:t>
      </w:r>
      <w:r w:rsidRPr="008C181A">
        <w:rPr>
          <w:rFonts w:cstheme="minorHAnsi"/>
        </w:rPr>
        <w:t xml:space="preserve"> </w:t>
      </w:r>
    </w:p>
    <w:p w14:paraId="599A3C94" w14:textId="77777777" w:rsidR="00DA52CE" w:rsidRPr="008C181A" w:rsidRDefault="00FB2F21" w:rsidP="00B167B8">
      <w:pPr>
        <w:spacing w:after="0" w:line="480" w:lineRule="auto"/>
        <w:ind w:firstLine="720"/>
        <w:rPr>
          <w:lang w:val="en-US"/>
        </w:rPr>
      </w:pPr>
      <w:r w:rsidRPr="008C181A">
        <w:rPr>
          <w:rFonts w:cstheme="minorHAnsi"/>
        </w:rPr>
        <w:lastRenderedPageBreak/>
        <w:t xml:space="preserve">This is the only review to date to </w:t>
      </w:r>
      <w:r w:rsidR="009A12AB" w:rsidRPr="008C181A">
        <w:rPr>
          <w:rFonts w:cstheme="minorHAnsi"/>
        </w:rPr>
        <w:t xml:space="preserve">provide a comprehensive summary of the global evidence related </w:t>
      </w:r>
      <w:r w:rsidRPr="008C181A">
        <w:rPr>
          <w:rFonts w:cstheme="minorHAnsi"/>
        </w:rPr>
        <w:t xml:space="preserve">to </w:t>
      </w:r>
      <w:r w:rsidR="001A1DCE" w:rsidRPr="008C181A">
        <w:rPr>
          <w:rFonts w:cstheme="minorHAnsi"/>
        </w:rPr>
        <w:t>the</w:t>
      </w:r>
      <w:r w:rsidRPr="008C181A">
        <w:rPr>
          <w:rFonts w:cstheme="minorHAnsi"/>
        </w:rPr>
        <w:t xml:space="preserve"> abuse of adults with </w:t>
      </w:r>
      <w:r w:rsidR="0070696A" w:rsidRPr="008C181A">
        <w:rPr>
          <w:rFonts w:cstheme="minorHAnsi"/>
        </w:rPr>
        <w:t>intellectual and other developmental disabilities</w:t>
      </w:r>
      <w:r w:rsidR="001A1DCE" w:rsidRPr="008C181A">
        <w:rPr>
          <w:rFonts w:cstheme="minorHAnsi"/>
        </w:rPr>
        <w:t xml:space="preserve"> </w:t>
      </w:r>
      <w:r w:rsidRPr="008C181A">
        <w:rPr>
          <w:rFonts w:cstheme="minorHAnsi"/>
        </w:rPr>
        <w:t xml:space="preserve">within services. </w:t>
      </w:r>
      <w:r w:rsidR="006C0465" w:rsidRPr="008C181A">
        <w:rPr>
          <w:rFonts w:cstheme="minorHAnsi"/>
        </w:rPr>
        <w:t>S</w:t>
      </w:r>
      <w:r w:rsidR="00C920F7" w:rsidRPr="008C181A">
        <w:rPr>
          <w:rFonts w:cstheme="minorHAnsi"/>
        </w:rPr>
        <w:t>everal risk and protective factors have been highlighted relating to victim characteristics (e.g., severity of learning disabilities and associated communication difficulties), perpetrator characteristics (e.g.,</w:t>
      </w:r>
      <w:r w:rsidR="003802E9" w:rsidRPr="008C181A">
        <w:rPr>
          <w:rFonts w:cstheme="minorHAnsi"/>
        </w:rPr>
        <w:t xml:space="preserve"> low</w:t>
      </w:r>
      <w:r w:rsidR="00C920F7" w:rsidRPr="008C181A">
        <w:rPr>
          <w:rFonts w:cstheme="minorHAnsi"/>
        </w:rPr>
        <w:t xml:space="preserve"> intrinsic motivation to work in care, </w:t>
      </w:r>
      <w:r w:rsidR="003802E9" w:rsidRPr="008C181A">
        <w:rPr>
          <w:rFonts w:cstheme="minorHAnsi"/>
        </w:rPr>
        <w:t xml:space="preserve">limited </w:t>
      </w:r>
      <w:r w:rsidR="00C920F7" w:rsidRPr="008C181A">
        <w:rPr>
          <w:lang w:val="en-US"/>
        </w:rPr>
        <w:t>ability to cope with increasing stress</w:t>
      </w:r>
      <w:r w:rsidR="00AB5327" w:rsidRPr="008C181A">
        <w:rPr>
          <w:lang w:val="en-US"/>
        </w:rPr>
        <w:t>,</w:t>
      </w:r>
      <w:r w:rsidR="00C920F7" w:rsidRPr="008C181A">
        <w:rPr>
          <w:lang w:val="en-US"/>
        </w:rPr>
        <w:t xml:space="preserve"> and perceptions of service-users</w:t>
      </w:r>
      <w:r w:rsidR="00AB5327" w:rsidRPr="008C181A">
        <w:rPr>
          <w:lang w:val="en-US"/>
        </w:rPr>
        <w:t xml:space="preserve"> as ‘different’ from them</w:t>
      </w:r>
      <w:r w:rsidR="00C920F7" w:rsidRPr="008C181A">
        <w:rPr>
          <w:rFonts w:cstheme="minorHAnsi"/>
        </w:rPr>
        <w:t>), and organisational factors (e.g., poo</w:t>
      </w:r>
      <w:r w:rsidR="00C920F7" w:rsidRPr="008C181A">
        <w:rPr>
          <w:lang w:val="en-US"/>
        </w:rPr>
        <w:t>r leadership, staff shortages and/or high staff turnover, lack of reflective practice).</w:t>
      </w:r>
    </w:p>
    <w:p w14:paraId="117EBF5B" w14:textId="67548DB9" w:rsidR="007E4868" w:rsidRPr="008C181A" w:rsidRDefault="00DA52CE" w:rsidP="00B167B8">
      <w:pPr>
        <w:spacing w:after="0" w:line="480" w:lineRule="auto"/>
        <w:ind w:firstLine="720"/>
        <w:rPr>
          <w:lang w:val="en-US"/>
        </w:rPr>
      </w:pPr>
      <w:r w:rsidRPr="008C181A">
        <w:rPr>
          <w:lang w:val="en-US"/>
        </w:rPr>
        <w:t>T</w:t>
      </w:r>
      <w:r w:rsidR="00A1272C" w:rsidRPr="008C181A">
        <w:rPr>
          <w:lang w:val="en-US"/>
        </w:rPr>
        <w:t xml:space="preserve">o explain </w:t>
      </w:r>
      <w:r w:rsidR="00A12A68" w:rsidRPr="008C181A">
        <w:rPr>
          <w:lang w:val="en-US"/>
        </w:rPr>
        <w:t>abuse</w:t>
      </w:r>
      <w:r w:rsidR="00A1272C" w:rsidRPr="008C181A">
        <w:rPr>
          <w:lang w:val="en-US"/>
        </w:rPr>
        <w:t xml:space="preserve"> only in terms of single risk factors would</w:t>
      </w:r>
      <w:r w:rsidR="001A1DCE" w:rsidRPr="008C181A">
        <w:rPr>
          <w:lang w:val="en-US"/>
        </w:rPr>
        <w:t xml:space="preserve"> </w:t>
      </w:r>
      <w:r w:rsidR="00AB5327" w:rsidRPr="008C181A">
        <w:rPr>
          <w:lang w:val="en-US"/>
        </w:rPr>
        <w:t xml:space="preserve">be to </w:t>
      </w:r>
      <w:r w:rsidR="00A1272C" w:rsidRPr="008C181A">
        <w:rPr>
          <w:lang w:val="en-US"/>
        </w:rPr>
        <w:t xml:space="preserve">fail to address the complex underlying structures </w:t>
      </w:r>
      <w:r w:rsidR="00095E0A" w:rsidRPr="008C181A">
        <w:rPr>
          <w:lang w:val="en-US"/>
        </w:rPr>
        <w:t xml:space="preserve">that ultimately lead to an incident of abuse occurring </w:t>
      </w:r>
      <w:r w:rsidR="00A1272C" w:rsidRPr="008C181A">
        <w:rPr>
          <w:lang w:val="en-US"/>
        </w:rPr>
        <w:t>(Conner</w:t>
      </w:r>
      <w:r w:rsidR="00095E0A" w:rsidRPr="008C181A">
        <w:rPr>
          <w:lang w:val="en-US"/>
        </w:rPr>
        <w:t xml:space="preserve"> et al.</w:t>
      </w:r>
      <w:r w:rsidR="000C340E" w:rsidRPr="008C181A">
        <w:rPr>
          <w:lang w:val="en-US"/>
        </w:rPr>
        <w:t>,</w:t>
      </w:r>
      <w:r w:rsidR="00A1272C" w:rsidRPr="008C181A">
        <w:rPr>
          <w:lang w:val="en-US"/>
        </w:rPr>
        <w:t xml:space="preserve"> 2011)</w:t>
      </w:r>
      <w:r w:rsidR="007E4868" w:rsidRPr="008C181A">
        <w:rPr>
          <w:lang w:val="en-US"/>
        </w:rPr>
        <w:t>. Crossmaker (1986) and Sobsey (1994)</w:t>
      </w:r>
      <w:r w:rsidR="001A1DCE" w:rsidRPr="008C181A">
        <w:rPr>
          <w:lang w:val="en-US"/>
        </w:rPr>
        <w:t xml:space="preserve">, </w:t>
      </w:r>
      <w:r w:rsidR="00082488" w:rsidRPr="008C181A">
        <w:rPr>
          <w:lang w:val="en-US"/>
        </w:rPr>
        <w:t>35</w:t>
      </w:r>
      <w:r w:rsidR="001A1DCE" w:rsidRPr="008C181A">
        <w:rPr>
          <w:lang w:val="en-US"/>
        </w:rPr>
        <w:t xml:space="preserve"> years ago,</w:t>
      </w:r>
      <w:r w:rsidR="00A12A68" w:rsidRPr="008C181A">
        <w:rPr>
          <w:lang w:val="en-US"/>
        </w:rPr>
        <w:t xml:space="preserve"> recogni</w:t>
      </w:r>
      <w:r w:rsidR="00020818" w:rsidRPr="008C181A">
        <w:rPr>
          <w:lang w:val="en-US"/>
        </w:rPr>
        <w:t>s</w:t>
      </w:r>
      <w:r w:rsidR="00A12A68" w:rsidRPr="008C181A">
        <w:rPr>
          <w:lang w:val="en-US"/>
        </w:rPr>
        <w:t>ed the complexity of the issue when they</w:t>
      </w:r>
      <w:r w:rsidR="007E4868" w:rsidRPr="008C181A">
        <w:rPr>
          <w:lang w:val="en-US"/>
        </w:rPr>
        <w:t xml:space="preserve"> concluded that the isolation inherent in institutional settings contribute</w:t>
      </w:r>
      <w:r w:rsidR="001A1DCE" w:rsidRPr="008C181A">
        <w:rPr>
          <w:lang w:val="en-US"/>
        </w:rPr>
        <w:t>d</w:t>
      </w:r>
      <w:r w:rsidR="007E4868" w:rsidRPr="008C181A">
        <w:rPr>
          <w:lang w:val="en-US"/>
        </w:rPr>
        <w:t xml:space="preserve"> directly to abuse.</w:t>
      </w:r>
      <w:r w:rsidR="00CB02F7" w:rsidRPr="008C181A">
        <w:rPr>
          <w:lang w:val="en-US"/>
        </w:rPr>
        <w:t xml:space="preserve"> Since this time</w:t>
      </w:r>
      <w:r w:rsidR="007E4868" w:rsidRPr="008C181A">
        <w:rPr>
          <w:lang w:val="en-US"/>
        </w:rPr>
        <w:t xml:space="preserve"> </w:t>
      </w:r>
      <w:r w:rsidR="000A0FB7" w:rsidRPr="008C181A">
        <w:rPr>
          <w:lang w:val="en-US"/>
        </w:rPr>
        <w:t>t</w:t>
      </w:r>
      <w:r w:rsidR="00CB02F7" w:rsidRPr="008C181A">
        <w:rPr>
          <w:lang w:val="en-US"/>
        </w:rPr>
        <w:t xml:space="preserve">he deinstitutionalization movement and implementation of relevant policies have contributed towards increased awareness and efforts to improve the detection and prevention of abuse (through increased monitoring and interventions for example). Nevertheless, as recognized by Fisher et al. (2016) the victimization of people with intellectual and other developmental disabilities across the lifespan concerns a much wider societal problem that warrants further investigation and intervention. </w:t>
      </w:r>
      <w:r w:rsidR="00845B01" w:rsidRPr="008C181A">
        <w:rPr>
          <w:lang w:val="en-US"/>
        </w:rPr>
        <w:t>The</w:t>
      </w:r>
      <w:r w:rsidR="007E4868" w:rsidRPr="008C181A">
        <w:rPr>
          <w:lang w:val="en-US"/>
        </w:rPr>
        <w:t xml:space="preserve"> administrative structures</w:t>
      </w:r>
      <w:r w:rsidR="001A1DCE" w:rsidRPr="008C181A">
        <w:rPr>
          <w:lang w:val="en-US"/>
        </w:rPr>
        <w:t xml:space="preserve"> and processes,</w:t>
      </w:r>
      <w:r w:rsidR="007E4868" w:rsidRPr="008C181A">
        <w:rPr>
          <w:lang w:val="en-US"/>
        </w:rPr>
        <w:t xml:space="preserve"> such as ignoring the issue of abuse, the punishing </w:t>
      </w:r>
      <w:r w:rsidR="0067680D" w:rsidRPr="008C181A">
        <w:rPr>
          <w:lang w:val="en-US"/>
        </w:rPr>
        <w:t xml:space="preserve">or ignoring </w:t>
      </w:r>
      <w:r w:rsidR="007E4868" w:rsidRPr="008C181A">
        <w:rPr>
          <w:lang w:val="en-US"/>
        </w:rPr>
        <w:t>of reporters of suspected abuse</w:t>
      </w:r>
      <w:r w:rsidR="001A1DCE" w:rsidRPr="008C181A">
        <w:rPr>
          <w:lang w:val="en-US"/>
        </w:rPr>
        <w:t>,</w:t>
      </w:r>
      <w:r w:rsidR="007E4868" w:rsidRPr="008C181A">
        <w:rPr>
          <w:lang w:val="en-US"/>
        </w:rPr>
        <w:t xml:space="preserve"> and imposing unrealistic policies and procedures contribute to an atmosphere in which abuse become</w:t>
      </w:r>
      <w:r w:rsidR="00082488" w:rsidRPr="008C181A">
        <w:rPr>
          <w:lang w:val="en-US"/>
        </w:rPr>
        <w:t>s</w:t>
      </w:r>
      <w:r w:rsidR="007E4868" w:rsidRPr="008C181A">
        <w:rPr>
          <w:lang w:val="en-US"/>
        </w:rPr>
        <w:t xml:space="preserve"> pervasive. Both Crossmaker and Sobsey reference the dehumanization and devaluing attitudes of staff towards residents as major contributors to abusive environments</w:t>
      </w:r>
      <w:r w:rsidR="003A4F58" w:rsidRPr="008C181A">
        <w:rPr>
          <w:lang w:val="en-US"/>
        </w:rPr>
        <w:t>, and although their research occurred some years ago, it remains relevant today</w:t>
      </w:r>
      <w:r w:rsidR="007E4868" w:rsidRPr="008C181A">
        <w:rPr>
          <w:lang w:val="en-US"/>
        </w:rPr>
        <w:t xml:space="preserve">. Given the difficulties experienced by the </w:t>
      </w:r>
      <w:r w:rsidR="00A12A68" w:rsidRPr="008C181A">
        <w:rPr>
          <w:lang w:val="en-US"/>
        </w:rPr>
        <w:t xml:space="preserve">UK </w:t>
      </w:r>
      <w:r w:rsidR="007E4868" w:rsidRPr="008C181A">
        <w:rPr>
          <w:lang w:val="en-US"/>
        </w:rPr>
        <w:t xml:space="preserve">government in implementing </w:t>
      </w:r>
      <w:r w:rsidR="007E4868" w:rsidRPr="008C181A">
        <w:rPr>
          <w:i/>
          <w:iCs/>
          <w:lang w:val="en-US"/>
        </w:rPr>
        <w:t>Transforming Care</w:t>
      </w:r>
      <w:r w:rsidR="0025072A" w:rsidRPr="008C181A">
        <w:rPr>
          <w:i/>
          <w:iCs/>
          <w:lang w:val="en-US"/>
        </w:rPr>
        <w:t xml:space="preserve"> </w:t>
      </w:r>
      <w:r w:rsidR="0025072A" w:rsidRPr="008C181A">
        <w:rPr>
          <w:lang w:val="en-US"/>
        </w:rPr>
        <w:t>(DOH, 2012)</w:t>
      </w:r>
      <w:r w:rsidR="007E4868" w:rsidRPr="008C181A">
        <w:rPr>
          <w:lang w:val="en-US"/>
        </w:rPr>
        <w:t xml:space="preserve">, it is </w:t>
      </w:r>
      <w:r w:rsidR="00A12A68" w:rsidRPr="008C181A">
        <w:rPr>
          <w:lang w:val="en-US"/>
        </w:rPr>
        <w:t>perhaps</w:t>
      </w:r>
      <w:r w:rsidR="007E4868" w:rsidRPr="008C181A">
        <w:rPr>
          <w:lang w:val="en-US"/>
        </w:rPr>
        <w:t xml:space="preserve"> unsurprising that the risk factors for abuse have largely remained consistent over the last thirty</w:t>
      </w:r>
      <w:r w:rsidR="00A516FE" w:rsidRPr="008C181A">
        <w:rPr>
          <w:lang w:val="en-US"/>
        </w:rPr>
        <w:t>-five</w:t>
      </w:r>
      <w:r w:rsidR="007E4868" w:rsidRPr="008C181A">
        <w:rPr>
          <w:lang w:val="en-US"/>
        </w:rPr>
        <w:t xml:space="preserve"> years</w:t>
      </w:r>
      <w:r w:rsidR="00A12A68" w:rsidRPr="008C181A">
        <w:rPr>
          <w:lang w:val="en-US"/>
        </w:rPr>
        <w:t xml:space="preserve">. </w:t>
      </w:r>
      <w:r w:rsidR="00845B01" w:rsidRPr="008C181A">
        <w:rPr>
          <w:lang w:val="en-US"/>
        </w:rPr>
        <w:t>Nevertheless, the current review demonstra</w:t>
      </w:r>
      <w:r w:rsidR="00CB02F7" w:rsidRPr="008C181A">
        <w:rPr>
          <w:lang w:val="en-US"/>
        </w:rPr>
        <w:t>tes</w:t>
      </w:r>
      <w:r w:rsidR="00845B01" w:rsidRPr="008C181A">
        <w:rPr>
          <w:lang w:val="en-US"/>
        </w:rPr>
        <w:t xml:space="preserve"> </w:t>
      </w:r>
      <w:r w:rsidR="00CB02F7" w:rsidRPr="008C181A">
        <w:rPr>
          <w:lang w:val="en-US"/>
        </w:rPr>
        <w:t xml:space="preserve">that </w:t>
      </w:r>
      <w:r w:rsidR="00845B01" w:rsidRPr="008C181A">
        <w:rPr>
          <w:lang w:val="en-US"/>
        </w:rPr>
        <w:t xml:space="preserve">there is a growing body of literature pertaining to the risk and protective factors for abuse of adults with intellectual and other developmental disabilities. </w:t>
      </w:r>
      <w:r w:rsidR="00A12A68" w:rsidRPr="008C181A">
        <w:rPr>
          <w:lang w:val="en-US"/>
        </w:rPr>
        <w:t>F</w:t>
      </w:r>
      <w:r w:rsidR="007E4868" w:rsidRPr="008C181A">
        <w:rPr>
          <w:lang w:val="en-US"/>
        </w:rPr>
        <w:t>inding</w:t>
      </w:r>
      <w:r w:rsidR="0067680D" w:rsidRPr="008C181A">
        <w:rPr>
          <w:lang w:val="en-US"/>
        </w:rPr>
        <w:t>s</w:t>
      </w:r>
      <w:r w:rsidR="007E4868" w:rsidRPr="008C181A">
        <w:rPr>
          <w:lang w:val="en-US"/>
        </w:rPr>
        <w:t xml:space="preserve"> of the current review</w:t>
      </w:r>
      <w:r w:rsidR="00A12A68" w:rsidRPr="008C181A">
        <w:rPr>
          <w:lang w:val="en-US"/>
        </w:rPr>
        <w:t xml:space="preserve"> </w:t>
      </w:r>
      <w:r w:rsidR="00A12A68" w:rsidRPr="008C181A">
        <w:rPr>
          <w:lang w:val="en-US"/>
        </w:rPr>
        <w:lastRenderedPageBreak/>
        <w:t>therefore</w:t>
      </w:r>
      <w:r w:rsidR="007E4868" w:rsidRPr="008C181A">
        <w:rPr>
          <w:lang w:val="en-US"/>
        </w:rPr>
        <w:t xml:space="preserve"> support recommendations made most recently following the independent review into Whorlton Hall (Murphy, 2020</w:t>
      </w:r>
      <w:r w:rsidR="00AB5327" w:rsidRPr="008C181A">
        <w:rPr>
          <w:lang w:val="en-US"/>
        </w:rPr>
        <w:t>a</w:t>
      </w:r>
      <w:r w:rsidR="007E4868" w:rsidRPr="008C181A">
        <w:rPr>
          <w:lang w:val="en-US"/>
        </w:rPr>
        <w:t>).</w:t>
      </w:r>
    </w:p>
    <w:p w14:paraId="14EA2061" w14:textId="42B2DDD1" w:rsidR="00411A78" w:rsidRPr="008C181A" w:rsidRDefault="007E4868" w:rsidP="00B167B8">
      <w:pPr>
        <w:spacing w:after="0" w:line="480" w:lineRule="auto"/>
        <w:ind w:firstLine="720"/>
        <w:rPr>
          <w:lang w:val="en-US"/>
        </w:rPr>
      </w:pPr>
      <w:r w:rsidRPr="008C181A">
        <w:rPr>
          <w:rFonts w:cstheme="minorHAnsi"/>
        </w:rPr>
        <w:t>Authors</w:t>
      </w:r>
      <w:r w:rsidR="00C920F7" w:rsidRPr="008C181A">
        <w:rPr>
          <w:rFonts w:cstheme="minorHAnsi"/>
        </w:rPr>
        <w:t xml:space="preserve"> of included studies make several recommendations for preventing and detecting abuse within care services</w:t>
      </w:r>
      <w:r w:rsidR="00116C11" w:rsidRPr="008C181A">
        <w:rPr>
          <w:rFonts w:cstheme="minorHAnsi"/>
        </w:rPr>
        <w:t>,</w:t>
      </w:r>
      <w:r w:rsidR="00C920F7" w:rsidRPr="008C181A">
        <w:rPr>
          <w:rFonts w:cstheme="minorHAnsi"/>
        </w:rPr>
        <w:t xml:space="preserve"> including: better supervision and training for direct care staff and investigators, better monitoring of out of area placements</w:t>
      </w:r>
      <w:r w:rsidR="00C920F7" w:rsidRPr="008C181A">
        <w:rPr>
          <w:lang w:val="en-US"/>
        </w:rPr>
        <w:t xml:space="preserve">, </w:t>
      </w:r>
      <w:r w:rsidR="00116C11" w:rsidRPr="008C181A">
        <w:rPr>
          <w:lang w:val="en-US"/>
        </w:rPr>
        <w:t xml:space="preserve">increased </w:t>
      </w:r>
      <w:r w:rsidR="00C920F7" w:rsidRPr="008C181A">
        <w:rPr>
          <w:lang w:val="en-US"/>
        </w:rPr>
        <w:t>inter</w:t>
      </w:r>
      <w:r w:rsidR="00116C11" w:rsidRPr="008C181A">
        <w:rPr>
          <w:lang w:val="en-US"/>
        </w:rPr>
        <w:t>-</w:t>
      </w:r>
      <w:r w:rsidR="00C920F7" w:rsidRPr="008C181A">
        <w:rPr>
          <w:lang w:val="en-US"/>
        </w:rPr>
        <w:t>professional</w:t>
      </w:r>
      <w:r w:rsidR="00095E0A" w:rsidRPr="008C181A">
        <w:rPr>
          <w:lang w:val="en-US"/>
        </w:rPr>
        <w:t xml:space="preserve"> </w:t>
      </w:r>
      <w:r w:rsidR="00C920F7" w:rsidRPr="008C181A">
        <w:rPr>
          <w:lang w:val="en-US"/>
        </w:rPr>
        <w:t>collaboration and expert consultation, regular unannounced visits by supervisors</w:t>
      </w:r>
      <w:r w:rsidR="00BE18A1" w:rsidRPr="008C181A">
        <w:rPr>
          <w:lang w:val="en-US"/>
        </w:rPr>
        <w:t>/inspectors</w:t>
      </w:r>
      <w:r w:rsidR="00C920F7" w:rsidRPr="008C181A">
        <w:rPr>
          <w:lang w:val="en-US"/>
        </w:rPr>
        <w:t xml:space="preserve">, </w:t>
      </w:r>
      <w:r w:rsidR="00FB2F21" w:rsidRPr="008C181A">
        <w:rPr>
          <w:lang w:val="en-US"/>
        </w:rPr>
        <w:t xml:space="preserve">CCTV monitoring, </w:t>
      </w:r>
      <w:r w:rsidR="00C920F7" w:rsidRPr="008C181A">
        <w:rPr>
          <w:lang w:val="en-US"/>
        </w:rPr>
        <w:t xml:space="preserve">and more control given to service-users themselves so that they can direct their own safeguarding with the support of advocacy services. </w:t>
      </w:r>
      <w:r w:rsidR="004F6E64" w:rsidRPr="008C181A">
        <w:rPr>
          <w:lang w:val="en-US"/>
        </w:rPr>
        <w:t>Despite</w:t>
      </w:r>
      <w:r w:rsidR="00A1272C" w:rsidRPr="008C181A">
        <w:rPr>
          <w:lang w:val="en-US"/>
        </w:rPr>
        <w:t xml:space="preserve"> self-referrals accounting for only 4% of referrals for adult protection (Mansell et al., 2009)</w:t>
      </w:r>
      <w:r w:rsidR="00116C11" w:rsidRPr="008C181A">
        <w:rPr>
          <w:lang w:val="en-US"/>
        </w:rPr>
        <w:t>,</w:t>
      </w:r>
      <w:r w:rsidR="00A1272C" w:rsidRPr="008C181A">
        <w:rPr>
          <w:lang w:val="en-US"/>
        </w:rPr>
        <w:t xml:space="preserve"> and i</w:t>
      </w:r>
      <w:r w:rsidR="004F6E64" w:rsidRPr="008C181A">
        <w:rPr>
          <w:lang w:val="en-US"/>
        </w:rPr>
        <w:t xml:space="preserve">ncreased awareness being highlighted as a protective factor against abuse, the current review </w:t>
      </w:r>
      <w:r w:rsidR="00A12A68" w:rsidRPr="008C181A">
        <w:rPr>
          <w:lang w:val="en-US"/>
        </w:rPr>
        <w:t xml:space="preserve">failed to </w:t>
      </w:r>
      <w:r w:rsidR="004F6E64" w:rsidRPr="008C181A">
        <w:rPr>
          <w:lang w:val="en-US"/>
        </w:rPr>
        <w:t>identif</w:t>
      </w:r>
      <w:r w:rsidR="00A12A68" w:rsidRPr="008C181A">
        <w:rPr>
          <w:lang w:val="en-US"/>
        </w:rPr>
        <w:t>y any</w:t>
      </w:r>
      <w:r w:rsidR="004F6E64" w:rsidRPr="008C181A">
        <w:rPr>
          <w:lang w:val="en-US"/>
        </w:rPr>
        <w:t xml:space="preserve"> </w:t>
      </w:r>
      <w:r w:rsidRPr="008C181A">
        <w:rPr>
          <w:lang w:val="en-US"/>
        </w:rPr>
        <w:t>empirically evaluated</w:t>
      </w:r>
      <w:r w:rsidR="004F6E64" w:rsidRPr="008C181A">
        <w:rPr>
          <w:lang w:val="en-US"/>
        </w:rPr>
        <w:t xml:space="preserve"> intervention</w:t>
      </w:r>
      <w:r w:rsidRPr="008C181A">
        <w:rPr>
          <w:lang w:val="en-US"/>
        </w:rPr>
        <w:t>s</w:t>
      </w:r>
      <w:r w:rsidR="003A4F58" w:rsidRPr="008C181A">
        <w:rPr>
          <w:lang w:val="en-US"/>
        </w:rPr>
        <w:t xml:space="preserve"> aimed at reducing abuse</w:t>
      </w:r>
      <w:r w:rsidR="004F6E64" w:rsidRPr="008C181A">
        <w:rPr>
          <w:lang w:val="en-US"/>
        </w:rPr>
        <w:t>.</w:t>
      </w:r>
      <w:r w:rsidR="00411A78" w:rsidRPr="008C181A">
        <w:rPr>
          <w:rFonts w:cstheme="minorHAnsi"/>
        </w:rPr>
        <w:t xml:space="preserve"> It is also important to consider that different types of abuse may require somewhat different approaches to detection and prevention, for example emotional or financial abuse is far less likely to be identified using CCTV monitoring in comparison to physical or sexual abuse.</w:t>
      </w:r>
    </w:p>
    <w:p w14:paraId="45DDD8F6" w14:textId="2E8BBFF1" w:rsidR="00A1272C" w:rsidRPr="008C181A" w:rsidRDefault="00C920F7" w:rsidP="00B167B8">
      <w:pPr>
        <w:spacing w:after="0" w:line="480" w:lineRule="auto"/>
        <w:ind w:firstLine="720"/>
        <w:rPr>
          <w:rFonts w:cstheme="minorHAnsi"/>
          <w:lang w:val="en-US"/>
        </w:rPr>
      </w:pPr>
      <w:r w:rsidRPr="008C181A">
        <w:rPr>
          <w:lang w:val="en-US"/>
        </w:rPr>
        <w:t>In addition, findings of the current review highlight</w:t>
      </w:r>
      <w:r w:rsidR="0067680D" w:rsidRPr="008C181A">
        <w:rPr>
          <w:lang w:val="en-US"/>
        </w:rPr>
        <w:t>ed</w:t>
      </w:r>
      <w:r w:rsidRPr="008C181A">
        <w:rPr>
          <w:lang w:val="en-US"/>
        </w:rPr>
        <w:t xml:space="preserve"> the </w:t>
      </w:r>
      <w:r w:rsidR="003A4F58" w:rsidRPr="008C181A">
        <w:rPr>
          <w:lang w:val="en-US"/>
        </w:rPr>
        <w:t xml:space="preserve">relative </w:t>
      </w:r>
      <w:r w:rsidR="00116C11" w:rsidRPr="008C181A">
        <w:rPr>
          <w:lang w:val="en-US"/>
        </w:rPr>
        <w:t xml:space="preserve">paucity </w:t>
      </w:r>
      <w:r w:rsidRPr="008C181A">
        <w:rPr>
          <w:rFonts w:cstheme="minorHAnsi"/>
        </w:rPr>
        <w:t>of research that has been conducted to devise and implement empirically validated, robust and reliable assessment tools for external investigators to utilise</w:t>
      </w:r>
      <w:r w:rsidR="00116C11" w:rsidRPr="008C181A">
        <w:rPr>
          <w:rFonts w:cstheme="minorHAnsi"/>
        </w:rPr>
        <w:t>,</w:t>
      </w:r>
      <w:r w:rsidRPr="008C181A">
        <w:rPr>
          <w:rFonts w:cstheme="minorHAnsi"/>
        </w:rPr>
        <w:t xml:space="preserve"> to inform their overall assessment of a service. </w:t>
      </w:r>
      <w:r w:rsidR="007E4868" w:rsidRPr="008C181A">
        <w:rPr>
          <w:lang w:val="en-US"/>
        </w:rPr>
        <w:t>The effect of culture on service quality is a variable that has been highlighted but an area where little research has been conducted (Walsh</w:t>
      </w:r>
      <w:r w:rsidR="00095E0A" w:rsidRPr="008C181A">
        <w:rPr>
          <w:lang w:val="en-US"/>
        </w:rPr>
        <w:t xml:space="preserve"> et al.</w:t>
      </w:r>
      <w:r w:rsidR="00ED18D5" w:rsidRPr="008C181A">
        <w:rPr>
          <w:lang w:val="en-US"/>
        </w:rPr>
        <w:t xml:space="preserve">, </w:t>
      </w:r>
      <w:r w:rsidR="007E4868" w:rsidRPr="008C181A">
        <w:rPr>
          <w:lang w:val="en-US"/>
        </w:rPr>
        <w:t xml:space="preserve">2010). </w:t>
      </w:r>
      <w:r w:rsidR="0067680D" w:rsidRPr="008C181A">
        <w:rPr>
          <w:lang w:val="en-US"/>
        </w:rPr>
        <w:t>The s</w:t>
      </w:r>
      <w:r w:rsidR="007E4868" w:rsidRPr="008C181A">
        <w:rPr>
          <w:lang w:val="en-US"/>
        </w:rPr>
        <w:t>imilarities between culture</w:t>
      </w:r>
      <w:r w:rsidR="0067680D" w:rsidRPr="008C181A">
        <w:rPr>
          <w:lang w:val="en-US"/>
        </w:rPr>
        <w:t>s</w:t>
      </w:r>
      <w:r w:rsidR="007E4868" w:rsidRPr="008C181A">
        <w:rPr>
          <w:lang w:val="en-US"/>
        </w:rPr>
        <w:t xml:space="preserve"> in </w:t>
      </w:r>
      <w:r w:rsidR="009A12AB" w:rsidRPr="008C181A">
        <w:rPr>
          <w:lang w:val="en-US"/>
        </w:rPr>
        <w:t>community and hospital provision care services</w:t>
      </w:r>
      <w:r w:rsidR="007E4868" w:rsidRPr="008C181A">
        <w:rPr>
          <w:lang w:val="en-US"/>
        </w:rPr>
        <w:t xml:space="preserve"> </w:t>
      </w:r>
      <w:r w:rsidR="00143013" w:rsidRPr="008C181A">
        <w:rPr>
          <w:lang w:val="en-US"/>
        </w:rPr>
        <w:t>have been</w:t>
      </w:r>
      <w:r w:rsidR="007E4868" w:rsidRPr="008C181A">
        <w:rPr>
          <w:lang w:val="en-US"/>
        </w:rPr>
        <w:t xml:space="preserve"> </w:t>
      </w:r>
      <w:r w:rsidR="0067680D" w:rsidRPr="008C181A">
        <w:rPr>
          <w:lang w:val="en-US"/>
        </w:rPr>
        <w:t xml:space="preserve">noted </w:t>
      </w:r>
      <w:r w:rsidR="007E4868" w:rsidRPr="008C181A">
        <w:rPr>
          <w:lang w:val="en-US"/>
        </w:rPr>
        <w:t xml:space="preserve">and more recently </w:t>
      </w:r>
      <w:r w:rsidR="00116C11" w:rsidRPr="008C181A">
        <w:rPr>
          <w:lang w:val="en-US"/>
        </w:rPr>
        <w:t xml:space="preserve">poor service </w:t>
      </w:r>
      <w:r w:rsidR="007E4868" w:rsidRPr="008C181A">
        <w:rPr>
          <w:lang w:val="en-US"/>
        </w:rPr>
        <w:t xml:space="preserve">culture has been </w:t>
      </w:r>
      <w:r w:rsidR="00116C11" w:rsidRPr="008C181A">
        <w:rPr>
          <w:lang w:val="en-US"/>
        </w:rPr>
        <w:t>identifi</w:t>
      </w:r>
      <w:r w:rsidR="007E4868" w:rsidRPr="008C181A">
        <w:rPr>
          <w:lang w:val="en-US"/>
        </w:rPr>
        <w:t xml:space="preserve">ed </w:t>
      </w:r>
      <w:r w:rsidR="00116C11" w:rsidRPr="008C181A">
        <w:rPr>
          <w:lang w:val="en-US"/>
        </w:rPr>
        <w:t xml:space="preserve">as a risk factor </w:t>
      </w:r>
      <w:r w:rsidR="007E4868" w:rsidRPr="008C181A">
        <w:rPr>
          <w:lang w:val="en-US"/>
        </w:rPr>
        <w:t>for the occurrence of abuse (Hutchison &amp; Kroese, 201</w:t>
      </w:r>
      <w:r w:rsidR="0025072A" w:rsidRPr="008C181A">
        <w:rPr>
          <w:lang w:val="en-US"/>
        </w:rPr>
        <w:t>6</w:t>
      </w:r>
      <w:r w:rsidR="007E4868" w:rsidRPr="008C181A">
        <w:rPr>
          <w:lang w:val="en-US"/>
        </w:rPr>
        <w:t xml:space="preserve">). </w:t>
      </w:r>
      <w:r w:rsidR="00116C11" w:rsidRPr="008C181A">
        <w:rPr>
          <w:lang w:val="en-US"/>
        </w:rPr>
        <w:t xml:space="preserve">Some </w:t>
      </w:r>
      <w:r w:rsidR="009A241A" w:rsidRPr="008C181A">
        <w:rPr>
          <w:lang w:val="en-US"/>
        </w:rPr>
        <w:t>generic tool</w:t>
      </w:r>
      <w:r w:rsidR="0067680D" w:rsidRPr="008C181A">
        <w:rPr>
          <w:lang w:val="en-US"/>
        </w:rPr>
        <w:t xml:space="preserve">s </w:t>
      </w:r>
      <w:r w:rsidR="009A241A" w:rsidRPr="008C181A">
        <w:rPr>
          <w:lang w:val="en-US"/>
        </w:rPr>
        <w:t xml:space="preserve">focusing on social climate and ward atmosphere have been devised </w:t>
      </w:r>
      <w:r w:rsidR="00116C11" w:rsidRPr="008C181A">
        <w:rPr>
          <w:lang w:val="en-US"/>
        </w:rPr>
        <w:t xml:space="preserve">and </w:t>
      </w:r>
      <w:r w:rsidR="0070696A" w:rsidRPr="008C181A">
        <w:rPr>
          <w:lang w:val="en-US"/>
        </w:rPr>
        <w:t>trialed</w:t>
      </w:r>
      <w:r w:rsidR="00116C11" w:rsidRPr="008C181A">
        <w:rPr>
          <w:lang w:val="en-US"/>
        </w:rPr>
        <w:t xml:space="preserve"> in </w:t>
      </w:r>
      <w:r w:rsidR="0070696A" w:rsidRPr="008C181A">
        <w:rPr>
          <w:lang w:val="en-US"/>
        </w:rPr>
        <w:t>intellectual disability</w:t>
      </w:r>
      <w:r w:rsidR="00116C11" w:rsidRPr="008C181A">
        <w:rPr>
          <w:lang w:val="en-US"/>
        </w:rPr>
        <w:t xml:space="preserve"> services </w:t>
      </w:r>
      <w:r w:rsidR="009A241A" w:rsidRPr="008C181A">
        <w:rPr>
          <w:lang w:val="en-US"/>
        </w:rPr>
        <w:t>(e.g., Langdon</w:t>
      </w:r>
      <w:r w:rsidR="00095E0A" w:rsidRPr="008C181A">
        <w:rPr>
          <w:lang w:val="en-US"/>
        </w:rPr>
        <w:t xml:space="preserve"> et al.</w:t>
      </w:r>
      <w:r w:rsidR="009A241A" w:rsidRPr="008C181A">
        <w:rPr>
          <w:lang w:val="en-US"/>
        </w:rPr>
        <w:t>, 20</w:t>
      </w:r>
      <w:r w:rsidR="00C40E72" w:rsidRPr="008C181A">
        <w:rPr>
          <w:lang w:val="en-US"/>
        </w:rPr>
        <w:t>06</w:t>
      </w:r>
      <w:r w:rsidR="009A241A" w:rsidRPr="008C181A">
        <w:rPr>
          <w:lang w:val="en-US"/>
        </w:rPr>
        <w:t>). However</w:t>
      </w:r>
      <w:r w:rsidR="007E4868" w:rsidRPr="008C181A">
        <w:rPr>
          <w:lang w:val="en-US"/>
        </w:rPr>
        <w:t xml:space="preserve">, </w:t>
      </w:r>
      <w:r w:rsidR="007E4868" w:rsidRPr="008C181A">
        <w:rPr>
          <w:rFonts w:cstheme="minorHAnsi"/>
        </w:rPr>
        <w:t>t</w:t>
      </w:r>
      <w:r w:rsidRPr="008C181A">
        <w:rPr>
          <w:rFonts w:cstheme="minorHAnsi"/>
        </w:rPr>
        <w:t>ools</w:t>
      </w:r>
      <w:r w:rsidR="009A241A" w:rsidRPr="008C181A">
        <w:rPr>
          <w:rFonts w:cstheme="minorHAnsi"/>
        </w:rPr>
        <w:t xml:space="preserve"> developed specifically for this population </w:t>
      </w:r>
      <w:r w:rsidRPr="008C181A">
        <w:rPr>
          <w:rFonts w:cstheme="minorHAnsi"/>
        </w:rPr>
        <w:t>may prove particularly useful and echo the recommendations proposed in the most recent independent review of the CQC conducted by Murphy (2020</w:t>
      </w:r>
      <w:r w:rsidR="00AB5327" w:rsidRPr="008C181A">
        <w:rPr>
          <w:rFonts w:cstheme="minorHAnsi"/>
        </w:rPr>
        <w:t>b</w:t>
      </w:r>
      <w:r w:rsidRPr="008C181A">
        <w:rPr>
          <w:rFonts w:cstheme="minorHAnsi"/>
        </w:rPr>
        <w:t xml:space="preserve">). </w:t>
      </w:r>
      <w:r w:rsidR="00116C11" w:rsidRPr="008C181A">
        <w:rPr>
          <w:rFonts w:cstheme="minorHAnsi"/>
        </w:rPr>
        <w:t xml:space="preserve">The </w:t>
      </w:r>
      <w:r w:rsidRPr="008C181A">
        <w:rPr>
          <w:rFonts w:cstheme="minorHAnsi"/>
        </w:rPr>
        <w:t xml:space="preserve">current review identified only one tool, the </w:t>
      </w:r>
      <w:r w:rsidRPr="008C181A">
        <w:rPr>
          <w:rFonts w:cstheme="minorHAnsi"/>
          <w:lang w:val="en-US"/>
        </w:rPr>
        <w:lastRenderedPageBreak/>
        <w:t>Group Home Culture Scale (Humphreys</w:t>
      </w:r>
      <w:r w:rsidR="00095E0A" w:rsidRPr="008C181A">
        <w:rPr>
          <w:rFonts w:cstheme="minorHAnsi"/>
          <w:lang w:val="en-US"/>
        </w:rPr>
        <w:t xml:space="preserve"> et al.</w:t>
      </w:r>
      <w:r w:rsidRPr="008C181A">
        <w:rPr>
          <w:rFonts w:cstheme="minorHAnsi"/>
          <w:lang w:val="en-US"/>
        </w:rPr>
        <w:t>, 2020)</w:t>
      </w:r>
      <w:r w:rsidR="0067680D" w:rsidRPr="008C181A">
        <w:rPr>
          <w:rFonts w:cstheme="minorHAnsi"/>
          <w:lang w:val="en-US"/>
        </w:rPr>
        <w:t>, which</w:t>
      </w:r>
      <w:r w:rsidR="00AB5327" w:rsidRPr="008C181A">
        <w:rPr>
          <w:rFonts w:cstheme="minorHAnsi"/>
          <w:lang w:val="en-US"/>
        </w:rPr>
        <w:t xml:space="preserve"> is promising but</w:t>
      </w:r>
      <w:r w:rsidR="009164DA" w:rsidRPr="008C181A">
        <w:rPr>
          <w:rFonts w:cstheme="minorHAnsi"/>
          <w:lang w:val="en-US"/>
        </w:rPr>
        <w:t xml:space="preserve"> </w:t>
      </w:r>
      <w:r w:rsidR="00EF42D6" w:rsidRPr="008C181A">
        <w:rPr>
          <w:rFonts w:cstheme="minorHAnsi"/>
          <w:lang w:val="en-US"/>
        </w:rPr>
        <w:t xml:space="preserve">was not developed to specifically detect abuse and </w:t>
      </w:r>
      <w:r w:rsidR="0067680D" w:rsidRPr="008C181A">
        <w:rPr>
          <w:rFonts w:cstheme="minorHAnsi"/>
          <w:lang w:val="en-US"/>
        </w:rPr>
        <w:t>has</w:t>
      </w:r>
      <w:r w:rsidR="00D46E8A" w:rsidRPr="008C181A">
        <w:rPr>
          <w:rFonts w:cstheme="minorHAnsi"/>
          <w:lang w:val="en-US"/>
        </w:rPr>
        <w:t xml:space="preserve"> n</w:t>
      </w:r>
      <w:r w:rsidR="007E4868" w:rsidRPr="008C181A">
        <w:rPr>
          <w:rFonts w:cstheme="minorHAnsi"/>
          <w:lang w:val="en-US"/>
        </w:rPr>
        <w:t xml:space="preserve">ot </w:t>
      </w:r>
      <w:r w:rsidR="00D46E8A" w:rsidRPr="008C181A">
        <w:rPr>
          <w:rFonts w:cstheme="minorHAnsi"/>
          <w:lang w:val="en-US"/>
        </w:rPr>
        <w:t xml:space="preserve">yet </w:t>
      </w:r>
      <w:r w:rsidR="007E4868" w:rsidRPr="008C181A">
        <w:rPr>
          <w:rFonts w:cstheme="minorHAnsi"/>
          <w:lang w:val="en-US"/>
        </w:rPr>
        <w:t xml:space="preserve">been </w:t>
      </w:r>
      <w:r w:rsidR="00FB2F21" w:rsidRPr="008C181A">
        <w:rPr>
          <w:rFonts w:cstheme="minorHAnsi"/>
          <w:lang w:val="en-US"/>
        </w:rPr>
        <w:t>standardized</w:t>
      </w:r>
      <w:r w:rsidR="007E4868" w:rsidRPr="008C181A">
        <w:rPr>
          <w:rFonts w:cstheme="minorHAnsi"/>
          <w:lang w:val="en-US"/>
        </w:rPr>
        <w:t xml:space="preserve"> or </w:t>
      </w:r>
      <w:r w:rsidR="00FB2F21" w:rsidRPr="008C181A">
        <w:rPr>
          <w:rFonts w:cstheme="minorHAnsi"/>
          <w:lang w:val="en-US"/>
        </w:rPr>
        <w:t xml:space="preserve">sufficiently </w:t>
      </w:r>
      <w:r w:rsidR="007E4868" w:rsidRPr="008C181A">
        <w:rPr>
          <w:rFonts w:cstheme="minorHAnsi"/>
          <w:lang w:val="en-US"/>
        </w:rPr>
        <w:t>empirically evaluated</w:t>
      </w:r>
      <w:r w:rsidR="00FB2F21" w:rsidRPr="008C181A">
        <w:rPr>
          <w:rFonts w:cstheme="minorHAnsi"/>
          <w:lang w:val="en-US"/>
        </w:rPr>
        <w:t>.</w:t>
      </w:r>
      <w:r w:rsidR="00411A78" w:rsidRPr="008C181A">
        <w:rPr>
          <w:rFonts w:cstheme="minorHAnsi"/>
          <w:lang w:val="en-US"/>
        </w:rPr>
        <w:t xml:space="preserve"> </w:t>
      </w:r>
    </w:p>
    <w:p w14:paraId="3BF3410B" w14:textId="2D59B558" w:rsidR="00B273B0" w:rsidRPr="008C181A" w:rsidRDefault="00B273B0" w:rsidP="00B167B8">
      <w:pPr>
        <w:spacing w:after="0" w:line="480" w:lineRule="auto"/>
        <w:rPr>
          <w:rFonts w:cstheme="minorHAnsi"/>
          <w:lang w:val="en-US"/>
        </w:rPr>
      </w:pPr>
    </w:p>
    <w:p w14:paraId="66D4D2AE" w14:textId="3484CD2A" w:rsidR="00F36585" w:rsidRPr="008C181A" w:rsidRDefault="00573782" w:rsidP="00B167B8">
      <w:pPr>
        <w:spacing w:after="0" w:line="480" w:lineRule="auto"/>
        <w:rPr>
          <w:b/>
          <w:bCs/>
          <w:lang w:val="en-US"/>
        </w:rPr>
      </w:pPr>
      <w:r w:rsidRPr="008C181A">
        <w:rPr>
          <w:b/>
          <w:bCs/>
          <w:lang w:val="en-US"/>
        </w:rPr>
        <w:t xml:space="preserve">Strengths and </w:t>
      </w:r>
      <w:r w:rsidR="00F83335" w:rsidRPr="008C181A">
        <w:rPr>
          <w:b/>
          <w:bCs/>
          <w:lang w:val="en-US"/>
        </w:rPr>
        <w:t>L</w:t>
      </w:r>
      <w:r w:rsidR="00F36585" w:rsidRPr="008C181A">
        <w:rPr>
          <w:b/>
          <w:bCs/>
          <w:lang w:val="en-US"/>
        </w:rPr>
        <w:t>imitations</w:t>
      </w:r>
      <w:r w:rsidR="00143013" w:rsidRPr="008C181A">
        <w:rPr>
          <w:b/>
          <w:bCs/>
          <w:lang w:val="en-US"/>
        </w:rPr>
        <w:t xml:space="preserve"> of </w:t>
      </w:r>
      <w:r w:rsidRPr="008C181A">
        <w:rPr>
          <w:b/>
          <w:bCs/>
          <w:lang w:val="en-US"/>
        </w:rPr>
        <w:t xml:space="preserve">the </w:t>
      </w:r>
      <w:r w:rsidR="00F83335" w:rsidRPr="008C181A">
        <w:rPr>
          <w:b/>
          <w:bCs/>
          <w:lang w:val="en-US"/>
        </w:rPr>
        <w:t>R</w:t>
      </w:r>
      <w:r w:rsidRPr="008C181A">
        <w:rPr>
          <w:b/>
          <w:bCs/>
          <w:lang w:val="en-US"/>
        </w:rPr>
        <w:t>eview</w:t>
      </w:r>
    </w:p>
    <w:p w14:paraId="0B0CDDDA" w14:textId="79D7B27C" w:rsidR="00573782" w:rsidRPr="008C181A" w:rsidRDefault="00D46E8A" w:rsidP="00B167B8">
      <w:pPr>
        <w:spacing w:after="0" w:line="480" w:lineRule="auto"/>
        <w:ind w:firstLine="720"/>
        <w:rPr>
          <w:rFonts w:cstheme="minorHAnsi"/>
        </w:rPr>
      </w:pPr>
      <w:r w:rsidRPr="008C181A">
        <w:rPr>
          <w:rFonts w:cstheme="minorHAnsi"/>
        </w:rPr>
        <w:t>All studies identified were included within this review despite their methodological quality; this decision was made due to a lack of completed controlled studies. Furthermore, including both qualitative and quantitative data led to a more comprehensive and deeper understanding of the abuse of adults with intellectual disabilities and other developmental disabilities. However, the review suggested current research</w:t>
      </w:r>
      <w:r w:rsidR="00F36585" w:rsidRPr="008C181A">
        <w:rPr>
          <w:rFonts w:cstheme="minorHAnsi"/>
        </w:rPr>
        <w:t xml:space="preserve"> is largely of poor methodological quality, composed predominantly of </w:t>
      </w:r>
      <w:r w:rsidR="00AB5327" w:rsidRPr="008C181A">
        <w:rPr>
          <w:rFonts w:cstheme="minorHAnsi"/>
        </w:rPr>
        <w:t xml:space="preserve">retrospective </w:t>
      </w:r>
      <w:r w:rsidR="00F36585" w:rsidRPr="008C181A">
        <w:rPr>
          <w:rFonts w:cstheme="minorHAnsi"/>
        </w:rPr>
        <w:t>descriptive data,</w:t>
      </w:r>
      <w:r w:rsidR="001C24A3" w:rsidRPr="008C181A">
        <w:rPr>
          <w:rFonts w:cstheme="minorHAnsi"/>
        </w:rPr>
        <w:t xml:space="preserve"> </w:t>
      </w:r>
      <w:r w:rsidR="00AB5327" w:rsidRPr="008C181A">
        <w:rPr>
          <w:rFonts w:cstheme="minorHAnsi"/>
        </w:rPr>
        <w:t xml:space="preserve">interviews with staff or carers, </w:t>
      </w:r>
      <w:r w:rsidR="001C24A3" w:rsidRPr="008C181A">
        <w:rPr>
          <w:rFonts w:cstheme="minorHAnsi"/>
        </w:rPr>
        <w:t>ethnographic field studies, or</w:t>
      </w:r>
      <w:r w:rsidR="00F36585" w:rsidRPr="008C181A">
        <w:rPr>
          <w:rFonts w:cstheme="minorHAnsi"/>
        </w:rPr>
        <w:t xml:space="preserve"> case study designs and/or small sample sizes. Only </w:t>
      </w:r>
      <w:r w:rsidRPr="008C181A">
        <w:rPr>
          <w:rFonts w:cstheme="minorHAnsi"/>
        </w:rPr>
        <w:t>a minority o</w:t>
      </w:r>
      <w:r w:rsidR="00F36585" w:rsidRPr="008C181A">
        <w:rPr>
          <w:rFonts w:cstheme="minorHAnsi"/>
        </w:rPr>
        <w:t xml:space="preserve">f studies included </w:t>
      </w:r>
      <w:r w:rsidR="00476439" w:rsidRPr="008C181A">
        <w:rPr>
          <w:rFonts w:cstheme="minorHAnsi"/>
        </w:rPr>
        <w:t xml:space="preserve">representative </w:t>
      </w:r>
      <w:r w:rsidR="00F36585" w:rsidRPr="008C181A">
        <w:rPr>
          <w:rFonts w:cstheme="minorHAnsi"/>
        </w:rPr>
        <w:t xml:space="preserve">a sample of people with </w:t>
      </w:r>
      <w:r w:rsidR="0070696A" w:rsidRPr="008C181A">
        <w:rPr>
          <w:rFonts w:cstheme="minorHAnsi"/>
        </w:rPr>
        <w:t>intellectual and other developmental disabilities</w:t>
      </w:r>
      <w:r w:rsidR="00F36585" w:rsidRPr="008C181A">
        <w:rPr>
          <w:rFonts w:cstheme="minorHAnsi"/>
        </w:rPr>
        <w:t xml:space="preserve">. </w:t>
      </w:r>
      <w:r w:rsidRPr="008C181A">
        <w:rPr>
          <w:rFonts w:cstheme="minorHAnsi"/>
        </w:rPr>
        <w:t xml:space="preserve">Consequently, </w:t>
      </w:r>
      <w:r w:rsidR="00F36585" w:rsidRPr="008C181A">
        <w:rPr>
          <w:rFonts w:cstheme="minorHAnsi"/>
        </w:rPr>
        <w:t>the validity and reliability of research findings</w:t>
      </w:r>
      <w:r w:rsidRPr="008C181A">
        <w:rPr>
          <w:rFonts w:cstheme="minorHAnsi"/>
        </w:rPr>
        <w:t xml:space="preserve"> is limited by the methodological limitations of the included studies</w:t>
      </w:r>
      <w:r w:rsidR="00F36585" w:rsidRPr="008C181A">
        <w:rPr>
          <w:rFonts w:cstheme="minorHAnsi"/>
        </w:rPr>
        <w:t xml:space="preserve">. </w:t>
      </w:r>
      <w:r w:rsidRPr="008C181A">
        <w:rPr>
          <w:rFonts w:cstheme="minorHAnsi"/>
        </w:rPr>
        <w:t xml:space="preserve">Furthermore, although the review highlighted the abuse of adults with intellectual and other developmental disabilities as a global issue, the majority of research has been conducted in the UK, therefore limiting our understanding of how abuse is detected </w:t>
      </w:r>
      <w:r w:rsidR="001A42C0" w:rsidRPr="008C181A">
        <w:rPr>
          <w:rFonts w:cstheme="minorHAnsi"/>
        </w:rPr>
        <w:t xml:space="preserve">and prevented </w:t>
      </w:r>
      <w:r w:rsidRPr="008C181A">
        <w:rPr>
          <w:rFonts w:cstheme="minorHAnsi"/>
        </w:rPr>
        <w:t>in other countries.</w:t>
      </w:r>
    </w:p>
    <w:p w14:paraId="7A2A9DFD" w14:textId="77777777" w:rsidR="00143013" w:rsidRPr="008C181A" w:rsidRDefault="00143013" w:rsidP="00B167B8">
      <w:pPr>
        <w:spacing w:after="0" w:line="480" w:lineRule="auto"/>
        <w:rPr>
          <w:b/>
          <w:bCs/>
          <w:lang w:val="en-US"/>
        </w:rPr>
      </w:pPr>
    </w:p>
    <w:p w14:paraId="3CDDC05B" w14:textId="03FE4CCD" w:rsidR="009E51C1" w:rsidRPr="008C181A" w:rsidRDefault="009B31FC" w:rsidP="00B167B8">
      <w:pPr>
        <w:spacing w:after="0" w:line="480" w:lineRule="auto"/>
        <w:rPr>
          <w:b/>
          <w:bCs/>
          <w:lang w:val="en-US"/>
        </w:rPr>
      </w:pPr>
      <w:r w:rsidRPr="008C181A">
        <w:rPr>
          <w:b/>
          <w:bCs/>
          <w:lang w:val="en-US"/>
        </w:rPr>
        <w:t>Future</w:t>
      </w:r>
      <w:r w:rsidR="009E51C1" w:rsidRPr="008C181A">
        <w:rPr>
          <w:b/>
          <w:bCs/>
          <w:lang w:val="en-US"/>
        </w:rPr>
        <w:t xml:space="preserve"> </w:t>
      </w:r>
      <w:r w:rsidR="00F83335" w:rsidRPr="008C181A">
        <w:rPr>
          <w:b/>
          <w:bCs/>
          <w:lang w:val="en-US"/>
        </w:rPr>
        <w:t>R</w:t>
      </w:r>
      <w:r w:rsidR="009E51C1" w:rsidRPr="008C181A">
        <w:rPr>
          <w:b/>
          <w:bCs/>
          <w:lang w:val="en-US"/>
        </w:rPr>
        <w:t>esearch</w:t>
      </w:r>
    </w:p>
    <w:p w14:paraId="6C835505" w14:textId="14D3C9E3" w:rsidR="00A75E7F" w:rsidRPr="008C181A" w:rsidRDefault="00143013" w:rsidP="00B167B8">
      <w:pPr>
        <w:spacing w:after="0" w:line="480" w:lineRule="auto"/>
        <w:ind w:firstLine="720"/>
        <w:rPr>
          <w:lang w:val="en-US"/>
        </w:rPr>
      </w:pPr>
      <w:r w:rsidRPr="008C181A">
        <w:rPr>
          <w:lang w:val="en-US"/>
        </w:rPr>
        <w:t xml:space="preserve">Further research is required to </w:t>
      </w:r>
      <w:r w:rsidR="009E51C1" w:rsidRPr="008C181A">
        <w:rPr>
          <w:lang w:val="en-US"/>
        </w:rPr>
        <w:t xml:space="preserve">explore </w:t>
      </w:r>
      <w:r w:rsidRPr="008C181A">
        <w:rPr>
          <w:lang w:val="en-US"/>
        </w:rPr>
        <w:t>the</w:t>
      </w:r>
      <w:r w:rsidR="009E51C1" w:rsidRPr="008C181A">
        <w:rPr>
          <w:lang w:val="en-US"/>
        </w:rPr>
        <w:t xml:space="preserve"> connection between culture and </w:t>
      </w:r>
      <w:r w:rsidRPr="008C181A">
        <w:rPr>
          <w:lang w:val="en-US"/>
        </w:rPr>
        <w:t>abuse</w:t>
      </w:r>
      <w:r w:rsidR="009E51C1" w:rsidRPr="008C181A">
        <w:rPr>
          <w:lang w:val="en-US"/>
        </w:rPr>
        <w:t xml:space="preserve">, and how cultures could be changed in a conscious way. </w:t>
      </w:r>
      <w:r w:rsidRPr="008C181A">
        <w:rPr>
          <w:lang w:val="en-US"/>
        </w:rPr>
        <w:t>Furthermore, a better understanding of how cultures impact on</w:t>
      </w:r>
      <w:r w:rsidR="009E51C1" w:rsidRPr="008C181A">
        <w:rPr>
          <w:lang w:val="en-US"/>
        </w:rPr>
        <w:t xml:space="preserve"> caregiving practice</w:t>
      </w:r>
      <w:r w:rsidRPr="008C181A">
        <w:rPr>
          <w:lang w:val="en-US"/>
        </w:rPr>
        <w:t xml:space="preserve"> is needed</w:t>
      </w:r>
      <w:r w:rsidR="009E51C1" w:rsidRPr="008C181A">
        <w:rPr>
          <w:lang w:val="en-US"/>
        </w:rPr>
        <w:t xml:space="preserve">. </w:t>
      </w:r>
      <w:r w:rsidRPr="008C181A">
        <w:rPr>
          <w:lang w:val="en-US"/>
        </w:rPr>
        <w:t>In addition, m</w:t>
      </w:r>
      <w:r w:rsidR="009E51C1" w:rsidRPr="008C181A">
        <w:rPr>
          <w:lang w:val="en-US"/>
        </w:rPr>
        <w:t xml:space="preserve">ore research on high quality services is needed </w:t>
      </w:r>
      <w:r w:rsidR="0029564A" w:rsidRPr="008C181A">
        <w:rPr>
          <w:lang w:val="en-US"/>
        </w:rPr>
        <w:t>to</w:t>
      </w:r>
      <w:r w:rsidRPr="008C181A">
        <w:rPr>
          <w:lang w:val="en-US"/>
        </w:rPr>
        <w:t xml:space="preserve"> identify further protective factors and share good practice.</w:t>
      </w:r>
      <w:r w:rsidR="001C24A3" w:rsidRPr="008C181A">
        <w:rPr>
          <w:lang w:val="en-US"/>
        </w:rPr>
        <w:t xml:space="preserve"> Lastly, empirically evaluated interventions to reduce the likelihood of abuse occurring in the future</w:t>
      </w:r>
      <w:r w:rsidR="00116C11" w:rsidRPr="008C181A">
        <w:rPr>
          <w:lang w:val="en-US"/>
        </w:rPr>
        <w:t>,</w:t>
      </w:r>
      <w:r w:rsidR="001C24A3" w:rsidRPr="008C181A">
        <w:rPr>
          <w:lang w:val="en-US"/>
        </w:rPr>
        <w:t xml:space="preserve"> and research to produce an assessment tool to detect </w:t>
      </w:r>
      <w:r w:rsidR="00AB5327" w:rsidRPr="008C181A">
        <w:rPr>
          <w:lang w:val="en-US"/>
        </w:rPr>
        <w:t xml:space="preserve">and predict </w:t>
      </w:r>
      <w:r w:rsidR="001C24A3" w:rsidRPr="008C181A">
        <w:rPr>
          <w:lang w:val="en-US"/>
        </w:rPr>
        <w:t>abuse that is reliable and valid would be beneficial.</w:t>
      </w:r>
      <w:r w:rsidRPr="008C181A">
        <w:rPr>
          <w:lang w:val="en-US"/>
        </w:rPr>
        <w:t xml:space="preserve"> </w:t>
      </w:r>
      <w:r w:rsidR="009E51C1" w:rsidRPr="008C181A">
        <w:rPr>
          <w:lang w:val="en-US"/>
        </w:rPr>
        <w:t>Continued research i</w:t>
      </w:r>
      <w:r w:rsidR="0019462D" w:rsidRPr="008C181A">
        <w:rPr>
          <w:lang w:val="en-US"/>
        </w:rPr>
        <w:t>n</w:t>
      </w:r>
      <w:r w:rsidR="009E51C1" w:rsidRPr="008C181A">
        <w:rPr>
          <w:lang w:val="en-US"/>
        </w:rPr>
        <w:t xml:space="preserve"> </w:t>
      </w:r>
      <w:r w:rsidRPr="008C181A">
        <w:rPr>
          <w:lang w:val="en-US"/>
        </w:rPr>
        <w:t xml:space="preserve">the area is </w:t>
      </w:r>
      <w:r w:rsidR="009E51C1" w:rsidRPr="008C181A">
        <w:rPr>
          <w:lang w:val="en-US"/>
        </w:rPr>
        <w:t xml:space="preserve">critical </w:t>
      </w:r>
      <w:r w:rsidR="00476439" w:rsidRPr="008C181A">
        <w:rPr>
          <w:lang w:val="en-US"/>
        </w:rPr>
        <w:t>to</w:t>
      </w:r>
      <w:r w:rsidR="009E51C1" w:rsidRPr="008C181A">
        <w:rPr>
          <w:lang w:val="en-US"/>
        </w:rPr>
        <w:t xml:space="preserve"> identify methods of preventing </w:t>
      </w:r>
      <w:r w:rsidRPr="008C181A">
        <w:rPr>
          <w:lang w:val="en-US"/>
        </w:rPr>
        <w:t xml:space="preserve">and detecting abuse of adults with </w:t>
      </w:r>
      <w:r w:rsidRPr="008C181A">
        <w:rPr>
          <w:lang w:val="en-US"/>
        </w:rPr>
        <w:lastRenderedPageBreak/>
        <w:t xml:space="preserve">intellectual and other developmental disabilities </w:t>
      </w:r>
      <w:r w:rsidR="00BE18A1" w:rsidRPr="008C181A">
        <w:rPr>
          <w:lang w:val="en-US"/>
        </w:rPr>
        <w:t xml:space="preserve">and </w:t>
      </w:r>
      <w:r w:rsidR="00DC69D7" w:rsidRPr="008C181A">
        <w:rPr>
          <w:lang w:val="en-US"/>
        </w:rPr>
        <w:t>to</w:t>
      </w:r>
      <w:r w:rsidRPr="008C181A">
        <w:rPr>
          <w:lang w:val="en-US"/>
        </w:rPr>
        <w:t xml:space="preserve"> increase the chances of </w:t>
      </w:r>
      <w:r w:rsidR="009E51C1" w:rsidRPr="008C181A">
        <w:rPr>
          <w:lang w:val="en-US"/>
        </w:rPr>
        <w:t xml:space="preserve">early case </w:t>
      </w:r>
      <w:r w:rsidR="0029564A" w:rsidRPr="008C181A">
        <w:rPr>
          <w:lang w:val="en-US"/>
        </w:rPr>
        <w:t>identification</w:t>
      </w:r>
      <w:r w:rsidR="00AB5327" w:rsidRPr="008C181A">
        <w:rPr>
          <w:lang w:val="en-US"/>
        </w:rPr>
        <w:t>,</w:t>
      </w:r>
      <w:r w:rsidR="009E51C1" w:rsidRPr="008C181A">
        <w:rPr>
          <w:lang w:val="en-US"/>
        </w:rPr>
        <w:t xml:space="preserve"> </w:t>
      </w:r>
      <w:r w:rsidRPr="008C181A">
        <w:rPr>
          <w:lang w:val="en-US"/>
        </w:rPr>
        <w:t>improve</w:t>
      </w:r>
      <w:r w:rsidR="00AB5327" w:rsidRPr="008C181A">
        <w:rPr>
          <w:lang w:val="en-US"/>
        </w:rPr>
        <w:t>d</w:t>
      </w:r>
      <w:r w:rsidRPr="008C181A">
        <w:rPr>
          <w:lang w:val="en-US"/>
        </w:rPr>
        <w:t xml:space="preserve"> </w:t>
      </w:r>
      <w:r w:rsidR="009E51C1" w:rsidRPr="008C181A">
        <w:rPr>
          <w:lang w:val="en-US"/>
        </w:rPr>
        <w:t>investigation</w:t>
      </w:r>
      <w:r w:rsidR="00AB5327" w:rsidRPr="008C181A">
        <w:rPr>
          <w:lang w:val="en-US"/>
        </w:rPr>
        <w:t xml:space="preserve">, </w:t>
      </w:r>
      <w:r w:rsidR="00C3663D" w:rsidRPr="008C181A">
        <w:rPr>
          <w:lang w:val="en-US"/>
        </w:rPr>
        <w:t>prevention,</w:t>
      </w:r>
      <w:r w:rsidR="009E51C1" w:rsidRPr="008C181A">
        <w:rPr>
          <w:lang w:val="en-US"/>
        </w:rPr>
        <w:t xml:space="preserve"> and intervention techniques</w:t>
      </w:r>
      <w:r w:rsidRPr="008C181A">
        <w:rPr>
          <w:lang w:val="en-US"/>
        </w:rPr>
        <w:t>.</w:t>
      </w:r>
    </w:p>
    <w:p w14:paraId="79EF2F7C" w14:textId="67FDB031" w:rsidR="00573782" w:rsidRPr="008C181A" w:rsidRDefault="00573782" w:rsidP="00B167B8">
      <w:pPr>
        <w:spacing w:after="0" w:line="480" w:lineRule="auto"/>
        <w:ind w:firstLine="720"/>
        <w:rPr>
          <w:lang w:val="en-US"/>
        </w:rPr>
      </w:pPr>
    </w:p>
    <w:p w14:paraId="71C70560" w14:textId="077F4F0D" w:rsidR="00770430" w:rsidRPr="008C181A" w:rsidRDefault="00770430" w:rsidP="00F83335">
      <w:pPr>
        <w:spacing w:after="0" w:line="480" w:lineRule="auto"/>
        <w:jc w:val="center"/>
        <w:rPr>
          <w:b/>
          <w:bCs/>
          <w:lang w:val="en-US"/>
        </w:rPr>
      </w:pPr>
      <w:r w:rsidRPr="008C181A">
        <w:rPr>
          <w:b/>
          <w:bCs/>
          <w:lang w:val="en-US"/>
        </w:rPr>
        <w:t>References</w:t>
      </w:r>
    </w:p>
    <w:p w14:paraId="08F68915" w14:textId="77777777" w:rsidR="004576D0" w:rsidRPr="008C181A" w:rsidRDefault="004576D0" w:rsidP="00B167B8">
      <w:pPr>
        <w:spacing w:after="0" w:line="480" w:lineRule="auto"/>
        <w:ind w:firstLine="720"/>
        <w:rPr>
          <w:rFonts w:cstheme="minorHAnsi"/>
        </w:rPr>
      </w:pPr>
      <w:bookmarkStart w:id="2" w:name="_Hlk80787162"/>
      <w:r w:rsidRPr="008C181A">
        <w:rPr>
          <w:rFonts w:cstheme="minorHAnsi"/>
          <w:shd w:val="clear" w:color="auto" w:fill="FFFFFF"/>
        </w:rPr>
        <w:t>Abner, E. L., Teaster, P. B., Mendiondo, M. S., Ramsey-Klawsnik, H., Marcum, J. L., Crawford, T. N., &amp; Wangmo, T. (2019). Victim, allegation, and investigation characteristics associated with substantiated reports of sexual abuse of adults in residential care settings. </w:t>
      </w:r>
      <w:r w:rsidRPr="008C181A">
        <w:rPr>
          <w:rFonts w:cstheme="minorHAnsi"/>
          <w:i/>
          <w:iCs/>
          <w:shd w:val="clear" w:color="auto" w:fill="FFFFFF"/>
        </w:rPr>
        <w:t>Journal of Interpersonal Violence</w:t>
      </w:r>
      <w:r w:rsidRPr="008C181A">
        <w:rPr>
          <w:rFonts w:cstheme="minorHAnsi"/>
          <w:shd w:val="clear" w:color="auto" w:fill="FFFFFF"/>
        </w:rPr>
        <w:t>, </w:t>
      </w:r>
      <w:r w:rsidRPr="008C181A">
        <w:rPr>
          <w:rFonts w:cstheme="minorHAnsi"/>
          <w:i/>
          <w:iCs/>
          <w:shd w:val="clear" w:color="auto" w:fill="FFFFFF"/>
        </w:rPr>
        <w:t>34</w:t>
      </w:r>
      <w:r w:rsidRPr="008C181A">
        <w:rPr>
          <w:rFonts w:cstheme="minorHAnsi"/>
          <w:shd w:val="clear" w:color="auto" w:fill="FFFFFF"/>
        </w:rPr>
        <w:t>(19), 3995-4019. https://doi.org/</w:t>
      </w:r>
      <w:r w:rsidRPr="008C181A">
        <w:rPr>
          <w:rFonts w:cstheme="minorHAnsi"/>
        </w:rPr>
        <w:t>10.1177/0886260516672051</w:t>
      </w:r>
    </w:p>
    <w:p w14:paraId="74F59E8D"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Ahlgrim-Delzell, L., &amp; Dudley, J. R. (2001). Confirmed, unconfirmed, and false allegations of abuse made by adults with mental retardation who are members of a class action lawsuit. </w:t>
      </w:r>
      <w:r w:rsidRPr="008C181A">
        <w:rPr>
          <w:rFonts w:cstheme="minorHAnsi"/>
          <w:i/>
          <w:iCs/>
          <w:shd w:val="clear" w:color="auto" w:fill="FFFFFF"/>
        </w:rPr>
        <w:t>Child Abuse &amp; Neglect</w:t>
      </w:r>
      <w:r w:rsidRPr="008C181A">
        <w:rPr>
          <w:rFonts w:cstheme="minorHAnsi"/>
          <w:shd w:val="clear" w:color="auto" w:fill="FFFFFF"/>
        </w:rPr>
        <w:t>, </w:t>
      </w:r>
      <w:r w:rsidRPr="008C181A">
        <w:rPr>
          <w:rFonts w:cstheme="minorHAnsi"/>
          <w:i/>
          <w:iCs/>
          <w:shd w:val="clear" w:color="auto" w:fill="FFFFFF"/>
        </w:rPr>
        <w:t>25</w:t>
      </w:r>
      <w:r w:rsidRPr="008C181A">
        <w:rPr>
          <w:rFonts w:cstheme="minorHAnsi"/>
          <w:shd w:val="clear" w:color="auto" w:fill="FFFFFF"/>
        </w:rPr>
        <w:t>(8), 1121-1132. https://doi.org/</w:t>
      </w:r>
      <w:r w:rsidRPr="008C181A">
        <w:rPr>
          <w:rFonts w:cstheme="minorHAnsi"/>
        </w:rPr>
        <w:t>10.1016/S0145-2134(01)00260-5</w:t>
      </w:r>
    </w:p>
    <w:p w14:paraId="0DD082B5"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Allington, C. L. (1992). Sexual Abuse within Services for People with Learning Disabilities: Staffs' Perceptions, Understandings of, and Contact with the Problem of Sexual Abuse. </w:t>
      </w:r>
      <w:r w:rsidRPr="008C181A">
        <w:rPr>
          <w:rFonts w:cstheme="minorHAnsi"/>
          <w:i/>
          <w:iCs/>
          <w:shd w:val="clear" w:color="auto" w:fill="FFFFFF"/>
        </w:rPr>
        <w:t>Journal of the British Institute of Mental Handicap (APEX)</w:t>
      </w:r>
      <w:r w:rsidRPr="008C181A">
        <w:rPr>
          <w:rFonts w:cstheme="minorHAnsi"/>
          <w:shd w:val="clear" w:color="auto" w:fill="FFFFFF"/>
        </w:rPr>
        <w:t>, </w:t>
      </w:r>
      <w:r w:rsidRPr="008C181A">
        <w:rPr>
          <w:rFonts w:cstheme="minorHAnsi"/>
          <w:i/>
          <w:iCs/>
          <w:shd w:val="clear" w:color="auto" w:fill="FFFFFF"/>
        </w:rPr>
        <w:t>20</w:t>
      </w:r>
      <w:r w:rsidRPr="008C181A">
        <w:rPr>
          <w:rFonts w:cstheme="minorHAnsi"/>
          <w:shd w:val="clear" w:color="auto" w:fill="FFFFFF"/>
        </w:rPr>
        <w:t>(2), 59-63. https://doi.org/</w:t>
      </w:r>
      <w:r w:rsidRPr="008C181A">
        <w:rPr>
          <w:rFonts w:cstheme="minorHAnsi"/>
        </w:rPr>
        <w:t>10.1111/j.1468-3156.1992.tb00660.x</w:t>
      </w:r>
    </w:p>
    <w:p w14:paraId="2A894B59"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rPr>
        <w:t xml:space="preserve">Aylett, J. (2016). Universal learning: findings from an analysis of serious case review executive summaries. </w:t>
      </w:r>
      <w:r w:rsidRPr="008C181A">
        <w:rPr>
          <w:rFonts w:cstheme="minorHAnsi"/>
          <w:i/>
          <w:iCs/>
        </w:rPr>
        <w:t>Journal of Adult Protection</w:t>
      </w:r>
      <w:r w:rsidRPr="008C181A">
        <w:rPr>
          <w:rFonts w:cstheme="minorHAnsi"/>
        </w:rPr>
        <w:t>, 18(1), 28. https://doi.org/10.1108/JAP-04-2015-0012</w:t>
      </w:r>
    </w:p>
    <w:p w14:paraId="701C4BF4"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Bakken, T. L., Røssberg, J. I., &amp; Friis, S. (2012). The ward atmosphere scale for psychiatric inpatients with intellectual disability: A pilot study. </w:t>
      </w:r>
      <w:r w:rsidRPr="008C181A">
        <w:rPr>
          <w:rFonts w:cstheme="minorHAnsi"/>
          <w:i/>
          <w:iCs/>
          <w:shd w:val="clear" w:color="auto" w:fill="FFFFFF"/>
        </w:rPr>
        <w:t>Advances in Mental Health and Intellectual Disabilities</w:t>
      </w:r>
      <w:r w:rsidRPr="008C181A">
        <w:rPr>
          <w:rFonts w:cstheme="minorHAnsi"/>
          <w:shd w:val="clear" w:color="auto" w:fill="FFFFFF"/>
        </w:rPr>
        <w:t xml:space="preserve">, </w:t>
      </w:r>
      <w:r w:rsidRPr="008C181A">
        <w:rPr>
          <w:rFonts w:cstheme="minorHAnsi"/>
        </w:rPr>
        <w:t xml:space="preserve">6(5), 265. </w:t>
      </w:r>
      <w:r w:rsidRPr="008C181A">
        <w:rPr>
          <w:rFonts w:cstheme="minorHAnsi"/>
          <w:shd w:val="clear" w:color="auto" w:fill="FFFFFF"/>
        </w:rPr>
        <w:t>https://doi.org/</w:t>
      </w:r>
      <w:r w:rsidRPr="008C181A">
        <w:rPr>
          <w:rFonts w:cstheme="minorHAnsi"/>
        </w:rPr>
        <w:t>10.1108/20441281211261159</w:t>
      </w:r>
    </w:p>
    <w:p w14:paraId="089AB971" w14:textId="77777777" w:rsidR="004576D0" w:rsidRPr="008C181A" w:rsidRDefault="004576D0" w:rsidP="00B167B8">
      <w:pPr>
        <w:autoSpaceDE w:val="0"/>
        <w:autoSpaceDN w:val="0"/>
        <w:adjustRightInd w:val="0"/>
        <w:spacing w:after="0" w:line="480" w:lineRule="auto"/>
        <w:ind w:firstLine="720"/>
        <w:rPr>
          <w:rFonts w:cstheme="minorHAnsi"/>
          <w:lang w:val="en-US"/>
        </w:rPr>
      </w:pPr>
      <w:r w:rsidRPr="008C181A">
        <w:rPr>
          <w:rFonts w:cstheme="minorHAnsi"/>
          <w:shd w:val="clear" w:color="auto" w:fill="FFFFFF"/>
        </w:rPr>
        <w:t>Baladerian, N. J., Coleman, T. F., &amp; Stream, J. (2013). A report on the 2012 national survey on abuse of people with disabilities. </w:t>
      </w:r>
      <w:r w:rsidRPr="008C181A">
        <w:rPr>
          <w:rFonts w:cstheme="minorHAnsi"/>
          <w:i/>
          <w:iCs/>
          <w:shd w:val="clear" w:color="auto" w:fill="FFFFFF"/>
        </w:rPr>
        <w:t>Los Angeles: Spectrum Institute</w:t>
      </w:r>
      <w:r w:rsidRPr="008C181A">
        <w:rPr>
          <w:rFonts w:cstheme="minorHAnsi"/>
          <w:shd w:val="clear" w:color="auto" w:fill="FFFFFF"/>
        </w:rPr>
        <w:t xml:space="preserve">. </w:t>
      </w:r>
      <w:hyperlink r:id="rId8" w:history="1">
        <w:r w:rsidRPr="008C181A">
          <w:rPr>
            <w:rStyle w:val="Hyperlink"/>
            <w:rFonts w:cstheme="minorHAnsi"/>
            <w:color w:val="auto"/>
          </w:rPr>
          <w:t>http://hdl.handle.net/20.500.11990/998</w:t>
        </w:r>
      </w:hyperlink>
    </w:p>
    <w:p w14:paraId="32C8E9CF"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Beadle‐Brown, J., Mansell, J., Cambridge, P., Milne, A., &amp; Whelton, B. (2010). Adult protection of people with intellectual disabilities: incidence, nature and responses. </w:t>
      </w:r>
      <w:r w:rsidRPr="008C181A">
        <w:rPr>
          <w:rFonts w:cstheme="minorHAnsi"/>
          <w:i/>
          <w:iCs/>
          <w:shd w:val="clear" w:color="auto" w:fill="FFFFFF"/>
        </w:rPr>
        <w:t xml:space="preserve">Journal of </w:t>
      </w:r>
      <w:r w:rsidRPr="008C181A">
        <w:rPr>
          <w:rFonts w:cstheme="minorHAnsi"/>
          <w:i/>
          <w:iCs/>
          <w:shd w:val="clear" w:color="auto" w:fill="FFFFFF"/>
        </w:rPr>
        <w:lastRenderedPageBreak/>
        <w:t>Applied Research in Intellectual Disabilities</w:t>
      </w:r>
      <w:r w:rsidRPr="008C181A">
        <w:rPr>
          <w:rFonts w:cstheme="minorHAnsi"/>
          <w:shd w:val="clear" w:color="auto" w:fill="FFFFFF"/>
        </w:rPr>
        <w:t>, </w:t>
      </w:r>
      <w:r w:rsidRPr="008C181A">
        <w:rPr>
          <w:rFonts w:cstheme="minorHAnsi"/>
          <w:i/>
          <w:iCs/>
          <w:shd w:val="clear" w:color="auto" w:fill="FFFFFF"/>
        </w:rPr>
        <w:t>23</w:t>
      </w:r>
      <w:r w:rsidRPr="008C181A">
        <w:rPr>
          <w:rFonts w:cstheme="minorHAnsi"/>
          <w:shd w:val="clear" w:color="auto" w:fill="FFFFFF"/>
        </w:rPr>
        <w:t>(6), 573-584. https://doi.org/</w:t>
      </w:r>
      <w:r w:rsidRPr="008C181A">
        <w:rPr>
          <w:rFonts w:cstheme="minorHAnsi"/>
        </w:rPr>
        <w:t>10.1111/j.1468-3148.2010.00561.x</w:t>
      </w:r>
    </w:p>
    <w:p w14:paraId="60BE8828"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Beail, N., &amp; Warden, S. (1995). Sexual abuse of adults with learning disabilities. </w:t>
      </w:r>
      <w:r w:rsidRPr="008C181A">
        <w:rPr>
          <w:rFonts w:cstheme="minorHAnsi"/>
          <w:i/>
          <w:iCs/>
          <w:shd w:val="clear" w:color="auto" w:fill="FFFFFF"/>
        </w:rPr>
        <w:t>Journal of Intellectual Disability Research</w:t>
      </w:r>
      <w:r w:rsidRPr="008C181A">
        <w:rPr>
          <w:rFonts w:cstheme="minorHAnsi"/>
          <w:shd w:val="clear" w:color="auto" w:fill="FFFFFF"/>
        </w:rPr>
        <w:t>, </w:t>
      </w:r>
      <w:r w:rsidRPr="008C181A">
        <w:rPr>
          <w:rFonts w:cstheme="minorHAnsi"/>
          <w:i/>
          <w:iCs/>
          <w:shd w:val="clear" w:color="auto" w:fill="FFFFFF"/>
        </w:rPr>
        <w:t>39</w:t>
      </w:r>
      <w:r w:rsidRPr="008C181A">
        <w:rPr>
          <w:rFonts w:cstheme="minorHAnsi"/>
          <w:shd w:val="clear" w:color="auto" w:fill="FFFFFF"/>
        </w:rPr>
        <w:t xml:space="preserve">(5), 382-387. </w:t>
      </w:r>
      <w:r w:rsidRPr="008C181A">
        <w:rPr>
          <w:rFonts w:cstheme="minorHAnsi"/>
        </w:rPr>
        <w:t>https://doi.org/10.1111/j.1365-2788.1995.tb00542.x</w:t>
      </w:r>
    </w:p>
    <w:p w14:paraId="087A5E32"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Bigby, C., &amp; Beadle-Brown, J. (2016). Culture in better group homes for people with intellectual disability at severe levels. </w:t>
      </w:r>
      <w:r w:rsidRPr="008C181A">
        <w:rPr>
          <w:rFonts w:cstheme="minorHAnsi"/>
          <w:i/>
          <w:iCs/>
          <w:shd w:val="clear" w:color="auto" w:fill="FFFFFF"/>
        </w:rPr>
        <w:t>Intellectual and Developmental Disabilities</w:t>
      </w:r>
      <w:r w:rsidRPr="008C181A">
        <w:rPr>
          <w:rFonts w:cstheme="minorHAnsi"/>
          <w:shd w:val="clear" w:color="auto" w:fill="FFFFFF"/>
        </w:rPr>
        <w:t>, </w:t>
      </w:r>
      <w:r w:rsidRPr="008C181A">
        <w:rPr>
          <w:rFonts w:cstheme="minorHAnsi"/>
          <w:i/>
          <w:iCs/>
          <w:shd w:val="clear" w:color="auto" w:fill="FFFFFF"/>
        </w:rPr>
        <w:t>54</w:t>
      </w:r>
      <w:r w:rsidRPr="008C181A">
        <w:rPr>
          <w:rFonts w:cstheme="minorHAnsi"/>
          <w:shd w:val="clear" w:color="auto" w:fill="FFFFFF"/>
        </w:rPr>
        <w:t>(5), 316-331. https://doi.org/</w:t>
      </w:r>
      <w:r w:rsidRPr="008C181A">
        <w:rPr>
          <w:rFonts w:cstheme="minorHAnsi"/>
        </w:rPr>
        <w:t>10.1352/1934-9556-54.5.316</w:t>
      </w:r>
    </w:p>
    <w:p w14:paraId="597C5AB6"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Bigby, C., Knox, M., Beadle‐Brown, J., &amp; Clement, T. (2015). ‘We just call them people’: Positive regard as a dimension of culture in group homes for people with severe intellectual disability.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28</w:t>
      </w:r>
      <w:r w:rsidRPr="008C181A">
        <w:rPr>
          <w:rFonts w:cstheme="minorHAnsi"/>
          <w:shd w:val="clear" w:color="auto" w:fill="FFFFFF"/>
        </w:rPr>
        <w:t>(4), 283-295. https://doi.org/</w:t>
      </w:r>
      <w:r w:rsidRPr="008C181A">
        <w:rPr>
          <w:rFonts w:cstheme="minorHAnsi"/>
        </w:rPr>
        <w:t>10.1111/jar.12128</w:t>
      </w:r>
    </w:p>
    <w:p w14:paraId="12B0DAF3" w14:textId="77777777" w:rsidR="004576D0" w:rsidRPr="008C181A" w:rsidRDefault="004576D0" w:rsidP="00B167B8">
      <w:pPr>
        <w:spacing w:after="0" w:line="480" w:lineRule="auto"/>
        <w:ind w:firstLine="720"/>
        <w:rPr>
          <w:rFonts w:cstheme="minorHAnsi"/>
        </w:rPr>
      </w:pPr>
      <w:r w:rsidRPr="008C181A">
        <w:rPr>
          <w:rFonts w:cstheme="minorHAnsi"/>
        </w:rPr>
        <w:t xml:space="preserve">Bigby, C., Knox, M., Beadle-Brown, J., Clement, T., &amp; Mansell, J. (2012). Uncovering dimensions of culture in underperforming group homes for people with severe intellectual disability. </w:t>
      </w:r>
      <w:r w:rsidRPr="008C181A">
        <w:rPr>
          <w:rFonts w:cstheme="minorHAnsi"/>
          <w:i/>
        </w:rPr>
        <w:t>Intellectual and Developmental Disabilities, 50(6),</w:t>
      </w:r>
      <w:r w:rsidRPr="008C181A">
        <w:rPr>
          <w:rFonts w:cstheme="minorHAnsi"/>
        </w:rPr>
        <w:t xml:space="preserve"> 452-467. </w:t>
      </w:r>
      <w:r w:rsidRPr="008C181A">
        <w:rPr>
          <w:rFonts w:cstheme="minorHAnsi"/>
          <w:shd w:val="clear" w:color="auto" w:fill="FFFFFF"/>
        </w:rPr>
        <w:t>https://doi.org/</w:t>
      </w:r>
      <w:r w:rsidRPr="008C181A">
        <w:rPr>
          <w:rFonts w:cstheme="minorHAnsi"/>
        </w:rPr>
        <w:t>10.1352/1934-9556-50.06.452</w:t>
      </w:r>
    </w:p>
    <w:p w14:paraId="25CC6629"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Bright, N., Hutchinson, N., Oakes, P., &amp; Marsland, D. (2018). Families’ experiences of raising concerns in health care services: An interpretative phenomenological analysis.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31</w:t>
      </w:r>
      <w:r w:rsidRPr="008C181A">
        <w:rPr>
          <w:rFonts w:cstheme="minorHAnsi"/>
          <w:shd w:val="clear" w:color="auto" w:fill="FFFFFF"/>
        </w:rPr>
        <w:t>(3), 405-412. https://doi.org/</w:t>
      </w:r>
      <w:r w:rsidRPr="008C181A">
        <w:rPr>
          <w:rFonts w:cstheme="minorHAnsi"/>
        </w:rPr>
        <w:t>10.1111/jar.12419</w:t>
      </w:r>
    </w:p>
    <w:p w14:paraId="2D77EA1E" w14:textId="77777777" w:rsidR="004576D0" w:rsidRPr="008C181A" w:rsidRDefault="004576D0" w:rsidP="00B167B8">
      <w:pPr>
        <w:spacing w:after="0" w:line="480" w:lineRule="auto"/>
        <w:ind w:firstLine="720"/>
        <w:rPr>
          <w:rFonts w:cstheme="minorHAnsi"/>
        </w:rPr>
      </w:pPr>
      <w:r w:rsidRPr="008C181A">
        <w:rPr>
          <w:rFonts w:cstheme="minorHAnsi"/>
        </w:rPr>
        <w:t xml:space="preserve">Brown H. &amp; Stein J. (2000) Monitoring adults protection referrals in 10 English local authorities. </w:t>
      </w:r>
      <w:r w:rsidRPr="008C181A">
        <w:rPr>
          <w:rFonts w:cstheme="minorHAnsi"/>
          <w:i/>
          <w:iCs/>
        </w:rPr>
        <w:t>Journal of Adult Protection</w:t>
      </w:r>
      <w:r w:rsidRPr="008C181A">
        <w:rPr>
          <w:rFonts w:cstheme="minorHAnsi"/>
        </w:rPr>
        <w:t>, 2, 19-31. https://doi.org/10.1108/14668203200000020</w:t>
      </w:r>
    </w:p>
    <w:p w14:paraId="6C5D55B7" w14:textId="77777777" w:rsidR="004576D0" w:rsidRPr="008C181A" w:rsidRDefault="004576D0" w:rsidP="00B167B8">
      <w:pPr>
        <w:spacing w:after="0" w:line="480" w:lineRule="auto"/>
        <w:ind w:firstLine="720"/>
        <w:rPr>
          <w:rFonts w:cstheme="minorHAnsi"/>
        </w:rPr>
      </w:pPr>
      <w:r w:rsidRPr="008C181A">
        <w:t xml:space="preserve">Brown, H. &amp; Stein, J. (1998) Implementing Adult Protection policies in Kent and East Sussex. </w:t>
      </w:r>
      <w:r w:rsidRPr="008C181A">
        <w:rPr>
          <w:i/>
        </w:rPr>
        <w:t xml:space="preserve">Journal </w:t>
      </w:r>
      <w:r w:rsidRPr="008C181A">
        <w:rPr>
          <w:rFonts w:cstheme="minorHAnsi"/>
          <w:i/>
        </w:rPr>
        <w:t>of Social Policy, 27</w:t>
      </w:r>
      <w:r w:rsidRPr="008C181A">
        <w:rPr>
          <w:rFonts w:cstheme="minorHAnsi"/>
        </w:rPr>
        <w:t xml:space="preserve">, 371-396. </w:t>
      </w:r>
      <w:r w:rsidRPr="008C181A">
        <w:rPr>
          <w:rFonts w:cstheme="minorHAnsi"/>
          <w:shd w:val="clear" w:color="auto" w:fill="FFFFFF"/>
        </w:rPr>
        <w:t>https://doi.org/</w:t>
      </w:r>
      <w:r w:rsidRPr="008C181A">
        <w:rPr>
          <w:rFonts w:cstheme="minorHAnsi"/>
        </w:rPr>
        <w:t>10.1017/S0047279498005339</w:t>
      </w:r>
    </w:p>
    <w:p w14:paraId="53AE3EFF" w14:textId="77777777" w:rsidR="004576D0" w:rsidRPr="008C181A" w:rsidRDefault="004576D0" w:rsidP="00B167B8">
      <w:pPr>
        <w:spacing w:after="0" w:line="480" w:lineRule="auto"/>
        <w:ind w:firstLine="720"/>
        <w:rPr>
          <w:rFonts w:cstheme="minorHAnsi"/>
        </w:rPr>
      </w:pPr>
      <w:r w:rsidRPr="008C181A">
        <w:rPr>
          <w:rFonts w:cstheme="minorHAnsi"/>
        </w:rPr>
        <w:t xml:space="preserve">Brown, H., Stein, J., &amp; Turk, V. (1995). The sexual abuse of adults with learning disabilities: report of a second two‐year incidence survey. </w:t>
      </w:r>
      <w:r w:rsidRPr="008C181A">
        <w:rPr>
          <w:rFonts w:cstheme="minorHAnsi"/>
          <w:i/>
          <w:iCs/>
        </w:rPr>
        <w:t>Mental Handicap Research</w:t>
      </w:r>
      <w:r w:rsidRPr="008C181A">
        <w:rPr>
          <w:rFonts w:cstheme="minorHAnsi"/>
        </w:rPr>
        <w:t xml:space="preserve">, 8(1), 3-24. </w:t>
      </w:r>
      <w:r w:rsidRPr="008C181A">
        <w:rPr>
          <w:rFonts w:cstheme="minorHAnsi"/>
          <w:shd w:val="clear" w:color="auto" w:fill="FFFFFF"/>
        </w:rPr>
        <w:t>https://doi.org/</w:t>
      </w:r>
      <w:r w:rsidRPr="008C181A">
        <w:rPr>
          <w:rFonts w:cstheme="minorHAnsi"/>
        </w:rPr>
        <w:t>10.1111/j.1468-3148.1995.tb00139.x</w:t>
      </w:r>
    </w:p>
    <w:p w14:paraId="5EB39DAB" w14:textId="77777777" w:rsidR="004576D0" w:rsidRPr="008C181A" w:rsidRDefault="004576D0" w:rsidP="00B167B8">
      <w:pPr>
        <w:spacing w:after="0" w:line="480" w:lineRule="auto"/>
        <w:ind w:firstLine="720"/>
        <w:rPr>
          <w:rFonts w:cstheme="minorHAnsi"/>
        </w:rPr>
      </w:pPr>
      <w:r w:rsidRPr="008C181A">
        <w:rPr>
          <w:rFonts w:cstheme="minorHAnsi"/>
        </w:rPr>
        <w:lastRenderedPageBreak/>
        <w:t xml:space="preserve">Calcraft, R. (2007). Blowing the whistle on abuse of adults with learning disabilities. </w:t>
      </w:r>
      <w:r w:rsidRPr="008C181A">
        <w:rPr>
          <w:rFonts w:cstheme="minorHAnsi"/>
          <w:i/>
          <w:iCs/>
        </w:rPr>
        <w:t>Journal of Adult Protection,</w:t>
      </w:r>
      <w:r w:rsidRPr="008C181A">
        <w:rPr>
          <w:rFonts w:cstheme="minorHAnsi"/>
        </w:rPr>
        <w:t xml:space="preserve"> 9(2), 15. https://doi.org/10.1108/14668203200700010</w:t>
      </w:r>
    </w:p>
    <w:p w14:paraId="2BB48B94"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Cambridge, P. (1999). The first hit: a case study of the physical abuse of people with learning disabilities and challenging behaviours in a residential service. </w:t>
      </w:r>
      <w:r w:rsidRPr="008C181A">
        <w:rPr>
          <w:rFonts w:cstheme="minorHAnsi"/>
          <w:i/>
          <w:iCs/>
          <w:shd w:val="clear" w:color="auto" w:fill="FFFFFF"/>
        </w:rPr>
        <w:t>Disability &amp; Society</w:t>
      </w:r>
      <w:r w:rsidRPr="008C181A">
        <w:rPr>
          <w:rFonts w:cstheme="minorHAnsi"/>
          <w:shd w:val="clear" w:color="auto" w:fill="FFFFFF"/>
        </w:rPr>
        <w:t>, </w:t>
      </w:r>
      <w:r w:rsidRPr="008C181A">
        <w:rPr>
          <w:rFonts w:cstheme="minorHAnsi"/>
          <w:i/>
          <w:iCs/>
          <w:shd w:val="clear" w:color="auto" w:fill="FFFFFF"/>
        </w:rPr>
        <w:t>14</w:t>
      </w:r>
      <w:r w:rsidRPr="008C181A">
        <w:rPr>
          <w:rFonts w:cstheme="minorHAnsi"/>
          <w:shd w:val="clear" w:color="auto" w:fill="FFFFFF"/>
        </w:rPr>
        <w:t>(3), 285-308. https://doi.org/</w:t>
      </w:r>
      <w:r w:rsidRPr="008C181A">
        <w:rPr>
          <w:rFonts w:cstheme="minorHAnsi"/>
        </w:rPr>
        <w:t>10.1080/09687599926154</w:t>
      </w:r>
    </w:p>
    <w:p w14:paraId="485B7A2B"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Cambridge, P., Beadle‐Brown, J., Milne, A., Mansell, J., &amp; Whelton, B. (2011a). Patterns of risk in adult protection referrals for sexual abuse and people with intellectual disability.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24</w:t>
      </w:r>
      <w:r w:rsidRPr="008C181A">
        <w:rPr>
          <w:rFonts w:cstheme="minorHAnsi"/>
          <w:shd w:val="clear" w:color="auto" w:fill="FFFFFF"/>
        </w:rPr>
        <w:t>(2), 118-132. https://doi.org/</w:t>
      </w:r>
      <w:r w:rsidRPr="008C181A">
        <w:rPr>
          <w:rFonts w:cstheme="minorHAnsi"/>
        </w:rPr>
        <w:t>10.1111/j.1468-3148.2010.00574.x</w:t>
      </w:r>
    </w:p>
    <w:p w14:paraId="2B0E01B9" w14:textId="77777777" w:rsidR="004576D0" w:rsidRPr="008C181A" w:rsidRDefault="004576D0" w:rsidP="00B167B8">
      <w:pPr>
        <w:autoSpaceDE w:val="0"/>
        <w:autoSpaceDN w:val="0"/>
        <w:adjustRightInd w:val="0"/>
        <w:spacing w:after="0" w:line="480" w:lineRule="auto"/>
        <w:ind w:firstLine="720"/>
        <w:rPr>
          <w:rFonts w:cstheme="minorHAnsi"/>
          <w:lang w:val="en-US"/>
        </w:rPr>
      </w:pPr>
      <w:r w:rsidRPr="008C181A">
        <w:rPr>
          <w:rFonts w:cstheme="minorHAnsi"/>
          <w:shd w:val="clear" w:color="auto" w:fill="FFFFFF"/>
        </w:rPr>
        <w:t>Cambridge, P., Mansell, J., Beadle‐Brown, J., Milne, A., &amp; Whelton, B. (2011b). A study of adult protection referrals in two local authorities: an overview of findings for managers and practitioners. </w:t>
      </w:r>
      <w:r w:rsidRPr="008C181A">
        <w:rPr>
          <w:rFonts w:cstheme="minorHAnsi"/>
          <w:i/>
          <w:iCs/>
          <w:shd w:val="clear" w:color="auto" w:fill="FFFFFF"/>
        </w:rPr>
        <w:t>The Journal of Adult Protection</w:t>
      </w:r>
      <w:r w:rsidRPr="008C181A">
        <w:rPr>
          <w:rFonts w:cstheme="minorHAnsi"/>
          <w:shd w:val="clear" w:color="auto" w:fill="FFFFFF"/>
        </w:rPr>
        <w:t>, 13(5), 238-250. https://doi.org/</w:t>
      </w:r>
      <w:r w:rsidRPr="008C181A">
        <w:rPr>
          <w:rFonts w:cstheme="minorHAnsi"/>
        </w:rPr>
        <w:t>10.1108/14668201111178157</w:t>
      </w:r>
    </w:p>
    <w:p w14:paraId="5364F30B" w14:textId="77777777" w:rsidR="004576D0" w:rsidRPr="008C181A" w:rsidRDefault="004576D0" w:rsidP="00B167B8">
      <w:pPr>
        <w:spacing w:after="0" w:line="480" w:lineRule="auto"/>
        <w:ind w:firstLine="720"/>
        <w:rPr>
          <w:rFonts w:cstheme="minorHAnsi"/>
          <w:b/>
          <w:bCs/>
          <w:sz w:val="24"/>
          <w:szCs w:val="24"/>
        </w:rPr>
      </w:pPr>
      <w:r w:rsidRPr="008C181A">
        <w:rPr>
          <w:rFonts w:cstheme="minorHAnsi"/>
          <w:shd w:val="clear" w:color="auto" w:fill="FFFFFF"/>
        </w:rPr>
        <w:t xml:space="preserve">Care Quality Commission. (2019). </w:t>
      </w:r>
      <w:r w:rsidRPr="008C181A">
        <w:rPr>
          <w:rFonts w:cstheme="minorHAnsi"/>
          <w:i/>
          <w:iCs/>
          <w:shd w:val="clear" w:color="auto" w:fill="FFFFFF"/>
        </w:rPr>
        <w:t>Review of restraint, prolonged seclusion and segregation for people with a mental health problem, a learning disability or autism. Interim Report.</w:t>
      </w:r>
      <w:r w:rsidRPr="008C181A">
        <w:rPr>
          <w:rFonts w:cstheme="minorHAnsi"/>
          <w:shd w:val="clear" w:color="auto" w:fill="FFFFFF"/>
        </w:rPr>
        <w:t xml:space="preserve"> </w:t>
      </w:r>
      <w:hyperlink r:id="rId9" w:history="1">
        <w:r w:rsidRPr="008C181A">
          <w:rPr>
            <w:rStyle w:val="Hyperlink"/>
            <w:color w:val="auto"/>
          </w:rPr>
          <w:t>Microsoft Word - 201900607 Interim Report Draft body text FINAL AMENDED NOV 19.docx (cqc.org.uk)</w:t>
        </w:r>
      </w:hyperlink>
    </w:p>
    <w:p w14:paraId="62CCC8DB"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t>Codina, M., &amp; Pereda, N. (2021). Characteristics and prevalence of lifetime sexual victimization among a sample of men and women with intellectual disabilities. </w:t>
      </w:r>
      <w:r w:rsidRPr="008C181A">
        <w:rPr>
          <w:rFonts w:cstheme="minorHAnsi"/>
          <w:i/>
          <w:iCs/>
          <w:sz w:val="22"/>
          <w:szCs w:val="22"/>
          <w:shd w:val="clear" w:color="auto" w:fill="FFFFFF"/>
        </w:rPr>
        <w:t>Journal of Interpersonal Violence</w:t>
      </w:r>
      <w:r w:rsidRPr="008C181A">
        <w:rPr>
          <w:rFonts w:cstheme="minorHAnsi"/>
          <w:sz w:val="22"/>
          <w:szCs w:val="22"/>
          <w:shd w:val="clear" w:color="auto" w:fill="FFFFFF"/>
        </w:rPr>
        <w:t xml:space="preserve">. </w:t>
      </w:r>
      <w:hyperlink r:id="rId10" w:tgtFrame="_blank" w:history="1">
        <w:r w:rsidRPr="008C181A">
          <w:rPr>
            <w:rStyle w:val="Hyperlink"/>
            <w:rFonts w:cstheme="minorHAnsi"/>
            <w:color w:val="auto"/>
            <w:sz w:val="22"/>
            <w:szCs w:val="22"/>
            <w:u w:val="none"/>
          </w:rPr>
          <w:t>https://doi.org/10.1177/08862605211006373</w:t>
        </w:r>
      </w:hyperlink>
    </w:p>
    <w:p w14:paraId="65426DEC" w14:textId="77777777" w:rsidR="004576D0" w:rsidRPr="008C181A" w:rsidRDefault="004576D0" w:rsidP="00B167B8">
      <w:pPr>
        <w:autoSpaceDE w:val="0"/>
        <w:autoSpaceDN w:val="0"/>
        <w:adjustRightInd w:val="0"/>
        <w:spacing w:after="0" w:line="480" w:lineRule="auto"/>
        <w:ind w:firstLine="720"/>
        <w:rPr>
          <w:rFonts w:cstheme="minorHAnsi"/>
        </w:rPr>
      </w:pPr>
      <w:r w:rsidRPr="008C181A">
        <w:rPr>
          <w:rFonts w:cstheme="minorHAnsi"/>
          <w:shd w:val="clear" w:color="auto" w:fill="FFFFFF"/>
        </w:rPr>
        <w:t>Conner, T., Prokhorov, A., Page, C., Fang, Y., Xiao, Y., &amp; Post, L. A. (2011). Impairment and abuse of elderly by staff in long-term care in Michigan: Evidence from structural equation modeling. </w:t>
      </w:r>
      <w:r w:rsidRPr="008C181A">
        <w:rPr>
          <w:rFonts w:cstheme="minorHAnsi"/>
          <w:i/>
          <w:iCs/>
          <w:shd w:val="clear" w:color="auto" w:fill="FFFFFF"/>
        </w:rPr>
        <w:t>Journal of Interpersonal Violence</w:t>
      </w:r>
      <w:r w:rsidRPr="008C181A">
        <w:rPr>
          <w:rFonts w:cstheme="minorHAnsi"/>
          <w:shd w:val="clear" w:color="auto" w:fill="FFFFFF"/>
        </w:rPr>
        <w:t>, </w:t>
      </w:r>
      <w:r w:rsidRPr="008C181A">
        <w:rPr>
          <w:rFonts w:cstheme="minorHAnsi"/>
          <w:i/>
          <w:iCs/>
          <w:shd w:val="clear" w:color="auto" w:fill="FFFFFF"/>
        </w:rPr>
        <w:t>26</w:t>
      </w:r>
      <w:r w:rsidRPr="008C181A">
        <w:rPr>
          <w:rFonts w:cstheme="minorHAnsi"/>
          <w:shd w:val="clear" w:color="auto" w:fill="FFFFFF"/>
        </w:rPr>
        <w:t>(1), 21-33. https://doi.org/</w:t>
      </w:r>
      <w:r w:rsidRPr="008C181A">
        <w:rPr>
          <w:rFonts w:cstheme="minorHAnsi"/>
        </w:rPr>
        <w:t>10.1177/0886260510362880</w:t>
      </w:r>
    </w:p>
    <w:p w14:paraId="407FD3F2" w14:textId="77777777" w:rsidR="004576D0" w:rsidRPr="008C181A" w:rsidRDefault="004576D0" w:rsidP="00B167B8">
      <w:pPr>
        <w:spacing w:after="0" w:line="480" w:lineRule="auto"/>
        <w:ind w:firstLine="720"/>
        <w:rPr>
          <w:rFonts w:cstheme="minorHAnsi"/>
          <w:shd w:val="clear" w:color="auto" w:fill="FFFFFF"/>
        </w:rPr>
      </w:pPr>
      <w:r w:rsidRPr="008C181A">
        <w:t xml:space="preserve">Crossmaker M. (1986). </w:t>
      </w:r>
      <w:r w:rsidRPr="008C181A">
        <w:rPr>
          <w:i/>
          <w:iCs/>
        </w:rPr>
        <w:t>Empowerment: A systems approach to preventing assaults against people with mental retardation and/or developmental disabilities</w:t>
      </w:r>
      <w:r w:rsidRPr="008C181A">
        <w:t>. Columbus, OH: The National Assault Prevention Center.</w:t>
      </w:r>
    </w:p>
    <w:p w14:paraId="45323C2E" w14:textId="77777777" w:rsidR="004576D0" w:rsidRPr="008C181A" w:rsidRDefault="004576D0" w:rsidP="00B167B8">
      <w:pPr>
        <w:autoSpaceDE w:val="0"/>
        <w:autoSpaceDN w:val="0"/>
        <w:adjustRightInd w:val="0"/>
        <w:spacing w:after="0" w:line="480" w:lineRule="auto"/>
        <w:ind w:firstLine="720"/>
        <w:rPr>
          <w:rFonts w:cstheme="minorHAnsi"/>
          <w:bdr w:val="none" w:sz="0" w:space="0" w:color="auto" w:frame="1"/>
          <w:shd w:val="clear" w:color="auto" w:fill="FFFFFF"/>
        </w:rPr>
      </w:pPr>
      <w:r w:rsidRPr="008C181A">
        <w:rPr>
          <w:rFonts w:cstheme="minorHAnsi"/>
          <w:bdr w:val="none" w:sz="0" w:space="0" w:color="auto" w:frame="1"/>
          <w:shd w:val="clear" w:color="auto" w:fill="FFFFFF"/>
        </w:rPr>
        <w:lastRenderedPageBreak/>
        <w:t>Department of Health. (201</w:t>
      </w:r>
      <w:r w:rsidRPr="008C181A">
        <w:rPr>
          <w:rFonts w:cstheme="minorHAnsi"/>
          <w:i/>
          <w:iCs/>
          <w:shd w:val="clear" w:color="auto" w:fill="FFFFFF"/>
        </w:rPr>
        <w:t>2). Transforming Care: </w:t>
      </w:r>
      <w:r w:rsidRPr="008C181A">
        <w:rPr>
          <w:rFonts w:cstheme="minorHAnsi"/>
          <w:i/>
          <w:iCs/>
          <w:bdr w:val="none" w:sz="0" w:space="0" w:color="auto" w:frame="1"/>
          <w:shd w:val="clear" w:color="auto" w:fill="FFFFFF"/>
        </w:rPr>
        <w:t>A national response to Winterbourne View Hospital.</w:t>
      </w:r>
      <w:r w:rsidRPr="008C181A">
        <w:rPr>
          <w:rFonts w:cstheme="minorHAnsi"/>
          <w:b/>
          <w:bCs/>
          <w:i/>
          <w:iCs/>
          <w:bdr w:val="none" w:sz="0" w:space="0" w:color="auto" w:frame="1"/>
          <w:shd w:val="clear" w:color="auto" w:fill="FFFFFF"/>
        </w:rPr>
        <w:t> </w:t>
      </w:r>
      <w:r w:rsidRPr="008C181A">
        <w:rPr>
          <w:rFonts w:cstheme="minorHAnsi"/>
          <w:bdr w:val="none" w:sz="0" w:space="0" w:color="auto" w:frame="1"/>
          <w:shd w:val="clear" w:color="auto" w:fill="FFFFFF"/>
        </w:rPr>
        <w:t>Assets Publishing Service. https://assets.publishing.service.gov.uk/government/uploads/system/uploads/attachment_data/file/213215/final-report.pdf</w:t>
      </w:r>
    </w:p>
    <w:p w14:paraId="108F3A42" w14:textId="77777777" w:rsidR="004576D0" w:rsidRPr="008C181A" w:rsidRDefault="004576D0" w:rsidP="00FF5073">
      <w:pPr>
        <w:spacing w:after="0" w:line="480" w:lineRule="auto"/>
        <w:ind w:firstLine="720"/>
        <w:rPr>
          <w:shd w:val="clear" w:color="auto" w:fill="FFFFFF"/>
        </w:rPr>
      </w:pPr>
      <w:r w:rsidRPr="008C181A">
        <w:t>Disability Rights International. (2005</w:t>
      </w:r>
      <w:r w:rsidRPr="008C181A">
        <w:rPr>
          <w:i/>
          <w:iCs/>
        </w:rPr>
        <w:t>). Behind closed doors: Human rights abuses in the psychiatric facilities, orphanages and rehabilitation centers of Turkey</w:t>
      </w:r>
      <w:r w:rsidRPr="008C181A">
        <w:t>. https://www.driadvocacy.org/wp-content/uploads/turkey-final-9-26-05.pdf</w:t>
      </w:r>
    </w:p>
    <w:p w14:paraId="61BAA40E" w14:textId="77777777" w:rsidR="004576D0" w:rsidRPr="008C181A" w:rsidRDefault="004576D0" w:rsidP="00FF5073">
      <w:pPr>
        <w:spacing w:after="0" w:line="480" w:lineRule="auto"/>
        <w:ind w:firstLine="720"/>
        <w:rPr>
          <w:shd w:val="clear" w:color="auto" w:fill="FFFFFF"/>
        </w:rPr>
      </w:pPr>
      <w:r w:rsidRPr="008C181A">
        <w:t>Disability Rights International.</w:t>
      </w:r>
      <w:r w:rsidRPr="008C181A">
        <w:rPr>
          <w:shd w:val="clear" w:color="auto" w:fill="FFFFFF"/>
        </w:rPr>
        <w:t xml:space="preserve"> (2007). </w:t>
      </w:r>
      <w:r w:rsidRPr="008C181A">
        <w:rPr>
          <w:i/>
          <w:iCs/>
          <w:shd w:val="clear" w:color="auto" w:fill="FFFFFF"/>
        </w:rPr>
        <w:t>Torment not treatment: Serbia’s segregation and abuse of children and adults with disabilities</w:t>
      </w:r>
      <w:r w:rsidRPr="008C181A">
        <w:rPr>
          <w:shd w:val="clear" w:color="auto" w:fill="FFFFFF"/>
        </w:rPr>
        <w:t xml:space="preserve">. </w:t>
      </w:r>
      <w:hyperlink r:id="rId11" w:history="1">
        <w:r w:rsidRPr="008C181A">
          <w:rPr>
            <w:rStyle w:val="Hyperlink"/>
            <w:color w:val="auto"/>
            <w:shd w:val="clear" w:color="auto" w:fill="FFFFFF"/>
          </w:rPr>
          <w:t>https://www.driadvocacy.org/wp-content/uploads/Serbia-rep-english.pdf</w:t>
        </w:r>
      </w:hyperlink>
    </w:p>
    <w:p w14:paraId="5034A220" w14:textId="77777777" w:rsidR="004576D0" w:rsidRPr="008C181A" w:rsidRDefault="004576D0" w:rsidP="00FF5073">
      <w:pPr>
        <w:spacing w:after="0" w:line="480" w:lineRule="auto"/>
        <w:ind w:firstLine="720"/>
      </w:pPr>
      <w:r w:rsidRPr="008C181A">
        <w:rPr>
          <w:shd w:val="clear" w:color="auto" w:fill="FFFFFF"/>
        </w:rPr>
        <w:t xml:space="preserve"> </w:t>
      </w:r>
      <w:r w:rsidRPr="008C181A">
        <w:t xml:space="preserve">Disability Rights International. (2013). </w:t>
      </w:r>
      <w:r w:rsidRPr="008C181A">
        <w:rPr>
          <w:i/>
          <w:iCs/>
          <w:shd w:val="clear" w:color="auto" w:fill="FFFFFF"/>
        </w:rPr>
        <w:t>Left Behind: The exclusion of children and adults from reform and rights protection in the Republic of Georgia</w:t>
      </w:r>
      <w:r w:rsidRPr="008C181A">
        <w:rPr>
          <w:shd w:val="clear" w:color="auto" w:fill="FFFFFF"/>
        </w:rPr>
        <w:t>. https://www.driadvocacy.org/wp-content/uploads/Left-Behind-final-report1.pdf</w:t>
      </w:r>
    </w:p>
    <w:p w14:paraId="0E3C74D4" w14:textId="77777777" w:rsidR="004576D0" w:rsidRPr="008C181A" w:rsidRDefault="004576D0" w:rsidP="00FF5073">
      <w:pPr>
        <w:spacing w:after="0" w:line="480" w:lineRule="auto"/>
        <w:ind w:firstLine="720"/>
      </w:pPr>
      <w:r w:rsidRPr="008C181A">
        <w:t xml:space="preserve">Disability Rights International. (2020). </w:t>
      </w:r>
      <w:r w:rsidRPr="008C181A">
        <w:rPr>
          <w:i/>
          <w:iCs/>
        </w:rPr>
        <w:t>Crimes against humanity: Decades of violent and abuse in Mexican institutions for children and adults with disabilities</w:t>
      </w:r>
      <w:r w:rsidRPr="008C181A">
        <w:t>. https://www.driadvocacy.org/wp-content/uploads/Mexico-2020-ENG-web.pdf</w:t>
      </w:r>
    </w:p>
    <w:p w14:paraId="6F29BFD5"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lang w:val="de-DE"/>
        </w:rPr>
        <w:t xml:space="preserve">Furey, E. M., Niesen, J. J., &amp; Strauch, J. D. (1994). </w:t>
      </w:r>
      <w:r w:rsidRPr="008C181A">
        <w:rPr>
          <w:rFonts w:cstheme="minorHAnsi"/>
          <w:shd w:val="clear" w:color="auto" w:fill="FFFFFF"/>
        </w:rPr>
        <w:t>Abuse and neglect of adults with mental retardation in different residential settings. </w:t>
      </w:r>
      <w:r w:rsidRPr="008C181A">
        <w:rPr>
          <w:rFonts w:cstheme="minorHAnsi"/>
          <w:i/>
          <w:iCs/>
          <w:shd w:val="clear" w:color="auto" w:fill="FFFFFF"/>
        </w:rPr>
        <w:t>Behavioral Interventions</w:t>
      </w:r>
      <w:r w:rsidRPr="008C181A">
        <w:rPr>
          <w:rFonts w:cstheme="minorHAnsi"/>
          <w:shd w:val="clear" w:color="auto" w:fill="FFFFFF"/>
        </w:rPr>
        <w:t>, </w:t>
      </w:r>
      <w:r w:rsidRPr="008C181A">
        <w:rPr>
          <w:rFonts w:cstheme="minorHAnsi"/>
          <w:i/>
          <w:iCs/>
          <w:shd w:val="clear" w:color="auto" w:fill="FFFFFF"/>
        </w:rPr>
        <w:t>9</w:t>
      </w:r>
      <w:r w:rsidRPr="008C181A">
        <w:rPr>
          <w:rFonts w:cstheme="minorHAnsi"/>
          <w:shd w:val="clear" w:color="auto" w:fill="FFFFFF"/>
        </w:rPr>
        <w:t>(4), 199-211. https://doi.org/</w:t>
      </w:r>
      <w:r w:rsidRPr="008C181A">
        <w:rPr>
          <w:rFonts w:cstheme="minorHAnsi"/>
        </w:rPr>
        <w:t>10.1002/bin.2360090402</w:t>
      </w:r>
    </w:p>
    <w:p w14:paraId="2FB13422"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Fyson, R. (2015). Building an evidence base for adult safeguarding? Problems with the reliability and validity of adult safeguarding databases. </w:t>
      </w:r>
      <w:r w:rsidRPr="008C181A">
        <w:rPr>
          <w:rFonts w:cstheme="minorHAnsi"/>
          <w:i/>
          <w:iCs/>
          <w:shd w:val="clear" w:color="auto" w:fill="FFFFFF"/>
        </w:rPr>
        <w:t>The British Journal of Social Work</w:t>
      </w:r>
      <w:r w:rsidRPr="008C181A">
        <w:rPr>
          <w:rFonts w:cstheme="minorHAnsi"/>
          <w:shd w:val="clear" w:color="auto" w:fill="FFFFFF"/>
        </w:rPr>
        <w:t>, </w:t>
      </w:r>
      <w:r w:rsidRPr="008C181A">
        <w:rPr>
          <w:rFonts w:cstheme="minorHAnsi"/>
          <w:i/>
          <w:iCs/>
          <w:shd w:val="clear" w:color="auto" w:fill="FFFFFF"/>
        </w:rPr>
        <w:t>45</w:t>
      </w:r>
      <w:r w:rsidRPr="008C181A">
        <w:rPr>
          <w:rFonts w:cstheme="minorHAnsi"/>
          <w:shd w:val="clear" w:color="auto" w:fill="FFFFFF"/>
        </w:rPr>
        <w:t>(3), 932-948. https://doi.org/</w:t>
      </w:r>
      <w:r w:rsidRPr="008C181A">
        <w:rPr>
          <w:rFonts w:cstheme="minorHAnsi"/>
        </w:rPr>
        <w:t>10.1093/bjsw/bct163</w:t>
      </w:r>
    </w:p>
    <w:p w14:paraId="3C29C99A"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Fyson, R., &amp; Kitson, D. (2012). Outcomes following adult safeguarding alerts: a critical analysis of key factors. </w:t>
      </w:r>
      <w:r w:rsidRPr="008C181A">
        <w:rPr>
          <w:rFonts w:cstheme="minorHAnsi"/>
          <w:i/>
          <w:iCs/>
          <w:shd w:val="clear" w:color="auto" w:fill="FFFFFF"/>
        </w:rPr>
        <w:t>The Journal of Adult Protection</w:t>
      </w:r>
      <w:r w:rsidRPr="008C181A">
        <w:rPr>
          <w:rFonts w:cstheme="minorHAnsi"/>
          <w:shd w:val="clear" w:color="auto" w:fill="FFFFFF"/>
        </w:rPr>
        <w:t>. https://doi.org/</w:t>
      </w:r>
      <w:r w:rsidRPr="008C181A">
        <w:rPr>
          <w:rFonts w:cstheme="minorHAnsi"/>
        </w:rPr>
        <w:t>10.1108/14668201211217549</w:t>
      </w:r>
    </w:p>
    <w:p w14:paraId="2A27FD33"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lastRenderedPageBreak/>
        <w:t>Fyson, R., &amp; Patterson, A. (2019). Staff understandings of abuse and poor practice in residential settings for adults with intellectual disabilities.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33</w:t>
      </w:r>
      <w:r w:rsidRPr="008C181A">
        <w:rPr>
          <w:rFonts w:cstheme="minorHAnsi"/>
          <w:shd w:val="clear" w:color="auto" w:fill="FFFFFF"/>
        </w:rPr>
        <w:t xml:space="preserve">(3), 354-363. </w:t>
      </w:r>
      <w:r w:rsidRPr="008C181A">
        <w:rPr>
          <w:rFonts w:cstheme="minorHAnsi"/>
        </w:rPr>
        <w:t>https://doi.org/10.1111/jar.12677</w:t>
      </w:r>
    </w:p>
    <w:p w14:paraId="5B2968B7"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rPr>
        <w:t xml:space="preserve">Gillett, E., &amp; Kroese, B. S. (2003). Investigating organizational culture: A comparison of a 'high'‐and a 'low'‐performing residential unit for people with intellectual disabilities. </w:t>
      </w:r>
      <w:r w:rsidRPr="008C181A">
        <w:rPr>
          <w:rFonts w:cstheme="minorHAnsi"/>
          <w:i/>
          <w:iCs/>
        </w:rPr>
        <w:t>Journal of Applied Research in Intellectual Disabilities</w:t>
      </w:r>
      <w:r w:rsidRPr="008C181A">
        <w:rPr>
          <w:rFonts w:cstheme="minorHAnsi"/>
        </w:rPr>
        <w:t>, 16(4), 279-284.</w:t>
      </w:r>
      <w:r w:rsidRPr="008C181A">
        <w:rPr>
          <w:rFonts w:cstheme="minorHAnsi"/>
        </w:rPr>
        <w:br/>
        <w:t>https://doi.org/10.1046/j.1468-3148.2003.00170.x</w:t>
      </w:r>
    </w:p>
    <w:p w14:paraId="5EA3107E"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Halladay, P. M., &amp; Harrington, C. (2015). Scandals of abuse: policy responses in intellectual disabilities. </w:t>
      </w:r>
      <w:r w:rsidRPr="008C181A">
        <w:rPr>
          <w:rFonts w:cstheme="minorHAnsi"/>
          <w:i/>
          <w:iCs/>
          <w:shd w:val="clear" w:color="auto" w:fill="FFFFFF"/>
        </w:rPr>
        <w:t>International Journal of Sociology &amp; Social Policy</w:t>
      </w:r>
      <w:r w:rsidRPr="008C181A">
        <w:rPr>
          <w:rFonts w:cstheme="minorHAnsi"/>
          <w:shd w:val="clear" w:color="auto" w:fill="FFFFFF"/>
        </w:rPr>
        <w:t xml:space="preserve">. </w:t>
      </w:r>
      <w:hyperlink r:id="rId12" w:history="1">
        <w:r w:rsidRPr="008C181A">
          <w:rPr>
            <w:rStyle w:val="Hyperlink"/>
            <w:rFonts w:cstheme="minorHAnsi"/>
            <w:color w:val="auto"/>
            <w:shd w:val="clear" w:color="auto" w:fill="FFFFFF"/>
          </w:rPr>
          <w:t>https://doi.org/</w:t>
        </w:r>
        <w:r w:rsidRPr="008C181A">
          <w:rPr>
            <w:rStyle w:val="Hyperlink"/>
            <w:rFonts w:cstheme="minorHAnsi"/>
            <w:color w:val="auto"/>
          </w:rPr>
          <w:t>10.1108/IJSSP-12-2013-0117</w:t>
        </w:r>
      </w:hyperlink>
    </w:p>
    <w:p w14:paraId="30BC8DB6"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Hollomotz, A. (2012). ‘A lad tried to get hold of my boobs, so I kicked him’: an examination of attempts by adults with learning difficulties to initiate their own safeguarding. </w:t>
      </w:r>
      <w:r w:rsidRPr="008C181A">
        <w:rPr>
          <w:rFonts w:cstheme="minorHAnsi"/>
          <w:i/>
          <w:iCs/>
          <w:shd w:val="clear" w:color="auto" w:fill="FFFFFF"/>
        </w:rPr>
        <w:t>Disability &amp; Society</w:t>
      </w:r>
      <w:r w:rsidRPr="008C181A">
        <w:rPr>
          <w:rFonts w:cstheme="minorHAnsi"/>
          <w:shd w:val="clear" w:color="auto" w:fill="FFFFFF"/>
        </w:rPr>
        <w:t>, </w:t>
      </w:r>
      <w:r w:rsidRPr="008C181A">
        <w:rPr>
          <w:rFonts w:cstheme="minorHAnsi"/>
          <w:i/>
          <w:iCs/>
          <w:shd w:val="clear" w:color="auto" w:fill="FFFFFF"/>
        </w:rPr>
        <w:t>27</w:t>
      </w:r>
      <w:r w:rsidRPr="008C181A">
        <w:rPr>
          <w:rFonts w:cstheme="minorHAnsi"/>
          <w:shd w:val="clear" w:color="auto" w:fill="FFFFFF"/>
        </w:rPr>
        <w:t>(1), 117-129. https://doi.org/</w:t>
      </w:r>
      <w:r w:rsidRPr="008C181A">
        <w:rPr>
          <w:rFonts w:cstheme="minorHAnsi"/>
        </w:rPr>
        <w:t>10.1080/09687599.2012.631801</w:t>
      </w:r>
    </w:p>
    <w:p w14:paraId="4C955416" w14:textId="77777777" w:rsidR="004576D0" w:rsidRPr="008C181A" w:rsidRDefault="004576D0" w:rsidP="00B167B8">
      <w:pPr>
        <w:spacing w:after="0" w:line="480" w:lineRule="auto"/>
        <w:ind w:firstLine="720"/>
        <w:contextualSpacing/>
        <w:rPr>
          <w:rFonts w:cstheme="minorHAnsi"/>
        </w:rPr>
      </w:pPr>
      <w:r w:rsidRPr="008C181A">
        <w:rPr>
          <w:rFonts w:cstheme="minorHAnsi"/>
        </w:rPr>
        <w:t xml:space="preserve">Hong, Q. N., Pluye, P., Fàbregues, S., Bartlett, G., Boardman, F., Cargo, M., Dagenais, P., Gagnon, M. P., Griffiths, F., Nicolau, B., O'Cathain, A., Rousseau, M. C., &amp; Vedel, I. (2018). </w:t>
      </w:r>
      <w:r w:rsidRPr="008C181A">
        <w:rPr>
          <w:rFonts w:cstheme="minorHAnsi"/>
          <w:i/>
          <w:iCs/>
        </w:rPr>
        <w:t>Mixed Methods Appraisal Tool (MMAT) User Guide, Version 2018</w:t>
      </w:r>
      <w:r w:rsidRPr="008C181A">
        <w:rPr>
          <w:rFonts w:cstheme="minorHAnsi"/>
        </w:rPr>
        <w:t>. Canadian Intellectual Property Office, Industry Canada. http://mixedmethodsappraisaltoolpublic.pbworks.com/w/file/fetch/127916259/MMAT_2018_criteria-manual_2018-08-01_ENG.pdf</w:t>
      </w:r>
    </w:p>
    <w:p w14:paraId="17C7A916" w14:textId="77777777" w:rsidR="004576D0" w:rsidRPr="008C181A" w:rsidRDefault="004576D0" w:rsidP="00B167B8">
      <w:pPr>
        <w:spacing w:after="0" w:line="480" w:lineRule="auto"/>
        <w:ind w:firstLine="720"/>
        <w:contextualSpacing/>
        <w:rPr>
          <w:rStyle w:val="Hyperlink"/>
          <w:rFonts w:ascii="Arial" w:hAnsi="Arial" w:cs="Arial"/>
          <w:color w:val="auto"/>
        </w:rPr>
      </w:pPr>
      <w:r w:rsidRPr="008C181A">
        <w:rPr>
          <w:rFonts w:cstheme="minorHAnsi"/>
          <w:shd w:val="clear" w:color="auto" w:fill="FFFFFF"/>
        </w:rPr>
        <w:t>Hong, Q. N., Pluye, P., Fàbregues, S., Bartlett, G., Boardman, F., Cargo, M., ... &amp; O’Cathain, A. (2019). Improving the content validity of the mixed methods appraisal tool: a modified e-Delphi study. </w:t>
      </w:r>
      <w:r w:rsidRPr="008C181A">
        <w:rPr>
          <w:rFonts w:cstheme="minorHAnsi"/>
          <w:i/>
          <w:iCs/>
          <w:shd w:val="clear" w:color="auto" w:fill="FFFFFF"/>
        </w:rPr>
        <w:t>Journal of Clinical Epidemiology</w:t>
      </w:r>
      <w:r w:rsidRPr="008C181A">
        <w:rPr>
          <w:rFonts w:cstheme="minorHAnsi"/>
          <w:shd w:val="clear" w:color="auto" w:fill="FFFFFF"/>
        </w:rPr>
        <w:t>, </w:t>
      </w:r>
      <w:r w:rsidRPr="008C181A">
        <w:rPr>
          <w:rFonts w:cstheme="minorHAnsi"/>
          <w:i/>
          <w:iCs/>
          <w:shd w:val="clear" w:color="auto" w:fill="FFFFFF"/>
        </w:rPr>
        <w:t>111</w:t>
      </w:r>
      <w:r w:rsidRPr="008C181A">
        <w:rPr>
          <w:rFonts w:cstheme="minorHAnsi"/>
          <w:shd w:val="clear" w:color="auto" w:fill="FFFFFF"/>
        </w:rPr>
        <w:t>, 49-59. https://doi.org/</w:t>
      </w:r>
      <w:r w:rsidRPr="008C181A">
        <w:rPr>
          <w:rFonts w:cstheme="minorHAnsi"/>
        </w:rPr>
        <w:t>10.1016/j.jclinepi.2019.03.008</w:t>
      </w:r>
    </w:p>
    <w:p w14:paraId="61AE6358"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Horner‐Johnson, W., &amp; Drum, C. E. (2006). Prevalence of maltreatment of people with intellectual disabilities: A review of recently published research. </w:t>
      </w:r>
      <w:r w:rsidRPr="008C181A">
        <w:rPr>
          <w:rFonts w:cstheme="minorHAnsi"/>
          <w:i/>
          <w:iCs/>
          <w:shd w:val="clear" w:color="auto" w:fill="FFFFFF"/>
        </w:rPr>
        <w:t>Mental Retardation &amp; Developmental Disabilities Research Reviews</w:t>
      </w:r>
      <w:r w:rsidRPr="008C181A">
        <w:rPr>
          <w:rFonts w:cstheme="minorHAnsi"/>
          <w:shd w:val="clear" w:color="auto" w:fill="FFFFFF"/>
        </w:rPr>
        <w:t>, </w:t>
      </w:r>
      <w:r w:rsidRPr="008C181A">
        <w:rPr>
          <w:rFonts w:cstheme="minorHAnsi"/>
          <w:i/>
          <w:iCs/>
          <w:shd w:val="clear" w:color="auto" w:fill="FFFFFF"/>
        </w:rPr>
        <w:t>12</w:t>
      </w:r>
      <w:r w:rsidRPr="008C181A">
        <w:rPr>
          <w:rFonts w:cstheme="minorHAnsi"/>
          <w:shd w:val="clear" w:color="auto" w:fill="FFFFFF"/>
        </w:rPr>
        <w:t>(1), 57-69. https://doi.org/</w:t>
      </w:r>
      <w:r w:rsidRPr="008C181A">
        <w:rPr>
          <w:rFonts w:cstheme="minorHAnsi"/>
        </w:rPr>
        <w:t>10.1002/mrdd.20097</w:t>
      </w:r>
    </w:p>
    <w:p w14:paraId="1F55D2BC"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lastRenderedPageBreak/>
        <w:t>Hughes, K., Bellis, M. A., Jones, L., Wood, S., Bates, G., Eckley, L., ... &amp; Officer, A. (2012). Prevalence and risk of violence against adults with disabilities: a systematic review and meta-analysis of observational studies. </w:t>
      </w:r>
      <w:r w:rsidRPr="008C181A">
        <w:rPr>
          <w:rFonts w:cstheme="minorHAnsi"/>
          <w:i/>
          <w:iCs/>
          <w:sz w:val="22"/>
          <w:szCs w:val="22"/>
          <w:shd w:val="clear" w:color="auto" w:fill="FFFFFF"/>
        </w:rPr>
        <w:t>The Lancet</w:t>
      </w:r>
      <w:r w:rsidRPr="008C181A">
        <w:rPr>
          <w:rFonts w:cstheme="minorHAnsi"/>
          <w:sz w:val="22"/>
          <w:szCs w:val="22"/>
          <w:shd w:val="clear" w:color="auto" w:fill="FFFFFF"/>
        </w:rPr>
        <w:t>, </w:t>
      </w:r>
      <w:r w:rsidRPr="008C181A">
        <w:rPr>
          <w:rFonts w:cstheme="minorHAnsi"/>
          <w:i/>
          <w:iCs/>
          <w:sz w:val="22"/>
          <w:szCs w:val="22"/>
          <w:shd w:val="clear" w:color="auto" w:fill="FFFFFF"/>
        </w:rPr>
        <w:t>379</w:t>
      </w:r>
      <w:r w:rsidRPr="008C181A">
        <w:rPr>
          <w:rFonts w:cstheme="minorHAnsi"/>
          <w:sz w:val="22"/>
          <w:szCs w:val="22"/>
          <w:shd w:val="clear" w:color="auto" w:fill="FFFFFF"/>
        </w:rPr>
        <w:t xml:space="preserve">(9826), 1621-1629. </w:t>
      </w:r>
      <w:hyperlink r:id="rId13" w:tgtFrame="_blank" w:history="1">
        <w:r w:rsidRPr="008C181A">
          <w:rPr>
            <w:rStyle w:val="Hyperlink"/>
            <w:rFonts w:cstheme="minorHAnsi"/>
            <w:color w:val="auto"/>
            <w:sz w:val="22"/>
            <w:szCs w:val="22"/>
            <w:u w:val="none"/>
          </w:rPr>
          <w:t>https://doi.org/10.1016/S0140-6736(11)61851-5</w:t>
        </w:r>
      </w:hyperlink>
    </w:p>
    <w:p w14:paraId="3A823F0E"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Humphreys, L., Bigby, C., Iacono, T., &amp; Bould, E. (2020). Development and psychometric evaluation of the Group Home Culture Scale.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33</w:t>
      </w:r>
      <w:r w:rsidRPr="008C181A">
        <w:rPr>
          <w:rFonts w:cstheme="minorHAnsi"/>
          <w:shd w:val="clear" w:color="auto" w:fill="FFFFFF"/>
        </w:rPr>
        <w:t>(3), 515-528. https://doi.org/</w:t>
      </w:r>
      <w:r w:rsidRPr="008C181A">
        <w:rPr>
          <w:rFonts w:cstheme="minorHAnsi"/>
        </w:rPr>
        <w:t>10.1111/jar.12693</w:t>
      </w:r>
    </w:p>
    <w:p w14:paraId="31B9BDE0"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Hussein, S., Manthorpe, J., Stevens, M., Rapaport, J., Harris, J., &amp; Martineau, S. (2009). Articulating the improvement of care standards: The operation of a barring and vetting scheme in social care. </w:t>
      </w:r>
      <w:r w:rsidRPr="008C181A">
        <w:rPr>
          <w:rFonts w:cstheme="minorHAnsi"/>
          <w:i/>
          <w:iCs/>
          <w:shd w:val="clear" w:color="auto" w:fill="FFFFFF"/>
        </w:rPr>
        <w:t>Journal of Social Policy</w:t>
      </w:r>
      <w:r w:rsidRPr="008C181A">
        <w:rPr>
          <w:rFonts w:cstheme="minorHAnsi"/>
          <w:shd w:val="clear" w:color="auto" w:fill="FFFFFF"/>
        </w:rPr>
        <w:t>, </w:t>
      </w:r>
      <w:r w:rsidRPr="008C181A">
        <w:rPr>
          <w:rFonts w:cstheme="minorHAnsi"/>
          <w:i/>
          <w:iCs/>
          <w:shd w:val="clear" w:color="auto" w:fill="FFFFFF"/>
        </w:rPr>
        <w:t>38</w:t>
      </w:r>
      <w:r w:rsidRPr="008C181A">
        <w:rPr>
          <w:rFonts w:cstheme="minorHAnsi"/>
          <w:shd w:val="clear" w:color="auto" w:fill="FFFFFF"/>
        </w:rPr>
        <w:t>(2), 259-275. https://doi.org/</w:t>
      </w:r>
      <w:r w:rsidRPr="008C181A">
        <w:rPr>
          <w:rFonts w:cstheme="minorHAnsi"/>
        </w:rPr>
        <w:t>10.1017/S0047279408002833</w:t>
      </w:r>
    </w:p>
    <w:p w14:paraId="3DB60049"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Hutchison, A., &amp; Kroese, B. S. (2016). Making sense of varying standards of care: the experiences of staff working in residential care environments for adults with learning disabilities. </w:t>
      </w:r>
      <w:r w:rsidRPr="008C181A">
        <w:rPr>
          <w:rFonts w:cstheme="minorHAnsi"/>
          <w:i/>
          <w:iCs/>
          <w:shd w:val="clear" w:color="auto" w:fill="FFFFFF"/>
        </w:rPr>
        <w:t>British Journal of Learning Disabilities</w:t>
      </w:r>
      <w:r w:rsidRPr="008C181A">
        <w:rPr>
          <w:rFonts w:cstheme="minorHAnsi"/>
          <w:shd w:val="clear" w:color="auto" w:fill="FFFFFF"/>
        </w:rPr>
        <w:t>, </w:t>
      </w:r>
      <w:r w:rsidRPr="008C181A">
        <w:rPr>
          <w:rFonts w:cstheme="minorHAnsi"/>
          <w:i/>
          <w:iCs/>
          <w:shd w:val="clear" w:color="auto" w:fill="FFFFFF"/>
        </w:rPr>
        <w:t>44</w:t>
      </w:r>
      <w:r w:rsidRPr="008C181A">
        <w:rPr>
          <w:rFonts w:cstheme="minorHAnsi"/>
          <w:shd w:val="clear" w:color="auto" w:fill="FFFFFF"/>
        </w:rPr>
        <w:t>(3), 182-193. https://doi.org/</w:t>
      </w:r>
      <w:r w:rsidRPr="008C181A">
        <w:rPr>
          <w:rFonts w:cstheme="minorHAnsi"/>
        </w:rPr>
        <w:t>10.1111/bld.12136</w:t>
      </w:r>
    </w:p>
    <w:p w14:paraId="0A35B60E" w14:textId="77777777" w:rsidR="004576D0" w:rsidRPr="008C181A" w:rsidRDefault="004576D0" w:rsidP="00B167B8">
      <w:pPr>
        <w:spacing w:after="0" w:line="480" w:lineRule="auto"/>
        <w:ind w:firstLine="720"/>
        <w:rPr>
          <w:rFonts w:cstheme="minorHAnsi"/>
        </w:rPr>
      </w:pPr>
      <w:r w:rsidRPr="008C181A">
        <w:rPr>
          <w:rFonts w:cstheme="minorHAnsi"/>
        </w:rPr>
        <w:t xml:space="preserve">Jones, P., &amp; Kroese, B. S. (2006). Service users' views of physical restraint procedures in secure settings for people with learning disabilities. </w:t>
      </w:r>
      <w:r w:rsidRPr="008C181A">
        <w:rPr>
          <w:rFonts w:cstheme="minorHAnsi"/>
          <w:i/>
          <w:iCs/>
        </w:rPr>
        <w:t>British Journal of Learning Disabilities</w:t>
      </w:r>
      <w:r w:rsidRPr="008C181A">
        <w:rPr>
          <w:rFonts w:cstheme="minorHAnsi"/>
        </w:rPr>
        <w:t>, 35(1), 50-54. https://doi.org/10.1111/j.1468-3156.2006.00390.x</w:t>
      </w:r>
    </w:p>
    <w:p w14:paraId="49960024"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t>Khalifeh, H., Howard, L. M., Osborn, D., Moran, P., &amp; Johnson, S. (2013). Violence against people with disability in England and Wales: findings from a national cross-sectional survey. </w:t>
      </w:r>
      <w:r w:rsidRPr="008C181A">
        <w:rPr>
          <w:rFonts w:cstheme="minorHAnsi"/>
          <w:i/>
          <w:iCs/>
          <w:sz w:val="22"/>
          <w:szCs w:val="22"/>
          <w:shd w:val="clear" w:color="auto" w:fill="FFFFFF"/>
        </w:rPr>
        <w:t>Plos One</w:t>
      </w:r>
      <w:r w:rsidRPr="008C181A">
        <w:rPr>
          <w:rFonts w:cstheme="minorHAnsi"/>
          <w:sz w:val="22"/>
          <w:szCs w:val="22"/>
          <w:shd w:val="clear" w:color="auto" w:fill="FFFFFF"/>
        </w:rPr>
        <w:t>, </w:t>
      </w:r>
      <w:r w:rsidRPr="008C181A">
        <w:rPr>
          <w:rFonts w:cstheme="minorHAnsi"/>
          <w:i/>
          <w:iCs/>
          <w:sz w:val="22"/>
          <w:szCs w:val="22"/>
          <w:shd w:val="clear" w:color="auto" w:fill="FFFFFF"/>
        </w:rPr>
        <w:t>8</w:t>
      </w:r>
      <w:r w:rsidRPr="008C181A">
        <w:rPr>
          <w:rFonts w:cstheme="minorHAnsi"/>
          <w:sz w:val="22"/>
          <w:szCs w:val="22"/>
          <w:shd w:val="clear" w:color="auto" w:fill="FFFFFF"/>
        </w:rPr>
        <w:t xml:space="preserve">(2), e55952. </w:t>
      </w:r>
      <w:hyperlink r:id="rId14" w:tgtFrame="_blank" w:history="1">
        <w:r w:rsidRPr="008C181A">
          <w:rPr>
            <w:rStyle w:val="Hyperlink"/>
            <w:rFonts w:cstheme="minorHAnsi"/>
            <w:color w:val="auto"/>
            <w:sz w:val="22"/>
            <w:szCs w:val="22"/>
            <w:u w:val="none"/>
          </w:rPr>
          <w:t>https://doi.org/10.1371/journal.pone.0055952</w:t>
        </w:r>
      </w:hyperlink>
    </w:p>
    <w:p w14:paraId="1A9042BE" w14:textId="77777777" w:rsidR="004576D0" w:rsidRPr="008C181A" w:rsidRDefault="004576D0" w:rsidP="00B167B8">
      <w:pPr>
        <w:spacing w:after="0" w:line="480" w:lineRule="auto"/>
        <w:ind w:firstLine="720"/>
        <w:rPr>
          <w:rFonts w:cstheme="minorHAnsi"/>
          <w:lang w:val="en-US"/>
        </w:rPr>
      </w:pPr>
      <w:r w:rsidRPr="008C181A">
        <w:rPr>
          <w:rFonts w:cstheme="minorHAnsi"/>
          <w:shd w:val="clear" w:color="auto" w:fill="FFFFFF"/>
        </w:rPr>
        <w:t>Langdon, P. E., Swift, A., &amp; Budd, R. (2006). Social climate within secure inpatient services for people with intellectual disabilities. </w:t>
      </w:r>
      <w:r w:rsidRPr="008C181A">
        <w:rPr>
          <w:rFonts w:cstheme="minorHAnsi"/>
          <w:i/>
          <w:iCs/>
          <w:shd w:val="clear" w:color="auto" w:fill="FFFFFF"/>
        </w:rPr>
        <w:t>Journal of Intellectual Disability Research</w:t>
      </w:r>
      <w:r w:rsidRPr="008C181A">
        <w:rPr>
          <w:rFonts w:cstheme="minorHAnsi"/>
          <w:shd w:val="clear" w:color="auto" w:fill="FFFFFF"/>
        </w:rPr>
        <w:t>, </w:t>
      </w:r>
      <w:r w:rsidRPr="008C181A">
        <w:rPr>
          <w:rFonts w:cstheme="minorHAnsi"/>
          <w:i/>
          <w:iCs/>
          <w:shd w:val="clear" w:color="auto" w:fill="FFFFFF"/>
        </w:rPr>
        <w:t>50</w:t>
      </w:r>
      <w:r w:rsidRPr="008C181A">
        <w:rPr>
          <w:rFonts w:cstheme="minorHAnsi"/>
          <w:shd w:val="clear" w:color="auto" w:fill="FFFFFF"/>
        </w:rPr>
        <w:t>(11), 828-836. https://doi.org/</w:t>
      </w:r>
      <w:r w:rsidRPr="008C181A">
        <w:rPr>
          <w:rFonts w:cstheme="minorHAnsi"/>
        </w:rPr>
        <w:t>10.1111/j.1365-2788.2006.00847.x</w:t>
      </w:r>
    </w:p>
    <w:p w14:paraId="140B0889"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Lymbery, M. (2005). </w:t>
      </w:r>
      <w:r w:rsidRPr="008C181A">
        <w:rPr>
          <w:rFonts w:cstheme="minorHAnsi"/>
          <w:i/>
          <w:iCs/>
          <w:shd w:val="clear" w:color="auto" w:fill="FFFFFF"/>
        </w:rPr>
        <w:t>Social work with older people</w:t>
      </w:r>
      <w:r w:rsidRPr="008C181A">
        <w:rPr>
          <w:rFonts w:cstheme="minorHAnsi"/>
          <w:shd w:val="clear" w:color="auto" w:fill="FFFFFF"/>
        </w:rPr>
        <w:t>. Sage.</w:t>
      </w:r>
    </w:p>
    <w:p w14:paraId="06532160"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Lymbery, M. (2010). A new vision for adult social care? Continuities and change in the care of older people. </w:t>
      </w:r>
      <w:r w:rsidRPr="008C181A">
        <w:rPr>
          <w:rFonts w:cstheme="minorHAnsi"/>
          <w:i/>
          <w:iCs/>
          <w:shd w:val="clear" w:color="auto" w:fill="FFFFFF"/>
        </w:rPr>
        <w:t>Critical Social Policy</w:t>
      </w:r>
      <w:r w:rsidRPr="008C181A">
        <w:rPr>
          <w:rFonts w:cstheme="minorHAnsi"/>
          <w:shd w:val="clear" w:color="auto" w:fill="FFFFFF"/>
        </w:rPr>
        <w:t>, </w:t>
      </w:r>
      <w:r w:rsidRPr="008C181A">
        <w:rPr>
          <w:rFonts w:cstheme="minorHAnsi"/>
          <w:i/>
          <w:iCs/>
          <w:shd w:val="clear" w:color="auto" w:fill="FFFFFF"/>
        </w:rPr>
        <w:t>30</w:t>
      </w:r>
      <w:r w:rsidRPr="008C181A">
        <w:rPr>
          <w:rFonts w:cstheme="minorHAnsi"/>
          <w:shd w:val="clear" w:color="auto" w:fill="FFFFFF"/>
        </w:rPr>
        <w:t>(1), 5-26. https://doi.org/</w:t>
      </w:r>
      <w:r w:rsidRPr="008C181A">
        <w:rPr>
          <w:rFonts w:cstheme="minorHAnsi"/>
        </w:rPr>
        <w:t>10.1177/0261018309350806</w:t>
      </w:r>
    </w:p>
    <w:p w14:paraId="3E341CCB"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lastRenderedPageBreak/>
        <w:t>Malihi, Z. A., Fanslow, J. L., Hashemi, L., Gulliver, P. J., &amp; McIntosh, T. K. (2021). Prevalence of Nonpartner Physical and Sexual Violence Against People With Disabilities. </w:t>
      </w:r>
      <w:r w:rsidRPr="008C181A">
        <w:rPr>
          <w:rFonts w:cstheme="minorHAnsi"/>
          <w:i/>
          <w:iCs/>
          <w:sz w:val="22"/>
          <w:szCs w:val="22"/>
          <w:shd w:val="clear" w:color="auto" w:fill="FFFFFF"/>
        </w:rPr>
        <w:t>American Journal of Preventive Medicine</w:t>
      </w:r>
      <w:r w:rsidRPr="008C181A">
        <w:rPr>
          <w:rFonts w:cstheme="minorHAnsi"/>
          <w:sz w:val="22"/>
          <w:szCs w:val="22"/>
          <w:shd w:val="clear" w:color="auto" w:fill="FFFFFF"/>
        </w:rPr>
        <w:t xml:space="preserve">. </w:t>
      </w:r>
      <w:hyperlink r:id="rId15" w:tgtFrame="_blank" w:history="1">
        <w:r w:rsidRPr="008C181A">
          <w:rPr>
            <w:rStyle w:val="Hyperlink"/>
            <w:rFonts w:cstheme="minorHAnsi"/>
            <w:color w:val="auto"/>
            <w:sz w:val="22"/>
            <w:szCs w:val="22"/>
            <w:u w:val="none"/>
          </w:rPr>
          <w:t>https://doi.org/10.1016/j.amepre.2021.03.016</w:t>
        </w:r>
      </w:hyperlink>
    </w:p>
    <w:p w14:paraId="70416512" w14:textId="77777777" w:rsidR="004576D0" w:rsidRPr="008C181A" w:rsidRDefault="004576D0" w:rsidP="00B167B8">
      <w:pPr>
        <w:autoSpaceDE w:val="0"/>
        <w:autoSpaceDN w:val="0"/>
        <w:adjustRightInd w:val="0"/>
        <w:spacing w:after="0" w:line="480" w:lineRule="auto"/>
        <w:ind w:firstLine="720"/>
        <w:rPr>
          <w:rFonts w:cstheme="minorHAnsi"/>
        </w:rPr>
      </w:pPr>
      <w:r w:rsidRPr="008C181A">
        <w:rPr>
          <w:rFonts w:cstheme="minorHAnsi"/>
        </w:rPr>
        <w:t xml:space="preserve">Mansell J., Beadle-Brown J., Cambridge P., Milne A. &amp; Whelton B. (2009) Adult protection: incidence of referrals, nature and risk factors in two English local authorities. </w:t>
      </w:r>
      <w:r w:rsidRPr="008C181A">
        <w:rPr>
          <w:rFonts w:cstheme="minorHAnsi"/>
          <w:i/>
        </w:rPr>
        <w:t>Journal of Social Work 9,</w:t>
      </w:r>
      <w:r w:rsidRPr="008C181A">
        <w:rPr>
          <w:rFonts w:cstheme="minorHAnsi"/>
        </w:rPr>
        <w:t xml:space="preserve"> 25–40. </w:t>
      </w:r>
      <w:r w:rsidRPr="008C181A">
        <w:rPr>
          <w:rFonts w:cstheme="minorHAnsi"/>
          <w:shd w:val="clear" w:color="auto" w:fill="FFFFFF"/>
        </w:rPr>
        <w:t>https://doi.org/</w:t>
      </w:r>
      <w:r w:rsidRPr="008C181A">
        <w:rPr>
          <w:rFonts w:cstheme="minorHAnsi"/>
        </w:rPr>
        <w:t>10.1177/1468017308098426</w:t>
      </w:r>
    </w:p>
    <w:p w14:paraId="17CF4EC4" w14:textId="77777777" w:rsidR="004576D0" w:rsidRPr="008C181A" w:rsidRDefault="004576D0" w:rsidP="00B167B8">
      <w:pPr>
        <w:autoSpaceDE w:val="0"/>
        <w:autoSpaceDN w:val="0"/>
        <w:adjustRightInd w:val="0"/>
        <w:spacing w:after="0" w:line="480" w:lineRule="auto"/>
        <w:ind w:firstLine="720"/>
        <w:rPr>
          <w:rFonts w:cstheme="minorHAnsi"/>
        </w:rPr>
      </w:pPr>
      <w:r w:rsidRPr="008C181A">
        <w:rPr>
          <w:rFonts w:cstheme="minorHAnsi"/>
          <w:shd w:val="clear" w:color="auto" w:fill="FFFFFF"/>
        </w:rPr>
        <w:t>Manthorpe, J., &amp; Martineau, S. (2015). What can and cannot be learned from serious case reviews of the care and treatment of adults with learning disabilities in England? Messages for social workers. </w:t>
      </w:r>
      <w:r w:rsidRPr="008C181A">
        <w:rPr>
          <w:rFonts w:cstheme="minorHAnsi"/>
          <w:i/>
          <w:iCs/>
          <w:shd w:val="clear" w:color="auto" w:fill="FFFFFF"/>
        </w:rPr>
        <w:t>British Journal of Social Work</w:t>
      </w:r>
      <w:r w:rsidRPr="008C181A">
        <w:rPr>
          <w:rFonts w:cstheme="minorHAnsi"/>
          <w:shd w:val="clear" w:color="auto" w:fill="FFFFFF"/>
        </w:rPr>
        <w:t>, </w:t>
      </w:r>
      <w:r w:rsidRPr="008C181A">
        <w:rPr>
          <w:rFonts w:cstheme="minorHAnsi"/>
          <w:i/>
          <w:iCs/>
          <w:shd w:val="clear" w:color="auto" w:fill="FFFFFF"/>
        </w:rPr>
        <w:t>45</w:t>
      </w:r>
      <w:r w:rsidRPr="008C181A">
        <w:rPr>
          <w:rFonts w:cstheme="minorHAnsi"/>
          <w:shd w:val="clear" w:color="auto" w:fill="FFFFFF"/>
        </w:rPr>
        <w:t>(1), 331-348. https://doi.org/</w:t>
      </w:r>
      <w:r w:rsidRPr="008C181A">
        <w:rPr>
          <w:rFonts w:cstheme="minorHAnsi"/>
        </w:rPr>
        <w:t>10.1093/bjsw/bct142</w:t>
      </w:r>
    </w:p>
    <w:p w14:paraId="070D65FC" w14:textId="77777777" w:rsidR="004576D0" w:rsidRPr="008C181A" w:rsidRDefault="004576D0" w:rsidP="00B167B8">
      <w:pPr>
        <w:autoSpaceDE w:val="0"/>
        <w:autoSpaceDN w:val="0"/>
        <w:adjustRightInd w:val="0"/>
        <w:spacing w:after="0" w:line="480" w:lineRule="auto"/>
        <w:ind w:firstLine="720"/>
        <w:rPr>
          <w:rFonts w:cstheme="minorHAnsi"/>
          <w:sz w:val="24"/>
          <w:szCs w:val="24"/>
        </w:rPr>
      </w:pPr>
      <w:r w:rsidRPr="008C181A">
        <w:rPr>
          <w:rFonts w:cstheme="minorHAnsi"/>
          <w:shd w:val="clear" w:color="auto" w:fill="FFFFFF"/>
          <w:lang w:val="it-IT"/>
        </w:rPr>
        <w:t xml:space="preserve">Marchetti, A. G., &amp; McCartney, J. R. (1990). </w:t>
      </w:r>
      <w:r w:rsidRPr="008C181A">
        <w:rPr>
          <w:rFonts w:cstheme="minorHAnsi"/>
          <w:shd w:val="clear" w:color="auto" w:fill="FFFFFF"/>
        </w:rPr>
        <w:t>Abuse of persons with mental retardation: Characteristics of the abused, the abusers, and the informers. </w:t>
      </w:r>
      <w:r w:rsidRPr="008C181A">
        <w:rPr>
          <w:rFonts w:cstheme="minorHAnsi"/>
          <w:i/>
          <w:iCs/>
          <w:shd w:val="clear" w:color="auto" w:fill="FFFFFF"/>
        </w:rPr>
        <w:t>Mental Retardation</w:t>
      </w:r>
      <w:r w:rsidRPr="008C181A">
        <w:rPr>
          <w:rFonts w:cstheme="minorHAnsi"/>
          <w:shd w:val="clear" w:color="auto" w:fill="FFFFFF"/>
        </w:rPr>
        <w:t>, </w:t>
      </w:r>
      <w:r w:rsidRPr="008C181A">
        <w:rPr>
          <w:rFonts w:cstheme="minorHAnsi"/>
          <w:i/>
          <w:iCs/>
          <w:shd w:val="clear" w:color="auto" w:fill="FFFFFF"/>
        </w:rPr>
        <w:t>28</w:t>
      </w:r>
      <w:r w:rsidRPr="008C181A">
        <w:rPr>
          <w:rFonts w:cstheme="minorHAnsi"/>
          <w:shd w:val="clear" w:color="auto" w:fill="FFFFFF"/>
        </w:rPr>
        <w:t xml:space="preserve">(6), 367. </w:t>
      </w:r>
    </w:p>
    <w:p w14:paraId="280E318A" w14:textId="77777777" w:rsidR="004576D0" w:rsidRPr="008C181A" w:rsidRDefault="004576D0" w:rsidP="00B167B8">
      <w:pPr>
        <w:autoSpaceDE w:val="0"/>
        <w:autoSpaceDN w:val="0"/>
        <w:adjustRightInd w:val="0"/>
        <w:spacing w:after="0" w:line="480" w:lineRule="auto"/>
        <w:ind w:firstLine="720"/>
        <w:rPr>
          <w:rFonts w:cstheme="minorHAnsi"/>
          <w:sz w:val="24"/>
          <w:szCs w:val="24"/>
          <w:shd w:val="clear" w:color="auto" w:fill="FFFFFF"/>
        </w:rPr>
      </w:pPr>
      <w:r w:rsidRPr="008C181A">
        <w:rPr>
          <w:rFonts w:cstheme="minorHAnsi"/>
        </w:rPr>
        <w:t xml:space="preserve">Marsland, D., Oakes, P., &amp; White, C. (2007). Abuse in care? The identification of early indicators of the abuse of people with learning disabilities in residential settings. </w:t>
      </w:r>
      <w:r w:rsidRPr="008C181A">
        <w:rPr>
          <w:rFonts w:cstheme="minorHAnsi"/>
          <w:i/>
        </w:rPr>
        <w:t>The Journal of Adult Protection, 9(4)</w:t>
      </w:r>
      <w:r w:rsidRPr="008C181A">
        <w:rPr>
          <w:rFonts w:cstheme="minorHAnsi"/>
        </w:rPr>
        <w:t xml:space="preserve">, 6. </w:t>
      </w:r>
      <w:r w:rsidRPr="008C181A">
        <w:rPr>
          <w:rFonts w:cstheme="minorHAnsi"/>
          <w:shd w:val="clear" w:color="auto" w:fill="FFFFFF"/>
        </w:rPr>
        <w:t>https://doi.org/</w:t>
      </w:r>
      <w:r w:rsidRPr="008C181A">
        <w:rPr>
          <w:rFonts w:cstheme="minorHAnsi"/>
        </w:rPr>
        <w:t>10.1108/14668203200700023</w:t>
      </w:r>
    </w:p>
    <w:p w14:paraId="438F4F6D"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t>Martin, S. L., Ray, N., Sotres-Alvarez, D., Kupper, L. L., Moracco, K. E., Dickens, P. A., ... &amp; Gizlice, Z. (2006). Physical and sexual assault of women with disabilities. </w:t>
      </w:r>
      <w:r w:rsidRPr="008C181A">
        <w:rPr>
          <w:rFonts w:cstheme="minorHAnsi"/>
          <w:i/>
          <w:iCs/>
          <w:sz w:val="22"/>
          <w:szCs w:val="22"/>
          <w:shd w:val="clear" w:color="auto" w:fill="FFFFFF"/>
        </w:rPr>
        <w:t>Violence Against Women</w:t>
      </w:r>
      <w:r w:rsidRPr="008C181A">
        <w:rPr>
          <w:rFonts w:cstheme="minorHAnsi"/>
          <w:sz w:val="22"/>
          <w:szCs w:val="22"/>
          <w:shd w:val="clear" w:color="auto" w:fill="FFFFFF"/>
        </w:rPr>
        <w:t>, </w:t>
      </w:r>
      <w:r w:rsidRPr="008C181A">
        <w:rPr>
          <w:rFonts w:cstheme="minorHAnsi"/>
          <w:i/>
          <w:iCs/>
          <w:sz w:val="22"/>
          <w:szCs w:val="22"/>
          <w:shd w:val="clear" w:color="auto" w:fill="FFFFFF"/>
        </w:rPr>
        <w:t>12</w:t>
      </w:r>
      <w:r w:rsidRPr="008C181A">
        <w:rPr>
          <w:rFonts w:cstheme="minorHAnsi"/>
          <w:sz w:val="22"/>
          <w:szCs w:val="22"/>
          <w:shd w:val="clear" w:color="auto" w:fill="FFFFFF"/>
        </w:rPr>
        <w:t xml:space="preserve">(9), 823-837. </w:t>
      </w:r>
      <w:hyperlink r:id="rId16" w:tgtFrame="_blank" w:history="1">
        <w:r w:rsidRPr="008C181A">
          <w:rPr>
            <w:rStyle w:val="Hyperlink"/>
            <w:rFonts w:cstheme="minorHAnsi"/>
            <w:color w:val="auto"/>
            <w:sz w:val="22"/>
            <w:szCs w:val="22"/>
            <w:u w:val="none"/>
          </w:rPr>
          <w:t>https://doi.org/10.1177/1077801206292672</w:t>
        </w:r>
      </w:hyperlink>
    </w:p>
    <w:p w14:paraId="6BE6EFB2"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McCabe, M. P., &amp; Cummins, R. A. (1996). The sexual knowledge, experience, feelings and needs of people with mild intellectual disability. </w:t>
      </w:r>
      <w:r w:rsidRPr="008C181A">
        <w:rPr>
          <w:rFonts w:cstheme="minorHAnsi"/>
          <w:i/>
          <w:iCs/>
          <w:shd w:val="clear" w:color="auto" w:fill="FFFFFF"/>
        </w:rPr>
        <w:t>Education and Training in Mental Retardation &amp; Developmental Disabilities</w:t>
      </w:r>
      <w:r w:rsidRPr="008C181A">
        <w:rPr>
          <w:rFonts w:cstheme="minorHAnsi"/>
          <w:shd w:val="clear" w:color="auto" w:fill="FFFFFF"/>
        </w:rPr>
        <w:t>, 13-21. https://www.jstor.org/stable/23879019</w:t>
      </w:r>
    </w:p>
    <w:p w14:paraId="15867D79"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McCabe, M. P., Cummins, R. A., &amp; Reid, S. B. (1994). An empirical study of the sexual abuse of people with intellectual disability. </w:t>
      </w:r>
      <w:r w:rsidRPr="008C181A">
        <w:rPr>
          <w:rFonts w:cstheme="minorHAnsi"/>
          <w:i/>
          <w:iCs/>
          <w:shd w:val="clear" w:color="auto" w:fill="FFFFFF"/>
        </w:rPr>
        <w:t>Sexuality and Disability</w:t>
      </w:r>
      <w:r w:rsidRPr="008C181A">
        <w:rPr>
          <w:rFonts w:cstheme="minorHAnsi"/>
          <w:shd w:val="clear" w:color="auto" w:fill="FFFFFF"/>
        </w:rPr>
        <w:t>, </w:t>
      </w:r>
      <w:r w:rsidRPr="008C181A">
        <w:rPr>
          <w:rFonts w:cstheme="minorHAnsi"/>
          <w:i/>
          <w:iCs/>
          <w:shd w:val="clear" w:color="auto" w:fill="FFFFFF"/>
        </w:rPr>
        <w:t>12</w:t>
      </w:r>
      <w:r w:rsidRPr="008C181A">
        <w:rPr>
          <w:rFonts w:cstheme="minorHAnsi"/>
          <w:shd w:val="clear" w:color="auto" w:fill="FFFFFF"/>
        </w:rPr>
        <w:t>(4), 297-306. https://doi.org/</w:t>
      </w:r>
      <w:r w:rsidRPr="008C181A">
        <w:rPr>
          <w:rFonts w:cstheme="minorHAnsi"/>
        </w:rPr>
        <w:t>10.1007/BF02575321</w:t>
      </w:r>
    </w:p>
    <w:p w14:paraId="63883D88"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McCarthy, M., &amp; Thompson, D. (1997). A prevalence study of sexual abuse of adults with intellectual disabilities referred for sex education. </w:t>
      </w:r>
      <w:r w:rsidRPr="008C181A">
        <w:rPr>
          <w:rFonts w:cstheme="minorHAnsi"/>
          <w:i/>
          <w:iCs/>
          <w:shd w:val="clear" w:color="auto" w:fill="FFFFFF"/>
        </w:rPr>
        <w:t>Journal of Applied Research in Intellectual Disabilities</w:t>
      </w:r>
      <w:r w:rsidRPr="008C181A">
        <w:rPr>
          <w:rFonts w:cstheme="minorHAnsi"/>
          <w:shd w:val="clear" w:color="auto" w:fill="FFFFFF"/>
        </w:rPr>
        <w:t>, </w:t>
      </w:r>
      <w:r w:rsidRPr="008C181A">
        <w:rPr>
          <w:rFonts w:cstheme="minorHAnsi"/>
          <w:i/>
          <w:iCs/>
          <w:shd w:val="clear" w:color="auto" w:fill="FFFFFF"/>
        </w:rPr>
        <w:t>10</w:t>
      </w:r>
      <w:r w:rsidRPr="008C181A">
        <w:rPr>
          <w:rFonts w:cstheme="minorHAnsi"/>
          <w:shd w:val="clear" w:color="auto" w:fill="FFFFFF"/>
        </w:rPr>
        <w:t>(2), 105-124. https://doi.org/</w:t>
      </w:r>
      <w:r w:rsidRPr="008C181A">
        <w:rPr>
          <w:rFonts w:cstheme="minorHAnsi"/>
        </w:rPr>
        <w:t>10.1111/j.1468-3148.1997.tb00012.x</w:t>
      </w:r>
    </w:p>
    <w:p w14:paraId="7CAD7B8B" w14:textId="77777777" w:rsidR="004576D0" w:rsidRPr="008C181A" w:rsidRDefault="004576D0" w:rsidP="00B167B8">
      <w:pPr>
        <w:autoSpaceDE w:val="0"/>
        <w:autoSpaceDN w:val="0"/>
        <w:adjustRightInd w:val="0"/>
        <w:spacing w:after="0" w:line="480" w:lineRule="auto"/>
        <w:ind w:firstLine="720"/>
        <w:rPr>
          <w:rFonts w:cstheme="minorHAnsi"/>
          <w:lang w:val="en-US"/>
        </w:rPr>
      </w:pPr>
      <w:r w:rsidRPr="008C181A">
        <w:rPr>
          <w:rFonts w:cstheme="minorHAnsi"/>
          <w:shd w:val="clear" w:color="auto" w:fill="FFFFFF"/>
        </w:rPr>
        <w:lastRenderedPageBreak/>
        <w:t>McCartney, J. R., &amp; Campbell, V. A. (1998). Confirmed abuse cases in public residential facilities for persons with mental retardation: A multi-state study. </w:t>
      </w:r>
      <w:r w:rsidRPr="008C181A">
        <w:rPr>
          <w:rFonts w:cstheme="minorHAnsi"/>
          <w:i/>
          <w:iCs/>
          <w:shd w:val="clear" w:color="auto" w:fill="FFFFFF"/>
        </w:rPr>
        <w:t>Mental Retardation</w:t>
      </w:r>
      <w:r w:rsidRPr="008C181A">
        <w:rPr>
          <w:rFonts w:cstheme="minorHAnsi"/>
          <w:shd w:val="clear" w:color="auto" w:fill="FFFFFF"/>
        </w:rPr>
        <w:t>, </w:t>
      </w:r>
      <w:r w:rsidRPr="008C181A">
        <w:rPr>
          <w:rFonts w:cstheme="minorHAnsi"/>
          <w:i/>
          <w:iCs/>
          <w:shd w:val="clear" w:color="auto" w:fill="FFFFFF"/>
        </w:rPr>
        <w:t>36</w:t>
      </w:r>
      <w:r w:rsidRPr="008C181A">
        <w:rPr>
          <w:rFonts w:cstheme="minorHAnsi"/>
          <w:shd w:val="clear" w:color="auto" w:fill="FFFFFF"/>
        </w:rPr>
        <w:t>(6), 465-473. https://doi.org/</w:t>
      </w:r>
      <w:r w:rsidRPr="008C181A">
        <w:rPr>
          <w:rFonts w:cstheme="minorHAnsi"/>
        </w:rPr>
        <w:t>10.1352/0047-6765(1998)036&lt;0465:CACIPR&gt;2.0.CO;2</w:t>
      </w:r>
    </w:p>
    <w:p w14:paraId="26698E57"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Mickan, S. M., &amp; Rodger, S. A. (2005). Effective health care teams: a model of six characteristics developed from shared perceptions. </w:t>
      </w:r>
      <w:r w:rsidRPr="008C181A">
        <w:rPr>
          <w:rFonts w:cstheme="minorHAnsi"/>
          <w:i/>
          <w:iCs/>
          <w:shd w:val="clear" w:color="auto" w:fill="FFFFFF"/>
        </w:rPr>
        <w:t>Journal of Interprofessional Care</w:t>
      </w:r>
      <w:r w:rsidRPr="008C181A">
        <w:rPr>
          <w:rFonts w:cstheme="minorHAnsi"/>
          <w:shd w:val="clear" w:color="auto" w:fill="FFFFFF"/>
        </w:rPr>
        <w:t>, </w:t>
      </w:r>
      <w:r w:rsidRPr="008C181A">
        <w:rPr>
          <w:rFonts w:cstheme="minorHAnsi"/>
          <w:i/>
          <w:iCs/>
          <w:shd w:val="clear" w:color="auto" w:fill="FFFFFF"/>
        </w:rPr>
        <w:t>19</w:t>
      </w:r>
      <w:r w:rsidRPr="008C181A">
        <w:rPr>
          <w:rFonts w:cstheme="minorHAnsi"/>
          <w:shd w:val="clear" w:color="auto" w:fill="FFFFFF"/>
        </w:rPr>
        <w:t>(4), 358-370. https://doi.org/</w:t>
      </w:r>
      <w:r w:rsidRPr="008C181A">
        <w:rPr>
          <w:rFonts w:cstheme="minorHAnsi"/>
        </w:rPr>
        <w:t>10.1080/13561820500165142</w:t>
      </w:r>
    </w:p>
    <w:p w14:paraId="6202EB8F" w14:textId="77777777" w:rsidR="00C45307" w:rsidRPr="008C181A" w:rsidRDefault="004576D0" w:rsidP="00C45307">
      <w:pPr>
        <w:spacing w:after="0" w:line="480" w:lineRule="auto"/>
        <w:ind w:firstLine="720"/>
        <w:rPr>
          <w:rFonts w:cstheme="minorHAnsi"/>
        </w:rPr>
      </w:pPr>
      <w:r w:rsidRPr="008C181A">
        <w:rPr>
          <w:rFonts w:cstheme="minorHAnsi"/>
          <w:shd w:val="clear" w:color="auto" w:fill="FFFFFF"/>
        </w:rPr>
        <w:t>Mikton, C., Maguire, H., &amp; Shakespeare, T. (2014). A systematic review of the effectiveness of interventions to prevent and respond to violence against persons with disabilities. </w:t>
      </w:r>
      <w:r w:rsidRPr="008C181A">
        <w:rPr>
          <w:rFonts w:cstheme="minorHAnsi"/>
          <w:i/>
          <w:iCs/>
          <w:shd w:val="clear" w:color="auto" w:fill="FFFFFF"/>
        </w:rPr>
        <w:t>Journal of interpersonal violence</w:t>
      </w:r>
      <w:r w:rsidRPr="008C181A">
        <w:rPr>
          <w:rFonts w:cstheme="minorHAnsi"/>
          <w:shd w:val="clear" w:color="auto" w:fill="FFFFFF"/>
        </w:rPr>
        <w:t>, </w:t>
      </w:r>
      <w:r w:rsidRPr="008C181A">
        <w:rPr>
          <w:rFonts w:cstheme="minorHAnsi"/>
          <w:i/>
          <w:iCs/>
          <w:shd w:val="clear" w:color="auto" w:fill="FFFFFF"/>
        </w:rPr>
        <w:t>29</w:t>
      </w:r>
      <w:r w:rsidRPr="008C181A">
        <w:rPr>
          <w:rFonts w:cstheme="minorHAnsi"/>
          <w:shd w:val="clear" w:color="auto" w:fill="FFFFFF"/>
        </w:rPr>
        <w:t xml:space="preserve">(17), 3207-3226. </w:t>
      </w:r>
      <w:hyperlink r:id="rId17" w:tgtFrame="_blank" w:history="1">
        <w:r w:rsidRPr="008C181A">
          <w:rPr>
            <w:rStyle w:val="Hyperlink"/>
            <w:rFonts w:cstheme="minorHAnsi"/>
            <w:color w:val="auto"/>
            <w:u w:val="none"/>
          </w:rPr>
          <w:t>https://doi.org/10.1177/0886260514534530</w:t>
        </w:r>
      </w:hyperlink>
    </w:p>
    <w:p w14:paraId="5186B7C3" w14:textId="2E9D423D" w:rsidR="004576D0" w:rsidRPr="008C181A" w:rsidRDefault="004576D0" w:rsidP="00C45307">
      <w:pPr>
        <w:spacing w:after="0" w:line="480" w:lineRule="auto"/>
        <w:ind w:firstLine="720"/>
        <w:rPr>
          <w:rFonts w:cstheme="minorHAnsi"/>
          <w:shd w:val="clear" w:color="auto" w:fill="FFFFFF"/>
        </w:rPr>
      </w:pPr>
      <w:r w:rsidRPr="008C181A">
        <w:rPr>
          <w:rFonts w:cstheme="minorHAnsi"/>
          <w:shd w:val="clear" w:color="auto" w:fill="FFFFFF"/>
        </w:rPr>
        <w:t>Mitra, M., Mouradian, V. E., &amp; Diamond, M. (2011). Sexual violence victimization against men with disabilities. </w:t>
      </w:r>
      <w:r w:rsidRPr="008C181A">
        <w:rPr>
          <w:rFonts w:cstheme="minorHAnsi"/>
          <w:i/>
          <w:iCs/>
          <w:shd w:val="clear" w:color="auto" w:fill="FFFFFF"/>
        </w:rPr>
        <w:t>American Journal of Preventive Medicine</w:t>
      </w:r>
      <w:r w:rsidRPr="008C181A">
        <w:rPr>
          <w:rFonts w:cstheme="minorHAnsi"/>
          <w:shd w:val="clear" w:color="auto" w:fill="FFFFFF"/>
        </w:rPr>
        <w:t>, </w:t>
      </w:r>
      <w:r w:rsidRPr="008C181A">
        <w:rPr>
          <w:rFonts w:cstheme="minorHAnsi"/>
          <w:i/>
          <w:iCs/>
          <w:shd w:val="clear" w:color="auto" w:fill="FFFFFF"/>
        </w:rPr>
        <w:t>41</w:t>
      </w:r>
      <w:r w:rsidRPr="008C181A">
        <w:rPr>
          <w:rFonts w:cstheme="minorHAnsi"/>
          <w:shd w:val="clear" w:color="auto" w:fill="FFFFFF"/>
        </w:rPr>
        <w:t xml:space="preserve">(5), 494-497. </w:t>
      </w:r>
      <w:hyperlink r:id="rId18" w:tgtFrame="_blank" w:history="1">
        <w:r w:rsidRPr="008C181A">
          <w:rPr>
            <w:rStyle w:val="Hyperlink"/>
            <w:rFonts w:cstheme="minorHAnsi"/>
            <w:color w:val="auto"/>
            <w:u w:val="none"/>
          </w:rPr>
          <w:t>https://doi.org/10.1016/j.amepre.2011.07.014</w:t>
        </w:r>
      </w:hyperlink>
    </w:p>
    <w:p w14:paraId="38448CC8" w14:textId="77777777" w:rsidR="004576D0" w:rsidRPr="008C181A" w:rsidRDefault="004576D0" w:rsidP="00B167B8">
      <w:pPr>
        <w:spacing w:after="0" w:line="480" w:lineRule="auto"/>
        <w:ind w:firstLine="720"/>
        <w:rPr>
          <w:rFonts w:cstheme="minorHAnsi"/>
        </w:rPr>
      </w:pPr>
      <w:r w:rsidRPr="008C181A">
        <w:rPr>
          <w:rFonts w:cstheme="minorHAnsi"/>
          <w:lang w:val="en-US"/>
        </w:rPr>
        <w:t xml:space="preserve">Murphy, G.H. (2020a). </w:t>
      </w:r>
      <w:r w:rsidRPr="008C181A">
        <w:rPr>
          <w:rFonts w:cstheme="minorHAnsi"/>
          <w:i/>
          <w:iCs/>
          <w:lang w:val="en-US"/>
        </w:rPr>
        <w:t>CQC inspections and regulation of</w:t>
      </w:r>
      <w:r w:rsidRPr="008C181A">
        <w:rPr>
          <w:rFonts w:cstheme="minorHAnsi"/>
          <w:lang w:val="en-US"/>
        </w:rPr>
        <w:t xml:space="preserve"> </w:t>
      </w:r>
      <w:r w:rsidRPr="008C181A">
        <w:rPr>
          <w:rFonts w:cstheme="minorHAnsi"/>
          <w:i/>
          <w:iCs/>
          <w:lang w:val="en-US"/>
        </w:rPr>
        <w:t>Whorlton Hall 2015-2019: An independent review</w:t>
      </w:r>
      <w:r w:rsidRPr="008C181A">
        <w:rPr>
          <w:rFonts w:cstheme="minorHAnsi"/>
          <w:lang w:val="en-US"/>
        </w:rPr>
        <w:t xml:space="preserve">. </w:t>
      </w:r>
      <w:hyperlink r:id="rId19" w:history="1">
        <w:r w:rsidRPr="008C181A">
          <w:rPr>
            <w:rStyle w:val="Hyperlink"/>
            <w:rFonts w:cstheme="minorHAnsi"/>
            <w:color w:val="auto"/>
          </w:rPr>
          <w:t>https://www.cqc.org.uk/news/stories/cqc-publishes-independent-review-its-regulation-whorlton-hall-between-2015-2019</w:t>
        </w:r>
      </w:hyperlink>
    </w:p>
    <w:p w14:paraId="38D99F6F" w14:textId="77777777" w:rsidR="004576D0" w:rsidRPr="008C181A" w:rsidRDefault="004576D0" w:rsidP="00B167B8">
      <w:pPr>
        <w:spacing w:after="0" w:line="480" w:lineRule="auto"/>
        <w:ind w:firstLine="720"/>
        <w:rPr>
          <w:rFonts w:cstheme="minorHAnsi"/>
        </w:rPr>
      </w:pPr>
      <w:r w:rsidRPr="008C181A">
        <w:rPr>
          <w:rFonts w:cstheme="minorHAnsi"/>
        </w:rPr>
        <w:t>Murphy, G.H. (2020b)</w:t>
      </w:r>
      <w:r w:rsidRPr="008C181A">
        <w:t xml:space="preserve"> </w:t>
      </w:r>
      <w:hyperlink r:id="rId20" w:history="1">
        <w:r w:rsidRPr="008C181A">
          <w:rPr>
            <w:rStyle w:val="Hyperlink"/>
            <w:rFonts w:cstheme="minorHAnsi"/>
            <w:color w:val="auto"/>
          </w:rPr>
          <w:t>https://www.cqc.org.uk/news/stories/cqc-publishes-second-part-independent-review-its-regulation-whorlton-hall</w:t>
        </w:r>
      </w:hyperlink>
    </w:p>
    <w:p w14:paraId="0FC649CE"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Myhill, A., &amp; Allen, J. (2002). </w:t>
      </w:r>
      <w:r w:rsidRPr="008C181A">
        <w:rPr>
          <w:rFonts w:cstheme="minorHAnsi"/>
          <w:i/>
          <w:iCs/>
          <w:shd w:val="clear" w:color="auto" w:fill="FFFFFF"/>
        </w:rPr>
        <w:t>Rape and sexual assault of women: the extent and nature of the problem</w:t>
      </w:r>
      <w:r w:rsidRPr="008C181A">
        <w:rPr>
          <w:rFonts w:cstheme="minorHAnsi"/>
          <w:shd w:val="clear" w:color="auto" w:fill="FFFFFF"/>
        </w:rPr>
        <w:t> (pp. 48-50). London, England: Home Office. https://doi.org/</w:t>
      </w:r>
      <w:r w:rsidRPr="008C181A">
        <w:rPr>
          <w:rFonts w:cstheme="minorHAnsi"/>
        </w:rPr>
        <w:t>10.1037/e454842008-001</w:t>
      </w:r>
    </w:p>
    <w:p w14:paraId="3282E353"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rPr>
        <w:t xml:space="preserve">National Institute for Health and Care Excellence. (2021). </w:t>
      </w:r>
      <w:r w:rsidRPr="008C181A">
        <w:rPr>
          <w:rFonts w:cstheme="minorHAnsi"/>
          <w:i/>
          <w:iCs/>
        </w:rPr>
        <w:t>Safeguarding adults in care homes NICE guideline NG189</w:t>
      </w:r>
      <w:r w:rsidRPr="008C181A">
        <w:rPr>
          <w:rFonts w:cstheme="minorHAnsi"/>
        </w:rPr>
        <w:t xml:space="preserve">. </w:t>
      </w:r>
      <w:hyperlink r:id="rId21" w:history="1">
        <w:r w:rsidRPr="008C181A">
          <w:rPr>
            <w:rStyle w:val="Hyperlink"/>
            <w:color w:val="auto"/>
          </w:rPr>
          <w:t>Rationale and impact | Safeguarding adults in care homes | Guidance | NICE</w:t>
        </w:r>
      </w:hyperlink>
    </w:p>
    <w:p w14:paraId="5C0F3C62"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Niemeijer, A. R., Depla, M. F., Frederiks, B. J., &amp; Hertogh, C. M. (2015). The experiences of people with dementia and intellectual disabilities with surveillance technologies in residential care. </w:t>
      </w:r>
      <w:r w:rsidRPr="008C181A">
        <w:rPr>
          <w:rFonts w:cstheme="minorHAnsi"/>
          <w:i/>
          <w:iCs/>
          <w:shd w:val="clear" w:color="auto" w:fill="FFFFFF"/>
        </w:rPr>
        <w:t>Nursing Ethics</w:t>
      </w:r>
      <w:r w:rsidRPr="008C181A">
        <w:rPr>
          <w:rFonts w:cstheme="minorHAnsi"/>
          <w:shd w:val="clear" w:color="auto" w:fill="FFFFFF"/>
        </w:rPr>
        <w:t>, </w:t>
      </w:r>
      <w:r w:rsidRPr="008C181A">
        <w:rPr>
          <w:rFonts w:cstheme="minorHAnsi"/>
          <w:i/>
          <w:iCs/>
          <w:shd w:val="clear" w:color="auto" w:fill="FFFFFF"/>
        </w:rPr>
        <w:t>22</w:t>
      </w:r>
      <w:r w:rsidRPr="008C181A">
        <w:rPr>
          <w:rFonts w:cstheme="minorHAnsi"/>
          <w:shd w:val="clear" w:color="auto" w:fill="FFFFFF"/>
        </w:rPr>
        <w:t>(3), 307-320. https://doi.org/</w:t>
      </w:r>
      <w:r w:rsidRPr="008C181A">
        <w:rPr>
          <w:rFonts w:cstheme="minorHAnsi"/>
        </w:rPr>
        <w:t>10.1177/0969733014533237</w:t>
      </w:r>
    </w:p>
    <w:p w14:paraId="4F8C639A" w14:textId="77777777" w:rsidR="004576D0" w:rsidRPr="008C181A" w:rsidRDefault="004576D0" w:rsidP="00B167B8">
      <w:pPr>
        <w:spacing w:after="0" w:line="480" w:lineRule="auto"/>
        <w:ind w:firstLine="720"/>
        <w:rPr>
          <w:rFonts w:cstheme="minorHAnsi"/>
          <w:shd w:val="clear" w:color="auto" w:fill="FFFFFF"/>
        </w:rPr>
      </w:pPr>
      <w:r w:rsidRPr="00456526">
        <w:rPr>
          <w:rFonts w:cstheme="minorHAnsi"/>
          <w:shd w:val="clear" w:color="auto" w:fill="FFFFFF"/>
          <w:lang w:val="de-DE"/>
        </w:rPr>
        <w:t xml:space="preserve">Niemeijer, A. R., Depla, M., Frederiks, B., Francke, A. L., &amp; Hertogh, C. (2014). </w:t>
      </w:r>
      <w:r w:rsidRPr="008C181A">
        <w:rPr>
          <w:rFonts w:cstheme="minorHAnsi"/>
          <w:shd w:val="clear" w:color="auto" w:fill="FFFFFF"/>
        </w:rPr>
        <w:t xml:space="preserve">CE: Original Research The Use of Surveillance Technology in Residential Facilities for People with Dementia or </w:t>
      </w:r>
      <w:r w:rsidRPr="008C181A">
        <w:rPr>
          <w:rFonts w:cstheme="minorHAnsi"/>
          <w:shd w:val="clear" w:color="auto" w:fill="FFFFFF"/>
        </w:rPr>
        <w:lastRenderedPageBreak/>
        <w:t>Intellectual Disabilities A Study Among Nurses and Support Staff. </w:t>
      </w:r>
      <w:r w:rsidRPr="008C181A">
        <w:rPr>
          <w:rFonts w:cstheme="minorHAnsi"/>
          <w:i/>
          <w:iCs/>
          <w:shd w:val="clear" w:color="auto" w:fill="FFFFFF"/>
        </w:rPr>
        <w:t>AJN The American Journal of Nursing</w:t>
      </w:r>
      <w:r w:rsidRPr="008C181A">
        <w:rPr>
          <w:rFonts w:cstheme="minorHAnsi"/>
          <w:shd w:val="clear" w:color="auto" w:fill="FFFFFF"/>
        </w:rPr>
        <w:t>, </w:t>
      </w:r>
      <w:r w:rsidRPr="008C181A">
        <w:rPr>
          <w:rFonts w:cstheme="minorHAnsi"/>
          <w:i/>
          <w:iCs/>
          <w:shd w:val="clear" w:color="auto" w:fill="FFFFFF"/>
        </w:rPr>
        <w:t>114</w:t>
      </w:r>
      <w:r w:rsidRPr="008C181A">
        <w:rPr>
          <w:rFonts w:cstheme="minorHAnsi"/>
          <w:shd w:val="clear" w:color="auto" w:fill="FFFFFF"/>
        </w:rPr>
        <w:t>(12), 28-37. https://doi.org/</w:t>
      </w:r>
      <w:r w:rsidRPr="008C181A">
        <w:rPr>
          <w:rFonts w:cstheme="minorHAnsi"/>
        </w:rPr>
        <w:t>10.1097/01.NAJ.0000457408.38222.d0</w:t>
      </w:r>
    </w:p>
    <w:p w14:paraId="57D5E947"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lang w:val="nl-NL"/>
        </w:rPr>
        <w:t xml:space="preserve">Niemeijer, A., Frederiks, B., Depla, M. F. I. A., Eefsting, J., &amp; Hertogh, C. M. P. M. (2013). </w:t>
      </w:r>
      <w:r w:rsidRPr="008C181A">
        <w:rPr>
          <w:rFonts w:cstheme="minorHAnsi"/>
          <w:shd w:val="clear" w:color="auto" w:fill="FFFFFF"/>
        </w:rPr>
        <w:t>The place of surveillance technology in residential care for people with intellectual disabilities: Is there an ideal model of application. </w:t>
      </w:r>
      <w:r w:rsidRPr="008C181A">
        <w:rPr>
          <w:rFonts w:cstheme="minorHAnsi"/>
          <w:i/>
          <w:iCs/>
          <w:shd w:val="clear" w:color="auto" w:fill="FFFFFF"/>
        </w:rPr>
        <w:t>Journal of Intellectual Disability Research</w:t>
      </w:r>
      <w:r w:rsidRPr="008C181A">
        <w:rPr>
          <w:rFonts w:cstheme="minorHAnsi"/>
          <w:shd w:val="clear" w:color="auto" w:fill="FFFFFF"/>
        </w:rPr>
        <w:t>, </w:t>
      </w:r>
      <w:r w:rsidRPr="008C181A">
        <w:rPr>
          <w:rFonts w:cstheme="minorHAnsi"/>
          <w:i/>
          <w:iCs/>
          <w:shd w:val="clear" w:color="auto" w:fill="FFFFFF"/>
        </w:rPr>
        <w:t>57</w:t>
      </w:r>
      <w:r w:rsidRPr="008C181A">
        <w:rPr>
          <w:rFonts w:cstheme="minorHAnsi"/>
          <w:shd w:val="clear" w:color="auto" w:fill="FFFFFF"/>
        </w:rPr>
        <w:t>(3), 201-215. https://doi.org/</w:t>
      </w:r>
      <w:r w:rsidRPr="008C181A">
        <w:rPr>
          <w:rFonts w:cstheme="minorHAnsi"/>
        </w:rPr>
        <w:t>10.1111/j.1365-2788.2011.01526.x</w:t>
      </w:r>
    </w:p>
    <w:p w14:paraId="44633CEF" w14:textId="77777777" w:rsidR="004576D0" w:rsidRPr="008C181A" w:rsidRDefault="004576D0" w:rsidP="00B167B8">
      <w:pPr>
        <w:spacing w:after="0" w:line="480" w:lineRule="auto"/>
        <w:ind w:firstLine="720"/>
        <w:rPr>
          <w:rFonts w:cstheme="minorHAnsi"/>
          <w:sz w:val="24"/>
          <w:szCs w:val="24"/>
          <w:shd w:val="clear" w:color="auto" w:fill="FFFFFF"/>
        </w:rPr>
      </w:pPr>
      <w:r w:rsidRPr="008C181A">
        <w:rPr>
          <w:rFonts w:cstheme="minorHAnsi"/>
          <w:shd w:val="clear" w:color="auto" w:fill="FFFFFF"/>
        </w:rPr>
        <w:t>Ottmann, G., McVilly, K., Anderson, J., Chapman, J., Karlyawasam, I., Roy, A., ... &amp; Stefano, A. (2017). Barriers and enablers to safeguarding children and adults within a disability services context: Insights from an Australian Delphi Study. </w:t>
      </w:r>
      <w:r w:rsidRPr="008C181A">
        <w:rPr>
          <w:rFonts w:cstheme="minorHAnsi"/>
          <w:i/>
          <w:iCs/>
          <w:shd w:val="clear" w:color="auto" w:fill="FFFFFF"/>
        </w:rPr>
        <w:t>Social Policy &amp; Administration</w:t>
      </w:r>
      <w:r w:rsidRPr="008C181A">
        <w:rPr>
          <w:rFonts w:cstheme="minorHAnsi"/>
          <w:shd w:val="clear" w:color="auto" w:fill="FFFFFF"/>
        </w:rPr>
        <w:t>, </w:t>
      </w:r>
      <w:r w:rsidRPr="008C181A">
        <w:rPr>
          <w:rFonts w:cstheme="minorHAnsi"/>
          <w:i/>
          <w:iCs/>
          <w:shd w:val="clear" w:color="auto" w:fill="FFFFFF"/>
        </w:rPr>
        <w:t>51</w:t>
      </w:r>
      <w:r w:rsidRPr="008C181A">
        <w:rPr>
          <w:rFonts w:cstheme="minorHAnsi"/>
          <w:shd w:val="clear" w:color="auto" w:fill="FFFFFF"/>
        </w:rPr>
        <w:t xml:space="preserve">(3), 488-510. </w:t>
      </w:r>
      <w:r w:rsidRPr="008C181A">
        <w:rPr>
          <w:rFonts w:cstheme="minorHAnsi"/>
        </w:rPr>
        <w:t>https://doi.org/10.1111/spol.12189</w:t>
      </w:r>
    </w:p>
    <w:p w14:paraId="2E256522" w14:textId="77777777" w:rsidR="004576D0" w:rsidRPr="008C181A" w:rsidRDefault="004576D0" w:rsidP="004576D0">
      <w:pPr>
        <w:pStyle w:val="CommentText"/>
        <w:spacing w:after="0" w:line="480" w:lineRule="auto"/>
        <w:ind w:firstLine="720"/>
        <w:rPr>
          <w:rFonts w:cstheme="minorHAnsi"/>
          <w:sz w:val="22"/>
          <w:szCs w:val="22"/>
        </w:rPr>
      </w:pPr>
      <w:r w:rsidRPr="008C181A">
        <w:rPr>
          <w:rFonts w:cstheme="minorHAnsi"/>
          <w:sz w:val="22"/>
          <w:szCs w:val="22"/>
          <w:shd w:val="clear" w:color="auto" w:fill="FFFFFF"/>
        </w:rPr>
        <w:t>Pan, S. M. (2007). Prevalence of sexual abuse of people with intellectual disabilities in Taiwan. </w:t>
      </w:r>
      <w:r w:rsidRPr="008C181A">
        <w:rPr>
          <w:rFonts w:cstheme="minorHAnsi"/>
          <w:i/>
          <w:iCs/>
          <w:sz w:val="22"/>
          <w:szCs w:val="22"/>
          <w:shd w:val="clear" w:color="auto" w:fill="FFFFFF"/>
        </w:rPr>
        <w:t>Intellectual and Developmental Disabilities</w:t>
      </w:r>
      <w:r w:rsidRPr="008C181A">
        <w:rPr>
          <w:rFonts w:cstheme="minorHAnsi"/>
          <w:sz w:val="22"/>
          <w:szCs w:val="22"/>
          <w:shd w:val="clear" w:color="auto" w:fill="FFFFFF"/>
        </w:rPr>
        <w:t>, </w:t>
      </w:r>
      <w:r w:rsidRPr="008C181A">
        <w:rPr>
          <w:rFonts w:cstheme="minorHAnsi"/>
          <w:i/>
          <w:iCs/>
          <w:sz w:val="22"/>
          <w:szCs w:val="22"/>
          <w:shd w:val="clear" w:color="auto" w:fill="FFFFFF"/>
        </w:rPr>
        <w:t>45</w:t>
      </w:r>
      <w:r w:rsidRPr="008C181A">
        <w:rPr>
          <w:rFonts w:cstheme="minorHAnsi"/>
          <w:sz w:val="22"/>
          <w:szCs w:val="22"/>
          <w:shd w:val="clear" w:color="auto" w:fill="FFFFFF"/>
        </w:rPr>
        <w:t xml:space="preserve">(6), 373-379. </w:t>
      </w:r>
      <w:hyperlink r:id="rId22" w:tgtFrame="_blank" w:history="1">
        <w:r w:rsidRPr="008C181A">
          <w:rPr>
            <w:rStyle w:val="Hyperlink"/>
            <w:rFonts w:cstheme="minorHAnsi"/>
            <w:color w:val="auto"/>
            <w:sz w:val="22"/>
            <w:szCs w:val="22"/>
            <w:u w:val="none"/>
          </w:rPr>
          <w:t>https://doi.org/10.1352/1934-9556(2007)45[373:POSAOP]2.0.CO;2</w:t>
        </w:r>
      </w:hyperlink>
    </w:p>
    <w:p w14:paraId="6BA587B1"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Parley, F. (2010). The understanding that care staff bring to abuse. </w:t>
      </w:r>
      <w:r w:rsidRPr="008C181A">
        <w:rPr>
          <w:rFonts w:cstheme="minorHAnsi"/>
          <w:i/>
          <w:iCs/>
          <w:shd w:val="clear" w:color="auto" w:fill="FFFFFF"/>
        </w:rPr>
        <w:t>The Journal of Adult Protection</w:t>
      </w:r>
      <w:r w:rsidRPr="008C181A">
        <w:rPr>
          <w:rFonts w:cstheme="minorHAnsi"/>
          <w:shd w:val="clear" w:color="auto" w:fill="FFFFFF"/>
        </w:rPr>
        <w:t>, </w:t>
      </w:r>
      <w:r w:rsidRPr="008C181A">
        <w:rPr>
          <w:rFonts w:cstheme="minorHAnsi"/>
          <w:i/>
          <w:iCs/>
          <w:shd w:val="clear" w:color="auto" w:fill="FFFFFF"/>
        </w:rPr>
        <w:t>12</w:t>
      </w:r>
      <w:r w:rsidRPr="008C181A">
        <w:rPr>
          <w:rFonts w:cstheme="minorHAnsi"/>
          <w:shd w:val="clear" w:color="auto" w:fill="FFFFFF"/>
        </w:rPr>
        <w:t>(1), 13. https://doi.org/</w:t>
      </w:r>
      <w:r w:rsidRPr="008C181A">
        <w:rPr>
          <w:rFonts w:cstheme="minorHAnsi"/>
        </w:rPr>
        <w:t>10.5042/jap.2010.0090</w:t>
      </w:r>
    </w:p>
    <w:p w14:paraId="48536FEF"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Patterson, A., &amp; Fyson, R. (2016). ‘I was just gobsmacked’: Care workers’ responses to BBC Panorama’s ‘Undercover Care: The Abuse Exposed’; invoking mental states as a means of distancing from abusive practices. </w:t>
      </w:r>
      <w:r w:rsidRPr="008C181A">
        <w:rPr>
          <w:rFonts w:cstheme="minorHAnsi"/>
          <w:i/>
          <w:iCs/>
          <w:shd w:val="clear" w:color="auto" w:fill="FFFFFF"/>
        </w:rPr>
        <w:t>Discourse &amp; Society</w:t>
      </w:r>
      <w:r w:rsidRPr="008C181A">
        <w:rPr>
          <w:rFonts w:cstheme="minorHAnsi"/>
          <w:shd w:val="clear" w:color="auto" w:fill="FFFFFF"/>
        </w:rPr>
        <w:t>, </w:t>
      </w:r>
      <w:r w:rsidRPr="008C181A">
        <w:rPr>
          <w:rFonts w:cstheme="minorHAnsi"/>
          <w:i/>
          <w:iCs/>
          <w:shd w:val="clear" w:color="auto" w:fill="FFFFFF"/>
        </w:rPr>
        <w:t>27</w:t>
      </w:r>
      <w:r w:rsidRPr="008C181A">
        <w:rPr>
          <w:rFonts w:cstheme="minorHAnsi"/>
          <w:shd w:val="clear" w:color="auto" w:fill="FFFFFF"/>
        </w:rPr>
        <w:t>(6), 607-623. https://doi.org/</w:t>
      </w:r>
      <w:r w:rsidRPr="008C181A">
        <w:rPr>
          <w:rFonts w:cstheme="minorHAnsi"/>
        </w:rPr>
        <w:t>10.1177/0957926516665555</w:t>
      </w:r>
    </w:p>
    <w:p w14:paraId="43FA0D8C"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t>Powers, L. E., Curry, M. A., Oschwald, M., &amp; Maley, S. (2002). Barriers and strategies in addressing abuse: A survey of disabled women's experiences. </w:t>
      </w:r>
      <w:r w:rsidRPr="008C181A">
        <w:rPr>
          <w:rFonts w:cstheme="minorHAnsi"/>
          <w:i/>
          <w:iCs/>
          <w:sz w:val="22"/>
          <w:szCs w:val="22"/>
          <w:shd w:val="clear" w:color="auto" w:fill="FFFFFF"/>
        </w:rPr>
        <w:t>Journal of Rehabilitation</w:t>
      </w:r>
      <w:r w:rsidRPr="008C181A">
        <w:rPr>
          <w:rFonts w:cstheme="minorHAnsi"/>
          <w:sz w:val="22"/>
          <w:szCs w:val="22"/>
          <w:shd w:val="clear" w:color="auto" w:fill="FFFFFF"/>
        </w:rPr>
        <w:t>, </w:t>
      </w:r>
      <w:r w:rsidRPr="008C181A">
        <w:rPr>
          <w:rFonts w:cstheme="minorHAnsi"/>
          <w:i/>
          <w:iCs/>
          <w:sz w:val="22"/>
          <w:szCs w:val="22"/>
          <w:shd w:val="clear" w:color="auto" w:fill="FFFFFF"/>
        </w:rPr>
        <w:t>68</w:t>
      </w:r>
      <w:r w:rsidRPr="008C181A">
        <w:rPr>
          <w:rFonts w:cstheme="minorHAnsi"/>
          <w:sz w:val="22"/>
          <w:szCs w:val="22"/>
          <w:shd w:val="clear" w:color="auto" w:fill="FFFFFF"/>
        </w:rPr>
        <w:t>(1), 4.</w:t>
      </w:r>
    </w:p>
    <w:p w14:paraId="6AE69903"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Ramsey-Klawsnik, H., &amp; Teaster, P. (2012). Sexual Abuse Happens in Healthcare Facilities—What Can Be Done To Prevent It? </w:t>
      </w:r>
      <w:r w:rsidRPr="008C181A">
        <w:rPr>
          <w:rFonts w:cstheme="minorHAnsi"/>
          <w:i/>
          <w:iCs/>
          <w:shd w:val="clear" w:color="auto" w:fill="FFFFFF"/>
        </w:rPr>
        <w:t>Generations</w:t>
      </w:r>
      <w:r w:rsidRPr="008C181A">
        <w:rPr>
          <w:rFonts w:cstheme="minorHAnsi"/>
          <w:shd w:val="clear" w:color="auto" w:fill="FFFFFF"/>
        </w:rPr>
        <w:t>, </w:t>
      </w:r>
      <w:r w:rsidRPr="008C181A">
        <w:rPr>
          <w:rFonts w:cstheme="minorHAnsi"/>
          <w:i/>
          <w:iCs/>
          <w:shd w:val="clear" w:color="auto" w:fill="FFFFFF"/>
        </w:rPr>
        <w:t>36</w:t>
      </w:r>
      <w:r w:rsidRPr="008C181A">
        <w:rPr>
          <w:rFonts w:cstheme="minorHAnsi"/>
          <w:shd w:val="clear" w:color="auto" w:fill="FFFFFF"/>
        </w:rPr>
        <w:t xml:space="preserve">(3), 53-59. </w:t>
      </w:r>
    </w:p>
    <w:p w14:paraId="2B88EA2C" w14:textId="77777777" w:rsidR="004576D0" w:rsidRPr="008C181A" w:rsidRDefault="004576D0" w:rsidP="00B167B8">
      <w:pPr>
        <w:autoSpaceDE w:val="0"/>
        <w:autoSpaceDN w:val="0"/>
        <w:adjustRightInd w:val="0"/>
        <w:spacing w:after="0" w:line="480" w:lineRule="auto"/>
        <w:ind w:firstLine="720"/>
        <w:rPr>
          <w:rFonts w:cstheme="minorHAnsi"/>
        </w:rPr>
      </w:pPr>
      <w:r w:rsidRPr="008C181A">
        <w:rPr>
          <w:rFonts w:cstheme="minorHAnsi"/>
          <w:shd w:val="clear" w:color="auto" w:fill="FFFFFF"/>
        </w:rPr>
        <w:t>Rees, P., &amp; Manthorpe, J. (2010). Managers' and staff experiences of adult protection allegations in mental health and learning disability residential services: a qualitative study. </w:t>
      </w:r>
      <w:r w:rsidRPr="008C181A">
        <w:rPr>
          <w:rFonts w:cstheme="minorHAnsi"/>
          <w:i/>
          <w:iCs/>
          <w:shd w:val="clear" w:color="auto" w:fill="FFFFFF"/>
        </w:rPr>
        <w:t>British Journal of Social Work</w:t>
      </w:r>
      <w:r w:rsidRPr="008C181A">
        <w:rPr>
          <w:rFonts w:cstheme="minorHAnsi"/>
          <w:shd w:val="clear" w:color="auto" w:fill="FFFFFF"/>
        </w:rPr>
        <w:t>, </w:t>
      </w:r>
      <w:r w:rsidRPr="008C181A">
        <w:rPr>
          <w:rFonts w:cstheme="minorHAnsi"/>
          <w:i/>
          <w:iCs/>
          <w:shd w:val="clear" w:color="auto" w:fill="FFFFFF"/>
        </w:rPr>
        <w:t>40</w:t>
      </w:r>
      <w:r w:rsidRPr="008C181A">
        <w:rPr>
          <w:rFonts w:cstheme="minorHAnsi"/>
          <w:shd w:val="clear" w:color="auto" w:fill="FFFFFF"/>
        </w:rPr>
        <w:t xml:space="preserve">(2), 513-529. </w:t>
      </w:r>
      <w:hyperlink r:id="rId23" w:history="1">
        <w:r w:rsidRPr="008C181A">
          <w:rPr>
            <w:rStyle w:val="Hyperlink"/>
            <w:rFonts w:cstheme="minorHAnsi"/>
            <w:color w:val="auto"/>
            <w:shd w:val="clear" w:color="auto" w:fill="FFFFFF"/>
          </w:rPr>
          <w:t>https://doi.org/</w:t>
        </w:r>
        <w:r w:rsidRPr="008C181A">
          <w:rPr>
            <w:rStyle w:val="Hyperlink"/>
            <w:rFonts w:cstheme="minorHAnsi"/>
            <w:color w:val="auto"/>
          </w:rPr>
          <w:t>10.1093/bjsw/bcn146</w:t>
        </w:r>
      </w:hyperlink>
    </w:p>
    <w:p w14:paraId="3E8C6AFB" w14:textId="77777777" w:rsidR="004576D0" w:rsidRPr="008C181A" w:rsidRDefault="004576D0" w:rsidP="00B167B8">
      <w:pPr>
        <w:autoSpaceDE w:val="0"/>
        <w:autoSpaceDN w:val="0"/>
        <w:adjustRightInd w:val="0"/>
        <w:spacing w:after="0" w:line="480" w:lineRule="auto"/>
        <w:ind w:firstLine="720"/>
        <w:rPr>
          <w:rFonts w:cstheme="minorHAnsi"/>
          <w:sz w:val="24"/>
          <w:szCs w:val="24"/>
          <w:shd w:val="clear" w:color="auto" w:fill="FFFFFF"/>
        </w:rPr>
      </w:pPr>
      <w:r w:rsidRPr="008C181A">
        <w:rPr>
          <w:rFonts w:cstheme="minorHAnsi"/>
          <w:shd w:val="clear" w:color="auto" w:fill="FFFFFF"/>
        </w:rPr>
        <w:lastRenderedPageBreak/>
        <w:t>Rusch, R. G., Hall, J. C., &amp; Griffin, H. C. (1986). Abuse-provoking characteristics of institutionalized mentally retarded individuals. </w:t>
      </w:r>
      <w:r w:rsidRPr="008C181A">
        <w:rPr>
          <w:rFonts w:cstheme="minorHAnsi"/>
          <w:i/>
          <w:iCs/>
          <w:shd w:val="clear" w:color="auto" w:fill="FFFFFF"/>
        </w:rPr>
        <w:t>American journal of mental deficiency</w:t>
      </w:r>
      <w:r w:rsidRPr="008C181A">
        <w:rPr>
          <w:rFonts w:cstheme="minorHAnsi"/>
          <w:shd w:val="clear" w:color="auto" w:fill="FFFFFF"/>
        </w:rPr>
        <w:t>, </w:t>
      </w:r>
      <w:r w:rsidRPr="008C181A">
        <w:rPr>
          <w:rFonts w:cstheme="minorHAnsi"/>
          <w:i/>
          <w:iCs/>
          <w:shd w:val="clear" w:color="auto" w:fill="FFFFFF"/>
        </w:rPr>
        <w:t>90</w:t>
      </w:r>
      <w:r w:rsidRPr="008C181A">
        <w:rPr>
          <w:rFonts w:cstheme="minorHAnsi"/>
          <w:shd w:val="clear" w:color="auto" w:fill="FFFFFF"/>
        </w:rPr>
        <w:t>(6), 618-624.</w:t>
      </w:r>
    </w:p>
    <w:p w14:paraId="2BF10696" w14:textId="77777777" w:rsidR="004576D0" w:rsidRPr="008C181A" w:rsidRDefault="004576D0" w:rsidP="00B167B8">
      <w:pPr>
        <w:autoSpaceDE w:val="0"/>
        <w:autoSpaceDN w:val="0"/>
        <w:adjustRightInd w:val="0"/>
        <w:spacing w:after="0" w:line="480" w:lineRule="auto"/>
        <w:ind w:firstLine="720"/>
        <w:rPr>
          <w:rFonts w:cstheme="minorHAnsi"/>
          <w:shd w:val="clear" w:color="auto" w:fill="FFFFFF"/>
        </w:rPr>
      </w:pPr>
      <w:r w:rsidRPr="008C181A">
        <w:rPr>
          <w:rFonts w:cstheme="minorHAnsi"/>
          <w:shd w:val="clear" w:color="auto" w:fill="FFFFFF"/>
        </w:rPr>
        <w:t>Rytterström, P., Unosson, M., &amp; Arman, M. (2013). Care culture as a meaning-making process: A study of a mistreatment investigation. </w:t>
      </w:r>
      <w:r w:rsidRPr="008C181A">
        <w:rPr>
          <w:rFonts w:cstheme="minorHAnsi"/>
          <w:i/>
          <w:iCs/>
          <w:shd w:val="clear" w:color="auto" w:fill="FFFFFF"/>
        </w:rPr>
        <w:t>Qualitative Health Research</w:t>
      </w:r>
      <w:r w:rsidRPr="008C181A">
        <w:rPr>
          <w:rFonts w:cstheme="minorHAnsi"/>
          <w:shd w:val="clear" w:color="auto" w:fill="FFFFFF"/>
        </w:rPr>
        <w:t>, </w:t>
      </w:r>
      <w:r w:rsidRPr="008C181A">
        <w:rPr>
          <w:rFonts w:cstheme="minorHAnsi"/>
          <w:i/>
          <w:iCs/>
          <w:shd w:val="clear" w:color="auto" w:fill="FFFFFF"/>
        </w:rPr>
        <w:t>23</w:t>
      </w:r>
      <w:r w:rsidRPr="008C181A">
        <w:rPr>
          <w:rFonts w:cstheme="minorHAnsi"/>
          <w:shd w:val="clear" w:color="auto" w:fill="FFFFFF"/>
        </w:rPr>
        <w:t>(9), 1179-1187. https://doi.org/</w:t>
      </w:r>
      <w:r w:rsidRPr="008C181A">
        <w:rPr>
          <w:rFonts w:cstheme="minorHAnsi"/>
        </w:rPr>
        <w:t>10.1177/1049732312470760</w:t>
      </w:r>
    </w:p>
    <w:p w14:paraId="58967571" w14:textId="77777777" w:rsidR="004576D0" w:rsidRPr="008C181A" w:rsidRDefault="004576D0" w:rsidP="00B167B8">
      <w:pPr>
        <w:autoSpaceDE w:val="0"/>
        <w:autoSpaceDN w:val="0"/>
        <w:adjustRightInd w:val="0"/>
        <w:spacing w:after="0" w:line="480" w:lineRule="auto"/>
        <w:ind w:firstLine="720"/>
        <w:rPr>
          <w:rFonts w:cstheme="minorHAnsi"/>
        </w:rPr>
      </w:pPr>
      <w:r w:rsidRPr="008C181A">
        <w:rPr>
          <w:rFonts w:cstheme="minorHAnsi"/>
          <w:shd w:val="clear" w:color="auto" w:fill="FFFFFF"/>
        </w:rPr>
        <w:t>Sammet Moring, N., Parish, S. L., Mitra, M., &amp; Alterio, N. A. (2019). After Disclosure: A Research Protocol to Respond to Disclosures of Abuse and Sexual Violence in Research With Adults With Intellectual Disabilities. </w:t>
      </w:r>
      <w:r w:rsidRPr="008C181A">
        <w:rPr>
          <w:rFonts w:cstheme="minorHAnsi"/>
          <w:i/>
          <w:iCs/>
          <w:shd w:val="clear" w:color="auto" w:fill="FFFFFF"/>
        </w:rPr>
        <w:t>Journal of Policy &amp; Practice in Intellectual Disabilities</w:t>
      </w:r>
      <w:r w:rsidRPr="008C181A">
        <w:rPr>
          <w:rFonts w:cstheme="minorHAnsi"/>
          <w:shd w:val="clear" w:color="auto" w:fill="FFFFFF"/>
        </w:rPr>
        <w:t>, </w:t>
      </w:r>
      <w:r w:rsidRPr="008C181A">
        <w:rPr>
          <w:rFonts w:cstheme="minorHAnsi"/>
          <w:i/>
          <w:iCs/>
          <w:shd w:val="clear" w:color="auto" w:fill="FFFFFF"/>
        </w:rPr>
        <w:t>16</w:t>
      </w:r>
      <w:r w:rsidRPr="008C181A">
        <w:rPr>
          <w:rFonts w:cstheme="minorHAnsi"/>
          <w:shd w:val="clear" w:color="auto" w:fill="FFFFFF"/>
        </w:rPr>
        <w:t>(4), 254-263. https://doi.org/</w:t>
      </w:r>
      <w:r w:rsidRPr="008C181A">
        <w:rPr>
          <w:rFonts w:cstheme="minorHAnsi"/>
        </w:rPr>
        <w:t>10.1111/jppi.12292</w:t>
      </w:r>
    </w:p>
    <w:p w14:paraId="1F245ECC"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Sobsey, D. (1994). Sexual abuse of individuals with intellectual disability. </w:t>
      </w:r>
      <w:r w:rsidRPr="008C181A">
        <w:rPr>
          <w:rFonts w:cstheme="minorHAnsi"/>
          <w:i/>
          <w:iCs/>
          <w:shd w:val="clear" w:color="auto" w:fill="FFFFFF"/>
        </w:rPr>
        <w:t>Practice Issues in Sexuality &amp; Learning Disabilities</w:t>
      </w:r>
      <w:r w:rsidRPr="008C181A">
        <w:rPr>
          <w:rFonts w:cstheme="minorHAnsi"/>
          <w:shd w:val="clear" w:color="auto" w:fill="FFFFFF"/>
        </w:rPr>
        <w:t xml:space="preserve">, 93-115. </w:t>
      </w:r>
      <w:hyperlink r:id="rId24" w:history="1">
        <w:r w:rsidRPr="008C181A">
          <w:rPr>
            <w:rStyle w:val="Hyperlink"/>
            <w:rFonts w:cstheme="minorHAnsi"/>
            <w:color w:val="auto"/>
            <w:shd w:val="clear" w:color="auto" w:fill="FFFFFF"/>
          </w:rPr>
          <w:t>https://doi.org/</w:t>
        </w:r>
        <w:r w:rsidRPr="008C181A">
          <w:rPr>
            <w:rStyle w:val="Hyperlink"/>
            <w:rFonts w:cstheme="minorHAnsi"/>
            <w:color w:val="auto"/>
          </w:rPr>
          <w:t>10.4324/9780203346938_chapter_5</w:t>
        </w:r>
      </w:hyperlink>
    </w:p>
    <w:p w14:paraId="51557D6B" w14:textId="77777777" w:rsidR="004576D0" w:rsidRPr="008C181A" w:rsidRDefault="004576D0" w:rsidP="004576D0">
      <w:pPr>
        <w:pStyle w:val="Default"/>
        <w:spacing w:line="480" w:lineRule="auto"/>
        <w:ind w:firstLine="720"/>
        <w:rPr>
          <w:rFonts w:asciiTheme="minorHAnsi" w:hAnsiTheme="minorHAnsi" w:cstheme="minorHAnsi"/>
          <w:color w:val="auto"/>
          <w:sz w:val="22"/>
          <w:szCs w:val="22"/>
        </w:rPr>
      </w:pPr>
      <w:r w:rsidRPr="008C181A">
        <w:rPr>
          <w:rFonts w:asciiTheme="minorHAnsi" w:hAnsiTheme="minorHAnsi" w:cstheme="minorHAnsi"/>
          <w:color w:val="auto"/>
          <w:sz w:val="22"/>
          <w:szCs w:val="22"/>
        </w:rPr>
        <w:t xml:space="preserve">Sobsey, D., &amp; Mansell, S. (1990). The prevention of sexual abuse of people with developmental disabilities. </w:t>
      </w:r>
      <w:r w:rsidRPr="008C181A">
        <w:rPr>
          <w:rFonts w:asciiTheme="minorHAnsi" w:hAnsiTheme="minorHAnsi" w:cstheme="minorHAnsi"/>
          <w:i/>
          <w:iCs/>
          <w:color w:val="auto"/>
          <w:sz w:val="22"/>
          <w:szCs w:val="22"/>
        </w:rPr>
        <w:t>Developmental Disability Bulletin</w:t>
      </w:r>
      <w:r w:rsidRPr="008C181A">
        <w:rPr>
          <w:rFonts w:asciiTheme="minorHAnsi" w:hAnsiTheme="minorHAnsi" w:cstheme="minorHAnsi"/>
          <w:color w:val="auto"/>
          <w:sz w:val="22"/>
          <w:szCs w:val="22"/>
        </w:rPr>
        <w:t>, 18, 55–66.</w:t>
      </w:r>
    </w:p>
    <w:p w14:paraId="57B94C62" w14:textId="77777777" w:rsidR="004576D0" w:rsidRPr="008C181A" w:rsidRDefault="004576D0" w:rsidP="004576D0">
      <w:pPr>
        <w:pStyle w:val="CommentText"/>
        <w:spacing w:after="0" w:line="480" w:lineRule="auto"/>
        <w:ind w:firstLine="720"/>
        <w:rPr>
          <w:rFonts w:cstheme="minorHAnsi"/>
          <w:sz w:val="22"/>
          <w:szCs w:val="22"/>
        </w:rPr>
      </w:pPr>
      <w:r w:rsidRPr="008C181A">
        <w:rPr>
          <w:rFonts w:cstheme="minorHAnsi"/>
          <w:sz w:val="22"/>
          <w:szCs w:val="22"/>
        </w:rPr>
        <w:t xml:space="preserve">Sobsey, D., &amp; Varnhagen, C. (1989). </w:t>
      </w:r>
      <w:r w:rsidRPr="008C181A">
        <w:rPr>
          <w:rFonts w:cstheme="minorHAnsi"/>
          <w:i/>
          <w:iCs/>
          <w:sz w:val="22"/>
          <w:szCs w:val="22"/>
        </w:rPr>
        <w:t>Sexual abuse and exploitation of people with disabilities: towards prevention and treatment</w:t>
      </w:r>
      <w:r w:rsidRPr="008C181A">
        <w:rPr>
          <w:rFonts w:cstheme="minorHAnsi"/>
          <w:sz w:val="22"/>
          <w:szCs w:val="22"/>
        </w:rPr>
        <w:t>. In: M Sapo &amp; L Gougen (Eds) Special Education Across Canada. Vancouver: Centre for Human Development and Research.</w:t>
      </w:r>
    </w:p>
    <w:p w14:paraId="7AB4359F" w14:textId="77777777" w:rsidR="004576D0" w:rsidRPr="008C181A" w:rsidRDefault="004576D0" w:rsidP="00B167B8">
      <w:pPr>
        <w:spacing w:after="0" w:line="480" w:lineRule="auto"/>
        <w:ind w:firstLine="720"/>
        <w:rPr>
          <w:rFonts w:cstheme="minorHAnsi"/>
        </w:rPr>
      </w:pPr>
      <w:r w:rsidRPr="008C181A">
        <w:rPr>
          <w:rFonts w:cstheme="minorHAnsi"/>
          <w:shd w:val="clear" w:color="auto" w:fill="FFFFFF"/>
        </w:rPr>
        <w:t>Strand, M., Benzein, E., &amp; Saveman, B. I. (2004). Violence in the care of adult persons with intellectual disabilities. </w:t>
      </w:r>
      <w:r w:rsidRPr="008C181A">
        <w:rPr>
          <w:rFonts w:cstheme="minorHAnsi"/>
          <w:i/>
          <w:iCs/>
          <w:shd w:val="clear" w:color="auto" w:fill="FFFFFF"/>
        </w:rPr>
        <w:t>Journal of Clinical Nursing</w:t>
      </w:r>
      <w:r w:rsidRPr="008C181A">
        <w:rPr>
          <w:rFonts w:cstheme="minorHAnsi"/>
          <w:shd w:val="clear" w:color="auto" w:fill="FFFFFF"/>
        </w:rPr>
        <w:t>, </w:t>
      </w:r>
      <w:r w:rsidRPr="008C181A">
        <w:rPr>
          <w:rFonts w:cstheme="minorHAnsi"/>
          <w:i/>
          <w:iCs/>
          <w:shd w:val="clear" w:color="auto" w:fill="FFFFFF"/>
        </w:rPr>
        <w:t>13</w:t>
      </w:r>
      <w:r w:rsidRPr="008C181A">
        <w:rPr>
          <w:rFonts w:cstheme="minorHAnsi"/>
          <w:shd w:val="clear" w:color="auto" w:fill="FFFFFF"/>
        </w:rPr>
        <w:t>(4), 506-514. https://doi.org/</w:t>
      </w:r>
      <w:r w:rsidRPr="008C181A">
        <w:rPr>
          <w:rFonts w:cstheme="minorHAnsi"/>
        </w:rPr>
        <w:t>10.1046/j.1365-2702.2003.00848.x</w:t>
      </w:r>
    </w:p>
    <w:p w14:paraId="6E7A15C9"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rPr>
        <w:t xml:space="preserve">Taylor, K., &amp; Dodd, K. (2003). Knowledge and attitudes of staff towards adult protection. </w:t>
      </w:r>
      <w:r w:rsidRPr="008C181A">
        <w:rPr>
          <w:rFonts w:cstheme="minorHAnsi"/>
          <w:i/>
          <w:iCs/>
        </w:rPr>
        <w:t>Journal of Adult Protection</w:t>
      </w:r>
      <w:r w:rsidRPr="008C181A">
        <w:rPr>
          <w:rFonts w:cstheme="minorHAnsi"/>
        </w:rPr>
        <w:t>, 5(4), 26. https://doi.org/10.1108/14668203200300031</w:t>
      </w:r>
    </w:p>
    <w:p w14:paraId="5CA2B821" w14:textId="77777777" w:rsidR="004576D0" w:rsidRPr="008C181A" w:rsidRDefault="004576D0" w:rsidP="004576D0">
      <w:pPr>
        <w:pStyle w:val="CommentText"/>
        <w:spacing w:after="0" w:line="480" w:lineRule="auto"/>
        <w:ind w:firstLine="720"/>
        <w:rPr>
          <w:rFonts w:cstheme="minorHAnsi"/>
          <w:sz w:val="22"/>
          <w:szCs w:val="22"/>
          <w:shd w:val="clear" w:color="auto" w:fill="FFFFFF"/>
        </w:rPr>
      </w:pPr>
      <w:r w:rsidRPr="008C181A">
        <w:rPr>
          <w:rFonts w:cstheme="minorHAnsi"/>
          <w:sz w:val="22"/>
          <w:szCs w:val="22"/>
          <w:shd w:val="clear" w:color="auto" w:fill="FFFFFF"/>
        </w:rPr>
        <w:t>Tomsa, R., Gutu, S., Cojocaru, D., Gutiérrez-Bermejo, B., Flores, N., &amp; Jenaro, C. (2021). Prevalence of sexual abuse in adults with intellectual disability: systematic review and meta-analysis. </w:t>
      </w:r>
      <w:r w:rsidRPr="008C181A">
        <w:rPr>
          <w:rFonts w:cstheme="minorHAnsi"/>
          <w:i/>
          <w:iCs/>
          <w:sz w:val="22"/>
          <w:szCs w:val="22"/>
          <w:shd w:val="clear" w:color="auto" w:fill="FFFFFF"/>
        </w:rPr>
        <w:t>International Journal of Environmental Research and Public Health</w:t>
      </w:r>
      <w:r w:rsidRPr="008C181A">
        <w:rPr>
          <w:rFonts w:cstheme="minorHAnsi"/>
          <w:sz w:val="22"/>
          <w:szCs w:val="22"/>
          <w:shd w:val="clear" w:color="auto" w:fill="FFFFFF"/>
        </w:rPr>
        <w:t>, </w:t>
      </w:r>
      <w:r w:rsidRPr="008C181A">
        <w:rPr>
          <w:rFonts w:cstheme="minorHAnsi"/>
          <w:i/>
          <w:iCs/>
          <w:sz w:val="22"/>
          <w:szCs w:val="22"/>
          <w:shd w:val="clear" w:color="auto" w:fill="FFFFFF"/>
        </w:rPr>
        <w:t>18</w:t>
      </w:r>
      <w:r w:rsidRPr="008C181A">
        <w:rPr>
          <w:rFonts w:cstheme="minorHAnsi"/>
          <w:sz w:val="22"/>
          <w:szCs w:val="22"/>
          <w:shd w:val="clear" w:color="auto" w:fill="FFFFFF"/>
        </w:rPr>
        <w:t xml:space="preserve">(4), 1980. </w:t>
      </w:r>
      <w:hyperlink r:id="rId25" w:tgtFrame="_blank" w:history="1">
        <w:r w:rsidRPr="008C181A">
          <w:rPr>
            <w:rStyle w:val="Hyperlink"/>
            <w:rFonts w:cstheme="minorHAnsi"/>
            <w:color w:val="auto"/>
            <w:sz w:val="22"/>
            <w:szCs w:val="22"/>
            <w:u w:val="none"/>
          </w:rPr>
          <w:t>https://doi.org/10.3390/ijerph18041980</w:t>
        </w:r>
      </w:hyperlink>
    </w:p>
    <w:p w14:paraId="697EAA6B" w14:textId="77777777" w:rsidR="004576D0" w:rsidRPr="008C181A" w:rsidRDefault="004576D0" w:rsidP="00E65856">
      <w:pPr>
        <w:autoSpaceDE w:val="0"/>
        <w:autoSpaceDN w:val="0"/>
        <w:adjustRightInd w:val="0"/>
        <w:spacing w:after="0" w:line="480" w:lineRule="auto"/>
        <w:ind w:firstLine="720"/>
        <w:rPr>
          <w:rFonts w:cstheme="minorHAnsi"/>
        </w:rPr>
      </w:pPr>
      <w:r w:rsidRPr="008C181A">
        <w:rPr>
          <w:rFonts w:cstheme="minorHAnsi"/>
          <w:shd w:val="clear" w:color="auto" w:fill="FFFFFF"/>
        </w:rPr>
        <w:lastRenderedPageBreak/>
        <w:t>Turk, V., &amp; Brown, H. (1993). The sexual abuse of adults with learning disabilities: results of a two year incidence survey. </w:t>
      </w:r>
      <w:r w:rsidRPr="008C181A">
        <w:rPr>
          <w:rFonts w:cstheme="minorHAnsi"/>
          <w:i/>
          <w:iCs/>
          <w:shd w:val="clear" w:color="auto" w:fill="FFFFFF"/>
        </w:rPr>
        <w:t>Mental Handicap Research</w:t>
      </w:r>
      <w:r w:rsidRPr="008C181A">
        <w:rPr>
          <w:rFonts w:cstheme="minorHAnsi"/>
          <w:shd w:val="clear" w:color="auto" w:fill="FFFFFF"/>
        </w:rPr>
        <w:t>, </w:t>
      </w:r>
      <w:r w:rsidRPr="008C181A">
        <w:rPr>
          <w:rFonts w:cstheme="minorHAnsi"/>
          <w:i/>
          <w:iCs/>
          <w:shd w:val="clear" w:color="auto" w:fill="FFFFFF"/>
        </w:rPr>
        <w:t>6</w:t>
      </w:r>
      <w:r w:rsidRPr="008C181A">
        <w:rPr>
          <w:rFonts w:cstheme="minorHAnsi"/>
          <w:shd w:val="clear" w:color="auto" w:fill="FFFFFF"/>
        </w:rPr>
        <w:t xml:space="preserve">(3), 193-216. </w:t>
      </w:r>
      <w:hyperlink r:id="rId26" w:history="1">
        <w:r w:rsidRPr="008C181A">
          <w:rPr>
            <w:rStyle w:val="Hyperlink"/>
            <w:rFonts w:cstheme="minorHAnsi"/>
            <w:color w:val="auto"/>
            <w:shd w:val="clear" w:color="auto" w:fill="FFFFFF"/>
          </w:rPr>
          <w:t>https://doi.org/</w:t>
        </w:r>
        <w:r w:rsidRPr="008C181A">
          <w:rPr>
            <w:rStyle w:val="Hyperlink"/>
            <w:rFonts w:cstheme="minorHAnsi"/>
            <w:color w:val="auto"/>
          </w:rPr>
          <w:t>10.1111/j.1468-3148.1993.tb00053.x</w:t>
        </w:r>
      </w:hyperlink>
    </w:p>
    <w:p w14:paraId="3B5CC24F" w14:textId="77777777" w:rsidR="004576D0" w:rsidRPr="008C181A" w:rsidRDefault="004576D0" w:rsidP="00E65856">
      <w:pPr>
        <w:spacing w:line="480" w:lineRule="auto"/>
        <w:ind w:firstLine="720"/>
        <w:rPr>
          <w:shd w:val="clear" w:color="auto" w:fill="FFFFFF"/>
        </w:rPr>
      </w:pPr>
      <w:bookmarkStart w:id="3" w:name="_Hlk71025844"/>
      <w:r w:rsidRPr="008C181A">
        <w:rPr>
          <w:shd w:val="clear" w:color="auto" w:fill="FFFFFF"/>
        </w:rPr>
        <w:t>UN General Assembly. (2007)</w:t>
      </w:r>
      <w:bookmarkEnd w:id="3"/>
      <w:r w:rsidRPr="008C181A">
        <w:rPr>
          <w:shd w:val="clear" w:color="auto" w:fill="FFFFFF"/>
        </w:rPr>
        <w:t>. </w:t>
      </w:r>
      <w:r w:rsidRPr="008C181A">
        <w:rPr>
          <w:rStyle w:val="ref-journal"/>
          <w:i/>
          <w:iCs/>
        </w:rPr>
        <w:t>Convention on the Rights of Persons with Disabilities: Resolution/Adopted by the General Assembly.</w:t>
      </w:r>
      <w:r w:rsidRPr="008C181A">
        <w:t> UN General Assembly; New York, NY, USA. A/RES/61/106. Available online: </w:t>
      </w:r>
      <w:hyperlink r:id="rId27" w:tgtFrame="_blank" w:history="1">
        <w:r w:rsidRPr="008C181A">
          <w:rPr>
            <w:rStyle w:val="Hyperlink"/>
            <w:color w:val="auto"/>
            <w:shd w:val="clear" w:color="auto" w:fill="FFFFFF"/>
          </w:rPr>
          <w:t>https://www.refworld.org/docid/45f973632.html</w:t>
        </w:r>
      </w:hyperlink>
      <w:r w:rsidRPr="008C181A">
        <w:rPr>
          <w:shd w:val="clear" w:color="auto" w:fill="FFFFFF"/>
        </w:rPr>
        <w:t>. </w:t>
      </w:r>
    </w:p>
    <w:p w14:paraId="709718B4" w14:textId="77777777" w:rsidR="004576D0" w:rsidRPr="008C181A" w:rsidRDefault="004576D0" w:rsidP="00E65856">
      <w:pPr>
        <w:autoSpaceDE w:val="0"/>
        <w:autoSpaceDN w:val="0"/>
        <w:adjustRightInd w:val="0"/>
        <w:spacing w:after="0" w:line="480" w:lineRule="auto"/>
        <w:ind w:firstLine="720"/>
        <w:rPr>
          <w:rFonts w:cstheme="minorHAnsi"/>
        </w:rPr>
      </w:pPr>
      <w:r w:rsidRPr="008C181A">
        <w:rPr>
          <w:rFonts w:cstheme="minorHAnsi"/>
          <w:shd w:val="clear" w:color="auto" w:fill="FFFFFF"/>
        </w:rPr>
        <w:t>Wacker, J. L., Parish, S. L., &amp; Macy, R. J. (2008). Sexual assault and women with cognitive disabilities: Codifying discrimination in the United States. </w:t>
      </w:r>
      <w:r w:rsidRPr="008C181A">
        <w:rPr>
          <w:rFonts w:cstheme="minorHAnsi"/>
          <w:i/>
          <w:iCs/>
          <w:shd w:val="clear" w:color="auto" w:fill="FFFFFF"/>
        </w:rPr>
        <w:t>Journal of Disability Policy Studies</w:t>
      </w:r>
      <w:r w:rsidRPr="008C181A">
        <w:rPr>
          <w:rFonts w:cstheme="minorHAnsi"/>
          <w:shd w:val="clear" w:color="auto" w:fill="FFFFFF"/>
        </w:rPr>
        <w:t>, </w:t>
      </w:r>
      <w:r w:rsidRPr="008C181A">
        <w:rPr>
          <w:rFonts w:cstheme="minorHAnsi"/>
          <w:i/>
          <w:iCs/>
          <w:shd w:val="clear" w:color="auto" w:fill="FFFFFF"/>
        </w:rPr>
        <w:t>19</w:t>
      </w:r>
      <w:r w:rsidRPr="008C181A">
        <w:rPr>
          <w:rFonts w:cstheme="minorHAnsi"/>
          <w:shd w:val="clear" w:color="auto" w:fill="FFFFFF"/>
        </w:rPr>
        <w:t>(2), 86-94. https://doi.org/</w:t>
      </w:r>
      <w:r w:rsidRPr="008C181A">
        <w:rPr>
          <w:rFonts w:cstheme="minorHAnsi"/>
        </w:rPr>
        <w:t>10.1177/1044207308315278</w:t>
      </w:r>
    </w:p>
    <w:p w14:paraId="6F9BA095" w14:textId="77777777" w:rsidR="004576D0" w:rsidRPr="008C181A" w:rsidRDefault="004576D0" w:rsidP="00B167B8">
      <w:pPr>
        <w:spacing w:after="0" w:line="480" w:lineRule="auto"/>
        <w:ind w:firstLine="720"/>
        <w:rPr>
          <w:rFonts w:cstheme="minorHAnsi"/>
          <w:shd w:val="clear" w:color="auto" w:fill="FFFFFF"/>
        </w:rPr>
      </w:pPr>
      <w:r w:rsidRPr="008C181A">
        <w:rPr>
          <w:rFonts w:cstheme="minorHAnsi"/>
          <w:shd w:val="clear" w:color="auto" w:fill="FFFFFF"/>
        </w:rPr>
        <w:t>Walsh, C. A., Olson, J. L., Ploeg, J., Lohfeld, L., &amp; MacMillan, H. L. (2010). Elder abuse and oppression: Voices of marginalized elders. </w:t>
      </w:r>
      <w:r w:rsidRPr="008C181A">
        <w:rPr>
          <w:rFonts w:cstheme="minorHAnsi"/>
          <w:i/>
          <w:iCs/>
          <w:shd w:val="clear" w:color="auto" w:fill="FFFFFF"/>
        </w:rPr>
        <w:t>Journal of Elder Abuse &amp; Neglect</w:t>
      </w:r>
      <w:r w:rsidRPr="008C181A">
        <w:rPr>
          <w:rFonts w:cstheme="minorHAnsi"/>
          <w:shd w:val="clear" w:color="auto" w:fill="FFFFFF"/>
        </w:rPr>
        <w:t>, </w:t>
      </w:r>
      <w:r w:rsidRPr="008C181A">
        <w:rPr>
          <w:rFonts w:cstheme="minorHAnsi"/>
          <w:i/>
          <w:iCs/>
          <w:shd w:val="clear" w:color="auto" w:fill="FFFFFF"/>
        </w:rPr>
        <w:t>23</w:t>
      </w:r>
      <w:r w:rsidRPr="008C181A">
        <w:rPr>
          <w:rFonts w:cstheme="minorHAnsi"/>
          <w:shd w:val="clear" w:color="auto" w:fill="FFFFFF"/>
        </w:rPr>
        <w:t>(1), 17-42. https://doi.org/</w:t>
      </w:r>
      <w:r w:rsidRPr="008C181A">
        <w:rPr>
          <w:rFonts w:cstheme="minorHAnsi"/>
        </w:rPr>
        <w:t>10.1080/08946566.2011.534705</w:t>
      </w:r>
    </w:p>
    <w:p w14:paraId="0D3A71D5" w14:textId="595C6649" w:rsidR="00C45307" w:rsidRPr="008C181A" w:rsidRDefault="004576D0" w:rsidP="00D54B19">
      <w:pPr>
        <w:spacing w:after="0" w:line="480" w:lineRule="auto"/>
        <w:ind w:firstLine="720"/>
        <w:rPr>
          <w:rFonts w:cstheme="minorHAnsi"/>
          <w:shd w:val="clear" w:color="auto" w:fill="FFFFFF"/>
        </w:rPr>
        <w:sectPr w:rsidR="00C45307" w:rsidRPr="008C181A" w:rsidSect="00C45307">
          <w:headerReference w:type="default" r:id="rId28"/>
          <w:footerReference w:type="even" r:id="rId29"/>
          <w:footerReference w:type="default" r:id="rId30"/>
          <w:pgSz w:w="11906" w:h="16838"/>
          <w:pgMar w:top="1440" w:right="1440" w:bottom="1440" w:left="1440" w:header="708" w:footer="708" w:gutter="0"/>
          <w:cols w:space="708"/>
          <w:docGrid w:linePitch="360"/>
        </w:sectPr>
      </w:pPr>
      <w:r w:rsidRPr="008C181A">
        <w:rPr>
          <w:rFonts w:cstheme="minorHAnsi"/>
          <w:shd w:val="clear" w:color="auto" w:fill="FFFFFF"/>
          <w:lang w:val="de-DE"/>
        </w:rPr>
        <w:t xml:space="preserve">Zuckerman, M., Abrams, H. A., &amp; Nuehring, E. M. (1986). </w:t>
      </w:r>
      <w:r w:rsidRPr="008C181A">
        <w:rPr>
          <w:rFonts w:cstheme="minorHAnsi"/>
          <w:shd w:val="clear" w:color="auto" w:fill="FFFFFF"/>
        </w:rPr>
        <w:t>Protection and advocacy agencies: National survey of efforts to prevent residential abuse and neglect. </w:t>
      </w:r>
      <w:r w:rsidRPr="008C181A">
        <w:rPr>
          <w:rFonts w:cstheme="minorHAnsi"/>
          <w:i/>
          <w:iCs/>
          <w:shd w:val="clear" w:color="auto" w:fill="FFFFFF"/>
        </w:rPr>
        <w:t>Mental Retardation</w:t>
      </w:r>
      <w:r w:rsidRPr="008C181A">
        <w:rPr>
          <w:rFonts w:cstheme="minorHAnsi"/>
          <w:shd w:val="clear" w:color="auto" w:fill="FFFFFF"/>
        </w:rPr>
        <w:t>, </w:t>
      </w:r>
      <w:r w:rsidRPr="008C181A">
        <w:rPr>
          <w:rFonts w:cstheme="minorHAnsi"/>
          <w:i/>
          <w:iCs/>
          <w:shd w:val="clear" w:color="auto" w:fill="FFFFFF"/>
        </w:rPr>
        <w:t>24</w:t>
      </w:r>
      <w:r w:rsidRPr="008C181A">
        <w:rPr>
          <w:rFonts w:cstheme="minorHAnsi"/>
          <w:shd w:val="clear" w:color="auto" w:fill="FFFFFF"/>
        </w:rPr>
        <w:t>(4), 19.</w:t>
      </w:r>
    </w:p>
    <w:bookmarkEnd w:id="2"/>
    <w:p w14:paraId="3166CDB7" w14:textId="69681B5D" w:rsidR="004314D9" w:rsidRPr="008C181A" w:rsidRDefault="004314D9" w:rsidP="00D92261">
      <w:pPr>
        <w:spacing w:after="0" w:line="480" w:lineRule="auto"/>
        <w:rPr>
          <w:rFonts w:cstheme="minorHAnsi"/>
          <w:b/>
          <w:bCs/>
          <w:shd w:val="clear" w:color="auto" w:fill="FFFFFF"/>
        </w:rPr>
      </w:pPr>
      <w:r w:rsidRPr="008C181A">
        <w:rPr>
          <w:rFonts w:cstheme="minorHAnsi"/>
          <w:b/>
          <w:bCs/>
          <w:shd w:val="clear" w:color="auto" w:fill="FFFFFF"/>
        </w:rPr>
        <w:lastRenderedPageBreak/>
        <w:t>Table 1</w:t>
      </w:r>
    </w:p>
    <w:p w14:paraId="59EEBCD0" w14:textId="52321020" w:rsidR="004314D9" w:rsidRPr="008C181A" w:rsidRDefault="004314D9" w:rsidP="00D92261">
      <w:pPr>
        <w:spacing w:after="0" w:line="480" w:lineRule="auto"/>
        <w:rPr>
          <w:rFonts w:cstheme="minorHAnsi"/>
          <w:i/>
          <w:iCs/>
          <w:shd w:val="clear" w:color="auto" w:fill="FFFFFF"/>
        </w:rPr>
      </w:pPr>
      <w:r w:rsidRPr="008C181A">
        <w:rPr>
          <w:rFonts w:cstheme="minorHAnsi"/>
          <w:i/>
          <w:iCs/>
          <w:shd w:val="clear" w:color="auto" w:fill="FFFFFF"/>
        </w:rPr>
        <w:t>Eligibility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181A" w:rsidRPr="008C181A" w14:paraId="63AF14CC" w14:textId="77777777" w:rsidTr="00311B61">
        <w:tc>
          <w:tcPr>
            <w:tcW w:w="4508" w:type="dxa"/>
            <w:tcBorders>
              <w:top w:val="single" w:sz="4" w:space="0" w:color="auto"/>
              <w:bottom w:val="single" w:sz="4" w:space="0" w:color="auto"/>
            </w:tcBorders>
          </w:tcPr>
          <w:p w14:paraId="4428FB93" w14:textId="77777777" w:rsidR="004314D9" w:rsidRPr="008C181A" w:rsidRDefault="004314D9" w:rsidP="00311B61">
            <w:pPr>
              <w:autoSpaceDE w:val="0"/>
              <w:autoSpaceDN w:val="0"/>
              <w:adjustRightInd w:val="0"/>
              <w:rPr>
                <w:rFonts w:cstheme="minorHAnsi"/>
                <w:b/>
                <w:bCs/>
                <w:lang w:val="en-US"/>
              </w:rPr>
            </w:pPr>
            <w:r w:rsidRPr="008C181A">
              <w:rPr>
                <w:rFonts w:cstheme="minorHAnsi"/>
                <w:b/>
                <w:bCs/>
                <w:lang w:val="en-US"/>
              </w:rPr>
              <w:t>Inclusion Criteria</w:t>
            </w:r>
          </w:p>
        </w:tc>
        <w:tc>
          <w:tcPr>
            <w:tcW w:w="4508" w:type="dxa"/>
            <w:tcBorders>
              <w:top w:val="single" w:sz="4" w:space="0" w:color="auto"/>
              <w:bottom w:val="single" w:sz="4" w:space="0" w:color="auto"/>
            </w:tcBorders>
          </w:tcPr>
          <w:p w14:paraId="73480E11" w14:textId="77777777" w:rsidR="004314D9" w:rsidRPr="008C181A" w:rsidRDefault="004314D9" w:rsidP="00311B61">
            <w:pPr>
              <w:autoSpaceDE w:val="0"/>
              <w:autoSpaceDN w:val="0"/>
              <w:adjustRightInd w:val="0"/>
              <w:rPr>
                <w:rFonts w:cstheme="minorHAnsi"/>
                <w:b/>
                <w:bCs/>
                <w:lang w:val="en-US"/>
              </w:rPr>
            </w:pPr>
            <w:r w:rsidRPr="008C181A">
              <w:rPr>
                <w:rFonts w:cstheme="minorHAnsi"/>
                <w:b/>
                <w:bCs/>
                <w:lang w:val="en-US"/>
              </w:rPr>
              <w:t>Exclusion Criteria</w:t>
            </w:r>
          </w:p>
          <w:p w14:paraId="2E508FF2" w14:textId="77777777" w:rsidR="004314D9" w:rsidRPr="008C181A" w:rsidRDefault="004314D9" w:rsidP="00311B61">
            <w:pPr>
              <w:autoSpaceDE w:val="0"/>
              <w:autoSpaceDN w:val="0"/>
              <w:adjustRightInd w:val="0"/>
              <w:rPr>
                <w:rFonts w:cstheme="minorHAnsi"/>
                <w:b/>
                <w:bCs/>
                <w:lang w:val="en-US"/>
              </w:rPr>
            </w:pPr>
          </w:p>
        </w:tc>
      </w:tr>
      <w:tr w:rsidR="008C181A" w:rsidRPr="008C181A" w14:paraId="1C2E0370" w14:textId="77777777" w:rsidTr="00311B61">
        <w:tc>
          <w:tcPr>
            <w:tcW w:w="4508" w:type="dxa"/>
            <w:tcBorders>
              <w:top w:val="single" w:sz="4" w:space="0" w:color="auto"/>
            </w:tcBorders>
          </w:tcPr>
          <w:p w14:paraId="61808781" w14:textId="62BBF694" w:rsidR="004314D9" w:rsidRPr="008C181A" w:rsidRDefault="004314D9" w:rsidP="00311B61">
            <w:pPr>
              <w:autoSpaceDE w:val="0"/>
              <w:autoSpaceDN w:val="0"/>
              <w:adjustRightInd w:val="0"/>
              <w:rPr>
                <w:rFonts w:cstheme="minorHAnsi"/>
                <w:lang w:val="en-US"/>
              </w:rPr>
            </w:pPr>
            <w:r w:rsidRPr="008C181A">
              <w:rPr>
                <w:rFonts w:cstheme="minorHAnsi"/>
                <w:lang w:val="en-US"/>
              </w:rPr>
              <w:t>Empirical research (i.e., published articles that referred to primary or secondary data that was based on direct observations, assessments, interviews, surveys, database, or documentary analysis).</w:t>
            </w:r>
          </w:p>
          <w:p w14:paraId="1ADB4252" w14:textId="77777777" w:rsidR="004314D9" w:rsidRPr="008C181A" w:rsidRDefault="004314D9" w:rsidP="00311B61">
            <w:pPr>
              <w:autoSpaceDE w:val="0"/>
              <w:autoSpaceDN w:val="0"/>
              <w:adjustRightInd w:val="0"/>
              <w:rPr>
                <w:rFonts w:cstheme="minorHAnsi"/>
                <w:lang w:val="en-US"/>
              </w:rPr>
            </w:pPr>
          </w:p>
        </w:tc>
        <w:tc>
          <w:tcPr>
            <w:tcW w:w="4508" w:type="dxa"/>
            <w:tcBorders>
              <w:top w:val="single" w:sz="4" w:space="0" w:color="auto"/>
            </w:tcBorders>
          </w:tcPr>
          <w:p w14:paraId="688C1130" w14:textId="77777777" w:rsidR="004314D9" w:rsidRPr="008C181A" w:rsidRDefault="004314D9" w:rsidP="00311B61">
            <w:pPr>
              <w:autoSpaceDE w:val="0"/>
              <w:autoSpaceDN w:val="0"/>
              <w:adjustRightInd w:val="0"/>
              <w:rPr>
                <w:rFonts w:cstheme="minorHAnsi"/>
              </w:rPr>
            </w:pPr>
            <w:r w:rsidRPr="008C181A">
              <w:rPr>
                <w:rFonts w:cstheme="minorHAnsi"/>
              </w:rPr>
              <w:t>They were a book, book chapter, magazine, letter, or review.</w:t>
            </w:r>
          </w:p>
          <w:p w14:paraId="607C50A0" w14:textId="77777777" w:rsidR="004314D9" w:rsidRPr="008C181A" w:rsidRDefault="004314D9" w:rsidP="00311B61">
            <w:pPr>
              <w:autoSpaceDE w:val="0"/>
              <w:autoSpaceDN w:val="0"/>
              <w:adjustRightInd w:val="0"/>
              <w:rPr>
                <w:rFonts w:cstheme="minorHAnsi"/>
                <w:lang w:val="en-US"/>
              </w:rPr>
            </w:pPr>
          </w:p>
        </w:tc>
      </w:tr>
      <w:tr w:rsidR="008C181A" w:rsidRPr="008C181A" w14:paraId="1AC52355" w14:textId="77777777" w:rsidTr="00311B61">
        <w:tc>
          <w:tcPr>
            <w:tcW w:w="4508" w:type="dxa"/>
          </w:tcPr>
          <w:p w14:paraId="2C469616" w14:textId="77777777" w:rsidR="004314D9" w:rsidRPr="008C181A" w:rsidRDefault="004314D9" w:rsidP="00311B61">
            <w:pPr>
              <w:autoSpaceDE w:val="0"/>
              <w:autoSpaceDN w:val="0"/>
              <w:adjustRightInd w:val="0"/>
              <w:rPr>
                <w:rFonts w:cstheme="minorHAnsi"/>
                <w:lang w:val="en-US"/>
              </w:rPr>
            </w:pPr>
            <w:r w:rsidRPr="008C181A">
              <w:rPr>
                <w:rFonts w:cstheme="minorHAnsi"/>
                <w:lang w:val="en-US"/>
              </w:rPr>
              <w:t>Written in English.</w:t>
            </w:r>
          </w:p>
        </w:tc>
        <w:tc>
          <w:tcPr>
            <w:tcW w:w="4508" w:type="dxa"/>
          </w:tcPr>
          <w:p w14:paraId="2AF89EE3" w14:textId="77777777" w:rsidR="004314D9" w:rsidRPr="008C181A" w:rsidRDefault="004314D9" w:rsidP="00311B61">
            <w:pPr>
              <w:autoSpaceDE w:val="0"/>
              <w:autoSpaceDN w:val="0"/>
              <w:adjustRightInd w:val="0"/>
              <w:rPr>
                <w:rFonts w:cstheme="minorHAnsi"/>
                <w:lang w:val="en-US"/>
              </w:rPr>
            </w:pPr>
            <w:r w:rsidRPr="008C181A">
              <w:rPr>
                <w:rFonts w:cstheme="minorHAnsi"/>
                <w:lang w:val="en-US"/>
              </w:rPr>
              <w:t>The article related to the abuse of children, adolescents, or older people without intellectual and other developmental disabilities.</w:t>
            </w:r>
          </w:p>
          <w:p w14:paraId="1EF43C97" w14:textId="77777777" w:rsidR="004314D9" w:rsidRPr="008C181A" w:rsidRDefault="004314D9" w:rsidP="00311B61">
            <w:pPr>
              <w:autoSpaceDE w:val="0"/>
              <w:autoSpaceDN w:val="0"/>
              <w:adjustRightInd w:val="0"/>
              <w:rPr>
                <w:rFonts w:cstheme="minorHAnsi"/>
                <w:lang w:val="en-US"/>
              </w:rPr>
            </w:pPr>
          </w:p>
        </w:tc>
      </w:tr>
      <w:tr w:rsidR="008C181A" w:rsidRPr="008C181A" w14:paraId="4859C3F5" w14:textId="77777777" w:rsidTr="00311B61">
        <w:tc>
          <w:tcPr>
            <w:tcW w:w="4508" w:type="dxa"/>
          </w:tcPr>
          <w:p w14:paraId="17E92961" w14:textId="77777777" w:rsidR="004314D9" w:rsidRPr="008C181A" w:rsidRDefault="004314D9" w:rsidP="00311B61">
            <w:pPr>
              <w:autoSpaceDE w:val="0"/>
              <w:autoSpaceDN w:val="0"/>
              <w:adjustRightInd w:val="0"/>
              <w:rPr>
                <w:rFonts w:cstheme="minorHAnsi"/>
                <w:lang w:val="en-US"/>
              </w:rPr>
            </w:pPr>
            <w:r w:rsidRPr="008C181A">
              <w:rPr>
                <w:rFonts w:cstheme="minorHAnsi"/>
                <w:lang w:val="en-US"/>
              </w:rPr>
              <w:t>The article related to the abuse of adults with intellectual and/or other developmental disabilities.</w:t>
            </w:r>
          </w:p>
          <w:p w14:paraId="66E53C3D" w14:textId="77777777" w:rsidR="004314D9" w:rsidRPr="008C181A" w:rsidRDefault="004314D9" w:rsidP="00311B61">
            <w:pPr>
              <w:autoSpaceDE w:val="0"/>
              <w:autoSpaceDN w:val="0"/>
              <w:adjustRightInd w:val="0"/>
              <w:rPr>
                <w:rFonts w:cstheme="minorHAnsi"/>
                <w:lang w:val="en-US"/>
              </w:rPr>
            </w:pPr>
          </w:p>
        </w:tc>
        <w:tc>
          <w:tcPr>
            <w:tcW w:w="4508" w:type="dxa"/>
          </w:tcPr>
          <w:p w14:paraId="01878DDB" w14:textId="5FEF85AC" w:rsidR="004314D9" w:rsidRPr="008C181A" w:rsidRDefault="004314D9" w:rsidP="00311B61">
            <w:pPr>
              <w:autoSpaceDE w:val="0"/>
              <w:autoSpaceDN w:val="0"/>
              <w:adjustRightInd w:val="0"/>
              <w:rPr>
                <w:rFonts w:cstheme="minorHAnsi"/>
                <w:lang w:val="en-US"/>
              </w:rPr>
            </w:pPr>
            <w:r w:rsidRPr="008C181A">
              <w:rPr>
                <w:rFonts w:cstheme="minorHAnsi"/>
                <w:lang w:val="en-US"/>
              </w:rPr>
              <w:t>The topic of the article did not relate to abuse or quality of care (i.e., the detection of abuse, prevention of abuse, assessment of abuse).</w:t>
            </w:r>
          </w:p>
        </w:tc>
      </w:tr>
      <w:tr w:rsidR="008C181A" w:rsidRPr="008C181A" w14:paraId="2430F96C" w14:textId="77777777" w:rsidTr="00311B61">
        <w:tc>
          <w:tcPr>
            <w:tcW w:w="4508" w:type="dxa"/>
            <w:tcBorders>
              <w:bottom w:val="single" w:sz="4" w:space="0" w:color="auto"/>
            </w:tcBorders>
          </w:tcPr>
          <w:p w14:paraId="36BF5DB9" w14:textId="77777777" w:rsidR="004314D9" w:rsidRPr="008C181A" w:rsidRDefault="004314D9" w:rsidP="00311B61">
            <w:pPr>
              <w:autoSpaceDE w:val="0"/>
              <w:autoSpaceDN w:val="0"/>
              <w:adjustRightInd w:val="0"/>
              <w:rPr>
                <w:rFonts w:cstheme="minorHAnsi"/>
                <w:lang w:val="en-US"/>
              </w:rPr>
            </w:pPr>
            <w:r w:rsidRPr="008C181A">
              <w:rPr>
                <w:rFonts w:cstheme="minorHAnsi"/>
                <w:lang w:val="en-US"/>
              </w:rPr>
              <w:t>The article related to abuse within services.</w:t>
            </w:r>
          </w:p>
        </w:tc>
        <w:tc>
          <w:tcPr>
            <w:tcW w:w="4508" w:type="dxa"/>
            <w:tcBorders>
              <w:bottom w:val="single" w:sz="4" w:space="0" w:color="auto"/>
            </w:tcBorders>
          </w:tcPr>
          <w:p w14:paraId="667B5321" w14:textId="77777777" w:rsidR="004314D9" w:rsidRPr="008C181A" w:rsidRDefault="004314D9" w:rsidP="00311B61">
            <w:pPr>
              <w:autoSpaceDE w:val="0"/>
              <w:autoSpaceDN w:val="0"/>
              <w:adjustRightInd w:val="0"/>
              <w:rPr>
                <w:rFonts w:cstheme="minorHAnsi"/>
                <w:lang w:val="en-US"/>
              </w:rPr>
            </w:pPr>
            <w:r w:rsidRPr="008C181A">
              <w:rPr>
                <w:rFonts w:cstheme="minorHAnsi"/>
                <w:lang w:val="en-US"/>
              </w:rPr>
              <w:t>The article related to abuse that had been perpetrated in the family rather than within community or inpatient services.</w:t>
            </w:r>
          </w:p>
        </w:tc>
      </w:tr>
    </w:tbl>
    <w:p w14:paraId="3862DF9A" w14:textId="77777777" w:rsidR="004314D9" w:rsidRPr="008C181A" w:rsidRDefault="004314D9" w:rsidP="00D92261">
      <w:pPr>
        <w:spacing w:after="0" w:line="480" w:lineRule="auto"/>
        <w:rPr>
          <w:rFonts w:cstheme="minorHAnsi"/>
          <w:shd w:val="clear" w:color="auto" w:fill="FFFFFF"/>
        </w:rPr>
      </w:pPr>
    </w:p>
    <w:p w14:paraId="444BB7E7" w14:textId="77777777" w:rsidR="004314D9" w:rsidRPr="008C181A" w:rsidRDefault="004314D9" w:rsidP="00D92261">
      <w:pPr>
        <w:spacing w:after="0" w:line="480" w:lineRule="auto"/>
        <w:rPr>
          <w:rFonts w:cstheme="minorHAnsi"/>
          <w:b/>
          <w:bCs/>
          <w:shd w:val="clear" w:color="auto" w:fill="FFFFFF"/>
        </w:rPr>
      </w:pPr>
    </w:p>
    <w:p w14:paraId="156370DE" w14:textId="77777777" w:rsidR="004314D9" w:rsidRPr="008C181A" w:rsidRDefault="004314D9" w:rsidP="00D92261">
      <w:pPr>
        <w:spacing w:after="0" w:line="480" w:lineRule="auto"/>
        <w:rPr>
          <w:rFonts w:cstheme="minorHAnsi"/>
          <w:b/>
          <w:bCs/>
          <w:shd w:val="clear" w:color="auto" w:fill="FFFFFF"/>
        </w:rPr>
      </w:pPr>
    </w:p>
    <w:p w14:paraId="13BEF522" w14:textId="77777777" w:rsidR="004314D9" w:rsidRPr="008C181A" w:rsidRDefault="004314D9" w:rsidP="00D92261">
      <w:pPr>
        <w:spacing w:after="0" w:line="480" w:lineRule="auto"/>
        <w:rPr>
          <w:rFonts w:cstheme="minorHAnsi"/>
          <w:b/>
          <w:bCs/>
          <w:shd w:val="clear" w:color="auto" w:fill="FFFFFF"/>
        </w:rPr>
      </w:pPr>
    </w:p>
    <w:p w14:paraId="5ECDAD92" w14:textId="77777777" w:rsidR="004314D9" w:rsidRPr="008C181A" w:rsidRDefault="004314D9" w:rsidP="00D92261">
      <w:pPr>
        <w:spacing w:after="0" w:line="480" w:lineRule="auto"/>
        <w:rPr>
          <w:rFonts w:cstheme="minorHAnsi"/>
          <w:b/>
          <w:bCs/>
          <w:shd w:val="clear" w:color="auto" w:fill="FFFFFF"/>
        </w:rPr>
      </w:pPr>
    </w:p>
    <w:p w14:paraId="34038D45" w14:textId="1FCEE256" w:rsidR="00D92261" w:rsidRPr="008C181A" w:rsidRDefault="00D92261" w:rsidP="00D92261">
      <w:pPr>
        <w:spacing w:after="0" w:line="480" w:lineRule="auto"/>
        <w:rPr>
          <w:rFonts w:cstheme="minorHAnsi"/>
          <w:b/>
          <w:bCs/>
          <w:shd w:val="clear" w:color="auto" w:fill="FFFFFF"/>
        </w:rPr>
      </w:pPr>
      <w:r w:rsidRPr="008C181A">
        <w:rPr>
          <w:rFonts w:cstheme="minorHAnsi"/>
          <w:b/>
          <w:bCs/>
          <w:shd w:val="clear" w:color="auto" w:fill="FFFFFF"/>
        </w:rPr>
        <w:lastRenderedPageBreak/>
        <w:t xml:space="preserve">Table </w:t>
      </w:r>
      <w:r w:rsidR="00D54B19" w:rsidRPr="008C181A">
        <w:rPr>
          <w:rFonts w:cstheme="minorHAnsi"/>
          <w:b/>
          <w:bCs/>
          <w:shd w:val="clear" w:color="auto" w:fill="FFFFFF"/>
        </w:rPr>
        <w:t>2</w:t>
      </w:r>
    </w:p>
    <w:p w14:paraId="074F5FA5" w14:textId="77777777" w:rsidR="00D92261" w:rsidRPr="008C181A" w:rsidRDefault="00D92261" w:rsidP="00D92261">
      <w:pPr>
        <w:spacing w:after="0" w:line="480" w:lineRule="auto"/>
        <w:rPr>
          <w:rFonts w:cstheme="minorHAnsi"/>
          <w:i/>
          <w:iCs/>
          <w:shd w:val="clear" w:color="auto" w:fill="FFFFFF"/>
        </w:rPr>
      </w:pPr>
      <w:r w:rsidRPr="008C181A">
        <w:rPr>
          <w:rFonts w:cstheme="minorHAnsi"/>
          <w:i/>
          <w:iCs/>
          <w:shd w:val="clear" w:color="auto" w:fill="FFFFFF"/>
        </w:rPr>
        <w:t>Table of included studies</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573"/>
        <w:gridCol w:w="962"/>
        <w:gridCol w:w="2093"/>
        <w:gridCol w:w="1324"/>
        <w:gridCol w:w="1232"/>
        <w:gridCol w:w="1843"/>
        <w:gridCol w:w="3260"/>
        <w:gridCol w:w="709"/>
      </w:tblGrid>
      <w:tr w:rsidR="008C181A" w:rsidRPr="008C181A" w14:paraId="67DCCED7" w14:textId="77777777" w:rsidTr="00A516FE">
        <w:trPr>
          <w:trHeight w:val="576"/>
        </w:trPr>
        <w:tc>
          <w:tcPr>
            <w:tcW w:w="1146" w:type="dxa"/>
            <w:shd w:val="clear" w:color="auto" w:fill="auto"/>
            <w:hideMark/>
          </w:tcPr>
          <w:p w14:paraId="10FB784F" w14:textId="1E054B25"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Article number, author, date</w:t>
            </w:r>
          </w:p>
        </w:tc>
        <w:tc>
          <w:tcPr>
            <w:tcW w:w="1573" w:type="dxa"/>
            <w:shd w:val="clear" w:color="auto" w:fill="auto"/>
            <w:hideMark/>
          </w:tcPr>
          <w:p w14:paraId="1A432660"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Title</w:t>
            </w:r>
          </w:p>
        </w:tc>
        <w:tc>
          <w:tcPr>
            <w:tcW w:w="962" w:type="dxa"/>
            <w:shd w:val="clear" w:color="auto" w:fill="auto"/>
            <w:hideMark/>
          </w:tcPr>
          <w:p w14:paraId="1D23E2C8"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Country</w:t>
            </w:r>
          </w:p>
          <w:p w14:paraId="04BFC516" w14:textId="77777777" w:rsidR="00D92261" w:rsidRPr="008C181A" w:rsidRDefault="00D92261" w:rsidP="00A516FE">
            <w:pPr>
              <w:spacing w:after="0" w:line="240" w:lineRule="auto"/>
              <w:rPr>
                <w:rFonts w:eastAsia="Times New Roman" w:cstheme="minorHAnsi"/>
                <w:b/>
                <w:bCs/>
                <w:sz w:val="18"/>
                <w:szCs w:val="18"/>
                <w:lang w:eastAsia="en-GB"/>
              </w:rPr>
            </w:pPr>
          </w:p>
        </w:tc>
        <w:tc>
          <w:tcPr>
            <w:tcW w:w="2093" w:type="dxa"/>
            <w:shd w:val="clear" w:color="auto" w:fill="auto"/>
          </w:tcPr>
          <w:p w14:paraId="4BF899D5" w14:textId="77777777" w:rsidR="00D92261" w:rsidRPr="008C181A" w:rsidRDefault="00D92261" w:rsidP="00A516FE">
            <w:pPr>
              <w:spacing w:line="240" w:lineRule="auto"/>
              <w:rPr>
                <w:rFonts w:eastAsia="Times New Roman" w:cstheme="minorHAnsi"/>
                <w:b/>
                <w:bCs/>
                <w:sz w:val="18"/>
                <w:szCs w:val="18"/>
                <w:lang w:eastAsia="en-GB"/>
              </w:rPr>
            </w:pPr>
            <w:r w:rsidRPr="008C181A">
              <w:rPr>
                <w:rFonts w:eastAsia="Times New Roman" w:cstheme="minorHAnsi"/>
                <w:b/>
                <w:bCs/>
                <w:sz w:val="18"/>
                <w:szCs w:val="18"/>
                <w:lang w:eastAsia="en-GB"/>
              </w:rPr>
              <w:t>Study sample</w:t>
            </w:r>
          </w:p>
          <w:p w14:paraId="1B326D1A" w14:textId="77777777" w:rsidR="00D92261" w:rsidRPr="008C181A" w:rsidRDefault="00D92261" w:rsidP="00A516FE">
            <w:pPr>
              <w:spacing w:after="0" w:line="240" w:lineRule="auto"/>
              <w:rPr>
                <w:rFonts w:eastAsia="Times New Roman" w:cstheme="minorHAnsi"/>
                <w:b/>
                <w:bCs/>
                <w:sz w:val="18"/>
                <w:szCs w:val="18"/>
                <w:lang w:eastAsia="en-GB"/>
              </w:rPr>
            </w:pPr>
          </w:p>
        </w:tc>
        <w:tc>
          <w:tcPr>
            <w:tcW w:w="1324" w:type="dxa"/>
            <w:shd w:val="clear" w:color="auto" w:fill="auto"/>
            <w:hideMark/>
          </w:tcPr>
          <w:p w14:paraId="7890476C"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Environment</w:t>
            </w:r>
          </w:p>
        </w:tc>
        <w:tc>
          <w:tcPr>
            <w:tcW w:w="1232" w:type="dxa"/>
            <w:shd w:val="clear" w:color="auto" w:fill="auto"/>
            <w:hideMark/>
          </w:tcPr>
          <w:p w14:paraId="5210F74A"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Study design &amp; method</w:t>
            </w:r>
          </w:p>
        </w:tc>
        <w:tc>
          <w:tcPr>
            <w:tcW w:w="1843" w:type="dxa"/>
            <w:shd w:val="clear" w:color="auto" w:fill="auto"/>
            <w:hideMark/>
          </w:tcPr>
          <w:p w14:paraId="6FEBB1DD"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Study aims</w:t>
            </w:r>
          </w:p>
        </w:tc>
        <w:tc>
          <w:tcPr>
            <w:tcW w:w="3260" w:type="dxa"/>
            <w:shd w:val="clear" w:color="auto" w:fill="auto"/>
            <w:hideMark/>
          </w:tcPr>
          <w:p w14:paraId="40135F46"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b/>
                <w:bCs/>
                <w:sz w:val="18"/>
                <w:szCs w:val="18"/>
                <w:lang w:eastAsia="en-GB"/>
              </w:rPr>
              <w:t>Main Outcomes</w:t>
            </w:r>
          </w:p>
        </w:tc>
        <w:tc>
          <w:tcPr>
            <w:tcW w:w="709" w:type="dxa"/>
          </w:tcPr>
          <w:p w14:paraId="423AE12A" w14:textId="77777777" w:rsidR="00D92261" w:rsidRPr="008C181A" w:rsidRDefault="00D92261" w:rsidP="00A516FE">
            <w:pPr>
              <w:spacing w:after="0" w:line="240" w:lineRule="auto"/>
              <w:ind w:right="-44"/>
              <w:rPr>
                <w:rFonts w:eastAsia="Times New Roman" w:cstheme="minorHAnsi"/>
                <w:b/>
                <w:bCs/>
                <w:sz w:val="18"/>
                <w:szCs w:val="18"/>
                <w:lang w:eastAsia="en-GB"/>
              </w:rPr>
            </w:pPr>
            <w:r w:rsidRPr="008C181A">
              <w:rPr>
                <w:rFonts w:eastAsia="Times New Roman" w:cstheme="minorHAnsi"/>
                <w:b/>
                <w:bCs/>
                <w:sz w:val="18"/>
                <w:szCs w:val="18"/>
                <w:lang w:eastAsia="en-GB"/>
              </w:rPr>
              <w:t>MMAT Rating</w:t>
            </w:r>
          </w:p>
        </w:tc>
      </w:tr>
      <w:tr w:rsidR="008C181A" w:rsidRPr="008C181A" w14:paraId="5F3A27AA" w14:textId="77777777" w:rsidTr="00A516FE">
        <w:trPr>
          <w:trHeight w:val="576"/>
        </w:trPr>
        <w:tc>
          <w:tcPr>
            <w:tcW w:w="1146" w:type="dxa"/>
            <w:shd w:val="clear" w:color="auto" w:fill="auto"/>
          </w:tcPr>
          <w:p w14:paraId="1CF7EBFE"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1. Abner et al. (2019)</w:t>
            </w:r>
          </w:p>
        </w:tc>
        <w:tc>
          <w:tcPr>
            <w:tcW w:w="1573" w:type="dxa"/>
            <w:shd w:val="clear" w:color="auto" w:fill="auto"/>
          </w:tcPr>
          <w:p w14:paraId="6E25399A" w14:textId="0131873A"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 xml:space="preserve">Victim, Allegation, and Investigation Characteristics Associated </w:t>
            </w:r>
            <w:r w:rsidR="00196993" w:rsidRPr="008C181A">
              <w:rPr>
                <w:rFonts w:eastAsia="Times New Roman" w:cstheme="minorHAnsi"/>
                <w:sz w:val="18"/>
                <w:szCs w:val="18"/>
                <w:lang w:eastAsia="en-GB"/>
              </w:rPr>
              <w:t>w</w:t>
            </w:r>
            <w:r w:rsidRPr="008C181A">
              <w:rPr>
                <w:rFonts w:eastAsia="Times New Roman" w:cstheme="minorHAnsi"/>
                <w:sz w:val="18"/>
                <w:szCs w:val="18"/>
                <w:lang w:eastAsia="en-GB"/>
              </w:rPr>
              <w:t>ith Substantiated Reports of Sexual Abuse of Adults in Residential Care Settings</w:t>
            </w:r>
          </w:p>
        </w:tc>
        <w:tc>
          <w:tcPr>
            <w:tcW w:w="962" w:type="dxa"/>
            <w:shd w:val="clear" w:color="auto" w:fill="auto"/>
          </w:tcPr>
          <w:p w14:paraId="251FA9FB"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4AC8BE5A" w14:textId="158A3A1A"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410 reports of sexual abuse (61% females, mean age = 49.8)</w:t>
            </w:r>
            <w:r w:rsidR="00725710" w:rsidRPr="008C181A">
              <w:rPr>
                <w:rFonts w:eastAsia="Times New Roman" w:cstheme="minorHAnsi"/>
                <w:sz w:val="18"/>
                <w:szCs w:val="18"/>
                <w:lang w:eastAsia="en-GB"/>
              </w:rPr>
              <w:t>.</w:t>
            </w:r>
          </w:p>
        </w:tc>
        <w:tc>
          <w:tcPr>
            <w:tcW w:w="1324" w:type="dxa"/>
            <w:shd w:val="clear" w:color="auto" w:fill="auto"/>
          </w:tcPr>
          <w:p w14:paraId="123B5711"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Residential care</w:t>
            </w:r>
          </w:p>
        </w:tc>
        <w:tc>
          <w:tcPr>
            <w:tcW w:w="1232" w:type="dxa"/>
            <w:shd w:val="clear" w:color="auto" w:fill="auto"/>
          </w:tcPr>
          <w:p w14:paraId="0987EEE3"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Quantitative (database analysis)</w:t>
            </w:r>
          </w:p>
        </w:tc>
        <w:tc>
          <w:tcPr>
            <w:tcW w:w="1843" w:type="dxa"/>
            <w:shd w:val="clear" w:color="auto" w:fill="auto"/>
          </w:tcPr>
          <w:p w14:paraId="3EE4276C"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To identify characteristics of investigations of sexual abuse concerning vulnerable adults residing in facility settings that were associated with case substantiation.</w:t>
            </w:r>
          </w:p>
        </w:tc>
        <w:tc>
          <w:tcPr>
            <w:tcW w:w="3260" w:type="dxa"/>
            <w:shd w:val="clear" w:color="auto" w:fill="auto"/>
          </w:tcPr>
          <w:p w14:paraId="51C93379"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 xml:space="preserve">18% of sexual abuse cases were substantiated. 51% of alleged perpetrators were facility staff compared to 25% who were residents. Cases that were substantiated were more likely to feature nursing home residents, older victims, female victims, and allegations of physical contact between the alleged perpetrator and victim. </w:t>
            </w:r>
          </w:p>
        </w:tc>
        <w:tc>
          <w:tcPr>
            <w:tcW w:w="709" w:type="dxa"/>
          </w:tcPr>
          <w:p w14:paraId="2EC88F9C"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61417623" w14:textId="77777777" w:rsidTr="00A516FE">
        <w:trPr>
          <w:trHeight w:val="576"/>
        </w:trPr>
        <w:tc>
          <w:tcPr>
            <w:tcW w:w="1146" w:type="dxa"/>
            <w:shd w:val="clear" w:color="auto" w:fill="auto"/>
          </w:tcPr>
          <w:p w14:paraId="55109659"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2. Ahlgrim-Delzell &amp; Dudley (2001)</w:t>
            </w:r>
          </w:p>
        </w:tc>
        <w:tc>
          <w:tcPr>
            <w:tcW w:w="1573" w:type="dxa"/>
            <w:shd w:val="clear" w:color="auto" w:fill="auto"/>
          </w:tcPr>
          <w:p w14:paraId="7864BC41"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Confirmed, unconfirmed, and false allegations of abuse made by adults with mental retardation who are members of a class action lawsuit</w:t>
            </w:r>
          </w:p>
        </w:tc>
        <w:tc>
          <w:tcPr>
            <w:tcW w:w="962" w:type="dxa"/>
            <w:shd w:val="clear" w:color="auto" w:fill="auto"/>
          </w:tcPr>
          <w:p w14:paraId="4B970758"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7C018D03" w14:textId="2E81E577" w:rsidR="00DA356B"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1220 people with mental retardation who were part of a class action lawsuit in North Carolina. 111 reported an allegation of abuse, neglect,</w:t>
            </w:r>
            <w:r w:rsidR="00196993" w:rsidRPr="008C181A">
              <w:rPr>
                <w:rFonts w:eastAsia="Times New Roman" w:cstheme="minorHAnsi"/>
                <w:sz w:val="18"/>
                <w:szCs w:val="18"/>
                <w:lang w:eastAsia="en-GB"/>
              </w:rPr>
              <w:t xml:space="preserve"> </w:t>
            </w:r>
            <w:r w:rsidRPr="008C181A">
              <w:rPr>
                <w:rFonts w:eastAsia="Times New Roman" w:cstheme="minorHAnsi"/>
                <w:sz w:val="18"/>
                <w:szCs w:val="18"/>
                <w:lang w:eastAsia="en-GB"/>
              </w:rPr>
              <w:t>exploitation, or mistreatment during an interview for the Thomas S. Longitudinal Study between November 1996 and February 1998 (50 males, 61 females, aged 20-100, mean age = 41)</w:t>
            </w:r>
            <w:r w:rsidR="00196993" w:rsidRPr="008C181A">
              <w:rPr>
                <w:rFonts w:eastAsia="Times New Roman" w:cstheme="minorHAnsi"/>
                <w:sz w:val="18"/>
                <w:szCs w:val="18"/>
                <w:lang w:eastAsia="en-GB"/>
              </w:rPr>
              <w:t>.</w:t>
            </w:r>
          </w:p>
        </w:tc>
        <w:tc>
          <w:tcPr>
            <w:tcW w:w="1324" w:type="dxa"/>
            <w:shd w:val="clear" w:color="auto" w:fill="auto"/>
          </w:tcPr>
          <w:p w14:paraId="628BA852"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State psychiatric hospital, mental retardation centre, group home, nursing home, supervised living, family home, care home, other</w:t>
            </w:r>
          </w:p>
        </w:tc>
        <w:tc>
          <w:tcPr>
            <w:tcW w:w="1232" w:type="dxa"/>
            <w:shd w:val="clear" w:color="auto" w:fill="auto"/>
          </w:tcPr>
          <w:p w14:paraId="22C531ED"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0219064D" w14:textId="4C66F34E"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 xml:space="preserve">To explore differences in confirmed, unconfirmed, and false allegations of abuse made by consumers with mental retardation </w:t>
            </w:r>
            <w:r w:rsidR="00321642" w:rsidRPr="008C181A">
              <w:rPr>
                <w:rFonts w:eastAsia="Times New Roman" w:cstheme="minorHAnsi"/>
                <w:sz w:val="18"/>
                <w:szCs w:val="18"/>
                <w:lang w:eastAsia="en-GB"/>
              </w:rPr>
              <w:t>regarding</w:t>
            </w:r>
            <w:r w:rsidRPr="008C181A">
              <w:rPr>
                <w:rFonts w:eastAsia="Times New Roman" w:cstheme="minorHAnsi"/>
                <w:sz w:val="18"/>
                <w:szCs w:val="18"/>
                <w:lang w:eastAsia="en-GB"/>
              </w:rPr>
              <w:t xml:space="preserve"> type of abuse and perpetrator.</w:t>
            </w:r>
          </w:p>
        </w:tc>
        <w:tc>
          <w:tcPr>
            <w:tcW w:w="3260" w:type="dxa"/>
            <w:shd w:val="clear" w:color="auto" w:fill="auto"/>
          </w:tcPr>
          <w:p w14:paraId="15136A1A"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A total of 1220 consumers were interviewed and 111 (9.1%) of these consumers made 158 allegations of abuse, neglect, or mistreatment. There were 85 unconfirmed claims (53.8%), 40 false allegations (25.3%), and 33 confirmed claims (20.9%) of abuse. Most frequent allegations were physical assault (39.9%), rape (20.9%) and mistreatment (18.4%).</w:t>
            </w:r>
          </w:p>
        </w:tc>
        <w:tc>
          <w:tcPr>
            <w:tcW w:w="709" w:type="dxa"/>
          </w:tcPr>
          <w:p w14:paraId="24DA2EC8"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5</w:t>
            </w:r>
          </w:p>
        </w:tc>
      </w:tr>
      <w:tr w:rsidR="008C181A" w:rsidRPr="008C181A" w14:paraId="4558A56C" w14:textId="77777777" w:rsidTr="00A516FE">
        <w:trPr>
          <w:trHeight w:val="576"/>
        </w:trPr>
        <w:tc>
          <w:tcPr>
            <w:tcW w:w="1146" w:type="dxa"/>
            <w:shd w:val="clear" w:color="auto" w:fill="auto"/>
          </w:tcPr>
          <w:p w14:paraId="275E017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 Allington (1992)</w:t>
            </w:r>
          </w:p>
        </w:tc>
        <w:tc>
          <w:tcPr>
            <w:tcW w:w="1573" w:type="dxa"/>
            <w:shd w:val="clear" w:color="auto" w:fill="auto"/>
          </w:tcPr>
          <w:p w14:paraId="5C6C246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Sexual Abuse within Services for People with Learning Disabilities: Staffs' Perceptions, Understandings of, and Contact </w:t>
            </w:r>
            <w:r w:rsidRPr="008C181A">
              <w:rPr>
                <w:rFonts w:eastAsia="Times New Roman" w:cstheme="minorHAnsi"/>
                <w:sz w:val="18"/>
                <w:szCs w:val="18"/>
                <w:lang w:eastAsia="en-GB"/>
              </w:rPr>
              <w:lastRenderedPageBreak/>
              <w:t>with the Problem of Sexual Abuse</w:t>
            </w:r>
          </w:p>
        </w:tc>
        <w:tc>
          <w:tcPr>
            <w:tcW w:w="962" w:type="dxa"/>
            <w:shd w:val="clear" w:color="auto" w:fill="auto"/>
          </w:tcPr>
          <w:p w14:paraId="3BBC5C6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UK</w:t>
            </w:r>
          </w:p>
        </w:tc>
        <w:tc>
          <w:tcPr>
            <w:tcW w:w="2093" w:type="dxa"/>
            <w:shd w:val="clear" w:color="auto" w:fill="auto"/>
          </w:tcPr>
          <w:p w14:paraId="4431B9F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107 staff at both Health Authority and Local Authority services.</w:t>
            </w:r>
          </w:p>
        </w:tc>
        <w:tc>
          <w:tcPr>
            <w:tcW w:w="1324" w:type="dxa"/>
            <w:shd w:val="clear" w:color="auto" w:fill="auto"/>
          </w:tcPr>
          <w:p w14:paraId="42B88E8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Day care and residential facilities</w:t>
            </w:r>
          </w:p>
        </w:tc>
        <w:tc>
          <w:tcPr>
            <w:tcW w:w="1232" w:type="dxa"/>
            <w:shd w:val="clear" w:color="auto" w:fill="auto"/>
          </w:tcPr>
          <w:p w14:paraId="3D3FA6CE" w14:textId="4955F1FE"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w:t>
            </w:r>
            <w:r w:rsidR="00321642" w:rsidRPr="008C181A">
              <w:rPr>
                <w:rFonts w:eastAsia="Times New Roman" w:cstheme="minorHAnsi"/>
                <w:sz w:val="18"/>
                <w:szCs w:val="18"/>
                <w:lang w:eastAsia="en-GB"/>
              </w:rPr>
              <w:t>: q</w:t>
            </w:r>
            <w:r w:rsidRPr="008C181A">
              <w:rPr>
                <w:rFonts w:eastAsia="Times New Roman" w:cstheme="minorHAnsi"/>
                <w:sz w:val="18"/>
                <w:szCs w:val="18"/>
                <w:lang w:eastAsia="en-GB"/>
              </w:rPr>
              <w:t>uestion</w:t>
            </w:r>
            <w:r w:rsidR="00321642" w:rsidRPr="008C181A">
              <w:rPr>
                <w:rFonts w:eastAsia="Times New Roman" w:cstheme="minorHAnsi"/>
                <w:sz w:val="18"/>
                <w:szCs w:val="18"/>
                <w:lang w:eastAsia="en-GB"/>
              </w:rPr>
              <w:t>n</w:t>
            </w:r>
            <w:r w:rsidRPr="008C181A">
              <w:rPr>
                <w:rFonts w:eastAsia="Times New Roman" w:cstheme="minorHAnsi"/>
                <w:sz w:val="18"/>
                <w:szCs w:val="18"/>
                <w:lang w:eastAsia="en-GB"/>
              </w:rPr>
              <w:t>aire</w:t>
            </w:r>
          </w:p>
        </w:tc>
        <w:tc>
          <w:tcPr>
            <w:tcW w:w="1843" w:type="dxa"/>
            <w:shd w:val="clear" w:color="auto" w:fill="auto"/>
          </w:tcPr>
          <w:p w14:paraId="4DEF12A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ascertain the extent to which staff working with people with learning disabilities are aware of issues around</w:t>
            </w:r>
            <w:r w:rsidRPr="008C181A">
              <w:rPr>
                <w:rFonts w:eastAsia="Times New Roman" w:cstheme="minorHAnsi"/>
                <w:sz w:val="18"/>
                <w:szCs w:val="18"/>
                <w:lang w:eastAsia="en-GB"/>
              </w:rPr>
              <w:br/>
              <w:t>the topic of sexual abuse.</w:t>
            </w:r>
          </w:p>
        </w:tc>
        <w:tc>
          <w:tcPr>
            <w:tcW w:w="3260" w:type="dxa"/>
            <w:shd w:val="clear" w:color="auto" w:fill="auto"/>
          </w:tcPr>
          <w:p w14:paraId="67ABD7D3" w14:textId="01D7BC7F"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32% of staff never discussed the subject of abuse in their work settings </w:t>
            </w:r>
            <w:r w:rsidR="00321642" w:rsidRPr="008C181A">
              <w:rPr>
                <w:rFonts w:eastAsia="Times New Roman" w:cstheme="minorHAnsi"/>
                <w:sz w:val="18"/>
                <w:szCs w:val="18"/>
                <w:lang w:eastAsia="en-GB"/>
              </w:rPr>
              <w:t>even though</w:t>
            </w:r>
            <w:r w:rsidRPr="008C181A">
              <w:rPr>
                <w:rFonts w:eastAsia="Times New Roman" w:cstheme="minorHAnsi"/>
                <w:sz w:val="18"/>
                <w:szCs w:val="18"/>
                <w:lang w:eastAsia="en-GB"/>
              </w:rPr>
              <w:t xml:space="preserve"> all felt people with learning disabilities to be at risk of sexual abuse, with 68% believing them to be at a higher degree of risk than other people. </w:t>
            </w:r>
          </w:p>
        </w:tc>
        <w:tc>
          <w:tcPr>
            <w:tcW w:w="709" w:type="dxa"/>
          </w:tcPr>
          <w:p w14:paraId="4683B236"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2</w:t>
            </w:r>
          </w:p>
        </w:tc>
      </w:tr>
      <w:tr w:rsidR="008C181A" w:rsidRPr="008C181A" w14:paraId="57BCDC0F" w14:textId="77777777" w:rsidTr="00A516FE">
        <w:trPr>
          <w:trHeight w:val="576"/>
        </w:trPr>
        <w:tc>
          <w:tcPr>
            <w:tcW w:w="1146" w:type="dxa"/>
            <w:shd w:val="clear" w:color="auto" w:fill="auto"/>
          </w:tcPr>
          <w:p w14:paraId="74CEF7F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4. Aylett (2016)</w:t>
            </w:r>
          </w:p>
        </w:tc>
        <w:tc>
          <w:tcPr>
            <w:tcW w:w="1573" w:type="dxa"/>
            <w:shd w:val="clear" w:color="auto" w:fill="auto"/>
          </w:tcPr>
          <w:p w14:paraId="430C003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Universal learning findings from an analysis of serious case review executive summaries</w:t>
            </w:r>
          </w:p>
        </w:tc>
        <w:tc>
          <w:tcPr>
            <w:tcW w:w="962" w:type="dxa"/>
            <w:shd w:val="clear" w:color="auto" w:fill="auto"/>
          </w:tcPr>
          <w:p w14:paraId="3E70580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76ECF008"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114 serious case review executive summaries in adult safeguarding conducted between 2000-2012. In 28 cases (31.5%) the victim was characterised as having an intellectual developmental impairment.</w:t>
            </w:r>
          </w:p>
        </w:tc>
        <w:tc>
          <w:tcPr>
            <w:tcW w:w="1324" w:type="dxa"/>
            <w:shd w:val="clear" w:color="auto" w:fill="auto"/>
          </w:tcPr>
          <w:p w14:paraId="7AC162A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and community</w:t>
            </w:r>
          </w:p>
        </w:tc>
        <w:tc>
          <w:tcPr>
            <w:tcW w:w="1232" w:type="dxa"/>
            <w:shd w:val="clear" w:color="auto" w:fill="auto"/>
          </w:tcPr>
          <w:p w14:paraId="67F2BBB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(survey)</w:t>
            </w:r>
          </w:p>
        </w:tc>
        <w:tc>
          <w:tcPr>
            <w:tcW w:w="1843" w:type="dxa"/>
            <w:shd w:val="clear" w:color="auto" w:fill="auto"/>
          </w:tcPr>
          <w:p w14:paraId="66176E7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examine the conclusions and recommendations reported in executive summaries of adult serious case reviews to ascertain common and diverse themes which might support universal learning.</w:t>
            </w:r>
          </w:p>
        </w:tc>
        <w:tc>
          <w:tcPr>
            <w:tcW w:w="3260" w:type="dxa"/>
            <w:shd w:val="clear" w:color="auto" w:fill="auto"/>
          </w:tcPr>
          <w:p w14:paraId="2BF573B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Analysis of the recommendation produced the following categories: provision for staff training and developing competence; reviewing and improving policy, procedure and guidance; facilitating information sharing and communication within and across agency; developing effective governance systems; holistic multi-agency assessment, planning, monitoring and review; develop dynamic risk assessment and risk management by assertive outreach to vulnerable adults; engaging with a wide range of agencies and interests in Safeguarding Vulnerable Adults.</w:t>
            </w:r>
          </w:p>
        </w:tc>
        <w:tc>
          <w:tcPr>
            <w:tcW w:w="709" w:type="dxa"/>
          </w:tcPr>
          <w:p w14:paraId="02642A71"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5</w:t>
            </w:r>
          </w:p>
        </w:tc>
      </w:tr>
      <w:tr w:rsidR="008C181A" w:rsidRPr="008C181A" w14:paraId="61698545" w14:textId="77777777" w:rsidTr="00A516FE">
        <w:trPr>
          <w:trHeight w:val="576"/>
        </w:trPr>
        <w:tc>
          <w:tcPr>
            <w:tcW w:w="1146" w:type="dxa"/>
            <w:shd w:val="clear" w:color="auto" w:fill="auto"/>
          </w:tcPr>
          <w:p w14:paraId="03530F56" w14:textId="77777777" w:rsidR="00D92261" w:rsidRPr="008C181A" w:rsidRDefault="00D92261" w:rsidP="00A516FE">
            <w:pPr>
              <w:spacing w:after="0" w:line="240" w:lineRule="auto"/>
              <w:rPr>
                <w:rFonts w:eastAsia="Times New Roman" w:cstheme="minorHAnsi"/>
                <w:sz w:val="18"/>
                <w:szCs w:val="18"/>
                <w:lang w:eastAsia="en-GB"/>
              </w:rPr>
            </w:pPr>
            <w:bookmarkStart w:id="4" w:name="_Hlk51592312"/>
            <w:r w:rsidRPr="008C181A">
              <w:rPr>
                <w:rFonts w:eastAsia="Times New Roman" w:cstheme="minorHAnsi"/>
                <w:sz w:val="18"/>
                <w:szCs w:val="18"/>
                <w:lang w:eastAsia="en-GB"/>
              </w:rPr>
              <w:t>5. Bakken et al. (2012)</w:t>
            </w:r>
            <w:bookmarkEnd w:id="4"/>
          </w:p>
        </w:tc>
        <w:tc>
          <w:tcPr>
            <w:tcW w:w="1573" w:type="dxa"/>
            <w:shd w:val="clear" w:color="auto" w:fill="auto"/>
          </w:tcPr>
          <w:p w14:paraId="247FFF3B" w14:textId="77777777" w:rsidR="00D92261" w:rsidRPr="008C181A" w:rsidRDefault="00D92261" w:rsidP="00A516FE">
            <w:pPr>
              <w:spacing w:line="240" w:lineRule="auto"/>
              <w:rPr>
                <w:rFonts w:eastAsia="Times New Roman" w:cstheme="minorHAnsi"/>
                <w:sz w:val="18"/>
                <w:szCs w:val="18"/>
                <w:lang w:eastAsia="en-GB"/>
              </w:rPr>
            </w:pPr>
            <w:bookmarkStart w:id="5" w:name="_Hlk51592332"/>
            <w:r w:rsidRPr="008C181A">
              <w:rPr>
                <w:rFonts w:eastAsia="Times New Roman" w:cstheme="minorHAnsi"/>
                <w:sz w:val="18"/>
                <w:szCs w:val="18"/>
                <w:lang w:eastAsia="en-GB"/>
              </w:rPr>
              <w:t>The ward atmosphere scale for psychiatric inpatients with intellectual disability: A pilot study.</w:t>
            </w:r>
            <w:bookmarkEnd w:id="5"/>
          </w:p>
        </w:tc>
        <w:tc>
          <w:tcPr>
            <w:tcW w:w="962" w:type="dxa"/>
            <w:shd w:val="clear" w:color="auto" w:fill="auto"/>
          </w:tcPr>
          <w:p w14:paraId="5D6F3B9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Norway</w:t>
            </w:r>
          </w:p>
        </w:tc>
        <w:tc>
          <w:tcPr>
            <w:tcW w:w="2093" w:type="dxa"/>
            <w:shd w:val="clear" w:color="auto" w:fill="auto"/>
          </w:tcPr>
          <w:p w14:paraId="0F4F34A8"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17 patients with mild and moderate intellectual disability and 21 professionals</w:t>
            </w:r>
          </w:p>
        </w:tc>
        <w:tc>
          <w:tcPr>
            <w:tcW w:w="1324" w:type="dxa"/>
            <w:shd w:val="clear" w:color="auto" w:fill="auto"/>
          </w:tcPr>
          <w:p w14:paraId="6CA3C81A"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Specialised psychiatric inpatient unit for adults with intellectual disability at the Oslo University Hospital in Oslo</w:t>
            </w:r>
          </w:p>
        </w:tc>
        <w:tc>
          <w:tcPr>
            <w:tcW w:w="1232" w:type="dxa"/>
            <w:shd w:val="clear" w:color="auto" w:fill="auto"/>
          </w:tcPr>
          <w:p w14:paraId="62407AB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w:t>
            </w:r>
          </w:p>
        </w:tc>
        <w:tc>
          <w:tcPr>
            <w:tcW w:w="1843" w:type="dxa"/>
            <w:shd w:val="clear" w:color="auto" w:fill="auto"/>
          </w:tcPr>
          <w:p w14:paraId="5EAFABD8"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The aim of this study is to examine whether adults with intellectual disabilities can reliably rate the Ward Atmosphere Scale – Real Ward (WAS-R).</w:t>
            </w:r>
          </w:p>
        </w:tc>
        <w:tc>
          <w:tcPr>
            <w:tcW w:w="3260" w:type="dxa"/>
            <w:shd w:val="clear" w:color="auto" w:fill="auto"/>
          </w:tcPr>
          <w:p w14:paraId="14606B9E"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Patients with mild intellectual disabilities were able to answer the WAS with some help, whereas patients with moderate intellectual disabilities had major difficulties with understanding more than half of the WAS items.</w:t>
            </w:r>
          </w:p>
        </w:tc>
        <w:tc>
          <w:tcPr>
            <w:tcW w:w="709" w:type="dxa"/>
          </w:tcPr>
          <w:p w14:paraId="520D4053"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1</w:t>
            </w:r>
          </w:p>
        </w:tc>
      </w:tr>
      <w:tr w:rsidR="008C181A" w:rsidRPr="008C181A" w14:paraId="5A1616B4" w14:textId="77777777" w:rsidTr="00A516FE">
        <w:trPr>
          <w:trHeight w:val="576"/>
        </w:trPr>
        <w:tc>
          <w:tcPr>
            <w:tcW w:w="1146" w:type="dxa"/>
            <w:shd w:val="clear" w:color="auto" w:fill="auto"/>
          </w:tcPr>
          <w:p w14:paraId="282A8F18" w14:textId="77777777" w:rsidR="00D92261" w:rsidRPr="008C181A" w:rsidRDefault="00D92261" w:rsidP="00A516FE">
            <w:pPr>
              <w:spacing w:after="0" w:line="240" w:lineRule="auto"/>
              <w:rPr>
                <w:rFonts w:eastAsia="Times New Roman" w:cstheme="minorHAnsi"/>
                <w:b/>
                <w:bCs/>
                <w:sz w:val="18"/>
                <w:szCs w:val="18"/>
                <w:lang w:eastAsia="en-GB"/>
              </w:rPr>
            </w:pPr>
            <w:bookmarkStart w:id="6" w:name="_Hlk51593168"/>
            <w:r w:rsidRPr="008C181A">
              <w:rPr>
                <w:rFonts w:eastAsia="Times New Roman" w:cstheme="minorHAnsi"/>
                <w:sz w:val="18"/>
                <w:szCs w:val="18"/>
                <w:lang w:eastAsia="en-GB"/>
              </w:rPr>
              <w:t>6. Beadle-Brown et al. (2010)</w:t>
            </w:r>
            <w:bookmarkEnd w:id="6"/>
          </w:p>
        </w:tc>
        <w:tc>
          <w:tcPr>
            <w:tcW w:w="1573" w:type="dxa"/>
            <w:shd w:val="clear" w:color="auto" w:fill="auto"/>
          </w:tcPr>
          <w:p w14:paraId="03C05C32" w14:textId="77777777" w:rsidR="00D92261" w:rsidRPr="008C181A" w:rsidRDefault="00D92261" w:rsidP="00A516FE">
            <w:pPr>
              <w:spacing w:after="0" w:line="240" w:lineRule="auto"/>
              <w:rPr>
                <w:rFonts w:eastAsia="Times New Roman" w:cstheme="minorHAnsi"/>
                <w:b/>
                <w:bCs/>
                <w:sz w:val="18"/>
                <w:szCs w:val="18"/>
                <w:lang w:eastAsia="en-GB"/>
              </w:rPr>
            </w:pPr>
            <w:bookmarkStart w:id="7" w:name="_Hlk51593189"/>
            <w:r w:rsidRPr="008C181A">
              <w:rPr>
                <w:rFonts w:eastAsia="Times New Roman" w:cstheme="minorHAnsi"/>
                <w:sz w:val="18"/>
                <w:szCs w:val="18"/>
                <w:lang w:eastAsia="en-GB"/>
              </w:rPr>
              <w:t>Adult Protection of People with Intellectual Disabilities: Incidence, Nature and Responses</w:t>
            </w:r>
            <w:bookmarkEnd w:id="7"/>
          </w:p>
        </w:tc>
        <w:tc>
          <w:tcPr>
            <w:tcW w:w="962" w:type="dxa"/>
            <w:shd w:val="clear" w:color="auto" w:fill="auto"/>
          </w:tcPr>
          <w:p w14:paraId="059DA0CA"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0B2E28D2"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1926 adult protection referrals recorded by the two local authorities between 1998 and 2005 (42% male, aged 17-100, mean age= 38.9)</w:t>
            </w:r>
          </w:p>
        </w:tc>
        <w:tc>
          <w:tcPr>
            <w:tcW w:w="1324" w:type="dxa"/>
            <w:shd w:val="clear" w:color="auto" w:fill="auto"/>
          </w:tcPr>
          <w:p w14:paraId="04E0C60D"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See Cambridge, Milne, Mansell, Beadle-Brown &amp; Whelton (2011)</w:t>
            </w:r>
          </w:p>
        </w:tc>
        <w:tc>
          <w:tcPr>
            <w:tcW w:w="1232" w:type="dxa"/>
            <w:shd w:val="clear" w:color="auto" w:fill="auto"/>
          </w:tcPr>
          <w:p w14:paraId="4A6B7A36" w14:textId="77777777" w:rsidR="00B44B1F" w:rsidRPr="008C181A" w:rsidRDefault="00B44B1F" w:rsidP="00B44B1F">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(database analysis)</w:t>
            </w:r>
          </w:p>
          <w:p w14:paraId="3E1A9852"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See Cambridge, Milne, Mansell, Beadle-Brown &amp; Whelton (2011)</w:t>
            </w:r>
          </w:p>
        </w:tc>
        <w:tc>
          <w:tcPr>
            <w:tcW w:w="1843" w:type="dxa"/>
            <w:shd w:val="clear" w:color="auto" w:fill="auto"/>
          </w:tcPr>
          <w:p w14:paraId="1D525317"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To report the key findings from a study of adult protection referrals collected by two English local authorities during 1998-2005 for people with intellectual disabilities.</w:t>
            </w:r>
          </w:p>
        </w:tc>
        <w:tc>
          <w:tcPr>
            <w:tcW w:w="3260" w:type="dxa"/>
            <w:shd w:val="clear" w:color="auto" w:fill="auto"/>
          </w:tcPr>
          <w:p w14:paraId="7A4A4FE6"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 xml:space="preserve">There was an increase in the number of referrals from 1998-2005. 67% of referrals were for a single type of abuse; most frequently physical followed by sexual. More abuse in residential care settings. Victims were most likely to be referred to adult protection by a member of staff and less likely by family. Only 5% of cases involved multiple perpetrators, which was significantly less than non-intellectual disabilities population. People with intellectual disabilities were </w:t>
            </w:r>
            <w:r w:rsidRPr="008C181A">
              <w:rPr>
                <w:rFonts w:eastAsia="Times New Roman" w:cstheme="minorHAnsi"/>
                <w:sz w:val="18"/>
                <w:szCs w:val="18"/>
                <w:lang w:eastAsia="en-GB"/>
              </w:rPr>
              <w:lastRenderedPageBreak/>
              <w:t xml:space="preserve">more frequently abused by a man rather than a woman (52%). 46% of referrals related to abuse by staff/managers. </w:t>
            </w:r>
          </w:p>
        </w:tc>
        <w:tc>
          <w:tcPr>
            <w:tcW w:w="709" w:type="dxa"/>
          </w:tcPr>
          <w:p w14:paraId="0FE833C0"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3</w:t>
            </w:r>
          </w:p>
        </w:tc>
      </w:tr>
      <w:tr w:rsidR="008C181A" w:rsidRPr="008C181A" w14:paraId="3A7CBE78" w14:textId="77777777" w:rsidTr="00A516FE">
        <w:trPr>
          <w:trHeight w:val="576"/>
        </w:trPr>
        <w:tc>
          <w:tcPr>
            <w:tcW w:w="1146" w:type="dxa"/>
            <w:shd w:val="clear" w:color="auto" w:fill="auto"/>
          </w:tcPr>
          <w:p w14:paraId="1C71DBF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7. Beail &amp; Warden (1995)</w:t>
            </w:r>
          </w:p>
        </w:tc>
        <w:tc>
          <w:tcPr>
            <w:tcW w:w="1573" w:type="dxa"/>
            <w:shd w:val="clear" w:color="auto" w:fill="auto"/>
          </w:tcPr>
          <w:p w14:paraId="570FA39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Sexual abuse of adults with learning disabilities</w:t>
            </w:r>
          </w:p>
        </w:tc>
        <w:tc>
          <w:tcPr>
            <w:tcW w:w="962" w:type="dxa"/>
            <w:shd w:val="clear" w:color="auto" w:fill="auto"/>
          </w:tcPr>
          <w:p w14:paraId="0E04899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F1E36B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211 clients with a learning disability over the age of 16 referred to the Clinical Psychology Service over a 4-year period from 1988-1991</w:t>
            </w:r>
          </w:p>
        </w:tc>
        <w:tc>
          <w:tcPr>
            <w:tcW w:w="1324" w:type="dxa"/>
            <w:shd w:val="clear" w:color="auto" w:fill="auto"/>
          </w:tcPr>
          <w:p w14:paraId="25272AA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Living at home, hospital residents, supported living in the community</w:t>
            </w:r>
          </w:p>
        </w:tc>
        <w:tc>
          <w:tcPr>
            <w:tcW w:w="1232" w:type="dxa"/>
            <w:shd w:val="clear" w:color="auto" w:fill="auto"/>
          </w:tcPr>
          <w:p w14:paraId="6A9B5C3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descriptive-Survey</w:t>
            </w:r>
          </w:p>
        </w:tc>
        <w:tc>
          <w:tcPr>
            <w:tcW w:w="1843" w:type="dxa"/>
            <w:shd w:val="clear" w:color="auto" w:fill="auto"/>
          </w:tcPr>
          <w:p w14:paraId="652EBD1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report a clinical study of reported or disclosed sexual abuse of adults with learning disabilities.</w:t>
            </w:r>
          </w:p>
        </w:tc>
        <w:tc>
          <w:tcPr>
            <w:tcW w:w="3260" w:type="dxa"/>
            <w:shd w:val="clear" w:color="auto" w:fill="auto"/>
          </w:tcPr>
          <w:p w14:paraId="4D19244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Abuse reported in 22 (25%) of cases. 86% self-disclosed abuse. Majority of alleged perpetrators were men (n = 19) and known to the victim (n = 18). Just over half the sample reported one perpetrator (n = 12) and multiple occasions of abuse (n = 13). The police were involved with a minority of clients (n = 5), however no-one was prosecuted. 17 clients suffered contact abuse and 1 suffered non-contact abuse. </w:t>
            </w:r>
          </w:p>
        </w:tc>
        <w:tc>
          <w:tcPr>
            <w:tcW w:w="709" w:type="dxa"/>
          </w:tcPr>
          <w:p w14:paraId="58907F9E"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36BCE484" w14:textId="77777777" w:rsidTr="00A516FE">
        <w:trPr>
          <w:trHeight w:val="576"/>
        </w:trPr>
        <w:tc>
          <w:tcPr>
            <w:tcW w:w="1146" w:type="dxa"/>
            <w:shd w:val="clear" w:color="auto" w:fill="auto"/>
          </w:tcPr>
          <w:p w14:paraId="5EA3D4E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8. Bigby &amp; Beadle-Brown (2016)</w:t>
            </w:r>
          </w:p>
        </w:tc>
        <w:tc>
          <w:tcPr>
            <w:tcW w:w="1573" w:type="dxa"/>
            <w:shd w:val="clear" w:color="auto" w:fill="auto"/>
          </w:tcPr>
          <w:p w14:paraId="4E2BEE3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Culture in better group homes for people with intellectual disability at severe levels</w:t>
            </w:r>
          </w:p>
        </w:tc>
        <w:tc>
          <w:tcPr>
            <w:tcW w:w="962" w:type="dxa"/>
            <w:shd w:val="clear" w:color="auto" w:fill="auto"/>
          </w:tcPr>
          <w:p w14:paraId="065FCD8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Australia</w:t>
            </w:r>
          </w:p>
        </w:tc>
        <w:tc>
          <w:tcPr>
            <w:tcW w:w="2093" w:type="dxa"/>
            <w:shd w:val="clear" w:color="auto" w:fill="auto"/>
          </w:tcPr>
          <w:p w14:paraId="245CFB21" w14:textId="484CD32F"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Supervisors, direct support</w:t>
            </w:r>
            <w:r w:rsidR="00056ECA" w:rsidRPr="008C181A">
              <w:rPr>
                <w:rFonts w:eastAsia="Times New Roman" w:cstheme="minorHAnsi"/>
                <w:sz w:val="18"/>
                <w:szCs w:val="18"/>
                <w:lang w:eastAsia="en-GB"/>
              </w:rPr>
              <w:t xml:space="preserve"> </w:t>
            </w:r>
            <w:r w:rsidRPr="008C181A">
              <w:rPr>
                <w:rFonts w:eastAsia="Times New Roman" w:cstheme="minorHAnsi"/>
                <w:sz w:val="18"/>
                <w:szCs w:val="18"/>
                <w:lang w:eastAsia="en-GB"/>
              </w:rPr>
              <w:t>staff, 17 residents, and resident families across 3 group homes (aged 21-48, mean age = 36.5)</w:t>
            </w:r>
          </w:p>
        </w:tc>
        <w:tc>
          <w:tcPr>
            <w:tcW w:w="1324" w:type="dxa"/>
            <w:shd w:val="clear" w:color="auto" w:fill="auto"/>
          </w:tcPr>
          <w:p w14:paraId="1E1AEC3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 Group homes</w:t>
            </w:r>
          </w:p>
        </w:tc>
        <w:tc>
          <w:tcPr>
            <w:tcW w:w="1232" w:type="dxa"/>
            <w:shd w:val="clear" w:color="auto" w:fill="auto"/>
          </w:tcPr>
          <w:p w14:paraId="09E4E1E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Case study (observations and interviews)</w:t>
            </w:r>
          </w:p>
        </w:tc>
        <w:tc>
          <w:tcPr>
            <w:tcW w:w="1843" w:type="dxa"/>
            <w:shd w:val="clear" w:color="auto" w:fill="auto"/>
          </w:tcPr>
          <w:p w14:paraId="2CBB58A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analyse culture in better performing services.</w:t>
            </w:r>
          </w:p>
        </w:tc>
        <w:tc>
          <w:tcPr>
            <w:tcW w:w="3260" w:type="dxa"/>
            <w:shd w:val="clear" w:color="auto" w:fill="auto"/>
          </w:tcPr>
          <w:p w14:paraId="2A44AA3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Several dimensions of culture identified in better care homes compared to underperforming care homes.</w:t>
            </w:r>
          </w:p>
        </w:tc>
        <w:tc>
          <w:tcPr>
            <w:tcW w:w="709" w:type="dxa"/>
          </w:tcPr>
          <w:p w14:paraId="274254D3"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7F7215DC" w14:textId="77777777" w:rsidTr="00A516FE">
        <w:trPr>
          <w:trHeight w:val="576"/>
        </w:trPr>
        <w:tc>
          <w:tcPr>
            <w:tcW w:w="1146" w:type="dxa"/>
            <w:shd w:val="clear" w:color="auto" w:fill="auto"/>
          </w:tcPr>
          <w:p w14:paraId="079768D5" w14:textId="77777777" w:rsidR="00D92261" w:rsidRPr="008C181A" w:rsidRDefault="00D92261" w:rsidP="00A516FE">
            <w:pPr>
              <w:spacing w:after="0" w:line="240" w:lineRule="auto"/>
              <w:rPr>
                <w:rFonts w:eastAsia="Times New Roman" w:cstheme="minorHAnsi"/>
                <w:sz w:val="18"/>
                <w:szCs w:val="18"/>
                <w:lang w:eastAsia="en-GB"/>
              </w:rPr>
            </w:pPr>
            <w:bookmarkStart w:id="8" w:name="_Hlk51595974"/>
            <w:r w:rsidRPr="008C181A">
              <w:rPr>
                <w:rFonts w:eastAsia="Times New Roman" w:cstheme="minorHAnsi"/>
                <w:sz w:val="18"/>
                <w:szCs w:val="18"/>
                <w:lang w:eastAsia="en-GB"/>
              </w:rPr>
              <w:t>9. Bigby et al. (2015)</w:t>
            </w:r>
            <w:bookmarkEnd w:id="8"/>
          </w:p>
        </w:tc>
        <w:tc>
          <w:tcPr>
            <w:tcW w:w="1573" w:type="dxa"/>
            <w:shd w:val="clear" w:color="auto" w:fill="auto"/>
          </w:tcPr>
          <w:p w14:paraId="569D74CA" w14:textId="77777777" w:rsidR="00D92261" w:rsidRPr="008C181A" w:rsidRDefault="00D92261" w:rsidP="00A516FE">
            <w:pPr>
              <w:spacing w:after="0" w:line="240" w:lineRule="auto"/>
              <w:rPr>
                <w:rFonts w:eastAsia="Times New Roman" w:cstheme="minorHAnsi"/>
                <w:sz w:val="18"/>
                <w:szCs w:val="18"/>
                <w:lang w:eastAsia="en-GB"/>
              </w:rPr>
            </w:pPr>
            <w:bookmarkStart w:id="9" w:name="_Hlk51595995"/>
            <w:r w:rsidRPr="008C181A">
              <w:rPr>
                <w:rFonts w:eastAsia="Times New Roman" w:cstheme="minorHAnsi"/>
                <w:sz w:val="18"/>
                <w:szCs w:val="18"/>
                <w:lang w:eastAsia="en-GB"/>
              </w:rPr>
              <w:t>‘We just call them people’: Positive regard as a dimension of culture in group homes for people with severe intellectual disability.</w:t>
            </w:r>
            <w:bookmarkEnd w:id="9"/>
          </w:p>
        </w:tc>
        <w:tc>
          <w:tcPr>
            <w:tcW w:w="962" w:type="dxa"/>
            <w:shd w:val="clear" w:color="auto" w:fill="auto"/>
          </w:tcPr>
          <w:p w14:paraId="7196592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Australia</w:t>
            </w:r>
          </w:p>
        </w:tc>
        <w:tc>
          <w:tcPr>
            <w:tcW w:w="2093" w:type="dxa"/>
            <w:shd w:val="clear" w:color="auto" w:fill="auto"/>
          </w:tcPr>
          <w:p w14:paraId="2FE7ED7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As above</w:t>
            </w:r>
          </w:p>
        </w:tc>
        <w:tc>
          <w:tcPr>
            <w:tcW w:w="1324" w:type="dxa"/>
            <w:shd w:val="clear" w:color="auto" w:fill="auto"/>
          </w:tcPr>
          <w:p w14:paraId="6F8E9BA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 group homes</w:t>
            </w:r>
          </w:p>
        </w:tc>
        <w:tc>
          <w:tcPr>
            <w:tcW w:w="1232" w:type="dxa"/>
            <w:shd w:val="clear" w:color="auto" w:fill="auto"/>
          </w:tcPr>
          <w:p w14:paraId="4CF6BEF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Case study (observation, interviews, and document review)</w:t>
            </w:r>
          </w:p>
        </w:tc>
        <w:tc>
          <w:tcPr>
            <w:tcW w:w="1843" w:type="dxa"/>
            <w:shd w:val="clear" w:color="auto" w:fill="auto"/>
          </w:tcPr>
          <w:p w14:paraId="310A086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analyse culture in better performing services.</w:t>
            </w:r>
          </w:p>
        </w:tc>
        <w:tc>
          <w:tcPr>
            <w:tcW w:w="3260" w:type="dxa"/>
            <w:shd w:val="clear" w:color="auto" w:fill="auto"/>
          </w:tcPr>
          <w:p w14:paraId="68F0B04E" w14:textId="1F119D99"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Staff regarded residents positively, as members of a common but diverse humanity, and recognized sameness and difference. Staff provided care in the context of a relationship characterized by warm feelings, which for many extended to a deep emotional bond. Staff used both their own perspectives and their understanding of the</w:t>
            </w:r>
            <w:r w:rsidR="00321642" w:rsidRPr="008C181A">
              <w:rPr>
                <w:rFonts w:eastAsia="Times New Roman" w:cstheme="minorHAnsi"/>
                <w:sz w:val="18"/>
                <w:szCs w:val="18"/>
                <w:lang w:eastAsia="en-GB"/>
              </w:rPr>
              <w:t xml:space="preserve"> service-user</w:t>
            </w:r>
            <w:r w:rsidRPr="008C181A">
              <w:rPr>
                <w:rFonts w:eastAsia="Times New Roman" w:cstheme="minorHAnsi"/>
                <w:sz w:val="18"/>
                <w:szCs w:val="18"/>
                <w:lang w:eastAsia="en-GB"/>
              </w:rPr>
              <w:t>’s own perspective to guide their practice.</w:t>
            </w:r>
          </w:p>
        </w:tc>
        <w:tc>
          <w:tcPr>
            <w:tcW w:w="709" w:type="dxa"/>
          </w:tcPr>
          <w:p w14:paraId="74A88137"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6B9194AD" w14:textId="77777777" w:rsidTr="00A516FE">
        <w:trPr>
          <w:trHeight w:val="576"/>
        </w:trPr>
        <w:tc>
          <w:tcPr>
            <w:tcW w:w="1146" w:type="dxa"/>
            <w:shd w:val="clear" w:color="auto" w:fill="auto"/>
          </w:tcPr>
          <w:p w14:paraId="56BD94ED" w14:textId="77777777" w:rsidR="00D92261" w:rsidRPr="008C181A" w:rsidRDefault="00D92261" w:rsidP="00A516FE">
            <w:pPr>
              <w:spacing w:after="0" w:line="240" w:lineRule="auto"/>
              <w:rPr>
                <w:rFonts w:eastAsia="Times New Roman" w:cstheme="minorHAnsi"/>
                <w:sz w:val="18"/>
                <w:szCs w:val="18"/>
                <w:lang w:eastAsia="en-GB"/>
              </w:rPr>
            </w:pPr>
            <w:bookmarkStart w:id="10" w:name="_Hlk51596807"/>
            <w:r w:rsidRPr="008C181A">
              <w:rPr>
                <w:rFonts w:eastAsia="Times New Roman" w:cstheme="minorHAnsi"/>
                <w:sz w:val="18"/>
                <w:szCs w:val="18"/>
                <w:lang w:eastAsia="en-GB"/>
              </w:rPr>
              <w:t>10. Bigby et al. (2012)</w:t>
            </w:r>
            <w:bookmarkEnd w:id="10"/>
          </w:p>
        </w:tc>
        <w:tc>
          <w:tcPr>
            <w:tcW w:w="1573" w:type="dxa"/>
            <w:shd w:val="clear" w:color="auto" w:fill="auto"/>
          </w:tcPr>
          <w:p w14:paraId="4207399D" w14:textId="77777777" w:rsidR="00D92261" w:rsidRPr="008C181A" w:rsidRDefault="00D92261" w:rsidP="00A516FE">
            <w:pPr>
              <w:spacing w:after="0" w:line="240" w:lineRule="auto"/>
              <w:rPr>
                <w:rFonts w:eastAsia="Times New Roman" w:cstheme="minorHAnsi"/>
                <w:sz w:val="18"/>
                <w:szCs w:val="18"/>
                <w:lang w:eastAsia="en-GB"/>
              </w:rPr>
            </w:pPr>
            <w:bookmarkStart w:id="11" w:name="_Hlk51596837"/>
            <w:r w:rsidRPr="008C181A">
              <w:rPr>
                <w:rFonts w:eastAsia="Times New Roman" w:cstheme="minorHAnsi"/>
                <w:sz w:val="18"/>
                <w:szCs w:val="18"/>
                <w:lang w:eastAsia="en-GB"/>
              </w:rPr>
              <w:t xml:space="preserve">Uncovering Dimensions of Culture in Underperforming Group Homes for People with Severe Intellectual Disabilities </w:t>
            </w:r>
            <w:bookmarkEnd w:id="11"/>
          </w:p>
        </w:tc>
        <w:tc>
          <w:tcPr>
            <w:tcW w:w="962" w:type="dxa"/>
            <w:shd w:val="clear" w:color="auto" w:fill="auto"/>
          </w:tcPr>
          <w:p w14:paraId="2A3A1CF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Australia</w:t>
            </w:r>
          </w:p>
        </w:tc>
        <w:tc>
          <w:tcPr>
            <w:tcW w:w="2093" w:type="dxa"/>
            <w:shd w:val="clear" w:color="auto" w:fill="auto"/>
          </w:tcPr>
          <w:p w14:paraId="127717C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Staff and residents in 5 group homes (23 men and 3 women with intellectual disabilities, aged 34-70, mean age = 49).</w:t>
            </w:r>
          </w:p>
        </w:tc>
        <w:tc>
          <w:tcPr>
            <w:tcW w:w="1324" w:type="dxa"/>
            <w:shd w:val="clear" w:color="auto" w:fill="auto"/>
          </w:tcPr>
          <w:p w14:paraId="7DD7655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 group homes</w:t>
            </w:r>
          </w:p>
        </w:tc>
        <w:tc>
          <w:tcPr>
            <w:tcW w:w="1232" w:type="dxa"/>
            <w:shd w:val="clear" w:color="auto" w:fill="auto"/>
          </w:tcPr>
          <w:p w14:paraId="4B586C3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Qualitative-ethnographic approach (field notes and interview)</w:t>
            </w:r>
          </w:p>
        </w:tc>
        <w:tc>
          <w:tcPr>
            <w:tcW w:w="1843" w:type="dxa"/>
            <w:shd w:val="clear" w:color="auto" w:fill="auto"/>
          </w:tcPr>
          <w:p w14:paraId="1A3D36B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explore the characteristics and dynamics of the culture operating in five group homes that were underperforming in terms of community participation and </w:t>
            </w:r>
            <w:r w:rsidRPr="008C181A">
              <w:rPr>
                <w:rFonts w:eastAsia="Times New Roman" w:cstheme="minorHAnsi"/>
                <w:sz w:val="18"/>
                <w:szCs w:val="18"/>
                <w:lang w:eastAsia="en-GB"/>
              </w:rPr>
              <w:lastRenderedPageBreak/>
              <w:t>engagement outcomes.</w:t>
            </w:r>
          </w:p>
        </w:tc>
        <w:tc>
          <w:tcPr>
            <w:tcW w:w="3260" w:type="dxa"/>
            <w:shd w:val="clear" w:color="auto" w:fill="auto"/>
          </w:tcPr>
          <w:p w14:paraId="3968695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Five categories were developed, each of which represented the conceptualization of an element of the culture in the group homes: ‘misalignment of power holder values with organisations espoused values’, ‘otherness’, ‘doing for not with’, ‘staff centred’ and ‘resistance’. </w:t>
            </w:r>
          </w:p>
        </w:tc>
        <w:tc>
          <w:tcPr>
            <w:tcW w:w="709" w:type="dxa"/>
          </w:tcPr>
          <w:p w14:paraId="759EE3AF"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7886503A" w14:textId="77777777" w:rsidTr="00A516FE">
        <w:trPr>
          <w:trHeight w:val="576"/>
        </w:trPr>
        <w:tc>
          <w:tcPr>
            <w:tcW w:w="1146" w:type="dxa"/>
            <w:shd w:val="clear" w:color="auto" w:fill="auto"/>
          </w:tcPr>
          <w:p w14:paraId="4B01A47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11. Bright et al. (2018)</w:t>
            </w:r>
          </w:p>
        </w:tc>
        <w:tc>
          <w:tcPr>
            <w:tcW w:w="1573" w:type="dxa"/>
            <w:shd w:val="clear" w:color="auto" w:fill="auto"/>
          </w:tcPr>
          <w:p w14:paraId="190F273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Families’ experiences of raising concerns in health care services: An interpretative phenomenological analysis</w:t>
            </w:r>
          </w:p>
        </w:tc>
        <w:tc>
          <w:tcPr>
            <w:tcW w:w="962" w:type="dxa"/>
            <w:shd w:val="clear" w:color="auto" w:fill="auto"/>
          </w:tcPr>
          <w:p w14:paraId="755F8B5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6D70A0A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7 relatives of people with intellectual disabilities</w:t>
            </w:r>
          </w:p>
        </w:tc>
        <w:tc>
          <w:tcPr>
            <w:tcW w:w="1324" w:type="dxa"/>
            <w:shd w:val="clear" w:color="auto" w:fill="auto"/>
          </w:tcPr>
          <w:p w14:paraId="14D10F9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care, supported living or attended respite care</w:t>
            </w:r>
          </w:p>
        </w:tc>
        <w:tc>
          <w:tcPr>
            <w:tcW w:w="1232" w:type="dxa"/>
            <w:shd w:val="clear" w:color="auto" w:fill="auto"/>
          </w:tcPr>
          <w:p w14:paraId="3350391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27AA553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increase understanding of the experiences of families of people with intellectual disabilities when noticing and raising concerns in services.</w:t>
            </w:r>
          </w:p>
        </w:tc>
        <w:tc>
          <w:tcPr>
            <w:tcW w:w="3260" w:type="dxa"/>
            <w:shd w:val="clear" w:color="auto" w:fill="auto"/>
          </w:tcPr>
          <w:p w14:paraId="4C94B5A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Three superordinate themes: the nature and importance of concerns, relationships between families and staff and the process of raising concerns.</w:t>
            </w:r>
          </w:p>
        </w:tc>
        <w:tc>
          <w:tcPr>
            <w:tcW w:w="709" w:type="dxa"/>
          </w:tcPr>
          <w:p w14:paraId="00091C10"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0405B5D2" w14:textId="77777777" w:rsidTr="00A516FE">
        <w:trPr>
          <w:trHeight w:val="274"/>
        </w:trPr>
        <w:tc>
          <w:tcPr>
            <w:tcW w:w="1146" w:type="dxa"/>
            <w:shd w:val="clear" w:color="auto" w:fill="auto"/>
          </w:tcPr>
          <w:p w14:paraId="53C0A6A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12. Brown &amp; Stein (1988)</w:t>
            </w:r>
          </w:p>
        </w:tc>
        <w:tc>
          <w:tcPr>
            <w:tcW w:w="1573" w:type="dxa"/>
            <w:shd w:val="clear" w:color="auto" w:fill="auto"/>
          </w:tcPr>
          <w:p w14:paraId="20C707C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Implementing Adult Protection Policies in Kent and East Sussex.</w:t>
            </w:r>
          </w:p>
        </w:tc>
        <w:tc>
          <w:tcPr>
            <w:tcW w:w="962" w:type="dxa"/>
            <w:shd w:val="clear" w:color="auto" w:fill="auto"/>
          </w:tcPr>
          <w:p w14:paraId="0E830BD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46A95D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397 adult protection alerts logged between 1 July 1995 and the end of June 1996 by Kent and East Sussex Social Services Departments as adult protection. People with learning disabilities account for 3%.</w:t>
            </w:r>
          </w:p>
        </w:tc>
        <w:tc>
          <w:tcPr>
            <w:tcW w:w="1324" w:type="dxa"/>
            <w:shd w:val="clear" w:color="auto" w:fill="auto"/>
          </w:tcPr>
          <w:p w14:paraId="1804402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Community, residential</w:t>
            </w:r>
          </w:p>
        </w:tc>
        <w:tc>
          <w:tcPr>
            <w:tcW w:w="1232" w:type="dxa"/>
            <w:shd w:val="clear" w:color="auto" w:fill="auto"/>
          </w:tcPr>
          <w:p w14:paraId="761E4EEA" w14:textId="77515081" w:rsidR="00D92261" w:rsidRPr="008C181A" w:rsidRDefault="00B44B1F"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w:t>
            </w:r>
            <w:r w:rsidR="00D92261" w:rsidRPr="008C181A">
              <w:rPr>
                <w:rFonts w:eastAsia="Times New Roman" w:cstheme="minorHAnsi"/>
                <w:sz w:val="18"/>
                <w:szCs w:val="18"/>
                <w:lang w:eastAsia="en-GB"/>
              </w:rPr>
              <w:t>ixed methods</w:t>
            </w:r>
            <w:r w:rsidRPr="008C181A">
              <w:rPr>
                <w:rFonts w:eastAsia="Times New Roman" w:cstheme="minorHAnsi"/>
                <w:sz w:val="18"/>
                <w:szCs w:val="18"/>
                <w:lang w:eastAsia="en-GB"/>
              </w:rPr>
              <w:t xml:space="preserve"> (action research</w:t>
            </w:r>
            <w:r w:rsidR="00D92261" w:rsidRPr="008C181A">
              <w:rPr>
                <w:rFonts w:eastAsia="Times New Roman" w:cstheme="minorHAnsi"/>
                <w:sz w:val="18"/>
                <w:szCs w:val="18"/>
                <w:lang w:eastAsia="en-GB"/>
              </w:rPr>
              <w:t>)</w:t>
            </w:r>
          </w:p>
        </w:tc>
        <w:tc>
          <w:tcPr>
            <w:tcW w:w="1843" w:type="dxa"/>
            <w:shd w:val="clear" w:color="auto" w:fill="auto"/>
          </w:tcPr>
          <w:p w14:paraId="03C6680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report the extent and nature of adult protection cases dealt with by two Social Services Departments during a twelve-month period in 1995–6</w:t>
            </w:r>
          </w:p>
        </w:tc>
        <w:tc>
          <w:tcPr>
            <w:tcW w:w="3260" w:type="dxa"/>
            <w:shd w:val="clear" w:color="auto" w:fill="auto"/>
          </w:tcPr>
          <w:p w14:paraId="6D91F30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Financial abuse experienced by 4% of people with IDD (n = 5), and sexual abuse by 33% (n = 44). Men featured as alleged perpetrators of abuse in 70% reports. Of the 397 initial alerts, 255 led to formal investigation and 84 to a case conference and 78 led to adult protection plans being put in place. Formal sanctions were taken in only 10 (3 per cent) of cases. Of the 397 cases overall, 91 (23 per cent) involved liaison with the police and 82 (21 per cent) with colleagues in the health service. There was a considerable range in reporting levels between and within both counties.</w:t>
            </w:r>
          </w:p>
        </w:tc>
        <w:tc>
          <w:tcPr>
            <w:tcW w:w="709" w:type="dxa"/>
          </w:tcPr>
          <w:p w14:paraId="1324C0D0"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1</w:t>
            </w:r>
          </w:p>
        </w:tc>
      </w:tr>
      <w:tr w:rsidR="008C181A" w:rsidRPr="008C181A" w14:paraId="79D1B5CD" w14:textId="77777777" w:rsidTr="00A516FE">
        <w:trPr>
          <w:trHeight w:val="274"/>
        </w:trPr>
        <w:tc>
          <w:tcPr>
            <w:tcW w:w="1146" w:type="dxa"/>
            <w:shd w:val="clear" w:color="auto" w:fill="auto"/>
          </w:tcPr>
          <w:p w14:paraId="6A1CECF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13. Brown &amp; Stein (2000)</w:t>
            </w:r>
          </w:p>
        </w:tc>
        <w:tc>
          <w:tcPr>
            <w:tcW w:w="1573" w:type="dxa"/>
            <w:shd w:val="clear" w:color="auto" w:fill="auto"/>
          </w:tcPr>
          <w:p w14:paraId="72BC8C7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Monitoring adult protection referrals in 10 English local authorities</w:t>
            </w:r>
          </w:p>
        </w:tc>
        <w:tc>
          <w:tcPr>
            <w:tcW w:w="962" w:type="dxa"/>
            <w:shd w:val="clear" w:color="auto" w:fill="auto"/>
          </w:tcPr>
          <w:p w14:paraId="4666647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6127EC0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Data was collected from 10 areas in England on </w:t>
            </w:r>
            <w:r w:rsidRPr="008C181A">
              <w:rPr>
                <w:sz w:val="18"/>
                <w:szCs w:val="18"/>
              </w:rPr>
              <w:t xml:space="preserve">245 adult protection referrals during this six-month period in 1998 (n=79 with learning disabilities). </w:t>
            </w:r>
            <w:r w:rsidRPr="008C181A">
              <w:rPr>
                <w:rFonts w:eastAsia="Times New Roman" w:cstheme="minorHAnsi"/>
                <w:sz w:val="18"/>
                <w:szCs w:val="18"/>
                <w:lang w:eastAsia="en-GB"/>
              </w:rPr>
              <w:t>29 of the 79 people with learning disabilities were abused whilst in residential care.</w:t>
            </w:r>
          </w:p>
        </w:tc>
        <w:tc>
          <w:tcPr>
            <w:tcW w:w="1324" w:type="dxa"/>
            <w:shd w:val="clear" w:color="auto" w:fill="auto"/>
          </w:tcPr>
          <w:p w14:paraId="5396FCD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and community services</w:t>
            </w:r>
          </w:p>
        </w:tc>
        <w:tc>
          <w:tcPr>
            <w:tcW w:w="1232" w:type="dxa"/>
            <w:shd w:val="clear" w:color="auto" w:fill="auto"/>
          </w:tcPr>
          <w:p w14:paraId="626DDF2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(action research)</w:t>
            </w:r>
          </w:p>
        </w:tc>
        <w:tc>
          <w:tcPr>
            <w:tcW w:w="1843" w:type="dxa"/>
            <w:shd w:val="clear" w:color="auto" w:fill="auto"/>
          </w:tcPr>
          <w:p w14:paraId="2C17A7D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ascertain whether and if so, how local authorities were generating and collating consistent data as the basis for evaluating their practice.</w:t>
            </w:r>
          </w:p>
        </w:tc>
        <w:tc>
          <w:tcPr>
            <w:tcW w:w="3260" w:type="dxa"/>
            <w:shd w:val="clear" w:color="auto" w:fill="auto"/>
          </w:tcPr>
          <w:p w14:paraId="228F1C4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Data collated by social services departments varied from one area to another and many common problems were highlighted. The quality of information generated was partial indicating a lack of agreed procedures, poor recording practice and a lack of clarity regarding who is a ‘vulnerable adult’, what constitutes ‘abuse’ and when ‘intervention’ is warranted.</w:t>
            </w:r>
          </w:p>
        </w:tc>
        <w:tc>
          <w:tcPr>
            <w:tcW w:w="709" w:type="dxa"/>
          </w:tcPr>
          <w:p w14:paraId="673BBD15"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2</w:t>
            </w:r>
          </w:p>
        </w:tc>
      </w:tr>
      <w:tr w:rsidR="008C181A" w:rsidRPr="008C181A" w14:paraId="275FC2FC" w14:textId="77777777" w:rsidTr="00A516FE">
        <w:trPr>
          <w:trHeight w:val="576"/>
        </w:trPr>
        <w:tc>
          <w:tcPr>
            <w:tcW w:w="1146" w:type="dxa"/>
            <w:shd w:val="clear" w:color="auto" w:fill="auto"/>
          </w:tcPr>
          <w:p w14:paraId="7D387E3E" w14:textId="77777777" w:rsidR="00D92261" w:rsidRPr="008C181A" w:rsidRDefault="00D92261" w:rsidP="00A516FE">
            <w:pPr>
              <w:spacing w:after="0" w:line="240" w:lineRule="auto"/>
              <w:rPr>
                <w:rFonts w:eastAsia="Times New Roman" w:cstheme="minorHAnsi"/>
                <w:sz w:val="18"/>
                <w:szCs w:val="18"/>
                <w:lang w:eastAsia="en-GB"/>
              </w:rPr>
            </w:pPr>
            <w:bookmarkStart w:id="12" w:name="_Hlk51597974"/>
            <w:r w:rsidRPr="008C181A">
              <w:rPr>
                <w:rFonts w:eastAsia="Times New Roman" w:cstheme="minorHAnsi"/>
                <w:sz w:val="18"/>
                <w:szCs w:val="18"/>
                <w:lang w:eastAsia="en-GB"/>
              </w:rPr>
              <w:t>14. Brown et al. (1995)</w:t>
            </w:r>
            <w:bookmarkEnd w:id="12"/>
          </w:p>
        </w:tc>
        <w:tc>
          <w:tcPr>
            <w:tcW w:w="1573" w:type="dxa"/>
            <w:shd w:val="clear" w:color="auto" w:fill="auto"/>
          </w:tcPr>
          <w:p w14:paraId="7B500BA1" w14:textId="77777777" w:rsidR="00D92261" w:rsidRPr="008C181A" w:rsidRDefault="00D92261" w:rsidP="00A516FE">
            <w:pPr>
              <w:spacing w:after="0" w:line="240" w:lineRule="auto"/>
              <w:rPr>
                <w:rFonts w:eastAsia="Times New Roman" w:cstheme="minorHAnsi"/>
                <w:sz w:val="18"/>
                <w:szCs w:val="18"/>
                <w:lang w:eastAsia="en-GB"/>
              </w:rPr>
            </w:pPr>
            <w:bookmarkStart w:id="13" w:name="_Hlk51597997"/>
            <w:r w:rsidRPr="008C181A">
              <w:rPr>
                <w:rFonts w:eastAsia="Times New Roman" w:cstheme="minorHAnsi"/>
                <w:sz w:val="18"/>
                <w:szCs w:val="18"/>
                <w:lang w:eastAsia="en-GB"/>
              </w:rPr>
              <w:t xml:space="preserve">The sexual abuse of adults with learning disabilities: Report of a </w:t>
            </w:r>
            <w:r w:rsidRPr="008C181A">
              <w:rPr>
                <w:rFonts w:eastAsia="Times New Roman" w:cstheme="minorHAnsi"/>
                <w:sz w:val="18"/>
                <w:szCs w:val="18"/>
                <w:lang w:eastAsia="en-GB"/>
              </w:rPr>
              <w:lastRenderedPageBreak/>
              <w:t>second year incident survey</w:t>
            </w:r>
            <w:bookmarkEnd w:id="13"/>
          </w:p>
        </w:tc>
        <w:tc>
          <w:tcPr>
            <w:tcW w:w="962" w:type="dxa"/>
            <w:shd w:val="clear" w:color="auto" w:fill="auto"/>
          </w:tcPr>
          <w:p w14:paraId="48DB0A1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UK</w:t>
            </w:r>
          </w:p>
        </w:tc>
        <w:tc>
          <w:tcPr>
            <w:tcW w:w="2093" w:type="dxa"/>
            <w:shd w:val="clear" w:color="auto" w:fill="auto"/>
          </w:tcPr>
          <w:p w14:paraId="161FC04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29 service managers/practitioners from 21 agencies who returned information on 109 sexual abuse cases </w:t>
            </w:r>
            <w:r w:rsidRPr="008C181A">
              <w:rPr>
                <w:rFonts w:eastAsia="Times New Roman" w:cstheme="minorHAnsi"/>
                <w:sz w:val="18"/>
                <w:szCs w:val="18"/>
                <w:lang w:eastAsia="en-GB"/>
              </w:rPr>
              <w:lastRenderedPageBreak/>
              <w:t>reported in the area covered by the South East Thames Regional Health Authority for the years 1991 and 1992</w:t>
            </w:r>
          </w:p>
        </w:tc>
        <w:tc>
          <w:tcPr>
            <w:tcW w:w="1324" w:type="dxa"/>
            <w:shd w:val="clear" w:color="auto" w:fill="auto"/>
          </w:tcPr>
          <w:p w14:paraId="5B20DB34" w14:textId="77777777" w:rsidR="00D92261" w:rsidRPr="008C181A" w:rsidRDefault="00D92261" w:rsidP="00A516FE">
            <w:pPr>
              <w:autoSpaceDE w:val="0"/>
              <w:autoSpaceDN w:val="0"/>
              <w:adjustRightInd w:val="0"/>
              <w:spacing w:after="0" w:line="240" w:lineRule="auto"/>
              <w:rPr>
                <w:rFonts w:eastAsia="Times New Roman" w:cstheme="minorHAnsi"/>
                <w:sz w:val="16"/>
                <w:szCs w:val="16"/>
                <w:lang w:eastAsia="en-GB"/>
              </w:rPr>
            </w:pPr>
            <w:r w:rsidRPr="008C181A">
              <w:rPr>
                <w:rFonts w:cstheme="minorHAnsi"/>
                <w:sz w:val="18"/>
                <w:szCs w:val="18"/>
              </w:rPr>
              <w:lastRenderedPageBreak/>
              <w:t>Hostel, hospital, other facilities, or with their family</w:t>
            </w:r>
          </w:p>
          <w:p w14:paraId="1686518E" w14:textId="77777777" w:rsidR="00D92261" w:rsidRPr="008C181A" w:rsidRDefault="00D92261" w:rsidP="00A516FE">
            <w:pPr>
              <w:spacing w:after="0" w:line="240" w:lineRule="auto"/>
              <w:rPr>
                <w:rFonts w:eastAsia="Times New Roman" w:cstheme="minorHAnsi"/>
                <w:sz w:val="18"/>
                <w:szCs w:val="18"/>
                <w:lang w:eastAsia="en-GB"/>
              </w:rPr>
            </w:pPr>
          </w:p>
        </w:tc>
        <w:tc>
          <w:tcPr>
            <w:tcW w:w="1232" w:type="dxa"/>
            <w:shd w:val="clear" w:color="auto" w:fill="auto"/>
          </w:tcPr>
          <w:p w14:paraId="39F36B2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Quantitative-Survey</w:t>
            </w:r>
          </w:p>
        </w:tc>
        <w:tc>
          <w:tcPr>
            <w:tcW w:w="1843" w:type="dxa"/>
            <w:shd w:val="clear" w:color="auto" w:fill="auto"/>
          </w:tcPr>
          <w:p w14:paraId="4A61DA2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conduct a UK incidence survey of the sexual abuse of adults with learning</w:t>
            </w:r>
          </w:p>
          <w:p w14:paraId="26FC06F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disabilities.</w:t>
            </w:r>
          </w:p>
        </w:tc>
        <w:tc>
          <w:tcPr>
            <w:tcW w:w="3260" w:type="dxa"/>
            <w:shd w:val="clear" w:color="auto" w:fill="auto"/>
          </w:tcPr>
          <w:p w14:paraId="2DA39C3A" w14:textId="77777777" w:rsidR="00D92261" w:rsidRPr="008C181A" w:rsidRDefault="00D92261" w:rsidP="00A516FE">
            <w:pPr>
              <w:autoSpaceDE w:val="0"/>
              <w:autoSpaceDN w:val="0"/>
              <w:adjustRightInd w:val="0"/>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Of the 109 cases reported, 85 were proven or had enough evidence to suggest that sexual abuse was highly likely to have occurred. 53% of the 85 exposed the abuse themselves. Both </w:t>
            </w:r>
            <w:r w:rsidRPr="008C181A">
              <w:rPr>
                <w:rFonts w:eastAsia="Times New Roman" w:cstheme="minorHAnsi"/>
                <w:sz w:val="18"/>
                <w:szCs w:val="18"/>
                <w:lang w:eastAsia="en-GB"/>
              </w:rPr>
              <w:lastRenderedPageBreak/>
              <w:t xml:space="preserve">women and men are at risk of being sexually abused. </w:t>
            </w:r>
            <w:r w:rsidRPr="008C181A">
              <w:rPr>
                <w:rFonts w:cstheme="minorHAnsi"/>
                <w:sz w:val="18"/>
                <w:szCs w:val="18"/>
              </w:rPr>
              <w:t xml:space="preserve">The largest proportion of victims were in the severe to moderate ID categories (IQ 21-50). Over 60% of clients had additional problems. </w:t>
            </w:r>
            <w:r w:rsidRPr="008C181A">
              <w:rPr>
                <w:rFonts w:eastAsia="Times New Roman" w:cstheme="minorHAnsi"/>
                <w:sz w:val="18"/>
                <w:szCs w:val="18"/>
                <w:lang w:eastAsia="en-GB"/>
              </w:rPr>
              <w:t xml:space="preserve">Perpetrators were predominantly men and usually known rather than strangers. Collaborative working between agencies was inconsistent, </w:t>
            </w:r>
            <w:r w:rsidRPr="008C181A">
              <w:rPr>
                <w:rFonts w:cstheme="minorHAnsi"/>
                <w:sz w:val="18"/>
                <w:szCs w:val="18"/>
              </w:rPr>
              <w:t>as were the actions taken by agencies following allegations of abuse.</w:t>
            </w:r>
          </w:p>
        </w:tc>
        <w:tc>
          <w:tcPr>
            <w:tcW w:w="709" w:type="dxa"/>
          </w:tcPr>
          <w:p w14:paraId="78AD31E3"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3</w:t>
            </w:r>
          </w:p>
        </w:tc>
      </w:tr>
      <w:tr w:rsidR="008C181A" w:rsidRPr="008C181A" w14:paraId="5209423E" w14:textId="77777777" w:rsidTr="00A516FE">
        <w:trPr>
          <w:trHeight w:val="576"/>
        </w:trPr>
        <w:tc>
          <w:tcPr>
            <w:tcW w:w="1146" w:type="dxa"/>
            <w:shd w:val="clear" w:color="auto" w:fill="auto"/>
          </w:tcPr>
          <w:p w14:paraId="1FC7F83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15. Calcraft (2007)</w:t>
            </w:r>
          </w:p>
        </w:tc>
        <w:tc>
          <w:tcPr>
            <w:tcW w:w="1573" w:type="dxa"/>
            <w:shd w:val="clear" w:color="auto" w:fill="auto"/>
          </w:tcPr>
          <w:p w14:paraId="558A386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Blowing the whistle on abuse of adults with learning disabilities</w:t>
            </w:r>
          </w:p>
        </w:tc>
        <w:tc>
          <w:tcPr>
            <w:tcW w:w="962" w:type="dxa"/>
            <w:shd w:val="clear" w:color="auto" w:fill="auto"/>
          </w:tcPr>
          <w:p w14:paraId="32A3EE1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5F1B42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Focus groups conducted with adult protection coordinators, social care inspectors, and trainers of social care staff. Interviews conducted with 8 social care workers who had raised concerns about abuse in their workplace, 1 trainer and 6 managers who had investigated incidents involving whistleblowing on abuse or had experience of developing and implementing whistle-blowing policies. </w:t>
            </w:r>
          </w:p>
        </w:tc>
        <w:tc>
          <w:tcPr>
            <w:tcW w:w="1324" w:type="dxa"/>
            <w:shd w:val="clear" w:color="auto" w:fill="auto"/>
          </w:tcPr>
          <w:p w14:paraId="349A4205" w14:textId="77777777" w:rsidR="00D92261" w:rsidRPr="008C181A" w:rsidRDefault="00D92261" w:rsidP="00A516FE">
            <w:pPr>
              <w:autoSpaceDE w:val="0"/>
              <w:autoSpaceDN w:val="0"/>
              <w:adjustRightInd w:val="0"/>
              <w:spacing w:after="0" w:line="240" w:lineRule="auto"/>
              <w:rPr>
                <w:rFonts w:cstheme="minorHAnsi"/>
                <w:sz w:val="18"/>
                <w:szCs w:val="18"/>
              </w:rPr>
            </w:pPr>
            <w:r w:rsidRPr="008C181A">
              <w:rPr>
                <w:rFonts w:eastAsia="Times New Roman" w:cstheme="minorHAnsi"/>
                <w:sz w:val="18"/>
                <w:szCs w:val="18"/>
                <w:lang w:eastAsia="en-GB"/>
              </w:rPr>
              <w:t>Interviewees worked in day and residential care settings across the statutory, voluntary, and private sectors.</w:t>
            </w:r>
          </w:p>
        </w:tc>
        <w:tc>
          <w:tcPr>
            <w:tcW w:w="1232" w:type="dxa"/>
            <w:shd w:val="clear" w:color="auto" w:fill="auto"/>
          </w:tcPr>
          <w:p w14:paraId="1CE3969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 and focus groups)</w:t>
            </w:r>
          </w:p>
        </w:tc>
        <w:tc>
          <w:tcPr>
            <w:tcW w:w="1843" w:type="dxa"/>
            <w:shd w:val="clear" w:color="auto" w:fill="auto"/>
          </w:tcPr>
          <w:p w14:paraId="621480A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explore the experience of whistleblowing on abuse in social care settings and look at how whistleblowing can help to protect people with learning disabilities from abuse.</w:t>
            </w:r>
          </w:p>
        </w:tc>
        <w:tc>
          <w:tcPr>
            <w:tcW w:w="3260" w:type="dxa"/>
            <w:shd w:val="clear" w:color="auto" w:fill="auto"/>
          </w:tcPr>
          <w:p w14:paraId="4798A584" w14:textId="77777777" w:rsidR="00D92261" w:rsidRPr="008C181A" w:rsidRDefault="00D92261" w:rsidP="00A516FE">
            <w:pPr>
              <w:autoSpaceDE w:val="0"/>
              <w:autoSpaceDN w:val="0"/>
              <w:adjustRightInd w:val="0"/>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types of adult protection concern that people raised in the study included: inappropriate use of control and restraint, physical assault, rough movement and handling, deprivation of privacy and choice, verbal abuse, and sexual abuse. Themes that emerged included support for whistle-blowers, feedback for whistle-blowers, impact on working relationships, organisational culture, and power, recognising and challenging abuse, closed teams and powerful individuals, negative views of whistleblowing, management, and organisational culture.</w:t>
            </w:r>
          </w:p>
        </w:tc>
        <w:tc>
          <w:tcPr>
            <w:tcW w:w="709" w:type="dxa"/>
          </w:tcPr>
          <w:p w14:paraId="461295CA"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46430F68" w14:textId="77777777" w:rsidTr="00A516FE">
        <w:trPr>
          <w:trHeight w:val="576"/>
        </w:trPr>
        <w:tc>
          <w:tcPr>
            <w:tcW w:w="1146" w:type="dxa"/>
            <w:shd w:val="clear" w:color="auto" w:fill="auto"/>
          </w:tcPr>
          <w:p w14:paraId="483F38E3" w14:textId="77777777" w:rsidR="00D92261" w:rsidRPr="008C181A" w:rsidRDefault="00D92261" w:rsidP="00A516FE">
            <w:pPr>
              <w:spacing w:after="0" w:line="240" w:lineRule="auto"/>
              <w:rPr>
                <w:rFonts w:eastAsia="Times New Roman" w:cstheme="minorHAnsi"/>
                <w:sz w:val="18"/>
                <w:szCs w:val="18"/>
                <w:lang w:eastAsia="en-GB"/>
              </w:rPr>
            </w:pPr>
            <w:bookmarkStart w:id="14" w:name="_Hlk51598599"/>
            <w:r w:rsidRPr="008C181A">
              <w:rPr>
                <w:rFonts w:eastAsia="Times New Roman" w:cstheme="minorHAnsi"/>
                <w:sz w:val="18"/>
                <w:szCs w:val="18"/>
                <w:lang w:eastAsia="en-GB"/>
              </w:rPr>
              <w:t>16. Cambridge (1999)</w:t>
            </w:r>
            <w:bookmarkEnd w:id="14"/>
          </w:p>
        </w:tc>
        <w:tc>
          <w:tcPr>
            <w:tcW w:w="1573" w:type="dxa"/>
            <w:shd w:val="clear" w:color="auto" w:fill="auto"/>
          </w:tcPr>
          <w:p w14:paraId="3C7639AD" w14:textId="77777777" w:rsidR="00D92261" w:rsidRPr="008C181A" w:rsidRDefault="00D92261" w:rsidP="00A516FE">
            <w:pPr>
              <w:spacing w:after="0" w:line="240" w:lineRule="auto"/>
              <w:rPr>
                <w:rFonts w:eastAsia="Times New Roman" w:cstheme="minorHAnsi"/>
                <w:sz w:val="18"/>
                <w:szCs w:val="18"/>
                <w:lang w:eastAsia="en-GB"/>
              </w:rPr>
            </w:pPr>
            <w:bookmarkStart w:id="15" w:name="_Hlk51598621"/>
            <w:r w:rsidRPr="008C181A">
              <w:rPr>
                <w:rFonts w:eastAsia="Times New Roman" w:cstheme="minorHAnsi"/>
                <w:sz w:val="18"/>
                <w:szCs w:val="18"/>
                <w:lang w:eastAsia="en-GB"/>
              </w:rPr>
              <w:t>The First Hit: A case study of the physical abuse of people with learning disabilities and challenging behaviours in a residential service</w:t>
            </w:r>
            <w:bookmarkEnd w:id="15"/>
          </w:p>
        </w:tc>
        <w:tc>
          <w:tcPr>
            <w:tcW w:w="962" w:type="dxa"/>
            <w:shd w:val="clear" w:color="auto" w:fill="auto"/>
          </w:tcPr>
          <w:p w14:paraId="1E8F7A3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014F6333" w14:textId="28CEB050" w:rsidR="00D92261" w:rsidRPr="008C181A" w:rsidRDefault="000464D5"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Interviews with staff (sample size not reported).</w:t>
            </w:r>
          </w:p>
        </w:tc>
        <w:tc>
          <w:tcPr>
            <w:tcW w:w="1324" w:type="dxa"/>
            <w:shd w:val="clear" w:color="auto" w:fill="auto"/>
          </w:tcPr>
          <w:p w14:paraId="5D9D543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service</w:t>
            </w:r>
          </w:p>
        </w:tc>
        <w:tc>
          <w:tcPr>
            <w:tcW w:w="1232" w:type="dxa"/>
            <w:shd w:val="clear" w:color="auto" w:fill="auto"/>
          </w:tcPr>
          <w:p w14:paraId="77B5E1F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Case study (documentary analysis &amp; interviews)</w:t>
            </w:r>
          </w:p>
        </w:tc>
        <w:tc>
          <w:tcPr>
            <w:tcW w:w="1843" w:type="dxa"/>
            <w:shd w:val="clear" w:color="auto" w:fill="auto"/>
          </w:tcPr>
          <w:p w14:paraId="17AB517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describe the circumstances surrounding the physical abuse of persons with learning disabilities and challenging behaviours in a residential service and the general findings of a related inquiry.</w:t>
            </w:r>
          </w:p>
        </w:tc>
        <w:tc>
          <w:tcPr>
            <w:tcW w:w="3260" w:type="dxa"/>
            <w:shd w:val="clear" w:color="auto" w:fill="auto"/>
          </w:tcPr>
          <w:p w14:paraId="2261490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Several risk factors surrounding the circumstances of abuse were reported including a culture of abuse that had a number of identifiable characteristics (e.g., isolation, ineffective staff supervision, intimidation, institutionalised practice, inexperience, anti-professionalism, barriers to disclosure, poor support for whistle-blowers, deficiencies in service audit, poor inter-professional communication, poor ?? recognition skills, lack of clarity </w:t>
            </w:r>
            <w:r w:rsidRPr="008C181A">
              <w:rPr>
                <w:rFonts w:eastAsia="Times New Roman" w:cstheme="minorHAnsi"/>
                <w:sz w:val="18"/>
                <w:szCs w:val="18"/>
                <w:lang w:eastAsia="en-GB"/>
              </w:rPr>
              <w:lastRenderedPageBreak/>
              <w:t>in care management, difficulties in market management and service satisfaction).</w:t>
            </w:r>
          </w:p>
        </w:tc>
        <w:tc>
          <w:tcPr>
            <w:tcW w:w="709" w:type="dxa"/>
          </w:tcPr>
          <w:p w14:paraId="093B629E"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2</w:t>
            </w:r>
          </w:p>
        </w:tc>
      </w:tr>
      <w:tr w:rsidR="008C181A" w:rsidRPr="008C181A" w14:paraId="4F862456" w14:textId="77777777" w:rsidTr="00A516FE">
        <w:trPr>
          <w:trHeight w:val="576"/>
        </w:trPr>
        <w:tc>
          <w:tcPr>
            <w:tcW w:w="1146" w:type="dxa"/>
            <w:shd w:val="clear" w:color="auto" w:fill="auto"/>
          </w:tcPr>
          <w:p w14:paraId="15B2D19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17. Cambridge et al. (2011)</w:t>
            </w:r>
          </w:p>
        </w:tc>
        <w:tc>
          <w:tcPr>
            <w:tcW w:w="1573" w:type="dxa"/>
            <w:shd w:val="clear" w:color="auto" w:fill="auto"/>
          </w:tcPr>
          <w:p w14:paraId="08203CC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Patterns of Risk in Adult Protection Referrals for Sexual Abuse and People with Intellectual Disability</w:t>
            </w:r>
          </w:p>
        </w:tc>
        <w:tc>
          <w:tcPr>
            <w:tcW w:w="962" w:type="dxa"/>
            <w:shd w:val="clear" w:color="auto" w:fill="auto"/>
          </w:tcPr>
          <w:p w14:paraId="57C8F98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419C2A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Adult protection monitoring data collected by</w:t>
            </w:r>
            <w:r w:rsidRPr="008C181A">
              <w:rPr>
                <w:rFonts w:eastAsia="Times New Roman" w:cstheme="minorHAnsi"/>
                <w:sz w:val="18"/>
                <w:szCs w:val="18"/>
                <w:lang w:eastAsia="en-GB"/>
              </w:rPr>
              <w:br/>
              <w:t>two local authorities (1857 referrals). Mean age 28.9 years, 42% male.</w:t>
            </w:r>
          </w:p>
        </w:tc>
        <w:tc>
          <w:tcPr>
            <w:tcW w:w="1324" w:type="dxa"/>
            <w:shd w:val="clear" w:color="auto" w:fill="auto"/>
          </w:tcPr>
          <w:p w14:paraId="7B4E52B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See Cambridge, Milne, Mansell, Beadle-Brown &amp; Whelton (2011)</w:t>
            </w:r>
          </w:p>
        </w:tc>
        <w:tc>
          <w:tcPr>
            <w:tcW w:w="1232" w:type="dxa"/>
            <w:shd w:val="clear" w:color="auto" w:fill="auto"/>
          </w:tcPr>
          <w:p w14:paraId="00BF4231" w14:textId="77777777" w:rsidR="00B44B1F" w:rsidRPr="008C181A" w:rsidRDefault="00B44B1F"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(database analysis)</w:t>
            </w:r>
          </w:p>
          <w:p w14:paraId="06C93272" w14:textId="325BA46A"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See Cambridge, Milne, Mansell, Beadle-Brown &amp; Whelton (2011)</w:t>
            </w:r>
          </w:p>
        </w:tc>
        <w:tc>
          <w:tcPr>
            <w:tcW w:w="1843" w:type="dxa"/>
            <w:shd w:val="clear" w:color="auto" w:fill="auto"/>
          </w:tcPr>
          <w:p w14:paraId="6FA0F6C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compare referrals for alleged sexual abuse and other types of abuse for people with intellectual disability.</w:t>
            </w:r>
          </w:p>
        </w:tc>
        <w:tc>
          <w:tcPr>
            <w:tcW w:w="3260" w:type="dxa"/>
            <w:shd w:val="clear" w:color="auto" w:fill="auto"/>
          </w:tcPr>
          <w:p w14:paraId="0D285FC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annual number of referrals for sexual abuse for people with intellectual disabilities has increased over time. Sexual abuse was confirmed in just over a quarter of all referrals (26.4%). In 58.3% of referrals received practitioner input for 1-6 months, and the mean time referrals were open was 127.58 days.</w:t>
            </w:r>
          </w:p>
        </w:tc>
        <w:tc>
          <w:tcPr>
            <w:tcW w:w="709" w:type="dxa"/>
          </w:tcPr>
          <w:p w14:paraId="60EF185A"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2</w:t>
            </w:r>
          </w:p>
        </w:tc>
      </w:tr>
      <w:tr w:rsidR="008C181A" w:rsidRPr="008C181A" w14:paraId="60C2502F" w14:textId="77777777" w:rsidTr="00A516FE">
        <w:trPr>
          <w:trHeight w:val="576"/>
        </w:trPr>
        <w:tc>
          <w:tcPr>
            <w:tcW w:w="1146" w:type="dxa"/>
            <w:shd w:val="clear" w:color="auto" w:fill="auto"/>
          </w:tcPr>
          <w:p w14:paraId="682CE9CE"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18. Cambridge et al. (2011)</w:t>
            </w:r>
          </w:p>
        </w:tc>
        <w:tc>
          <w:tcPr>
            <w:tcW w:w="1573" w:type="dxa"/>
            <w:shd w:val="clear" w:color="auto" w:fill="auto"/>
          </w:tcPr>
          <w:p w14:paraId="1E1279A0"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A study of adult protection referrals in two local authorities: an overview of findings for managers and practitioners</w:t>
            </w:r>
          </w:p>
        </w:tc>
        <w:tc>
          <w:tcPr>
            <w:tcW w:w="962" w:type="dxa"/>
            <w:shd w:val="clear" w:color="auto" w:fill="auto"/>
          </w:tcPr>
          <w:p w14:paraId="45D0B748"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73141BEC" w14:textId="3FCA0F68"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6,148 adult protection referrals (all care groups) recorded by the two local authorities between 1998 and 2005</w:t>
            </w:r>
            <w:r w:rsidR="000464D5" w:rsidRPr="008C181A">
              <w:rPr>
                <w:rFonts w:eastAsia="Times New Roman" w:cstheme="minorHAnsi"/>
                <w:sz w:val="18"/>
                <w:szCs w:val="18"/>
                <w:lang w:eastAsia="en-GB"/>
              </w:rPr>
              <w:t>.</w:t>
            </w:r>
          </w:p>
        </w:tc>
        <w:tc>
          <w:tcPr>
            <w:tcW w:w="1324" w:type="dxa"/>
            <w:shd w:val="clear" w:color="auto" w:fill="auto"/>
          </w:tcPr>
          <w:p w14:paraId="6580139C" w14:textId="3C310643" w:rsidR="00D92261" w:rsidRPr="008C181A" w:rsidRDefault="000464D5" w:rsidP="00E65856">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32% of referrals were for people with IDD.</w:t>
            </w:r>
          </w:p>
        </w:tc>
        <w:tc>
          <w:tcPr>
            <w:tcW w:w="1232" w:type="dxa"/>
            <w:shd w:val="clear" w:color="auto" w:fill="auto"/>
          </w:tcPr>
          <w:p w14:paraId="7D7D30A5"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Quantitative (database analysis)</w:t>
            </w:r>
          </w:p>
        </w:tc>
        <w:tc>
          <w:tcPr>
            <w:tcW w:w="1843" w:type="dxa"/>
            <w:shd w:val="clear" w:color="auto" w:fill="auto"/>
          </w:tcPr>
          <w:p w14:paraId="46C01623"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To report the key findings from a study of adult protection referrals collected by two English local authorities during 1998-2005.</w:t>
            </w:r>
          </w:p>
        </w:tc>
        <w:tc>
          <w:tcPr>
            <w:tcW w:w="3260" w:type="dxa"/>
            <w:shd w:val="clear" w:color="auto" w:fill="auto"/>
          </w:tcPr>
          <w:p w14:paraId="521E21A4" w14:textId="77777777" w:rsidR="00D92261" w:rsidRPr="008C181A" w:rsidRDefault="00D92261" w:rsidP="00A516FE">
            <w:pPr>
              <w:spacing w:after="0" w:line="240" w:lineRule="auto"/>
              <w:rPr>
                <w:rFonts w:eastAsia="Times New Roman" w:cstheme="minorHAnsi"/>
                <w:b/>
                <w:bCs/>
                <w:sz w:val="18"/>
                <w:szCs w:val="18"/>
                <w:lang w:eastAsia="en-GB"/>
              </w:rPr>
            </w:pPr>
            <w:r w:rsidRPr="008C181A">
              <w:rPr>
                <w:rFonts w:eastAsia="Times New Roman" w:cstheme="minorHAnsi"/>
                <w:sz w:val="18"/>
                <w:szCs w:val="18"/>
                <w:lang w:eastAsia="en-GB"/>
              </w:rPr>
              <w:t>63% of adults with intellectual disabilities had been referred for a single type of abuse. Physical abuse and neglect most frequently occurred in residential care. Large geographical differences in outcome of referral, likely related to local adult protection demands, resource availability, demographic and service characteristics, local competence.</w:t>
            </w:r>
          </w:p>
        </w:tc>
        <w:tc>
          <w:tcPr>
            <w:tcW w:w="709" w:type="dxa"/>
          </w:tcPr>
          <w:p w14:paraId="68FD841E"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3</w:t>
            </w:r>
          </w:p>
        </w:tc>
      </w:tr>
      <w:tr w:rsidR="008C181A" w:rsidRPr="008C181A" w14:paraId="319E29A4" w14:textId="77777777" w:rsidTr="00A516FE">
        <w:trPr>
          <w:trHeight w:val="1643"/>
        </w:trPr>
        <w:tc>
          <w:tcPr>
            <w:tcW w:w="1146" w:type="dxa"/>
            <w:shd w:val="clear" w:color="auto" w:fill="auto"/>
            <w:hideMark/>
          </w:tcPr>
          <w:p w14:paraId="198AFA6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19. Furey et al. (1994)</w:t>
            </w:r>
          </w:p>
        </w:tc>
        <w:tc>
          <w:tcPr>
            <w:tcW w:w="1573" w:type="dxa"/>
            <w:shd w:val="clear" w:color="auto" w:fill="auto"/>
            <w:hideMark/>
          </w:tcPr>
          <w:p w14:paraId="03B45D3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Abuse and neglect of adults with mental retardation in different residential settings</w:t>
            </w:r>
          </w:p>
        </w:tc>
        <w:tc>
          <w:tcPr>
            <w:tcW w:w="962" w:type="dxa"/>
            <w:shd w:val="clear" w:color="auto" w:fill="auto"/>
            <w:hideMark/>
          </w:tcPr>
          <w:p w14:paraId="3969CC9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hideMark/>
          </w:tcPr>
          <w:p w14:paraId="2ADBB2F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944 cases of abuse/neglect (excluding sexual abuse) over a 5 year period of adults aged 18-59 with mental retardation. </w:t>
            </w:r>
          </w:p>
        </w:tc>
        <w:tc>
          <w:tcPr>
            <w:tcW w:w="1324" w:type="dxa"/>
            <w:shd w:val="clear" w:color="auto" w:fill="auto"/>
            <w:hideMark/>
          </w:tcPr>
          <w:p w14:paraId="496DD1A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Group homes, community training, homes, own residence, institutions. </w:t>
            </w:r>
          </w:p>
        </w:tc>
        <w:tc>
          <w:tcPr>
            <w:tcW w:w="1232" w:type="dxa"/>
            <w:shd w:val="clear" w:color="auto" w:fill="auto"/>
            <w:hideMark/>
          </w:tcPr>
          <w:p w14:paraId="15119DD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(database analysis)</w:t>
            </w:r>
          </w:p>
        </w:tc>
        <w:tc>
          <w:tcPr>
            <w:tcW w:w="1843" w:type="dxa"/>
            <w:shd w:val="clear" w:color="auto" w:fill="auto"/>
            <w:hideMark/>
          </w:tcPr>
          <w:p w14:paraId="5FDFDE5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examine the prevalence of abuse and neglect in residential settings for adults with mental retardation.</w:t>
            </w:r>
          </w:p>
        </w:tc>
        <w:tc>
          <w:tcPr>
            <w:tcW w:w="3260" w:type="dxa"/>
            <w:shd w:val="clear" w:color="auto" w:fill="auto"/>
            <w:hideMark/>
          </w:tcPr>
          <w:p w14:paraId="2A62C9FD" w14:textId="464E7A74"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There was significantly more abuse and neglect in institutions than in the </w:t>
            </w:r>
            <w:r w:rsidR="000464D5" w:rsidRPr="008C181A">
              <w:rPr>
                <w:rFonts w:eastAsia="Times New Roman" w:cstheme="minorHAnsi"/>
                <w:sz w:val="18"/>
                <w:szCs w:val="18"/>
                <w:lang w:eastAsia="en-GB"/>
              </w:rPr>
              <w:t xml:space="preserve">service-user’s </w:t>
            </w:r>
            <w:r w:rsidRPr="008C181A">
              <w:rPr>
                <w:rFonts w:eastAsia="Times New Roman" w:cstheme="minorHAnsi"/>
                <w:sz w:val="18"/>
                <w:szCs w:val="18"/>
                <w:lang w:eastAsia="en-GB"/>
              </w:rPr>
              <w:t xml:space="preserve">own home. There was no difference between the rate of abuse in institutions as compared to the rate of abuse in group homes. </w:t>
            </w:r>
          </w:p>
        </w:tc>
        <w:tc>
          <w:tcPr>
            <w:tcW w:w="709" w:type="dxa"/>
          </w:tcPr>
          <w:p w14:paraId="2AEBC2D5"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2C6F81F2" w14:textId="77777777" w:rsidTr="00A516FE">
        <w:trPr>
          <w:trHeight w:val="557"/>
        </w:trPr>
        <w:tc>
          <w:tcPr>
            <w:tcW w:w="1146" w:type="dxa"/>
            <w:shd w:val="clear" w:color="auto" w:fill="auto"/>
          </w:tcPr>
          <w:p w14:paraId="1BB03E44" w14:textId="77777777" w:rsidR="00D92261" w:rsidRPr="008C181A" w:rsidRDefault="00D92261" w:rsidP="00A516FE">
            <w:pPr>
              <w:spacing w:after="0" w:line="240" w:lineRule="auto"/>
              <w:rPr>
                <w:rFonts w:eastAsia="Times New Roman" w:cstheme="minorHAnsi"/>
                <w:sz w:val="18"/>
                <w:szCs w:val="18"/>
                <w:lang w:eastAsia="en-GB"/>
              </w:rPr>
            </w:pPr>
            <w:bookmarkStart w:id="16" w:name="_Hlk51658704"/>
            <w:r w:rsidRPr="008C181A">
              <w:rPr>
                <w:rFonts w:eastAsia="Times New Roman" w:cstheme="minorHAnsi"/>
                <w:sz w:val="18"/>
                <w:szCs w:val="18"/>
                <w:lang w:eastAsia="en-GB"/>
              </w:rPr>
              <w:t>20. Fyson (2015)</w:t>
            </w:r>
            <w:bookmarkEnd w:id="16"/>
          </w:p>
        </w:tc>
        <w:tc>
          <w:tcPr>
            <w:tcW w:w="1573" w:type="dxa"/>
            <w:shd w:val="clear" w:color="auto" w:fill="auto"/>
          </w:tcPr>
          <w:p w14:paraId="53516755" w14:textId="77777777" w:rsidR="00D92261" w:rsidRPr="008C181A" w:rsidRDefault="00D92261" w:rsidP="00A516FE">
            <w:pPr>
              <w:spacing w:after="0" w:line="240" w:lineRule="auto"/>
              <w:rPr>
                <w:rFonts w:eastAsia="Times New Roman" w:cstheme="minorHAnsi"/>
                <w:sz w:val="18"/>
                <w:szCs w:val="18"/>
                <w:lang w:eastAsia="en-GB"/>
              </w:rPr>
            </w:pPr>
            <w:bookmarkStart w:id="17" w:name="_Hlk51658726"/>
            <w:r w:rsidRPr="008C181A">
              <w:rPr>
                <w:rFonts w:eastAsia="Times New Roman" w:cstheme="minorHAnsi"/>
                <w:sz w:val="18"/>
                <w:szCs w:val="18"/>
                <w:lang w:eastAsia="en-GB"/>
              </w:rPr>
              <w:t>Building an Evidence Base for Adult Safeguarding? Problems with the Reliability and Validity of Adult Safeguarding Databases</w:t>
            </w:r>
            <w:bookmarkEnd w:id="17"/>
          </w:p>
        </w:tc>
        <w:tc>
          <w:tcPr>
            <w:tcW w:w="962" w:type="dxa"/>
            <w:shd w:val="clear" w:color="auto" w:fill="auto"/>
          </w:tcPr>
          <w:p w14:paraId="74F5FD4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1C03292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14 safeguarding managers from Adult Social Care and Health teams.</w:t>
            </w:r>
          </w:p>
        </w:tc>
        <w:tc>
          <w:tcPr>
            <w:tcW w:w="1324" w:type="dxa"/>
            <w:shd w:val="clear" w:color="auto" w:fill="auto"/>
          </w:tcPr>
          <w:p w14:paraId="404E56D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Full range of adult social care specialist teams</w:t>
            </w:r>
          </w:p>
        </w:tc>
        <w:tc>
          <w:tcPr>
            <w:tcW w:w="1232" w:type="dxa"/>
            <w:shd w:val="clear" w:color="auto" w:fill="auto"/>
          </w:tcPr>
          <w:p w14:paraId="1867681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Case study (interviews and database analysis)</w:t>
            </w:r>
          </w:p>
        </w:tc>
        <w:tc>
          <w:tcPr>
            <w:tcW w:w="1843" w:type="dxa"/>
            <w:shd w:val="clear" w:color="auto" w:fill="auto"/>
          </w:tcPr>
          <w:p w14:paraId="5211850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evaluate adult safeguarding in one English local authority, focusing on how the adult safeguarding database was populated from case records and how the </w:t>
            </w:r>
            <w:r w:rsidRPr="008C181A">
              <w:rPr>
                <w:rFonts w:eastAsia="Times New Roman" w:cstheme="minorHAnsi"/>
                <w:sz w:val="18"/>
                <w:szCs w:val="18"/>
                <w:lang w:eastAsia="en-GB"/>
              </w:rPr>
              <w:lastRenderedPageBreak/>
              <w:t>resultant data were utilised.</w:t>
            </w:r>
          </w:p>
        </w:tc>
        <w:tc>
          <w:tcPr>
            <w:tcW w:w="3260" w:type="dxa"/>
            <w:shd w:val="clear" w:color="auto" w:fill="auto"/>
          </w:tcPr>
          <w:p w14:paraId="0529911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There was a significant increase over time in the number of adult safeguarding alerts received by the authority. An increase in workload had not resulted in increased resource allocation. Only half of the designated ‘adult safeguarding managers’ who were interviewed were able to correctly define the meanings of the recommended terms under which </w:t>
            </w:r>
            <w:r w:rsidRPr="008C181A">
              <w:rPr>
                <w:rFonts w:eastAsia="Times New Roman" w:cstheme="minorHAnsi"/>
                <w:sz w:val="18"/>
                <w:szCs w:val="18"/>
                <w:lang w:eastAsia="en-GB"/>
              </w:rPr>
              <w:lastRenderedPageBreak/>
              <w:t xml:space="preserve">adult safeguarding outcomes are recorded. </w:t>
            </w:r>
          </w:p>
        </w:tc>
        <w:tc>
          <w:tcPr>
            <w:tcW w:w="709" w:type="dxa"/>
          </w:tcPr>
          <w:p w14:paraId="26AF4179"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4</w:t>
            </w:r>
          </w:p>
        </w:tc>
      </w:tr>
      <w:tr w:rsidR="008C181A" w:rsidRPr="008C181A" w14:paraId="5C7B5F35" w14:textId="77777777" w:rsidTr="00A516FE">
        <w:trPr>
          <w:trHeight w:val="1643"/>
        </w:trPr>
        <w:tc>
          <w:tcPr>
            <w:tcW w:w="1146" w:type="dxa"/>
            <w:shd w:val="clear" w:color="auto" w:fill="auto"/>
          </w:tcPr>
          <w:p w14:paraId="4CD8E33A" w14:textId="77777777" w:rsidR="00D92261" w:rsidRPr="008C181A" w:rsidRDefault="00D92261" w:rsidP="00A516FE">
            <w:pPr>
              <w:spacing w:after="0" w:line="240" w:lineRule="auto"/>
              <w:rPr>
                <w:rFonts w:eastAsia="Times New Roman" w:cstheme="minorHAnsi"/>
                <w:sz w:val="18"/>
                <w:szCs w:val="18"/>
                <w:lang w:eastAsia="en-GB"/>
              </w:rPr>
            </w:pPr>
            <w:bookmarkStart w:id="18" w:name="_Hlk51660317"/>
            <w:r w:rsidRPr="008C181A">
              <w:rPr>
                <w:rFonts w:eastAsia="Times New Roman" w:cstheme="minorHAnsi"/>
                <w:sz w:val="18"/>
                <w:szCs w:val="18"/>
                <w:lang w:eastAsia="en-GB"/>
              </w:rPr>
              <w:t>21. Fyson &amp; Kitson (2012)</w:t>
            </w:r>
            <w:bookmarkEnd w:id="18"/>
          </w:p>
        </w:tc>
        <w:tc>
          <w:tcPr>
            <w:tcW w:w="1573" w:type="dxa"/>
            <w:shd w:val="clear" w:color="auto" w:fill="auto"/>
          </w:tcPr>
          <w:p w14:paraId="3791F865" w14:textId="77777777" w:rsidR="00D92261" w:rsidRPr="008C181A" w:rsidRDefault="00D92261" w:rsidP="00A516FE">
            <w:pPr>
              <w:spacing w:after="0" w:line="240" w:lineRule="auto"/>
              <w:rPr>
                <w:rFonts w:eastAsia="Times New Roman" w:cstheme="minorHAnsi"/>
                <w:sz w:val="18"/>
                <w:szCs w:val="18"/>
                <w:lang w:eastAsia="en-GB"/>
              </w:rPr>
            </w:pPr>
            <w:bookmarkStart w:id="19" w:name="_Hlk51660356"/>
            <w:r w:rsidRPr="008C181A">
              <w:rPr>
                <w:rFonts w:eastAsia="Times New Roman" w:cstheme="minorHAnsi"/>
                <w:sz w:val="18"/>
                <w:szCs w:val="18"/>
                <w:lang w:eastAsia="en-GB"/>
              </w:rPr>
              <w:t>Outcomes following adult safeguarding alerts: a critical analysis of key factors</w:t>
            </w:r>
            <w:bookmarkEnd w:id="19"/>
          </w:p>
        </w:tc>
        <w:tc>
          <w:tcPr>
            <w:tcW w:w="962" w:type="dxa"/>
            <w:shd w:val="clear" w:color="auto" w:fill="auto"/>
          </w:tcPr>
          <w:p w14:paraId="75F309B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07C989B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42 safeguarding alerts in one English local authority</w:t>
            </w:r>
          </w:p>
        </w:tc>
        <w:tc>
          <w:tcPr>
            <w:tcW w:w="1324" w:type="dxa"/>
            <w:shd w:val="clear" w:color="auto" w:fill="auto"/>
          </w:tcPr>
          <w:p w14:paraId="59B4838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All adult social care teams</w:t>
            </w:r>
          </w:p>
        </w:tc>
        <w:tc>
          <w:tcPr>
            <w:tcW w:w="1232" w:type="dxa"/>
            <w:shd w:val="clear" w:color="auto" w:fill="auto"/>
          </w:tcPr>
          <w:p w14:paraId="7D2784C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(survey)</w:t>
            </w:r>
          </w:p>
        </w:tc>
        <w:tc>
          <w:tcPr>
            <w:tcW w:w="1843" w:type="dxa"/>
            <w:shd w:val="clear" w:color="auto" w:fill="auto"/>
          </w:tcPr>
          <w:p w14:paraId="701E785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report some of the findings from an evaluation of adult safeguarding in one English local authority.</w:t>
            </w:r>
          </w:p>
        </w:tc>
        <w:tc>
          <w:tcPr>
            <w:tcW w:w="3260" w:type="dxa"/>
            <w:shd w:val="clear" w:color="auto" w:fill="auto"/>
          </w:tcPr>
          <w:p w14:paraId="5BFCD4D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15 cases resulted in a ‘‘substantiated’’ outcome, 18 cases a ‘‘not substantiated’’ outcome, 1 case was on-going, and 8 cases were recorded as ‘‘not determined’’.</w:t>
            </w:r>
          </w:p>
        </w:tc>
        <w:tc>
          <w:tcPr>
            <w:tcW w:w="709" w:type="dxa"/>
          </w:tcPr>
          <w:p w14:paraId="0D7F01F9"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498C01BA" w14:textId="77777777" w:rsidTr="00A516FE">
        <w:trPr>
          <w:trHeight w:val="1643"/>
        </w:trPr>
        <w:tc>
          <w:tcPr>
            <w:tcW w:w="1146" w:type="dxa"/>
            <w:shd w:val="clear" w:color="auto" w:fill="auto"/>
          </w:tcPr>
          <w:p w14:paraId="04006579"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22. Fyson &amp; Patterson (2019)</w:t>
            </w:r>
          </w:p>
        </w:tc>
        <w:tc>
          <w:tcPr>
            <w:tcW w:w="1573" w:type="dxa"/>
            <w:shd w:val="clear" w:color="auto" w:fill="auto"/>
          </w:tcPr>
          <w:p w14:paraId="1E41980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Staff understandings of abuse and poor practice in residential settings for adults with intellectual disabilities</w:t>
            </w:r>
          </w:p>
        </w:tc>
        <w:tc>
          <w:tcPr>
            <w:tcW w:w="962" w:type="dxa"/>
            <w:shd w:val="clear" w:color="auto" w:fill="auto"/>
          </w:tcPr>
          <w:p w14:paraId="5572A39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29FB415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56 care staff and frontline managers working across 14 residential services in England</w:t>
            </w:r>
          </w:p>
        </w:tc>
        <w:tc>
          <w:tcPr>
            <w:tcW w:w="1324" w:type="dxa"/>
            <w:shd w:val="clear" w:color="auto" w:fill="auto"/>
          </w:tcPr>
          <w:p w14:paraId="2706336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services</w:t>
            </w:r>
          </w:p>
        </w:tc>
        <w:tc>
          <w:tcPr>
            <w:tcW w:w="1232" w:type="dxa"/>
            <w:shd w:val="clear" w:color="auto" w:fill="auto"/>
          </w:tcPr>
          <w:p w14:paraId="33EF6C0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031058C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explore staff understandings of abuse and poor practice in residential services for people with intellectual disabilities.</w:t>
            </w:r>
          </w:p>
        </w:tc>
        <w:tc>
          <w:tcPr>
            <w:tcW w:w="3260" w:type="dxa"/>
            <w:shd w:val="clear" w:color="auto" w:fill="auto"/>
          </w:tcPr>
          <w:p w14:paraId="252ABD6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Staff struggled to define either “abuse” or “poor practice”, focussing more on individual acts or omissions than on institutional practices. When faced with vignettes, staff demonstrated a lack of agreement regarding what constitutes either abuse or poor practice.</w:t>
            </w:r>
          </w:p>
        </w:tc>
        <w:tc>
          <w:tcPr>
            <w:tcW w:w="709" w:type="dxa"/>
          </w:tcPr>
          <w:p w14:paraId="73B03271"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5</w:t>
            </w:r>
          </w:p>
        </w:tc>
      </w:tr>
      <w:tr w:rsidR="008C181A" w:rsidRPr="008C181A" w14:paraId="18577FEF" w14:textId="77777777" w:rsidTr="00A516FE">
        <w:trPr>
          <w:trHeight w:val="1643"/>
        </w:trPr>
        <w:tc>
          <w:tcPr>
            <w:tcW w:w="1146" w:type="dxa"/>
            <w:shd w:val="clear" w:color="auto" w:fill="auto"/>
          </w:tcPr>
          <w:p w14:paraId="1B2B0CF9" w14:textId="77777777" w:rsidR="00D92261" w:rsidRPr="008C181A" w:rsidRDefault="00D92261" w:rsidP="00A516FE">
            <w:pPr>
              <w:spacing w:after="0" w:line="240" w:lineRule="auto"/>
              <w:rPr>
                <w:sz w:val="18"/>
                <w:szCs w:val="18"/>
              </w:rPr>
            </w:pPr>
            <w:r w:rsidRPr="008C181A">
              <w:rPr>
                <w:sz w:val="18"/>
                <w:szCs w:val="18"/>
              </w:rPr>
              <w:t>23. Gillett &amp; Kroese (2003)</w:t>
            </w:r>
          </w:p>
        </w:tc>
        <w:tc>
          <w:tcPr>
            <w:tcW w:w="1573" w:type="dxa"/>
            <w:shd w:val="clear" w:color="auto" w:fill="auto"/>
          </w:tcPr>
          <w:p w14:paraId="5D9D5C1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Investigating organisational culture: A comparison of a high and a low performing residential unit for people with intellectual disabilities</w:t>
            </w:r>
          </w:p>
        </w:tc>
        <w:tc>
          <w:tcPr>
            <w:tcW w:w="962" w:type="dxa"/>
            <w:shd w:val="clear" w:color="auto" w:fill="auto"/>
          </w:tcPr>
          <w:p w14:paraId="78E38C1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4C823A1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Staff groups from two matched residential units for people with intellectual disabilities (n = 15).</w:t>
            </w:r>
          </w:p>
        </w:tc>
        <w:tc>
          <w:tcPr>
            <w:tcW w:w="1324" w:type="dxa"/>
            <w:shd w:val="clear" w:color="auto" w:fill="auto"/>
          </w:tcPr>
          <w:p w14:paraId="3AFBD91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Small community-based residential services for people with intellectual disabilities</w:t>
            </w:r>
          </w:p>
        </w:tc>
        <w:tc>
          <w:tcPr>
            <w:tcW w:w="1232" w:type="dxa"/>
            <w:shd w:val="clear" w:color="auto" w:fill="auto"/>
          </w:tcPr>
          <w:p w14:paraId="6AC3A1B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Quantitative non-randomised (cross-sectional study). </w:t>
            </w:r>
          </w:p>
        </w:tc>
        <w:tc>
          <w:tcPr>
            <w:tcW w:w="1843" w:type="dxa"/>
            <w:shd w:val="clear" w:color="auto" w:fill="auto"/>
          </w:tcPr>
          <w:p w14:paraId="6E20C8D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investigate organisational culture in small community-based residential services for people with intellectual disabilities.</w:t>
            </w:r>
          </w:p>
        </w:tc>
        <w:tc>
          <w:tcPr>
            <w:tcW w:w="3260" w:type="dxa"/>
            <w:shd w:val="clear" w:color="auto" w:fill="auto"/>
          </w:tcPr>
          <w:p w14:paraId="7AC4EF1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unit with better quality outcomes demonstrated a more positive organisational culture. The lower performing group home had significantly higher scores for oppositional style (e.g., norms of confrontation and criticism). Competitive (e.g., norms of win against others and compete rather than cooperate), and perfectionism (norms of never making a mistake and setting unrealistically high goals). Reflecting a task rather than person orientation. No differences in turnover or absence figures were found between the two units.</w:t>
            </w:r>
          </w:p>
        </w:tc>
        <w:tc>
          <w:tcPr>
            <w:tcW w:w="709" w:type="dxa"/>
          </w:tcPr>
          <w:p w14:paraId="701608AB"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3</w:t>
            </w:r>
          </w:p>
        </w:tc>
      </w:tr>
      <w:tr w:rsidR="008C181A" w:rsidRPr="008C181A" w14:paraId="139791BA" w14:textId="77777777" w:rsidTr="00A516FE">
        <w:trPr>
          <w:trHeight w:val="558"/>
        </w:trPr>
        <w:tc>
          <w:tcPr>
            <w:tcW w:w="1146" w:type="dxa"/>
            <w:shd w:val="clear" w:color="auto" w:fill="auto"/>
          </w:tcPr>
          <w:p w14:paraId="6FD3B86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24. Halladay &amp; Harrington (2015)</w:t>
            </w:r>
          </w:p>
        </w:tc>
        <w:tc>
          <w:tcPr>
            <w:tcW w:w="1573" w:type="dxa"/>
            <w:shd w:val="clear" w:color="auto" w:fill="auto"/>
          </w:tcPr>
          <w:p w14:paraId="2855692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Scandals of abuse: Policy responses in intellectual disabilities</w:t>
            </w:r>
          </w:p>
        </w:tc>
        <w:tc>
          <w:tcPr>
            <w:tcW w:w="962" w:type="dxa"/>
            <w:shd w:val="clear" w:color="auto" w:fill="auto"/>
          </w:tcPr>
          <w:p w14:paraId="6FB0108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UK/USA</w:t>
            </w:r>
          </w:p>
        </w:tc>
        <w:tc>
          <w:tcPr>
            <w:tcW w:w="2093" w:type="dxa"/>
            <w:shd w:val="clear" w:color="auto" w:fill="auto"/>
          </w:tcPr>
          <w:p w14:paraId="5077D61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Two case studies (two scandals). In total, 46 different NYT stories and 14 secondary sources were identified for the New York case study. 90 BBC television and radio </w:t>
            </w:r>
            <w:r w:rsidRPr="008C181A">
              <w:rPr>
                <w:rFonts w:eastAsia="Times New Roman" w:cstheme="minorHAnsi"/>
                <w:sz w:val="18"/>
                <w:szCs w:val="18"/>
                <w:lang w:eastAsia="en-GB"/>
              </w:rPr>
              <w:lastRenderedPageBreak/>
              <w:t>stories, and 14 secondary sources for the UK case were identified.</w:t>
            </w:r>
          </w:p>
        </w:tc>
        <w:tc>
          <w:tcPr>
            <w:tcW w:w="1324" w:type="dxa"/>
            <w:shd w:val="clear" w:color="auto" w:fill="auto"/>
          </w:tcPr>
          <w:p w14:paraId="205C83A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Care homes</w:t>
            </w:r>
          </w:p>
        </w:tc>
        <w:tc>
          <w:tcPr>
            <w:tcW w:w="1232" w:type="dxa"/>
            <w:shd w:val="clear" w:color="auto" w:fill="auto"/>
          </w:tcPr>
          <w:p w14:paraId="18325A1C" w14:textId="391E879A"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Qualitative </w:t>
            </w:r>
            <w:r w:rsidR="000464D5" w:rsidRPr="008C181A">
              <w:rPr>
                <w:rFonts w:eastAsia="Times New Roman" w:cstheme="minorHAnsi"/>
                <w:sz w:val="18"/>
                <w:szCs w:val="18"/>
                <w:lang w:eastAsia="en-GB"/>
              </w:rPr>
              <w:t>(</w:t>
            </w:r>
            <w:r w:rsidRPr="008C181A">
              <w:rPr>
                <w:rFonts w:eastAsia="Times New Roman" w:cstheme="minorHAnsi"/>
                <w:sz w:val="18"/>
                <w:szCs w:val="18"/>
                <w:lang w:eastAsia="en-GB"/>
              </w:rPr>
              <w:t>document-ary analysis)</w:t>
            </w:r>
          </w:p>
        </w:tc>
        <w:tc>
          <w:tcPr>
            <w:tcW w:w="1843" w:type="dxa"/>
            <w:shd w:val="clear" w:color="auto" w:fill="auto"/>
          </w:tcPr>
          <w:p w14:paraId="5EB7948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compare two scandals related to the care of individuals with intellectual disabilities in the USA and the UK.</w:t>
            </w:r>
          </w:p>
        </w:tc>
        <w:tc>
          <w:tcPr>
            <w:tcW w:w="3260" w:type="dxa"/>
            <w:shd w:val="clear" w:color="auto" w:fill="auto"/>
          </w:tcPr>
          <w:p w14:paraId="43C8D269" w14:textId="77777777" w:rsidR="00D92261" w:rsidRPr="008C181A" w:rsidRDefault="00D92261" w:rsidP="00A516FE">
            <w:pPr>
              <w:autoSpaceDE w:val="0"/>
              <w:autoSpaceDN w:val="0"/>
              <w:adjustRightInd w:val="0"/>
              <w:spacing w:after="0" w:line="240" w:lineRule="auto"/>
              <w:rPr>
                <w:rFonts w:eastAsia="Times New Roman" w:cstheme="minorHAnsi"/>
                <w:sz w:val="18"/>
                <w:szCs w:val="18"/>
                <w:lang w:eastAsia="en-GB"/>
              </w:rPr>
            </w:pPr>
            <w:r w:rsidRPr="008C181A">
              <w:rPr>
                <w:rFonts w:cstheme="minorHAnsi"/>
                <w:sz w:val="18"/>
                <w:szCs w:val="18"/>
              </w:rPr>
              <w:t xml:space="preserve">Both cases offered confirmatory support to extant theories of abuse, and to wider policy trends within intellectual disabilities. </w:t>
            </w:r>
          </w:p>
          <w:p w14:paraId="0A3CCCCE" w14:textId="77777777" w:rsidR="00D92261" w:rsidRPr="008C181A" w:rsidRDefault="00D92261" w:rsidP="00A516FE">
            <w:pPr>
              <w:spacing w:after="0" w:line="240" w:lineRule="auto"/>
              <w:rPr>
                <w:rFonts w:eastAsia="Times New Roman" w:cstheme="minorHAnsi"/>
                <w:sz w:val="18"/>
                <w:szCs w:val="18"/>
                <w:lang w:eastAsia="en-GB"/>
              </w:rPr>
            </w:pPr>
          </w:p>
        </w:tc>
        <w:tc>
          <w:tcPr>
            <w:tcW w:w="709" w:type="dxa"/>
          </w:tcPr>
          <w:p w14:paraId="5989B953" w14:textId="77777777" w:rsidR="00D92261" w:rsidRPr="008C181A" w:rsidRDefault="00D92261" w:rsidP="00A516FE">
            <w:pPr>
              <w:autoSpaceDE w:val="0"/>
              <w:autoSpaceDN w:val="0"/>
              <w:adjustRightInd w:val="0"/>
              <w:spacing w:after="0" w:line="240" w:lineRule="auto"/>
              <w:ind w:right="2286"/>
              <w:rPr>
                <w:rFonts w:cstheme="minorHAnsi"/>
                <w:sz w:val="18"/>
                <w:szCs w:val="18"/>
              </w:rPr>
            </w:pPr>
            <w:r w:rsidRPr="008C181A">
              <w:rPr>
                <w:rFonts w:cstheme="minorHAnsi"/>
                <w:sz w:val="18"/>
                <w:szCs w:val="18"/>
              </w:rPr>
              <w:t>3</w:t>
            </w:r>
          </w:p>
        </w:tc>
      </w:tr>
      <w:tr w:rsidR="008C181A" w:rsidRPr="008C181A" w14:paraId="6A6FE6DC" w14:textId="77777777" w:rsidTr="00A516FE">
        <w:trPr>
          <w:trHeight w:val="1643"/>
        </w:trPr>
        <w:tc>
          <w:tcPr>
            <w:tcW w:w="1146" w:type="dxa"/>
            <w:shd w:val="clear" w:color="auto" w:fill="auto"/>
          </w:tcPr>
          <w:p w14:paraId="38BE479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25. Hollomotz (2012)</w:t>
            </w:r>
          </w:p>
        </w:tc>
        <w:tc>
          <w:tcPr>
            <w:tcW w:w="1573" w:type="dxa"/>
            <w:shd w:val="clear" w:color="auto" w:fill="auto"/>
          </w:tcPr>
          <w:p w14:paraId="76CE30F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 lad tried to get hold of my boobs, so I kicked him’: an examination of attempts by adults with learning difficulties to initiate their own safeguarding</w:t>
            </w:r>
          </w:p>
        </w:tc>
        <w:tc>
          <w:tcPr>
            <w:tcW w:w="962" w:type="dxa"/>
            <w:shd w:val="clear" w:color="auto" w:fill="auto"/>
          </w:tcPr>
          <w:p w14:paraId="5F39794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3AED807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Adults with mild/moderate learning difficulties (n = 12 men, n = 17 women, aged 22-68)</w:t>
            </w:r>
          </w:p>
        </w:tc>
        <w:tc>
          <w:tcPr>
            <w:tcW w:w="1324" w:type="dxa"/>
            <w:shd w:val="clear" w:color="auto" w:fill="auto"/>
          </w:tcPr>
          <w:p w14:paraId="4466248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50% lived with their parents/other family member, 25% lived</w:t>
            </w:r>
            <w:r w:rsidRPr="008C181A">
              <w:rPr>
                <w:rFonts w:eastAsia="Times New Roman" w:cstheme="minorHAnsi"/>
                <w:sz w:val="18"/>
                <w:szCs w:val="18"/>
                <w:lang w:eastAsia="en-GB"/>
              </w:rPr>
              <w:br/>
              <w:t xml:space="preserve">in residential group settings, and 25% lived on their own/ with a partner. </w:t>
            </w:r>
          </w:p>
        </w:tc>
        <w:tc>
          <w:tcPr>
            <w:tcW w:w="1232" w:type="dxa"/>
            <w:shd w:val="clear" w:color="auto" w:fill="auto"/>
          </w:tcPr>
          <w:p w14:paraId="1D93497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3675796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highlight the resistance skills that are prevalent amongst some people with learning difficulties.</w:t>
            </w:r>
          </w:p>
        </w:tc>
        <w:tc>
          <w:tcPr>
            <w:tcW w:w="3260" w:type="dxa"/>
            <w:shd w:val="clear" w:color="auto" w:fill="auto"/>
          </w:tcPr>
          <w:p w14:paraId="53C00A5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50% of participants reported an incident of physical or emotional violence. All participants knew of their right not to be violated or exploited. Most were able to identify risks and plan protective interventions in hypothetical scenarios. In most cases respondents described that risky situations are best handled by asking for assistance.</w:t>
            </w:r>
          </w:p>
        </w:tc>
        <w:tc>
          <w:tcPr>
            <w:tcW w:w="709" w:type="dxa"/>
          </w:tcPr>
          <w:p w14:paraId="095A5B5E"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3</w:t>
            </w:r>
          </w:p>
        </w:tc>
      </w:tr>
      <w:tr w:rsidR="008C181A" w:rsidRPr="008C181A" w14:paraId="463F13A1" w14:textId="77777777" w:rsidTr="00A516FE">
        <w:trPr>
          <w:trHeight w:val="1124"/>
        </w:trPr>
        <w:tc>
          <w:tcPr>
            <w:tcW w:w="1146" w:type="dxa"/>
            <w:shd w:val="clear" w:color="auto" w:fill="auto"/>
          </w:tcPr>
          <w:p w14:paraId="61F86B3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26. Humphreys et al. (2020)</w:t>
            </w:r>
          </w:p>
        </w:tc>
        <w:tc>
          <w:tcPr>
            <w:tcW w:w="1573" w:type="dxa"/>
            <w:shd w:val="clear" w:color="auto" w:fill="auto"/>
          </w:tcPr>
          <w:p w14:paraId="123659B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Development and psychometric evaluation of the Group Home Culture Scale</w:t>
            </w:r>
          </w:p>
        </w:tc>
        <w:tc>
          <w:tcPr>
            <w:tcW w:w="962" w:type="dxa"/>
            <w:shd w:val="clear" w:color="auto" w:fill="auto"/>
          </w:tcPr>
          <w:p w14:paraId="4A1CFD4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Australia</w:t>
            </w:r>
          </w:p>
        </w:tc>
        <w:tc>
          <w:tcPr>
            <w:tcW w:w="2093" w:type="dxa"/>
            <w:shd w:val="clear" w:color="auto" w:fill="auto"/>
          </w:tcPr>
          <w:p w14:paraId="552C616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343 professionals</w:t>
            </w:r>
          </w:p>
        </w:tc>
        <w:tc>
          <w:tcPr>
            <w:tcW w:w="1324" w:type="dxa"/>
            <w:shd w:val="clear" w:color="auto" w:fill="auto"/>
          </w:tcPr>
          <w:p w14:paraId="22A2A95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Group homes</w:t>
            </w:r>
          </w:p>
        </w:tc>
        <w:tc>
          <w:tcPr>
            <w:tcW w:w="1232" w:type="dxa"/>
            <w:shd w:val="clear" w:color="auto" w:fill="auto"/>
          </w:tcPr>
          <w:p w14:paraId="5547CD3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(literature review, expert review, cognitive interviews, exploratory factor analysis).</w:t>
            </w:r>
          </w:p>
        </w:tc>
        <w:tc>
          <w:tcPr>
            <w:tcW w:w="1843" w:type="dxa"/>
            <w:shd w:val="clear" w:color="auto" w:fill="auto"/>
          </w:tcPr>
          <w:p w14:paraId="3E98A9E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develop the Group Home Culture Scale to measure the influence of organizational culture in group homes for people with intellectual disabilities on staff behaviour and residents’ quality of life.</w:t>
            </w:r>
          </w:p>
        </w:tc>
        <w:tc>
          <w:tcPr>
            <w:tcW w:w="3260" w:type="dxa"/>
            <w:shd w:val="clear" w:color="auto" w:fill="auto"/>
          </w:tcPr>
          <w:p w14:paraId="01BB8EA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scale measured seven dimensions of group home culture (supported well-being, factional, effective team leadership, collaboration within the organisation, valuing residents and relationships, social distance from residents, alignment of staff with organisational values). The content and face validity of the scale were acceptable.</w:t>
            </w:r>
          </w:p>
        </w:tc>
        <w:tc>
          <w:tcPr>
            <w:tcW w:w="709" w:type="dxa"/>
          </w:tcPr>
          <w:p w14:paraId="135BDD22"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0488B7A5" w14:textId="77777777" w:rsidTr="00A516FE">
        <w:trPr>
          <w:trHeight w:val="1643"/>
        </w:trPr>
        <w:tc>
          <w:tcPr>
            <w:tcW w:w="1146" w:type="dxa"/>
            <w:shd w:val="clear" w:color="auto" w:fill="auto"/>
          </w:tcPr>
          <w:p w14:paraId="7CE0F3C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27. Hussein et al. (2009)</w:t>
            </w:r>
          </w:p>
        </w:tc>
        <w:tc>
          <w:tcPr>
            <w:tcW w:w="1573" w:type="dxa"/>
            <w:shd w:val="clear" w:color="auto" w:fill="auto"/>
          </w:tcPr>
          <w:p w14:paraId="5CF4455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Articulating the improvement of care standards: The operation of a barring and vetting scheme in social care</w:t>
            </w:r>
          </w:p>
        </w:tc>
        <w:tc>
          <w:tcPr>
            <w:tcW w:w="962" w:type="dxa"/>
            <w:shd w:val="clear" w:color="auto" w:fill="auto"/>
          </w:tcPr>
          <w:p w14:paraId="22163CE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4A2C541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5294 care staff referrals to the Protection of Vulnerable Adults list between 2004-2006.</w:t>
            </w:r>
          </w:p>
        </w:tc>
        <w:tc>
          <w:tcPr>
            <w:tcW w:w="1324" w:type="dxa"/>
            <w:shd w:val="clear" w:color="auto" w:fill="auto"/>
          </w:tcPr>
          <w:p w14:paraId="21A4050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All care settings</w:t>
            </w:r>
          </w:p>
        </w:tc>
        <w:tc>
          <w:tcPr>
            <w:tcW w:w="1232" w:type="dxa"/>
            <w:shd w:val="clear" w:color="auto" w:fill="auto"/>
          </w:tcPr>
          <w:p w14:paraId="2C628AC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(document-ary analysis)</w:t>
            </w:r>
          </w:p>
        </w:tc>
        <w:tc>
          <w:tcPr>
            <w:tcW w:w="1843" w:type="dxa"/>
            <w:shd w:val="clear" w:color="auto" w:fill="auto"/>
          </w:tcPr>
          <w:p w14:paraId="5B71EF7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investigate the decision making of the POVA scheme and make recommendations for policy.</w:t>
            </w:r>
          </w:p>
        </w:tc>
        <w:tc>
          <w:tcPr>
            <w:tcW w:w="3260" w:type="dxa"/>
            <w:shd w:val="clear" w:color="auto" w:fill="auto"/>
          </w:tcPr>
          <w:p w14:paraId="3CFBC06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Almost all employers had undertaken inquiry and disciplinary processes prior to referring the staff member to POVA. In 6% of referrals there had there been no employer’s investigation, in 77% employers’ investigations had resulted in some form of disciplinary action. 58% of referrals were closed and the worker not placed on the list. Referrals from residential care settings and those relating to financial, emotional or sexual forms of alleged abuse were more likely to be confirmed. Among referrals where a decision had been made, it took the </w:t>
            </w:r>
            <w:r w:rsidRPr="008C181A">
              <w:rPr>
                <w:rFonts w:eastAsia="Times New Roman" w:cstheme="minorHAnsi"/>
                <w:sz w:val="18"/>
                <w:szCs w:val="18"/>
                <w:lang w:eastAsia="en-GB"/>
              </w:rPr>
              <w:lastRenderedPageBreak/>
              <w:t>POVA team an average of 5.8 months to be in a position to reach that decision.</w:t>
            </w:r>
          </w:p>
        </w:tc>
        <w:tc>
          <w:tcPr>
            <w:tcW w:w="709" w:type="dxa"/>
          </w:tcPr>
          <w:p w14:paraId="21102C85"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4</w:t>
            </w:r>
          </w:p>
        </w:tc>
      </w:tr>
      <w:tr w:rsidR="008C181A" w:rsidRPr="008C181A" w14:paraId="082EA739" w14:textId="77777777" w:rsidTr="00A516FE">
        <w:trPr>
          <w:trHeight w:val="1643"/>
        </w:trPr>
        <w:tc>
          <w:tcPr>
            <w:tcW w:w="1146" w:type="dxa"/>
            <w:shd w:val="clear" w:color="auto" w:fill="auto"/>
          </w:tcPr>
          <w:p w14:paraId="0BF9F9C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28. Hutchison &amp; Kroese (2016)</w:t>
            </w:r>
          </w:p>
        </w:tc>
        <w:tc>
          <w:tcPr>
            <w:tcW w:w="1573" w:type="dxa"/>
            <w:shd w:val="clear" w:color="auto" w:fill="auto"/>
          </w:tcPr>
          <w:p w14:paraId="0FF1048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Making sense of varying standards of care: the experiences of staff working in residential care environments for adults with learning disabilities</w:t>
            </w:r>
          </w:p>
        </w:tc>
        <w:tc>
          <w:tcPr>
            <w:tcW w:w="962" w:type="dxa"/>
            <w:shd w:val="clear" w:color="auto" w:fill="auto"/>
          </w:tcPr>
          <w:p w14:paraId="2C47FE8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60FC0CB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6 professionals</w:t>
            </w:r>
          </w:p>
        </w:tc>
        <w:tc>
          <w:tcPr>
            <w:tcW w:w="1324" w:type="dxa"/>
            <w:shd w:val="clear" w:color="auto" w:fill="auto"/>
          </w:tcPr>
          <w:p w14:paraId="408148A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care</w:t>
            </w:r>
          </w:p>
        </w:tc>
        <w:tc>
          <w:tcPr>
            <w:tcW w:w="1232" w:type="dxa"/>
            <w:shd w:val="clear" w:color="auto" w:fill="auto"/>
          </w:tcPr>
          <w:p w14:paraId="3ACD565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7276CE8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describe the experiences of six care workers currently working in residential homes.</w:t>
            </w:r>
          </w:p>
        </w:tc>
        <w:tc>
          <w:tcPr>
            <w:tcW w:w="3260" w:type="dxa"/>
            <w:shd w:val="clear" w:color="auto" w:fill="auto"/>
          </w:tcPr>
          <w:p w14:paraId="52DDF95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Three things were found to be important aspects of care workers experiences: degree of positive relationship reciprocity; value congruence and intrinsic motivation; and experiences of environmental and organisational constraints.</w:t>
            </w:r>
          </w:p>
        </w:tc>
        <w:tc>
          <w:tcPr>
            <w:tcW w:w="709" w:type="dxa"/>
          </w:tcPr>
          <w:p w14:paraId="28B378D1"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737BA5A6" w14:textId="77777777" w:rsidTr="00A516FE">
        <w:trPr>
          <w:trHeight w:val="1643"/>
        </w:trPr>
        <w:tc>
          <w:tcPr>
            <w:tcW w:w="1146" w:type="dxa"/>
            <w:shd w:val="clear" w:color="auto" w:fill="auto"/>
          </w:tcPr>
          <w:p w14:paraId="00D1D92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29. </w:t>
            </w:r>
            <w:bookmarkStart w:id="20" w:name="_Hlk55898214"/>
            <w:r w:rsidRPr="008C181A">
              <w:rPr>
                <w:rFonts w:eastAsia="Times New Roman" w:cstheme="minorHAnsi"/>
                <w:sz w:val="18"/>
                <w:szCs w:val="18"/>
                <w:lang w:eastAsia="en-GB"/>
              </w:rPr>
              <w:t>Jones &amp; Kroese (2006)</w:t>
            </w:r>
            <w:bookmarkEnd w:id="20"/>
          </w:p>
        </w:tc>
        <w:tc>
          <w:tcPr>
            <w:tcW w:w="1573" w:type="dxa"/>
            <w:shd w:val="clear" w:color="auto" w:fill="auto"/>
          </w:tcPr>
          <w:p w14:paraId="0D845D6D" w14:textId="77777777" w:rsidR="00D92261" w:rsidRPr="008C181A" w:rsidRDefault="00D92261" w:rsidP="00A516FE">
            <w:pPr>
              <w:spacing w:after="0" w:line="240" w:lineRule="auto"/>
              <w:rPr>
                <w:rFonts w:eastAsia="Times New Roman" w:cstheme="minorHAnsi"/>
                <w:sz w:val="18"/>
                <w:szCs w:val="18"/>
                <w:lang w:eastAsia="en-GB"/>
              </w:rPr>
            </w:pPr>
            <w:bookmarkStart w:id="21" w:name="_Hlk55898234"/>
            <w:r w:rsidRPr="008C181A">
              <w:rPr>
                <w:rFonts w:eastAsia="Times New Roman" w:cstheme="minorHAnsi"/>
                <w:sz w:val="18"/>
                <w:szCs w:val="18"/>
                <w:lang w:eastAsia="en-GB"/>
              </w:rPr>
              <w:t>Service users' views of physical restraint procedures in secure settings for people with learning disabilities</w:t>
            </w:r>
            <w:bookmarkEnd w:id="21"/>
          </w:p>
        </w:tc>
        <w:tc>
          <w:tcPr>
            <w:tcW w:w="962" w:type="dxa"/>
            <w:shd w:val="clear" w:color="auto" w:fill="auto"/>
          </w:tcPr>
          <w:p w14:paraId="2A00D12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7C6581A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Service-users (7 males, 3 females) with mild learning disabilities who had been restrained at least once in the previous 6 months. Mean age 39.3 years.</w:t>
            </w:r>
          </w:p>
        </w:tc>
        <w:tc>
          <w:tcPr>
            <w:tcW w:w="1324" w:type="dxa"/>
            <w:shd w:val="clear" w:color="auto" w:fill="auto"/>
          </w:tcPr>
          <w:p w14:paraId="5D2ACA4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 secure residential facilities for people with learning disabilities</w:t>
            </w:r>
          </w:p>
        </w:tc>
        <w:tc>
          <w:tcPr>
            <w:tcW w:w="1232" w:type="dxa"/>
            <w:shd w:val="clear" w:color="auto" w:fill="auto"/>
          </w:tcPr>
          <w:p w14:paraId="4D9DE9D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3E21C3B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examine the views of service-users from secure residential facilities who are restrained frequently.</w:t>
            </w:r>
          </w:p>
        </w:tc>
        <w:tc>
          <w:tcPr>
            <w:tcW w:w="3260" w:type="dxa"/>
            <w:shd w:val="clear" w:color="auto" w:fill="auto"/>
          </w:tcPr>
          <w:p w14:paraId="305E03B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Restraint can lead to potentially abusive situations. Staff should try other approaches before restraining someone. Service-users were divided on whether restraint calmed them down and whether staff enjoyed performing restraint. Four participants indicated that they had experiences abusive restraint procedures. Two participants described incidents of improper and abusive practice that had been dealt with by appropriate bodies.</w:t>
            </w:r>
          </w:p>
        </w:tc>
        <w:tc>
          <w:tcPr>
            <w:tcW w:w="709" w:type="dxa"/>
          </w:tcPr>
          <w:p w14:paraId="21C090B1"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72FFD516" w14:textId="77777777" w:rsidTr="00A516FE">
        <w:trPr>
          <w:trHeight w:val="1643"/>
        </w:trPr>
        <w:tc>
          <w:tcPr>
            <w:tcW w:w="1146" w:type="dxa"/>
            <w:shd w:val="clear" w:color="auto" w:fill="auto"/>
          </w:tcPr>
          <w:p w14:paraId="698EB8D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30. Langdon et al. (2006)</w:t>
            </w:r>
          </w:p>
        </w:tc>
        <w:tc>
          <w:tcPr>
            <w:tcW w:w="1573" w:type="dxa"/>
            <w:shd w:val="clear" w:color="auto" w:fill="auto"/>
          </w:tcPr>
          <w:p w14:paraId="2356849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Social climate within secure inpatient services for people with intellectual disability</w:t>
            </w:r>
          </w:p>
        </w:tc>
        <w:tc>
          <w:tcPr>
            <w:tcW w:w="962" w:type="dxa"/>
            <w:shd w:val="clear" w:color="auto" w:fill="auto"/>
          </w:tcPr>
          <w:p w14:paraId="4929AFA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F44A43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37 professionals and 18 service-users with mild/moderate intellectual disabilities and history of engagement in criminal offending behaviour.</w:t>
            </w:r>
          </w:p>
        </w:tc>
        <w:tc>
          <w:tcPr>
            <w:tcW w:w="1324" w:type="dxa"/>
            <w:shd w:val="clear" w:color="auto" w:fill="auto"/>
          </w:tcPr>
          <w:p w14:paraId="675C7FD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Low/medium secure service</w:t>
            </w:r>
          </w:p>
        </w:tc>
        <w:tc>
          <w:tcPr>
            <w:tcW w:w="1232" w:type="dxa"/>
            <w:shd w:val="clear" w:color="auto" w:fill="auto"/>
          </w:tcPr>
          <w:p w14:paraId="62A114E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Quantitative-Between subject’s design</w:t>
            </w:r>
          </w:p>
        </w:tc>
        <w:tc>
          <w:tcPr>
            <w:tcW w:w="1843" w:type="dxa"/>
            <w:shd w:val="clear" w:color="auto" w:fill="auto"/>
          </w:tcPr>
          <w:p w14:paraId="58AAB0F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investigate the social climate of two different types of secure units (‘low’ secure vs. ‘medium’ secure) contained within the</w:t>
            </w:r>
          </w:p>
          <w:p w14:paraId="2752BFA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same facility for offenders with intellectual disabilities.</w:t>
            </w:r>
          </w:p>
        </w:tc>
        <w:tc>
          <w:tcPr>
            <w:tcW w:w="3260" w:type="dxa"/>
            <w:shd w:val="clear" w:color="auto" w:fill="auto"/>
          </w:tcPr>
          <w:p w14:paraId="2C903D8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Service-users rated the units in a more positive direction than staff on some sub-scales of the Correctional Institutions Environment Scale (CIES): involvement, support, personal problem orientation, and staff control. Service-users rated the ‘low’ secure unit in a more positive direction than the ‘medium’ secure unit on practical orientation &amp; personal problem orientation. However, on selected sub-scales there were staff vs </w:t>
            </w:r>
            <w:r w:rsidRPr="008C181A">
              <w:rPr>
                <w:rFonts w:eastAsia="Times New Roman" w:cstheme="minorHAnsi"/>
                <w:sz w:val="18"/>
                <w:szCs w:val="18"/>
                <w:lang w:eastAsia="en-GB"/>
              </w:rPr>
              <w:lastRenderedPageBreak/>
              <w:t>SU?? differences. The CIES may be a valid instrument for use within forensic services for people with intellectual disabilities.</w:t>
            </w:r>
          </w:p>
        </w:tc>
        <w:tc>
          <w:tcPr>
            <w:tcW w:w="709" w:type="dxa"/>
          </w:tcPr>
          <w:p w14:paraId="3495D457"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2</w:t>
            </w:r>
          </w:p>
        </w:tc>
      </w:tr>
      <w:tr w:rsidR="008C181A" w:rsidRPr="008C181A" w14:paraId="369968CB" w14:textId="77777777" w:rsidTr="00A516FE">
        <w:trPr>
          <w:trHeight w:val="1643"/>
        </w:trPr>
        <w:tc>
          <w:tcPr>
            <w:tcW w:w="1146" w:type="dxa"/>
            <w:shd w:val="clear" w:color="auto" w:fill="auto"/>
          </w:tcPr>
          <w:p w14:paraId="5B9E91C5" w14:textId="77777777" w:rsidR="00D92261" w:rsidRPr="008C181A" w:rsidRDefault="00D92261" w:rsidP="00A516FE">
            <w:pPr>
              <w:spacing w:after="0" w:line="240" w:lineRule="auto"/>
              <w:rPr>
                <w:rFonts w:eastAsia="Times New Roman" w:cstheme="minorHAnsi"/>
                <w:sz w:val="18"/>
                <w:szCs w:val="18"/>
                <w:lang w:eastAsia="en-GB"/>
              </w:rPr>
            </w:pPr>
            <w:bookmarkStart w:id="22" w:name="_Hlk51673009"/>
            <w:r w:rsidRPr="008C181A">
              <w:rPr>
                <w:rFonts w:eastAsia="Times New Roman" w:cstheme="minorHAnsi"/>
                <w:sz w:val="18"/>
                <w:szCs w:val="18"/>
                <w:lang w:eastAsia="en-GB"/>
              </w:rPr>
              <w:t>31. Manthorpe &amp; Martineau (2015)</w:t>
            </w:r>
          </w:p>
        </w:tc>
        <w:tc>
          <w:tcPr>
            <w:tcW w:w="1573" w:type="dxa"/>
            <w:shd w:val="clear" w:color="auto" w:fill="auto"/>
          </w:tcPr>
          <w:p w14:paraId="6D4B183E" w14:textId="77777777" w:rsidR="00D92261" w:rsidRPr="008C181A" w:rsidRDefault="00D92261" w:rsidP="00A516FE">
            <w:pPr>
              <w:spacing w:after="0" w:line="240" w:lineRule="auto"/>
              <w:rPr>
                <w:rFonts w:eastAsia="Times New Roman" w:cstheme="minorHAnsi"/>
                <w:sz w:val="18"/>
                <w:szCs w:val="18"/>
                <w:lang w:eastAsia="en-GB"/>
              </w:rPr>
            </w:pPr>
            <w:bookmarkStart w:id="23" w:name="_Hlk51673021"/>
            <w:r w:rsidRPr="008C181A">
              <w:rPr>
                <w:rFonts w:eastAsia="Times New Roman" w:cstheme="minorHAnsi"/>
                <w:sz w:val="18"/>
                <w:szCs w:val="18"/>
                <w:lang w:eastAsia="en-GB"/>
              </w:rPr>
              <w:t>What Can and Cannot Be Learned from Serious Case Reviews of the Care and Treatment of Adults with Learning Disabilities in England? Messages for Social Workers</w:t>
            </w:r>
            <w:bookmarkEnd w:id="23"/>
          </w:p>
        </w:tc>
        <w:tc>
          <w:tcPr>
            <w:tcW w:w="962" w:type="dxa"/>
            <w:shd w:val="clear" w:color="auto" w:fill="auto"/>
          </w:tcPr>
          <w:p w14:paraId="74EDEF0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66F76D4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21 Serious Case Reviews</w:t>
            </w:r>
          </w:p>
        </w:tc>
        <w:tc>
          <w:tcPr>
            <w:tcW w:w="1324" w:type="dxa"/>
            <w:shd w:val="clear" w:color="auto" w:fill="auto"/>
          </w:tcPr>
          <w:p w14:paraId="3D2739B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Range of services</w:t>
            </w:r>
          </w:p>
        </w:tc>
        <w:tc>
          <w:tcPr>
            <w:tcW w:w="1232" w:type="dxa"/>
            <w:shd w:val="clear" w:color="auto" w:fill="auto"/>
          </w:tcPr>
          <w:p w14:paraId="24DF13C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(document-ary analysis)</w:t>
            </w:r>
          </w:p>
        </w:tc>
        <w:tc>
          <w:tcPr>
            <w:tcW w:w="1843" w:type="dxa"/>
            <w:shd w:val="clear" w:color="auto" w:fill="auto"/>
          </w:tcPr>
          <w:p w14:paraId="1D06866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investigate Serious Case Reviews for vulnerable adults where the person who was at risk of harm had a learning disability.</w:t>
            </w:r>
          </w:p>
        </w:tc>
        <w:tc>
          <w:tcPr>
            <w:tcW w:w="3260" w:type="dxa"/>
            <w:shd w:val="clear" w:color="auto" w:fill="auto"/>
          </w:tcPr>
          <w:p w14:paraId="1E5EA70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 themes were identified (staff relationships, family and carers, and biography and chronology) resulting in the need for better care plans for people with complex needs, to monitor of out-of-area placements, and ensure issues of concern are collated.</w:t>
            </w:r>
          </w:p>
        </w:tc>
        <w:tc>
          <w:tcPr>
            <w:tcW w:w="709" w:type="dxa"/>
          </w:tcPr>
          <w:p w14:paraId="3039DB28"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4</w:t>
            </w:r>
          </w:p>
        </w:tc>
      </w:tr>
      <w:bookmarkEnd w:id="22"/>
      <w:tr w:rsidR="008C181A" w:rsidRPr="008C181A" w14:paraId="1786504A" w14:textId="77777777" w:rsidTr="00A516FE">
        <w:trPr>
          <w:trHeight w:val="699"/>
        </w:trPr>
        <w:tc>
          <w:tcPr>
            <w:tcW w:w="1146" w:type="dxa"/>
            <w:shd w:val="clear" w:color="auto" w:fill="auto"/>
          </w:tcPr>
          <w:p w14:paraId="365616BA"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32. Marchetti &amp; McCarthy (1990)</w:t>
            </w:r>
          </w:p>
        </w:tc>
        <w:tc>
          <w:tcPr>
            <w:tcW w:w="1573" w:type="dxa"/>
            <w:shd w:val="clear" w:color="auto" w:fill="auto"/>
          </w:tcPr>
          <w:p w14:paraId="1FB2B56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Abuse of persons with mental retardation: Characteristics of the abused, the abusers and the informers.</w:t>
            </w:r>
          </w:p>
        </w:tc>
        <w:tc>
          <w:tcPr>
            <w:tcW w:w="962" w:type="dxa"/>
            <w:shd w:val="clear" w:color="auto" w:fill="auto"/>
          </w:tcPr>
          <w:p w14:paraId="25E56C4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6D78E84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55 cases of confirmed abuse/neglect during a 33-month period in 4 state-operated residential facilities for persons with mental retardation.</w:t>
            </w:r>
          </w:p>
        </w:tc>
        <w:tc>
          <w:tcPr>
            <w:tcW w:w="1324" w:type="dxa"/>
            <w:shd w:val="clear" w:color="auto" w:fill="auto"/>
          </w:tcPr>
          <w:p w14:paraId="5273632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Residential facilities </w:t>
            </w:r>
          </w:p>
        </w:tc>
        <w:tc>
          <w:tcPr>
            <w:tcW w:w="1232" w:type="dxa"/>
            <w:shd w:val="clear" w:color="auto" w:fill="auto"/>
          </w:tcPr>
          <w:p w14:paraId="2FB0938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(database analysis)</w:t>
            </w:r>
          </w:p>
        </w:tc>
        <w:tc>
          <w:tcPr>
            <w:tcW w:w="1843" w:type="dxa"/>
            <w:shd w:val="clear" w:color="auto" w:fill="auto"/>
          </w:tcPr>
          <w:p w14:paraId="2418AE9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analyse data from confirmed incidents of abuse in public residential facilities.</w:t>
            </w:r>
          </w:p>
        </w:tc>
        <w:tc>
          <w:tcPr>
            <w:tcW w:w="3260" w:type="dxa"/>
            <w:shd w:val="clear" w:color="auto" w:fill="auto"/>
          </w:tcPr>
          <w:p w14:paraId="61EF673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number of confirmed incidents of abuse were relatively small, that. direct care staff members committed and reported most incidents of abuse (46%), and that most. Incidents of abuse occurred on the second shift (11am-3pm). Although abuse also occurred frequently occurred (40%) on the first shift also (6-9am). Abused residents were similar to the general resident population on basic demographic variables, but more abused residents were in the upper IQ and adaptive behaviour levels. Abuse committers were more often males than females.</w:t>
            </w:r>
          </w:p>
        </w:tc>
        <w:tc>
          <w:tcPr>
            <w:tcW w:w="709" w:type="dxa"/>
          </w:tcPr>
          <w:p w14:paraId="3857B34D"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47AE811A" w14:textId="77777777" w:rsidTr="00A516FE">
        <w:trPr>
          <w:trHeight w:val="416"/>
        </w:trPr>
        <w:tc>
          <w:tcPr>
            <w:tcW w:w="1146" w:type="dxa"/>
            <w:shd w:val="clear" w:color="auto" w:fill="auto"/>
          </w:tcPr>
          <w:p w14:paraId="16C2ED05" w14:textId="77777777" w:rsidR="00D92261" w:rsidRPr="008C181A" w:rsidRDefault="00D92261" w:rsidP="00A516FE">
            <w:pPr>
              <w:spacing w:after="0" w:line="240" w:lineRule="auto"/>
              <w:rPr>
                <w:rFonts w:eastAsia="Times New Roman" w:cstheme="minorHAnsi"/>
                <w:sz w:val="18"/>
                <w:szCs w:val="18"/>
                <w:lang w:eastAsia="en-GB"/>
              </w:rPr>
            </w:pPr>
            <w:bookmarkStart w:id="24" w:name="_Hlk51673923"/>
            <w:r w:rsidRPr="008C181A">
              <w:rPr>
                <w:rFonts w:cstheme="minorHAnsi"/>
                <w:sz w:val="18"/>
                <w:szCs w:val="18"/>
              </w:rPr>
              <w:t>33. Marsland et al. (2007)</w:t>
            </w:r>
            <w:bookmarkEnd w:id="24"/>
          </w:p>
        </w:tc>
        <w:tc>
          <w:tcPr>
            <w:tcW w:w="1573" w:type="dxa"/>
            <w:shd w:val="clear" w:color="auto" w:fill="auto"/>
          </w:tcPr>
          <w:p w14:paraId="4F0B8CE4" w14:textId="77777777" w:rsidR="00D92261" w:rsidRPr="008C181A" w:rsidRDefault="00D92261" w:rsidP="00A516FE">
            <w:pPr>
              <w:spacing w:after="0" w:line="240" w:lineRule="auto"/>
              <w:rPr>
                <w:rFonts w:eastAsia="Times New Roman" w:cstheme="minorHAnsi"/>
                <w:sz w:val="18"/>
                <w:szCs w:val="18"/>
                <w:lang w:eastAsia="en-GB"/>
              </w:rPr>
            </w:pPr>
            <w:bookmarkStart w:id="25" w:name="_Hlk51673983"/>
            <w:r w:rsidRPr="008C181A">
              <w:rPr>
                <w:rFonts w:eastAsia="Times New Roman" w:cstheme="minorHAnsi"/>
                <w:sz w:val="18"/>
                <w:szCs w:val="18"/>
                <w:lang w:eastAsia="en-GB"/>
              </w:rPr>
              <w:t xml:space="preserve">Abuse in care? The identification of early indicators of the abuse of people with </w:t>
            </w:r>
            <w:r w:rsidRPr="008C181A">
              <w:rPr>
                <w:rFonts w:eastAsia="Times New Roman" w:cstheme="minorHAnsi"/>
                <w:sz w:val="18"/>
                <w:szCs w:val="18"/>
                <w:lang w:eastAsia="en-GB"/>
              </w:rPr>
              <w:lastRenderedPageBreak/>
              <w:t>learning disabilities in residential settings</w:t>
            </w:r>
            <w:bookmarkEnd w:id="25"/>
          </w:p>
        </w:tc>
        <w:tc>
          <w:tcPr>
            <w:tcW w:w="962" w:type="dxa"/>
            <w:shd w:val="clear" w:color="auto" w:fill="auto"/>
          </w:tcPr>
          <w:p w14:paraId="0928E9E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UK</w:t>
            </w:r>
          </w:p>
        </w:tc>
        <w:tc>
          <w:tcPr>
            <w:tcW w:w="2093" w:type="dxa"/>
            <w:shd w:val="clear" w:color="auto" w:fill="auto"/>
          </w:tcPr>
          <w:p w14:paraId="01A161E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17 professionals from community</w:t>
            </w:r>
          </w:p>
          <w:p w14:paraId="273512B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learning disability teams, social services</w:t>
            </w:r>
          </w:p>
          <w:p w14:paraId="3A1ABFE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departments and voluntary sector agencies, and 3 family members who had been in direct contact with services that went on to be identified as settings in which abuse of people with learning disabilities had occurred</w:t>
            </w:r>
          </w:p>
        </w:tc>
        <w:tc>
          <w:tcPr>
            <w:tcW w:w="1324" w:type="dxa"/>
            <w:shd w:val="clear" w:color="auto" w:fill="auto"/>
          </w:tcPr>
          <w:p w14:paraId="2F400D3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Residential and day services (including family home, </w:t>
            </w:r>
            <w:r w:rsidRPr="008C181A">
              <w:rPr>
                <w:rFonts w:eastAsia="Times New Roman" w:cstheme="minorHAnsi"/>
                <w:sz w:val="18"/>
                <w:szCs w:val="18"/>
                <w:lang w:eastAsia="en-GB"/>
              </w:rPr>
              <w:lastRenderedPageBreak/>
              <w:t>residential home, own home, private hospital, NHS service, specialised residential unit).</w:t>
            </w:r>
          </w:p>
        </w:tc>
        <w:tc>
          <w:tcPr>
            <w:tcW w:w="1232" w:type="dxa"/>
            <w:shd w:val="clear" w:color="auto" w:fill="auto"/>
          </w:tcPr>
          <w:p w14:paraId="4746E8E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Qualitative (interviews &amp; file review)</w:t>
            </w:r>
          </w:p>
        </w:tc>
        <w:tc>
          <w:tcPr>
            <w:tcW w:w="1843" w:type="dxa"/>
            <w:shd w:val="clear" w:color="auto" w:fill="auto"/>
          </w:tcPr>
          <w:p w14:paraId="06624A3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contribute to the prevention of abuse through the identification of 'early indicators'.</w:t>
            </w:r>
          </w:p>
        </w:tc>
        <w:tc>
          <w:tcPr>
            <w:tcW w:w="3260" w:type="dxa"/>
            <w:shd w:val="clear" w:color="auto" w:fill="auto"/>
          </w:tcPr>
          <w:p w14:paraId="03C65828" w14:textId="6344E60D"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Physical, sexual, psychological, </w:t>
            </w:r>
            <w:r w:rsidR="000464D5" w:rsidRPr="008C181A">
              <w:rPr>
                <w:rFonts w:eastAsia="Times New Roman" w:cstheme="minorHAnsi"/>
                <w:sz w:val="18"/>
                <w:szCs w:val="18"/>
                <w:lang w:eastAsia="en-GB"/>
              </w:rPr>
              <w:t>financial,</w:t>
            </w:r>
            <w:r w:rsidRPr="008C181A">
              <w:rPr>
                <w:rFonts w:eastAsia="Times New Roman" w:cstheme="minorHAnsi"/>
                <w:sz w:val="18"/>
                <w:szCs w:val="18"/>
                <w:lang w:eastAsia="en-GB"/>
              </w:rPr>
              <w:t xml:space="preserve"> and material abuses, and neglect reported. Physical and psychological abuses were the forms of abuse most frequently reported. Many of the cases </w:t>
            </w:r>
            <w:r w:rsidRPr="008C181A">
              <w:rPr>
                <w:rFonts w:eastAsia="Times New Roman" w:cstheme="minorHAnsi"/>
                <w:sz w:val="18"/>
                <w:szCs w:val="18"/>
                <w:lang w:eastAsia="en-GB"/>
              </w:rPr>
              <w:lastRenderedPageBreak/>
              <w:t>described involved multiple abuses, where individuals were abused in a variety of ways. Perpetrators of the abuses described included staff members and other residents. Themes that emerged were: the decisions, attitudes and actions of managers, the behaviours and attitudes of staff, the behaviours of people with learning disabilities, isolation, service design, placement planning and commissioning, and fundamental care and the quality of the environment.</w:t>
            </w:r>
          </w:p>
        </w:tc>
        <w:tc>
          <w:tcPr>
            <w:tcW w:w="709" w:type="dxa"/>
          </w:tcPr>
          <w:p w14:paraId="6B30BC23"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2</w:t>
            </w:r>
          </w:p>
        </w:tc>
      </w:tr>
      <w:tr w:rsidR="008C181A" w:rsidRPr="008C181A" w14:paraId="4F37D4B7" w14:textId="77777777" w:rsidTr="00A516FE">
        <w:trPr>
          <w:trHeight w:val="1643"/>
        </w:trPr>
        <w:tc>
          <w:tcPr>
            <w:tcW w:w="1146" w:type="dxa"/>
            <w:shd w:val="clear" w:color="auto" w:fill="auto"/>
          </w:tcPr>
          <w:p w14:paraId="0C9B9BFD" w14:textId="77777777" w:rsidR="00D92261" w:rsidRPr="008C181A" w:rsidRDefault="00D92261" w:rsidP="00A516FE">
            <w:pPr>
              <w:spacing w:after="0" w:line="240" w:lineRule="auto"/>
              <w:rPr>
                <w:rFonts w:cstheme="minorHAnsi"/>
                <w:sz w:val="18"/>
                <w:szCs w:val="18"/>
              </w:rPr>
            </w:pPr>
            <w:r w:rsidRPr="008C181A">
              <w:rPr>
                <w:rFonts w:eastAsia="Times New Roman" w:cstheme="minorHAnsi"/>
                <w:sz w:val="18"/>
                <w:szCs w:val="18"/>
                <w:lang w:eastAsia="en-GB"/>
              </w:rPr>
              <w:t>34. McCartney &amp; Campbell (1998)</w:t>
            </w:r>
          </w:p>
        </w:tc>
        <w:tc>
          <w:tcPr>
            <w:tcW w:w="1573" w:type="dxa"/>
            <w:shd w:val="clear" w:color="auto" w:fill="auto"/>
          </w:tcPr>
          <w:p w14:paraId="48BBEEB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Confirmed abuse cases in public residential facilities for persons with mental retardation: a multi-state study</w:t>
            </w:r>
          </w:p>
        </w:tc>
        <w:tc>
          <w:tcPr>
            <w:tcW w:w="962" w:type="dxa"/>
            <w:shd w:val="clear" w:color="auto" w:fill="auto"/>
          </w:tcPr>
          <w:p w14:paraId="6CC17FA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564A103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494 cases of abuse reported across 23 facilities people with mental retardation (63% male, mean age 34.94)  </w:t>
            </w:r>
          </w:p>
        </w:tc>
        <w:tc>
          <w:tcPr>
            <w:tcW w:w="1324" w:type="dxa"/>
            <w:shd w:val="clear" w:color="auto" w:fill="auto"/>
          </w:tcPr>
          <w:p w14:paraId="725CE7D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Large state operated residential facilities</w:t>
            </w:r>
          </w:p>
        </w:tc>
        <w:tc>
          <w:tcPr>
            <w:tcW w:w="1232" w:type="dxa"/>
            <w:shd w:val="clear" w:color="auto" w:fill="auto"/>
          </w:tcPr>
          <w:p w14:paraId="713634F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(documentary analysis)</w:t>
            </w:r>
          </w:p>
        </w:tc>
        <w:tc>
          <w:tcPr>
            <w:tcW w:w="1843" w:type="dxa"/>
            <w:shd w:val="clear" w:color="auto" w:fill="auto"/>
          </w:tcPr>
          <w:p w14:paraId="479A9AE8" w14:textId="058A5509"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examine abuse incidents and the individuals involved in them </w:t>
            </w:r>
            <w:r w:rsidR="000464D5" w:rsidRPr="008C181A">
              <w:rPr>
                <w:rFonts w:eastAsia="Times New Roman" w:cstheme="minorHAnsi"/>
                <w:sz w:val="18"/>
                <w:szCs w:val="18"/>
                <w:lang w:eastAsia="en-GB"/>
              </w:rPr>
              <w:t>to</w:t>
            </w:r>
            <w:r w:rsidRPr="008C181A">
              <w:rPr>
                <w:rFonts w:eastAsia="Times New Roman" w:cstheme="minorHAnsi"/>
                <w:sz w:val="18"/>
                <w:szCs w:val="18"/>
                <w:lang w:eastAsia="en-GB"/>
              </w:rPr>
              <w:t xml:space="preserve"> identify variables to be considered in the development of abuse prevention strategies for public residential facilities.</w:t>
            </w:r>
          </w:p>
        </w:tc>
        <w:tc>
          <w:tcPr>
            <w:tcW w:w="3260" w:type="dxa"/>
            <w:shd w:val="clear" w:color="auto" w:fill="auto"/>
          </w:tcPr>
          <w:p w14:paraId="1135928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Neglect and physical abuse were the most common types of abuse. 89% of abuse was reported by facility staff members. Over 22 months, 494 cases of abuse were reported.</w:t>
            </w:r>
          </w:p>
        </w:tc>
        <w:tc>
          <w:tcPr>
            <w:tcW w:w="709" w:type="dxa"/>
          </w:tcPr>
          <w:p w14:paraId="4F42C2CB"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61DE935F" w14:textId="77777777" w:rsidTr="00A516FE">
        <w:trPr>
          <w:trHeight w:val="1440"/>
        </w:trPr>
        <w:tc>
          <w:tcPr>
            <w:tcW w:w="1146" w:type="dxa"/>
            <w:shd w:val="clear" w:color="auto" w:fill="auto"/>
            <w:hideMark/>
          </w:tcPr>
          <w:p w14:paraId="2BE84AB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35. Moring et al. (2019)</w:t>
            </w:r>
          </w:p>
        </w:tc>
        <w:tc>
          <w:tcPr>
            <w:tcW w:w="1573" w:type="dxa"/>
            <w:shd w:val="clear" w:color="auto" w:fill="auto"/>
            <w:hideMark/>
          </w:tcPr>
          <w:p w14:paraId="09865CD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After Disclosure: A Research Protocol to Respond to Disclosures of Abuse and Sexual Violence in Research with Adults with Intellectual Disabilities</w:t>
            </w:r>
          </w:p>
        </w:tc>
        <w:tc>
          <w:tcPr>
            <w:tcW w:w="962" w:type="dxa"/>
            <w:shd w:val="clear" w:color="auto" w:fill="auto"/>
            <w:hideMark/>
          </w:tcPr>
          <w:p w14:paraId="02A382B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hideMark/>
          </w:tcPr>
          <w:p w14:paraId="55DA503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Professionals</w:t>
            </w:r>
          </w:p>
        </w:tc>
        <w:tc>
          <w:tcPr>
            <w:tcW w:w="1324" w:type="dxa"/>
            <w:shd w:val="clear" w:color="auto" w:fill="auto"/>
            <w:hideMark/>
          </w:tcPr>
          <w:p w14:paraId="33442E7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N/A</w:t>
            </w:r>
          </w:p>
        </w:tc>
        <w:tc>
          <w:tcPr>
            <w:tcW w:w="1232" w:type="dxa"/>
            <w:shd w:val="clear" w:color="auto" w:fill="auto"/>
            <w:hideMark/>
          </w:tcPr>
          <w:p w14:paraId="59B8607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(literature review, team consensus process, community partnership)</w:t>
            </w:r>
          </w:p>
        </w:tc>
        <w:tc>
          <w:tcPr>
            <w:tcW w:w="1843" w:type="dxa"/>
            <w:shd w:val="clear" w:color="auto" w:fill="auto"/>
            <w:hideMark/>
          </w:tcPr>
          <w:p w14:paraId="1159235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develop a protocol for responding effectively to disclosures of sexual violence from adult research participants with intellectual disabilities.</w:t>
            </w:r>
          </w:p>
        </w:tc>
        <w:tc>
          <w:tcPr>
            <w:tcW w:w="3260" w:type="dxa"/>
            <w:shd w:val="clear" w:color="auto" w:fill="auto"/>
            <w:hideMark/>
          </w:tcPr>
          <w:p w14:paraId="23ACF12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 research protocol was developed to ensure effective response following disclosure of abuse.</w:t>
            </w:r>
          </w:p>
        </w:tc>
        <w:tc>
          <w:tcPr>
            <w:tcW w:w="709" w:type="dxa"/>
          </w:tcPr>
          <w:p w14:paraId="3CAD5D3C"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1</w:t>
            </w:r>
          </w:p>
        </w:tc>
      </w:tr>
      <w:tr w:rsidR="008C181A" w:rsidRPr="008C181A" w14:paraId="36204291" w14:textId="77777777" w:rsidTr="00A516FE">
        <w:trPr>
          <w:trHeight w:val="1440"/>
        </w:trPr>
        <w:tc>
          <w:tcPr>
            <w:tcW w:w="1146" w:type="dxa"/>
            <w:shd w:val="clear" w:color="auto" w:fill="auto"/>
          </w:tcPr>
          <w:p w14:paraId="32C895C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36. Niemeijer et al. (2013)</w:t>
            </w:r>
          </w:p>
        </w:tc>
        <w:tc>
          <w:tcPr>
            <w:tcW w:w="1573" w:type="dxa"/>
            <w:shd w:val="clear" w:color="auto" w:fill="auto"/>
          </w:tcPr>
          <w:p w14:paraId="5426CD35" w14:textId="77777777" w:rsidR="00D92261" w:rsidRPr="008C181A" w:rsidRDefault="00D92261" w:rsidP="00A516FE">
            <w:pPr>
              <w:spacing w:after="0" w:line="240" w:lineRule="auto"/>
              <w:rPr>
                <w:rFonts w:eastAsia="Times New Roman" w:cstheme="minorHAnsi"/>
                <w:sz w:val="18"/>
                <w:szCs w:val="18"/>
                <w:lang w:eastAsia="en-GB"/>
              </w:rPr>
            </w:pPr>
            <w:bookmarkStart w:id="26" w:name="_Hlk51680946"/>
            <w:r w:rsidRPr="008C181A">
              <w:rPr>
                <w:rFonts w:eastAsia="Times New Roman" w:cstheme="minorHAnsi"/>
                <w:sz w:val="18"/>
                <w:szCs w:val="18"/>
                <w:lang w:eastAsia="en-GB"/>
              </w:rPr>
              <w:t xml:space="preserve">The place of surveillance technology in residential care for people with intellectual </w:t>
            </w:r>
            <w:r w:rsidRPr="008C181A">
              <w:rPr>
                <w:rFonts w:eastAsia="Times New Roman" w:cstheme="minorHAnsi"/>
                <w:sz w:val="18"/>
                <w:szCs w:val="18"/>
                <w:lang w:eastAsia="en-GB"/>
              </w:rPr>
              <w:lastRenderedPageBreak/>
              <w:t>disabilities: Is there an ideal model of application</w:t>
            </w:r>
            <w:bookmarkEnd w:id="26"/>
          </w:p>
        </w:tc>
        <w:tc>
          <w:tcPr>
            <w:tcW w:w="962" w:type="dxa"/>
            <w:shd w:val="clear" w:color="auto" w:fill="auto"/>
          </w:tcPr>
          <w:p w14:paraId="6F9B42E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The Netherlands</w:t>
            </w:r>
          </w:p>
        </w:tc>
        <w:tc>
          <w:tcPr>
            <w:tcW w:w="2093" w:type="dxa"/>
            <w:shd w:val="clear" w:color="auto" w:fill="auto"/>
          </w:tcPr>
          <w:p w14:paraId="3262207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9 professional carers, 2 intellectual disability physicians, 2 developmental psychopathologists, 8 academics, 4 personal </w:t>
            </w:r>
            <w:r w:rsidRPr="008C181A">
              <w:rPr>
                <w:rFonts w:eastAsia="Times New Roman" w:cstheme="minorHAnsi"/>
                <w:sz w:val="18"/>
                <w:szCs w:val="18"/>
                <w:lang w:eastAsia="en-GB"/>
              </w:rPr>
              <w:lastRenderedPageBreak/>
              <w:t>coaches and 5 support workers.</w:t>
            </w:r>
          </w:p>
        </w:tc>
        <w:tc>
          <w:tcPr>
            <w:tcW w:w="1324" w:type="dxa"/>
            <w:shd w:val="clear" w:color="auto" w:fill="auto"/>
          </w:tcPr>
          <w:p w14:paraId="79841D9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Small-scale establishments and larger-scale residential care.</w:t>
            </w:r>
          </w:p>
        </w:tc>
        <w:tc>
          <w:tcPr>
            <w:tcW w:w="1232" w:type="dxa"/>
            <w:shd w:val="clear" w:color="auto" w:fill="auto"/>
          </w:tcPr>
          <w:p w14:paraId="5C710C9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Mixed methods (concept mapping: brainstorm-ing, </w:t>
            </w:r>
            <w:r w:rsidRPr="008C181A">
              <w:rPr>
                <w:rFonts w:eastAsia="Times New Roman" w:cstheme="minorHAnsi"/>
                <w:sz w:val="18"/>
                <w:szCs w:val="18"/>
                <w:lang w:eastAsia="en-GB"/>
              </w:rPr>
              <w:lastRenderedPageBreak/>
              <w:t>prioritising, clustering, processing by the computer and analysis)</w:t>
            </w:r>
          </w:p>
        </w:tc>
        <w:tc>
          <w:tcPr>
            <w:tcW w:w="1843" w:type="dxa"/>
            <w:shd w:val="clear" w:color="auto" w:fill="auto"/>
          </w:tcPr>
          <w:p w14:paraId="77FBEC51"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To provide an overview of how surveillance technology is viewed by (care) professionals and </w:t>
            </w:r>
            <w:r w:rsidRPr="008C181A">
              <w:rPr>
                <w:rFonts w:eastAsia="Times New Roman" w:cstheme="minorHAnsi"/>
                <w:sz w:val="18"/>
                <w:szCs w:val="18"/>
                <w:lang w:eastAsia="en-GB"/>
              </w:rPr>
              <w:lastRenderedPageBreak/>
              <w:t>ethicists working in the field, by investigating what the ideal application of ST in the residential care for people with ID might entail.</w:t>
            </w:r>
          </w:p>
        </w:tc>
        <w:tc>
          <w:tcPr>
            <w:tcW w:w="3260" w:type="dxa"/>
            <w:shd w:val="clear" w:color="auto" w:fill="auto"/>
          </w:tcPr>
          <w:p w14:paraId="16A5D0D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Surveillance technology in the residential care of people with intellectual disabilities should support and enhance the capabilities of the client, contribute to the reduction restrictions, be based on a vision of its benefits and risks, involve </w:t>
            </w:r>
            <w:r w:rsidRPr="008C181A">
              <w:rPr>
                <w:rFonts w:eastAsia="Times New Roman" w:cstheme="minorHAnsi"/>
                <w:sz w:val="18"/>
                <w:szCs w:val="18"/>
                <w:lang w:eastAsia="en-GB"/>
              </w:rPr>
              <w:lastRenderedPageBreak/>
              <w:t>staff who are equipped to work safely, be user-friendly, and attend to the client.</w:t>
            </w:r>
          </w:p>
        </w:tc>
        <w:tc>
          <w:tcPr>
            <w:tcW w:w="709" w:type="dxa"/>
          </w:tcPr>
          <w:p w14:paraId="724AAEC9"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4</w:t>
            </w:r>
          </w:p>
        </w:tc>
      </w:tr>
      <w:tr w:rsidR="008C181A" w:rsidRPr="008C181A" w14:paraId="34F06EC2" w14:textId="77777777" w:rsidTr="00A516FE">
        <w:trPr>
          <w:trHeight w:val="558"/>
        </w:trPr>
        <w:tc>
          <w:tcPr>
            <w:tcW w:w="1146" w:type="dxa"/>
            <w:shd w:val="clear" w:color="auto" w:fill="auto"/>
          </w:tcPr>
          <w:p w14:paraId="0EA67DB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37. Niemeijer et al. (2015)</w:t>
            </w:r>
          </w:p>
        </w:tc>
        <w:tc>
          <w:tcPr>
            <w:tcW w:w="1573" w:type="dxa"/>
            <w:shd w:val="clear" w:color="auto" w:fill="auto"/>
          </w:tcPr>
          <w:p w14:paraId="24324C9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experiences of people with dementia and intellectual disabilities with surveillance technologies in residential care</w:t>
            </w:r>
          </w:p>
        </w:tc>
        <w:tc>
          <w:tcPr>
            <w:tcW w:w="962" w:type="dxa"/>
            <w:shd w:val="clear" w:color="auto" w:fill="auto"/>
          </w:tcPr>
          <w:p w14:paraId="38B13F0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Netherlands</w:t>
            </w:r>
          </w:p>
        </w:tc>
        <w:tc>
          <w:tcPr>
            <w:tcW w:w="2093" w:type="dxa"/>
            <w:shd w:val="clear" w:color="auto" w:fill="auto"/>
          </w:tcPr>
          <w:p w14:paraId="02CAF6C3" w14:textId="4849F78C"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 dementia special care unit of a nursing home</w:t>
            </w:r>
            <w:r w:rsidR="000464D5" w:rsidRPr="008C181A">
              <w:rPr>
                <w:rFonts w:eastAsia="Times New Roman" w:cstheme="minorHAnsi"/>
                <w:sz w:val="18"/>
                <w:szCs w:val="18"/>
                <w:lang w:eastAsia="en-GB"/>
              </w:rPr>
              <w:t xml:space="preserve"> (n = 43) and care facility for people with intellectual disabilities (n = 42).</w:t>
            </w:r>
          </w:p>
        </w:tc>
        <w:tc>
          <w:tcPr>
            <w:tcW w:w="1324" w:type="dxa"/>
            <w:shd w:val="clear" w:color="auto" w:fill="auto"/>
          </w:tcPr>
          <w:p w14:paraId="3F6951C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Long-term residential care facilities</w:t>
            </w:r>
          </w:p>
        </w:tc>
        <w:tc>
          <w:tcPr>
            <w:tcW w:w="1232" w:type="dxa"/>
            <w:shd w:val="clear" w:color="auto" w:fill="auto"/>
          </w:tcPr>
          <w:p w14:paraId="46744A2B" w14:textId="22DC4792"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Ethnographic field study.</w:t>
            </w:r>
          </w:p>
        </w:tc>
        <w:tc>
          <w:tcPr>
            <w:tcW w:w="1843" w:type="dxa"/>
            <w:shd w:val="clear" w:color="auto" w:fill="auto"/>
          </w:tcPr>
          <w:p w14:paraId="764E278A" w14:textId="58AA8C7A"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explore how clients in residential care experience surveillance technology </w:t>
            </w:r>
            <w:r w:rsidR="000464D5" w:rsidRPr="008C181A">
              <w:rPr>
                <w:rFonts w:eastAsia="Times New Roman" w:cstheme="minorHAnsi"/>
                <w:sz w:val="18"/>
                <w:szCs w:val="18"/>
                <w:lang w:eastAsia="en-GB"/>
              </w:rPr>
              <w:t>to</w:t>
            </w:r>
            <w:r w:rsidRPr="008C181A">
              <w:rPr>
                <w:rFonts w:eastAsia="Times New Roman" w:cstheme="minorHAnsi"/>
                <w:sz w:val="18"/>
                <w:szCs w:val="18"/>
                <w:lang w:eastAsia="en-GB"/>
              </w:rPr>
              <w:t xml:space="preserve"> assess how surveillance technology might influence autonomy.</w:t>
            </w:r>
          </w:p>
        </w:tc>
        <w:tc>
          <w:tcPr>
            <w:tcW w:w="3260" w:type="dxa"/>
            <w:shd w:val="clear" w:color="auto" w:fill="auto"/>
          </w:tcPr>
          <w:p w14:paraId="2F4FC3C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Two themes emerged: (1) coping with new spaces which entailed clients: wandering around, getting lost, being triggered, and retreating to new spaces and (2) resisting the surveillance technology measure because clients feel stigmatized, missed the company, and do not like being ‘‘watched.’’</w:t>
            </w:r>
          </w:p>
        </w:tc>
        <w:tc>
          <w:tcPr>
            <w:tcW w:w="709" w:type="dxa"/>
          </w:tcPr>
          <w:p w14:paraId="2215AF3D"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21B53D37" w14:textId="77777777" w:rsidTr="00A516FE">
        <w:trPr>
          <w:trHeight w:val="1124"/>
        </w:trPr>
        <w:tc>
          <w:tcPr>
            <w:tcW w:w="1146" w:type="dxa"/>
            <w:shd w:val="clear" w:color="auto" w:fill="auto"/>
          </w:tcPr>
          <w:p w14:paraId="06D5D9C7" w14:textId="77777777" w:rsidR="00D92261" w:rsidRPr="008C181A" w:rsidRDefault="00D92261" w:rsidP="00A516FE">
            <w:pPr>
              <w:spacing w:after="0" w:line="240" w:lineRule="auto"/>
              <w:rPr>
                <w:rFonts w:eastAsia="Times New Roman" w:cstheme="minorHAnsi"/>
                <w:sz w:val="18"/>
                <w:szCs w:val="18"/>
                <w:lang w:eastAsia="en-GB"/>
              </w:rPr>
            </w:pPr>
            <w:bookmarkStart w:id="27" w:name="_Hlk51684978"/>
            <w:r w:rsidRPr="008C181A">
              <w:rPr>
                <w:rFonts w:eastAsia="Times New Roman" w:cstheme="minorHAnsi"/>
                <w:sz w:val="18"/>
                <w:szCs w:val="18"/>
                <w:lang w:eastAsia="en-GB"/>
              </w:rPr>
              <w:t>38. Niemeijer et al. (2014)</w:t>
            </w:r>
            <w:bookmarkEnd w:id="27"/>
          </w:p>
        </w:tc>
        <w:tc>
          <w:tcPr>
            <w:tcW w:w="1573" w:type="dxa"/>
            <w:shd w:val="clear" w:color="auto" w:fill="auto"/>
          </w:tcPr>
          <w:p w14:paraId="55105DD7" w14:textId="77777777" w:rsidR="00D92261" w:rsidRPr="008C181A" w:rsidRDefault="00D92261" w:rsidP="00A516FE">
            <w:pPr>
              <w:spacing w:after="0" w:line="240" w:lineRule="auto"/>
              <w:rPr>
                <w:rFonts w:eastAsia="Times New Roman" w:cstheme="minorHAnsi"/>
                <w:sz w:val="18"/>
                <w:szCs w:val="18"/>
                <w:lang w:eastAsia="en-GB"/>
              </w:rPr>
            </w:pPr>
            <w:bookmarkStart w:id="28" w:name="_Hlk51685125"/>
            <w:r w:rsidRPr="008C181A">
              <w:rPr>
                <w:rFonts w:eastAsia="Times New Roman" w:cstheme="minorHAnsi"/>
                <w:sz w:val="18"/>
                <w:szCs w:val="18"/>
                <w:lang w:eastAsia="en-GB"/>
              </w:rPr>
              <w:t>The use of surveillance technology in residential facilities for people with dementia or intellectual disabilities: A study among nurses and support staff</w:t>
            </w:r>
            <w:bookmarkEnd w:id="28"/>
          </w:p>
        </w:tc>
        <w:tc>
          <w:tcPr>
            <w:tcW w:w="962" w:type="dxa"/>
            <w:shd w:val="clear" w:color="auto" w:fill="auto"/>
          </w:tcPr>
          <w:p w14:paraId="6FECE3E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Netherlands</w:t>
            </w:r>
          </w:p>
        </w:tc>
        <w:tc>
          <w:tcPr>
            <w:tcW w:w="2093" w:type="dxa"/>
            <w:shd w:val="clear" w:color="auto" w:fill="auto"/>
          </w:tcPr>
          <w:p w14:paraId="6DF1381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Same as Niemeijer et al., (2015)</w:t>
            </w:r>
          </w:p>
        </w:tc>
        <w:tc>
          <w:tcPr>
            <w:tcW w:w="1324" w:type="dxa"/>
            <w:shd w:val="clear" w:color="auto" w:fill="auto"/>
          </w:tcPr>
          <w:p w14:paraId="5A00C1E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Same as Niemeijer et al., (2015)</w:t>
            </w:r>
          </w:p>
        </w:tc>
        <w:tc>
          <w:tcPr>
            <w:tcW w:w="1232" w:type="dxa"/>
            <w:shd w:val="clear" w:color="auto" w:fill="auto"/>
          </w:tcPr>
          <w:p w14:paraId="25576CDF" w14:textId="77777777" w:rsidR="00B44B1F" w:rsidRPr="008C181A" w:rsidRDefault="00B44B1F"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Ethnographic field study.</w:t>
            </w:r>
          </w:p>
          <w:p w14:paraId="6A1BEA79" w14:textId="1617AD13"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Same as Niemeijer et al., (2015)</w:t>
            </w:r>
          </w:p>
        </w:tc>
        <w:tc>
          <w:tcPr>
            <w:tcW w:w="1843" w:type="dxa"/>
            <w:shd w:val="clear" w:color="auto" w:fill="auto"/>
          </w:tcPr>
          <w:p w14:paraId="4BFF1433" w14:textId="21DBFD43"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investigate how surveillance technology is </w:t>
            </w:r>
            <w:r w:rsidR="000464D5" w:rsidRPr="008C181A">
              <w:rPr>
                <w:rFonts w:eastAsia="Times New Roman" w:cstheme="minorHAnsi"/>
                <w:sz w:val="18"/>
                <w:szCs w:val="18"/>
                <w:lang w:eastAsia="en-GB"/>
              </w:rPr>
              <w:t>being</w:t>
            </w:r>
            <w:r w:rsidRPr="008C181A">
              <w:rPr>
                <w:rFonts w:eastAsia="Times New Roman" w:cstheme="minorHAnsi"/>
                <w:sz w:val="18"/>
                <w:szCs w:val="18"/>
                <w:lang w:eastAsia="en-GB"/>
              </w:rPr>
              <w:t xml:space="preserve"> used by nurses and support staff in residential care facilities for people with dementia or intellectual disabilities, in order to explore the</w:t>
            </w:r>
            <w:r w:rsidRPr="008C181A">
              <w:rPr>
                <w:rFonts w:eastAsia="Times New Roman" w:cstheme="minorHAnsi"/>
                <w:sz w:val="18"/>
                <w:szCs w:val="18"/>
                <w:lang w:eastAsia="en-GB"/>
              </w:rPr>
              <w:br/>
              <w:t>possible benefits and drawbacks of this technology in practice</w:t>
            </w:r>
          </w:p>
        </w:tc>
        <w:tc>
          <w:tcPr>
            <w:tcW w:w="3260" w:type="dxa"/>
            <w:shd w:val="clear" w:color="auto" w:fill="auto"/>
          </w:tcPr>
          <w:p w14:paraId="13B6C61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Five overarching themes on the use of surveillance technology emerged from the data: continuing to do rounds, alarm fatigue, keeping clients in close proximity, locking the doors, and forgetting to take certain devices off. </w:t>
            </w:r>
          </w:p>
        </w:tc>
        <w:tc>
          <w:tcPr>
            <w:tcW w:w="709" w:type="dxa"/>
          </w:tcPr>
          <w:p w14:paraId="65DB1B5A"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06B0DBE1" w14:textId="77777777" w:rsidTr="00A516FE">
        <w:trPr>
          <w:trHeight w:val="1124"/>
        </w:trPr>
        <w:tc>
          <w:tcPr>
            <w:tcW w:w="1146" w:type="dxa"/>
            <w:shd w:val="clear" w:color="auto" w:fill="auto"/>
          </w:tcPr>
          <w:p w14:paraId="40FA2193"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39. Ottmann et al. (2017)</w:t>
            </w:r>
          </w:p>
        </w:tc>
        <w:tc>
          <w:tcPr>
            <w:tcW w:w="1573" w:type="dxa"/>
            <w:shd w:val="clear" w:color="auto" w:fill="auto"/>
          </w:tcPr>
          <w:p w14:paraId="56E6DFE4" w14:textId="77777777" w:rsidR="00D92261" w:rsidRPr="008C181A" w:rsidRDefault="00D92261" w:rsidP="00A516FE">
            <w:pPr>
              <w:spacing w:after="0" w:line="240" w:lineRule="auto"/>
              <w:rPr>
                <w:rFonts w:eastAsia="Times New Roman" w:cstheme="minorHAnsi"/>
                <w:sz w:val="18"/>
                <w:szCs w:val="18"/>
                <w:lang w:eastAsia="en-GB"/>
              </w:rPr>
            </w:pPr>
            <w:r w:rsidRPr="008C181A">
              <w:rPr>
                <w:sz w:val="18"/>
                <w:szCs w:val="18"/>
              </w:rPr>
              <w:t>Barriers and Enablers to Safeguarding Children and Adults within a Disability Services Context: Insights from an Australian Delphi Study</w:t>
            </w:r>
          </w:p>
        </w:tc>
        <w:tc>
          <w:tcPr>
            <w:tcW w:w="962" w:type="dxa"/>
            <w:shd w:val="clear" w:color="auto" w:fill="auto"/>
          </w:tcPr>
          <w:p w14:paraId="7227FF5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Australia</w:t>
            </w:r>
          </w:p>
        </w:tc>
        <w:tc>
          <w:tcPr>
            <w:tcW w:w="2093" w:type="dxa"/>
            <w:shd w:val="clear" w:color="auto" w:fill="auto"/>
          </w:tcPr>
          <w:p w14:paraId="037BEB2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249 disability services staff and managers</w:t>
            </w:r>
          </w:p>
        </w:tc>
        <w:tc>
          <w:tcPr>
            <w:tcW w:w="1324" w:type="dxa"/>
            <w:shd w:val="clear" w:color="auto" w:fill="auto"/>
          </w:tcPr>
          <w:p w14:paraId="43F8E75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NR</w:t>
            </w:r>
          </w:p>
        </w:tc>
        <w:tc>
          <w:tcPr>
            <w:tcW w:w="1232" w:type="dxa"/>
            <w:shd w:val="clear" w:color="auto" w:fill="auto"/>
          </w:tcPr>
          <w:p w14:paraId="3ED0134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(Delphi)</w:t>
            </w:r>
          </w:p>
        </w:tc>
        <w:tc>
          <w:tcPr>
            <w:tcW w:w="1843" w:type="dxa"/>
            <w:shd w:val="clear" w:color="auto" w:fill="auto"/>
          </w:tcPr>
          <w:p w14:paraId="4F81663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capture the views of disability services staff and managers regarding barriers and enablers to effective safeguarding.</w:t>
            </w:r>
          </w:p>
        </w:tc>
        <w:tc>
          <w:tcPr>
            <w:tcW w:w="3260" w:type="dxa"/>
            <w:shd w:val="clear" w:color="auto" w:fill="auto"/>
          </w:tcPr>
          <w:p w14:paraId="323BEFE7" w14:textId="0F8FBE1F"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Participants identified 170 items related to key barriers to effective safeguarding summarised as organisational issues, management practice, workforce development, client capacity building and contextual factors emerged. The knowledge and attitudes section of the Delphi survey highlighted serious gaps in the capacity of staff to identify basic risk factors, identify signs of abuse and neglect, respond to signs of abuse and </w:t>
            </w:r>
            <w:r w:rsidRPr="008C181A">
              <w:rPr>
                <w:rFonts w:eastAsia="Times New Roman" w:cstheme="minorHAnsi"/>
                <w:sz w:val="18"/>
                <w:szCs w:val="18"/>
                <w:lang w:eastAsia="en-GB"/>
              </w:rPr>
              <w:lastRenderedPageBreak/>
              <w:t xml:space="preserve">neglect, and work with clients who experienced trauma </w:t>
            </w:r>
            <w:r w:rsidR="000464D5" w:rsidRPr="008C181A">
              <w:rPr>
                <w:rFonts w:eastAsia="Times New Roman" w:cstheme="minorHAnsi"/>
                <w:sz w:val="18"/>
                <w:szCs w:val="18"/>
                <w:lang w:eastAsia="en-GB"/>
              </w:rPr>
              <w:t>because of</w:t>
            </w:r>
            <w:r w:rsidRPr="008C181A">
              <w:rPr>
                <w:rFonts w:eastAsia="Times New Roman" w:cstheme="minorHAnsi"/>
                <w:sz w:val="18"/>
                <w:szCs w:val="18"/>
                <w:lang w:eastAsia="en-GB"/>
              </w:rPr>
              <w:t xml:space="preserve"> maltreatment.</w:t>
            </w:r>
          </w:p>
        </w:tc>
        <w:tc>
          <w:tcPr>
            <w:tcW w:w="709" w:type="dxa"/>
          </w:tcPr>
          <w:p w14:paraId="406F3E2B"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4</w:t>
            </w:r>
          </w:p>
        </w:tc>
      </w:tr>
      <w:tr w:rsidR="008C181A" w:rsidRPr="008C181A" w14:paraId="72ED8A16" w14:textId="77777777" w:rsidTr="00A516FE">
        <w:trPr>
          <w:trHeight w:val="1440"/>
        </w:trPr>
        <w:tc>
          <w:tcPr>
            <w:tcW w:w="1146" w:type="dxa"/>
            <w:shd w:val="clear" w:color="auto" w:fill="auto"/>
          </w:tcPr>
          <w:p w14:paraId="49EFFB9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40. Parley (2010)</w:t>
            </w:r>
          </w:p>
        </w:tc>
        <w:tc>
          <w:tcPr>
            <w:tcW w:w="1573" w:type="dxa"/>
            <w:shd w:val="clear" w:color="auto" w:fill="auto"/>
          </w:tcPr>
          <w:p w14:paraId="16929F5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understanding that care staff bring to abuse</w:t>
            </w:r>
          </w:p>
        </w:tc>
        <w:tc>
          <w:tcPr>
            <w:tcW w:w="962" w:type="dxa"/>
            <w:shd w:val="clear" w:color="auto" w:fill="auto"/>
          </w:tcPr>
          <w:p w14:paraId="11F70F1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4E0ABA5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20 care staff </w:t>
            </w:r>
            <w:r w:rsidRPr="008C181A">
              <w:rPr>
                <w:sz w:val="18"/>
                <w:szCs w:val="18"/>
              </w:rPr>
              <w:t>working within learning disability services (including 5 NHS employees, 5 local authority employees, 5 from the voluntary sector and 5 from the private sector).</w:t>
            </w:r>
          </w:p>
        </w:tc>
        <w:tc>
          <w:tcPr>
            <w:tcW w:w="1324" w:type="dxa"/>
            <w:shd w:val="clear" w:color="auto" w:fill="auto"/>
          </w:tcPr>
          <w:p w14:paraId="0C9ADB3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NHS, voluntary and private sector</w:t>
            </w:r>
          </w:p>
        </w:tc>
        <w:tc>
          <w:tcPr>
            <w:tcW w:w="1232" w:type="dxa"/>
            <w:shd w:val="clear" w:color="auto" w:fill="auto"/>
          </w:tcPr>
          <w:p w14:paraId="2BD9B23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5997AA6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explore staff views relating to vulnerability and abuse of adults with learning disabilities.</w:t>
            </w:r>
          </w:p>
        </w:tc>
        <w:tc>
          <w:tcPr>
            <w:tcW w:w="3260" w:type="dxa"/>
            <w:shd w:val="clear" w:color="auto" w:fill="auto"/>
          </w:tcPr>
          <w:p w14:paraId="2A70D58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Themes included interpretation of abuse, bullying, neglect, power, infringement of rights, right to liberty, right to have children. Physical and sexual abuse was readily identified by most informants. However, bullying, neglect and infringement of rights were less frequently identified. Some did not consider these to be abuse.</w:t>
            </w:r>
          </w:p>
        </w:tc>
        <w:tc>
          <w:tcPr>
            <w:tcW w:w="709" w:type="dxa"/>
          </w:tcPr>
          <w:p w14:paraId="45BCB160"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5</w:t>
            </w:r>
          </w:p>
        </w:tc>
      </w:tr>
      <w:tr w:rsidR="008C181A" w:rsidRPr="008C181A" w14:paraId="61F89F08" w14:textId="77777777" w:rsidTr="00A516FE">
        <w:trPr>
          <w:trHeight w:val="558"/>
        </w:trPr>
        <w:tc>
          <w:tcPr>
            <w:tcW w:w="1146" w:type="dxa"/>
            <w:shd w:val="clear" w:color="auto" w:fill="auto"/>
          </w:tcPr>
          <w:p w14:paraId="1DD7628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41. Patterson &amp; Fyson (2016)</w:t>
            </w:r>
          </w:p>
        </w:tc>
        <w:tc>
          <w:tcPr>
            <w:tcW w:w="1573" w:type="dxa"/>
            <w:shd w:val="clear" w:color="auto" w:fill="auto"/>
          </w:tcPr>
          <w:p w14:paraId="6AEADA1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"I was gobsmacked": care workers’ responses to BBC Panorama's 'Undercover care: the abuse exposed': Invoking mental states as a means of distancing from abusive practices</w:t>
            </w:r>
          </w:p>
        </w:tc>
        <w:tc>
          <w:tcPr>
            <w:tcW w:w="962" w:type="dxa"/>
            <w:shd w:val="clear" w:color="auto" w:fill="auto"/>
          </w:tcPr>
          <w:p w14:paraId="4EBD550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5074FCF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56 service managers and care workers across three types of service provider</w:t>
            </w:r>
          </w:p>
        </w:tc>
        <w:tc>
          <w:tcPr>
            <w:tcW w:w="1324" w:type="dxa"/>
            <w:shd w:val="clear" w:color="auto" w:fill="auto"/>
          </w:tcPr>
          <w:p w14:paraId="331A35E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&amp; supported living services</w:t>
            </w:r>
          </w:p>
        </w:tc>
        <w:tc>
          <w:tcPr>
            <w:tcW w:w="1232" w:type="dxa"/>
            <w:shd w:val="clear" w:color="auto" w:fill="auto"/>
          </w:tcPr>
          <w:p w14:paraId="0F92970B"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05B9365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explore how care workers, report their reactions and the interactional strategies they use to construct themselves as shocked and disbelieving, and thus as oppositional to the extreme practices in the programme.</w:t>
            </w:r>
          </w:p>
        </w:tc>
        <w:tc>
          <w:tcPr>
            <w:tcW w:w="3260" w:type="dxa"/>
            <w:shd w:val="clear" w:color="auto" w:fill="auto"/>
          </w:tcPr>
          <w:p w14:paraId="2D66B46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Participants invoked states of ‘shock’ and ‘disbelief’ to describe their response to the abusive practices presented in the programme. </w:t>
            </w:r>
          </w:p>
        </w:tc>
        <w:tc>
          <w:tcPr>
            <w:tcW w:w="709" w:type="dxa"/>
          </w:tcPr>
          <w:p w14:paraId="58236C25"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5</w:t>
            </w:r>
          </w:p>
        </w:tc>
      </w:tr>
      <w:tr w:rsidR="008C181A" w:rsidRPr="008C181A" w14:paraId="0C000ED7" w14:textId="77777777" w:rsidTr="00A516FE">
        <w:trPr>
          <w:trHeight w:val="1440"/>
        </w:trPr>
        <w:tc>
          <w:tcPr>
            <w:tcW w:w="1146" w:type="dxa"/>
            <w:shd w:val="clear" w:color="auto" w:fill="auto"/>
          </w:tcPr>
          <w:p w14:paraId="19F9DCB6" w14:textId="77777777" w:rsidR="00D92261" w:rsidRPr="008C181A" w:rsidRDefault="00D92261" w:rsidP="00A516FE">
            <w:pPr>
              <w:spacing w:after="0" w:line="240" w:lineRule="auto"/>
              <w:rPr>
                <w:rFonts w:eastAsia="Times New Roman" w:cstheme="minorHAnsi"/>
                <w:sz w:val="18"/>
                <w:szCs w:val="18"/>
                <w:lang w:eastAsia="en-GB"/>
              </w:rPr>
            </w:pPr>
            <w:bookmarkStart w:id="29" w:name="_Hlk51686239"/>
            <w:r w:rsidRPr="008C181A">
              <w:rPr>
                <w:rFonts w:eastAsia="Times New Roman" w:cstheme="minorHAnsi"/>
                <w:sz w:val="18"/>
                <w:szCs w:val="18"/>
                <w:lang w:eastAsia="en-GB"/>
              </w:rPr>
              <w:t>42. Ramsey-Klawsnik &amp; Teaster (2012)</w:t>
            </w:r>
            <w:bookmarkEnd w:id="29"/>
          </w:p>
        </w:tc>
        <w:tc>
          <w:tcPr>
            <w:tcW w:w="1573" w:type="dxa"/>
            <w:shd w:val="clear" w:color="auto" w:fill="auto"/>
          </w:tcPr>
          <w:p w14:paraId="2194EDB0" w14:textId="77777777" w:rsidR="00D92261" w:rsidRPr="008C181A" w:rsidRDefault="00D92261" w:rsidP="00A516FE">
            <w:pPr>
              <w:spacing w:after="0" w:line="240" w:lineRule="auto"/>
              <w:rPr>
                <w:rFonts w:eastAsia="Times New Roman" w:cstheme="minorHAnsi"/>
                <w:sz w:val="18"/>
                <w:szCs w:val="18"/>
                <w:lang w:eastAsia="en-GB"/>
              </w:rPr>
            </w:pPr>
            <w:bookmarkStart w:id="30" w:name="_Hlk51686248"/>
            <w:r w:rsidRPr="008C181A">
              <w:rPr>
                <w:rFonts w:eastAsia="Times New Roman" w:cstheme="minorHAnsi"/>
                <w:sz w:val="18"/>
                <w:szCs w:val="18"/>
                <w:lang w:eastAsia="en-GB"/>
              </w:rPr>
              <w:t>Sexual Abuse Happens in Healthcare Facilities-What Can Be Done To Prevent It?</w:t>
            </w:r>
            <w:bookmarkEnd w:id="30"/>
          </w:p>
        </w:tc>
        <w:tc>
          <w:tcPr>
            <w:tcW w:w="962" w:type="dxa"/>
            <w:shd w:val="clear" w:color="auto" w:fill="auto"/>
          </w:tcPr>
          <w:p w14:paraId="696F3BE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6B5AB56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28 personnel</w:t>
            </w:r>
            <w:r w:rsidRPr="008C181A">
              <w:rPr>
                <w:rFonts w:eastAsia="Times New Roman" w:cstheme="minorHAnsi"/>
                <w:sz w:val="18"/>
                <w:szCs w:val="18"/>
                <w:lang w:eastAsia="en-GB"/>
              </w:rPr>
              <w:br/>
              <w:t>who had investigated cases of sexual abuse</w:t>
            </w:r>
          </w:p>
        </w:tc>
        <w:tc>
          <w:tcPr>
            <w:tcW w:w="1324" w:type="dxa"/>
            <w:shd w:val="clear" w:color="auto" w:fill="auto"/>
          </w:tcPr>
          <w:p w14:paraId="11EE4D7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Healthcare facilities</w:t>
            </w:r>
          </w:p>
        </w:tc>
        <w:tc>
          <w:tcPr>
            <w:tcW w:w="1232" w:type="dxa"/>
            <w:shd w:val="clear" w:color="auto" w:fill="auto"/>
          </w:tcPr>
          <w:p w14:paraId="7E1EC3A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7D445C9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gather data that could help assist victims and hold perpetrators accountable in case of sexual abuse perpetrated against residents in healthcare facilities.</w:t>
            </w:r>
          </w:p>
        </w:tc>
        <w:tc>
          <w:tcPr>
            <w:tcW w:w="3260" w:type="dxa"/>
            <w:shd w:val="clear" w:color="auto" w:fill="auto"/>
          </w:tcPr>
          <w:p w14:paraId="42A204E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The amount of training the workers had received in conducting sexual abuse investigations varied considerably with 11% of investigators having had no formal training, despite over half reporting that sexual abuse is more challenging to investigate than other allegations. </w:t>
            </w:r>
          </w:p>
        </w:tc>
        <w:tc>
          <w:tcPr>
            <w:tcW w:w="709" w:type="dxa"/>
          </w:tcPr>
          <w:p w14:paraId="5CA39E62"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5AAB27FF" w14:textId="77777777" w:rsidTr="00A516FE">
        <w:trPr>
          <w:trHeight w:val="983"/>
        </w:trPr>
        <w:tc>
          <w:tcPr>
            <w:tcW w:w="1146" w:type="dxa"/>
            <w:shd w:val="clear" w:color="auto" w:fill="auto"/>
          </w:tcPr>
          <w:p w14:paraId="7945FD88"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43. Rees &amp; Manthorpe (2010)</w:t>
            </w:r>
          </w:p>
        </w:tc>
        <w:tc>
          <w:tcPr>
            <w:tcW w:w="1573" w:type="dxa"/>
            <w:shd w:val="clear" w:color="auto" w:fill="auto"/>
          </w:tcPr>
          <w:p w14:paraId="0D1C49C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Managers' and staff experiences of adult protection allegations in </w:t>
            </w:r>
            <w:r w:rsidRPr="008C181A">
              <w:rPr>
                <w:rFonts w:eastAsia="Times New Roman" w:cstheme="minorHAnsi"/>
                <w:sz w:val="18"/>
                <w:szCs w:val="18"/>
                <w:lang w:eastAsia="en-GB"/>
              </w:rPr>
              <w:lastRenderedPageBreak/>
              <w:t>mental health and learning disability residential services: A qualitative study</w:t>
            </w:r>
          </w:p>
        </w:tc>
        <w:tc>
          <w:tcPr>
            <w:tcW w:w="962" w:type="dxa"/>
            <w:shd w:val="clear" w:color="auto" w:fill="auto"/>
          </w:tcPr>
          <w:p w14:paraId="114775C5"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UK</w:t>
            </w:r>
          </w:p>
        </w:tc>
        <w:tc>
          <w:tcPr>
            <w:tcW w:w="2093" w:type="dxa"/>
            <w:shd w:val="clear" w:color="auto" w:fill="auto"/>
          </w:tcPr>
          <w:p w14:paraId="7D7DC08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13 managers from three services and ten care workers accused of abuse and later exonerated.</w:t>
            </w:r>
          </w:p>
        </w:tc>
        <w:tc>
          <w:tcPr>
            <w:tcW w:w="1324" w:type="dxa"/>
            <w:shd w:val="clear" w:color="auto" w:fill="auto"/>
          </w:tcPr>
          <w:p w14:paraId="5C511E6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services</w:t>
            </w:r>
          </w:p>
        </w:tc>
        <w:tc>
          <w:tcPr>
            <w:tcW w:w="1232" w:type="dxa"/>
            <w:shd w:val="clear" w:color="auto" w:fill="auto"/>
          </w:tcPr>
          <w:p w14:paraId="2F08BB1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7CFD975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To consider the impact of adult protection investigations on managers of </w:t>
            </w:r>
            <w:r w:rsidRPr="008C181A">
              <w:rPr>
                <w:rFonts w:eastAsia="Times New Roman" w:cstheme="minorHAnsi"/>
                <w:sz w:val="18"/>
                <w:szCs w:val="18"/>
                <w:lang w:eastAsia="en-GB"/>
              </w:rPr>
              <w:lastRenderedPageBreak/>
              <w:t>residential services and staff accused of harm or abuse, investigated and then exonerated.</w:t>
            </w:r>
          </w:p>
        </w:tc>
        <w:tc>
          <w:tcPr>
            <w:tcW w:w="3260" w:type="dxa"/>
            <w:shd w:val="clear" w:color="auto" w:fill="auto"/>
          </w:tcPr>
          <w:p w14:paraId="27A339A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Positive applications of adult protection recalled as well as the impact of false allegations. Many of the issues raised by the managers related to perceived </w:t>
            </w:r>
            <w:r w:rsidRPr="008C181A">
              <w:rPr>
                <w:rFonts w:eastAsia="Times New Roman" w:cstheme="minorHAnsi"/>
                <w:sz w:val="18"/>
                <w:szCs w:val="18"/>
                <w:lang w:eastAsia="en-GB"/>
              </w:rPr>
              <w:lastRenderedPageBreak/>
              <w:t>inflexibility and their lack of discretion when applying policy.</w:t>
            </w:r>
          </w:p>
        </w:tc>
        <w:tc>
          <w:tcPr>
            <w:tcW w:w="709" w:type="dxa"/>
          </w:tcPr>
          <w:p w14:paraId="3BE85254"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lastRenderedPageBreak/>
              <w:t>3</w:t>
            </w:r>
          </w:p>
        </w:tc>
      </w:tr>
      <w:tr w:rsidR="008C181A" w:rsidRPr="008C181A" w14:paraId="44266CA8" w14:textId="77777777" w:rsidTr="00A516FE">
        <w:trPr>
          <w:trHeight w:val="983"/>
        </w:trPr>
        <w:tc>
          <w:tcPr>
            <w:tcW w:w="1146" w:type="dxa"/>
            <w:shd w:val="clear" w:color="auto" w:fill="auto"/>
          </w:tcPr>
          <w:p w14:paraId="732A466A" w14:textId="77777777" w:rsidR="00D92261" w:rsidRPr="008C181A" w:rsidRDefault="00D92261" w:rsidP="00A516FE">
            <w:pPr>
              <w:spacing w:after="0" w:line="240" w:lineRule="auto"/>
              <w:rPr>
                <w:rFonts w:eastAsia="Times New Roman" w:cstheme="minorHAnsi"/>
                <w:sz w:val="18"/>
                <w:szCs w:val="18"/>
                <w:lang w:eastAsia="en-GB"/>
              </w:rPr>
            </w:pPr>
            <w:bookmarkStart w:id="31" w:name="_Hlk52883475"/>
            <w:r w:rsidRPr="008C181A">
              <w:rPr>
                <w:rFonts w:eastAsia="Times New Roman" w:cstheme="minorHAnsi"/>
                <w:sz w:val="18"/>
                <w:szCs w:val="18"/>
                <w:lang w:eastAsia="en-GB"/>
              </w:rPr>
              <w:t>44. Rusch et al. (1986)</w:t>
            </w:r>
            <w:bookmarkEnd w:id="31"/>
          </w:p>
        </w:tc>
        <w:tc>
          <w:tcPr>
            <w:tcW w:w="1573" w:type="dxa"/>
            <w:shd w:val="clear" w:color="auto" w:fill="auto"/>
          </w:tcPr>
          <w:p w14:paraId="37DC361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Abuse-provoking characteristics of institutionalized mentally retarded individuals.</w:t>
            </w:r>
          </w:p>
        </w:tc>
        <w:tc>
          <w:tcPr>
            <w:tcW w:w="962" w:type="dxa"/>
            <w:shd w:val="clear" w:color="auto" w:fill="auto"/>
          </w:tcPr>
          <w:p w14:paraId="1614B5B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tcPr>
          <w:p w14:paraId="338B729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80 abused retarded clients in residential settings and 80 non-abused clients</w:t>
            </w:r>
          </w:p>
        </w:tc>
        <w:tc>
          <w:tcPr>
            <w:tcW w:w="1324" w:type="dxa"/>
            <w:shd w:val="clear" w:color="auto" w:fill="auto"/>
          </w:tcPr>
          <w:p w14:paraId="07B7C72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Residential setting</w:t>
            </w:r>
          </w:p>
        </w:tc>
        <w:tc>
          <w:tcPr>
            <w:tcW w:w="1232" w:type="dxa"/>
            <w:shd w:val="clear" w:color="auto" w:fill="auto"/>
          </w:tcPr>
          <w:p w14:paraId="3060C54B" w14:textId="4BBC9FD0"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Quantitative-non</w:t>
            </w:r>
            <w:r w:rsidR="00321642" w:rsidRPr="008C181A">
              <w:rPr>
                <w:rFonts w:eastAsia="Times New Roman" w:cstheme="minorHAnsi"/>
                <w:sz w:val="18"/>
                <w:szCs w:val="18"/>
                <w:lang w:eastAsia="en-GB"/>
              </w:rPr>
              <w:t>-</w:t>
            </w:r>
            <w:r w:rsidRPr="008C181A">
              <w:rPr>
                <w:rFonts w:eastAsia="Times New Roman" w:cstheme="minorHAnsi"/>
                <w:sz w:val="18"/>
                <w:szCs w:val="18"/>
                <w:lang w:eastAsia="en-GB"/>
              </w:rPr>
              <w:t>randomized</w:t>
            </w:r>
            <w:r w:rsidRPr="008C181A">
              <w:t xml:space="preserve"> (</w:t>
            </w:r>
            <w:r w:rsidRPr="008C181A">
              <w:rPr>
                <w:rFonts w:eastAsia="Times New Roman" w:cstheme="minorHAnsi"/>
                <w:sz w:val="18"/>
                <w:szCs w:val="18"/>
                <w:lang w:eastAsia="en-GB"/>
              </w:rPr>
              <w:t>Retrospective data collection from medical and program records)</w:t>
            </w:r>
          </w:p>
        </w:tc>
        <w:tc>
          <w:tcPr>
            <w:tcW w:w="1843" w:type="dxa"/>
            <w:shd w:val="clear" w:color="auto" w:fill="auto"/>
          </w:tcPr>
          <w:p w14:paraId="0B7D8DB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examine the abuse-provoking characteristics of institutionalized mentally retarded individuals.</w:t>
            </w:r>
          </w:p>
        </w:tc>
        <w:tc>
          <w:tcPr>
            <w:tcW w:w="3260" w:type="dxa"/>
            <w:shd w:val="clear" w:color="auto" w:fill="auto"/>
          </w:tcPr>
          <w:p w14:paraId="6AB2532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Six characteristics (social quotient, aggression, verbal ability, age, self-injurious behaviour, and ambulation) were significant in differentiating the abused from non-abused retarded individuals.</w:t>
            </w:r>
          </w:p>
        </w:tc>
        <w:tc>
          <w:tcPr>
            <w:tcW w:w="709" w:type="dxa"/>
          </w:tcPr>
          <w:p w14:paraId="562E2AA2"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2</w:t>
            </w:r>
          </w:p>
        </w:tc>
      </w:tr>
      <w:tr w:rsidR="008C181A" w:rsidRPr="008C181A" w14:paraId="30BA2C68" w14:textId="77777777" w:rsidTr="00A516FE">
        <w:trPr>
          <w:trHeight w:val="1440"/>
        </w:trPr>
        <w:tc>
          <w:tcPr>
            <w:tcW w:w="1146" w:type="dxa"/>
            <w:shd w:val="clear" w:color="auto" w:fill="auto"/>
            <w:hideMark/>
          </w:tcPr>
          <w:p w14:paraId="112340C7" w14:textId="77777777" w:rsidR="00D92261" w:rsidRPr="008C181A" w:rsidRDefault="00D92261" w:rsidP="00A516FE">
            <w:pPr>
              <w:spacing w:after="0" w:line="240" w:lineRule="auto"/>
              <w:rPr>
                <w:rFonts w:eastAsia="Times New Roman" w:cstheme="minorHAnsi"/>
                <w:sz w:val="18"/>
                <w:szCs w:val="18"/>
                <w:lang w:eastAsia="en-GB"/>
              </w:rPr>
            </w:pPr>
            <w:bookmarkStart w:id="32" w:name="_Hlk51738042"/>
            <w:r w:rsidRPr="008C181A">
              <w:rPr>
                <w:rFonts w:eastAsia="Times New Roman" w:cstheme="minorHAnsi"/>
                <w:sz w:val="18"/>
                <w:szCs w:val="18"/>
                <w:lang w:eastAsia="en-GB"/>
              </w:rPr>
              <w:t>45. Rytterström et al. (2013)</w:t>
            </w:r>
            <w:bookmarkEnd w:id="32"/>
          </w:p>
        </w:tc>
        <w:tc>
          <w:tcPr>
            <w:tcW w:w="1573" w:type="dxa"/>
            <w:shd w:val="clear" w:color="auto" w:fill="auto"/>
            <w:hideMark/>
          </w:tcPr>
          <w:p w14:paraId="1078BA4F" w14:textId="77777777" w:rsidR="00D92261" w:rsidRPr="008C181A" w:rsidRDefault="00D92261" w:rsidP="00A516FE">
            <w:pPr>
              <w:spacing w:after="0" w:line="240" w:lineRule="auto"/>
              <w:rPr>
                <w:rFonts w:eastAsia="Times New Roman" w:cstheme="minorHAnsi"/>
                <w:sz w:val="18"/>
                <w:szCs w:val="18"/>
                <w:lang w:eastAsia="en-GB"/>
              </w:rPr>
            </w:pPr>
            <w:bookmarkStart w:id="33" w:name="_Hlk51738109"/>
            <w:r w:rsidRPr="008C181A">
              <w:rPr>
                <w:rFonts w:eastAsia="Times New Roman" w:cstheme="minorHAnsi"/>
                <w:sz w:val="18"/>
                <w:szCs w:val="18"/>
                <w:lang w:eastAsia="en-GB"/>
              </w:rPr>
              <w:t>Care culture as a meaning-making process: A study of a mistreatment investigation</w:t>
            </w:r>
            <w:bookmarkEnd w:id="33"/>
          </w:p>
        </w:tc>
        <w:tc>
          <w:tcPr>
            <w:tcW w:w="962" w:type="dxa"/>
            <w:shd w:val="clear" w:color="auto" w:fill="auto"/>
            <w:hideMark/>
          </w:tcPr>
          <w:p w14:paraId="02901C0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Sweden</w:t>
            </w:r>
          </w:p>
        </w:tc>
        <w:tc>
          <w:tcPr>
            <w:tcW w:w="2093" w:type="dxa"/>
            <w:shd w:val="clear" w:color="auto" w:fill="auto"/>
            <w:hideMark/>
          </w:tcPr>
          <w:p w14:paraId="6D8FFC47"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16 professionals</w:t>
            </w:r>
          </w:p>
        </w:tc>
        <w:tc>
          <w:tcPr>
            <w:tcW w:w="1324" w:type="dxa"/>
            <w:shd w:val="clear" w:color="auto" w:fill="auto"/>
            <w:hideMark/>
          </w:tcPr>
          <w:p w14:paraId="47CE116D"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Community residential housing unit offering special services to persons with intellectual disabilities.</w:t>
            </w:r>
          </w:p>
        </w:tc>
        <w:tc>
          <w:tcPr>
            <w:tcW w:w="1232" w:type="dxa"/>
            <w:shd w:val="clear" w:color="auto" w:fill="auto"/>
            <w:hideMark/>
          </w:tcPr>
          <w:p w14:paraId="477F6714"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Case study (interviews, focus group, field study, document analysis)</w:t>
            </w:r>
          </w:p>
        </w:tc>
        <w:tc>
          <w:tcPr>
            <w:tcW w:w="1843" w:type="dxa"/>
            <w:shd w:val="clear" w:color="auto" w:fill="auto"/>
            <w:hideMark/>
          </w:tcPr>
          <w:p w14:paraId="7DA233F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understand and explore institutional mistreatment from a care culture perspective.</w:t>
            </w:r>
          </w:p>
        </w:tc>
        <w:tc>
          <w:tcPr>
            <w:tcW w:w="3260" w:type="dxa"/>
            <w:shd w:val="clear" w:color="auto" w:fill="auto"/>
            <w:hideMark/>
          </w:tcPr>
          <w:p w14:paraId="52B18D49"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Two different care cultures were identified: the service culture, which was need-oriented and emphasized freedom in care provision, and the motherhood culture, which was characterized by protection and safeguarding of the vulnerable residents. </w:t>
            </w:r>
          </w:p>
        </w:tc>
        <w:tc>
          <w:tcPr>
            <w:tcW w:w="709" w:type="dxa"/>
          </w:tcPr>
          <w:p w14:paraId="008606A9"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8C181A" w:rsidRPr="008C181A" w14:paraId="20CCD568" w14:textId="77777777" w:rsidTr="00A516FE">
        <w:trPr>
          <w:trHeight w:val="1440"/>
        </w:trPr>
        <w:tc>
          <w:tcPr>
            <w:tcW w:w="1146" w:type="dxa"/>
            <w:shd w:val="clear" w:color="auto" w:fill="auto"/>
          </w:tcPr>
          <w:p w14:paraId="71464F4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46. </w:t>
            </w:r>
            <w:bookmarkStart w:id="34" w:name="_Hlk55909091"/>
            <w:r w:rsidRPr="008C181A">
              <w:rPr>
                <w:rFonts w:eastAsia="Times New Roman" w:cstheme="minorHAnsi"/>
                <w:sz w:val="18"/>
                <w:szCs w:val="18"/>
                <w:lang w:eastAsia="en-GB"/>
              </w:rPr>
              <w:t>Taylor &amp; Dodd (2003)</w:t>
            </w:r>
            <w:bookmarkEnd w:id="34"/>
          </w:p>
        </w:tc>
        <w:tc>
          <w:tcPr>
            <w:tcW w:w="1573" w:type="dxa"/>
            <w:shd w:val="clear" w:color="auto" w:fill="auto"/>
          </w:tcPr>
          <w:p w14:paraId="315D00D2" w14:textId="77777777" w:rsidR="00D92261" w:rsidRPr="008C181A" w:rsidRDefault="00D92261" w:rsidP="00A516FE">
            <w:pPr>
              <w:spacing w:after="0" w:line="240" w:lineRule="auto"/>
              <w:rPr>
                <w:rFonts w:eastAsia="Times New Roman" w:cstheme="minorHAnsi"/>
                <w:sz w:val="18"/>
                <w:szCs w:val="18"/>
                <w:lang w:eastAsia="en-GB"/>
              </w:rPr>
            </w:pPr>
            <w:bookmarkStart w:id="35" w:name="_Hlk55909097"/>
            <w:r w:rsidRPr="008C181A">
              <w:rPr>
                <w:rFonts w:eastAsia="Times New Roman" w:cstheme="minorHAnsi"/>
                <w:sz w:val="18"/>
                <w:szCs w:val="18"/>
                <w:lang w:eastAsia="en-GB"/>
              </w:rPr>
              <w:t>Knowledge and attitudes of staff towards adult protection.</w:t>
            </w:r>
            <w:bookmarkEnd w:id="35"/>
          </w:p>
        </w:tc>
        <w:tc>
          <w:tcPr>
            <w:tcW w:w="962" w:type="dxa"/>
            <w:shd w:val="clear" w:color="auto" w:fill="auto"/>
          </w:tcPr>
          <w:p w14:paraId="57F5513A"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793A0F35"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150 professionals (33 males and 117 females), with various job titles including home manager, staff nurse, support worker, day service officer and community care assistant. 14 participants worked with people with learning disabilities.</w:t>
            </w:r>
          </w:p>
        </w:tc>
        <w:tc>
          <w:tcPr>
            <w:tcW w:w="1324" w:type="dxa"/>
            <w:shd w:val="clear" w:color="auto" w:fill="auto"/>
          </w:tcPr>
          <w:p w14:paraId="43666F19"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Mental health, learning disability, physical or sensory disability, older adult, or multiple service user setting, or the police service.</w:t>
            </w:r>
          </w:p>
        </w:tc>
        <w:tc>
          <w:tcPr>
            <w:tcW w:w="1232" w:type="dxa"/>
            <w:shd w:val="clear" w:color="auto" w:fill="auto"/>
          </w:tcPr>
          <w:p w14:paraId="4BC0DBE3"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Qualitative (interviews)</w:t>
            </w:r>
          </w:p>
        </w:tc>
        <w:tc>
          <w:tcPr>
            <w:tcW w:w="1843" w:type="dxa"/>
            <w:shd w:val="clear" w:color="auto" w:fill="auto"/>
          </w:tcPr>
          <w:p w14:paraId="40C06A15" w14:textId="77777777" w:rsidR="00D92261" w:rsidRPr="008C181A" w:rsidRDefault="00D92261" w:rsidP="00A516FE">
            <w:pPr>
              <w:spacing w:line="240" w:lineRule="auto"/>
              <w:rPr>
                <w:rFonts w:eastAsia="Times New Roman" w:cstheme="minorHAnsi"/>
                <w:sz w:val="18"/>
                <w:szCs w:val="18"/>
                <w:lang w:eastAsia="en-GB"/>
              </w:rPr>
            </w:pPr>
            <w:r w:rsidRPr="008C181A">
              <w:rPr>
                <w:rFonts w:eastAsia="Times New Roman" w:cstheme="minorHAnsi"/>
                <w:sz w:val="18"/>
                <w:szCs w:val="18"/>
                <w:lang w:eastAsia="en-GB"/>
              </w:rPr>
              <w:t>To explore staff knowledge and attitudes towards abuse and the reporting procedures to further understand why abuse is not reported.</w:t>
            </w:r>
          </w:p>
        </w:tc>
        <w:tc>
          <w:tcPr>
            <w:tcW w:w="3260" w:type="dxa"/>
            <w:shd w:val="clear" w:color="auto" w:fill="auto"/>
          </w:tcPr>
          <w:p w14:paraId="30B28092" w14:textId="482C04C4"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Issues concerning staff awareness and attitudes towards abuse highlighted. Participants showed confusion and a lack of clarity over what they would consider abuse. Several beliefs emerged to explain why participants might not decide to report abuse (e.g., client confidentiality, risk making things worse, doubt about whether the abuse had taken place, collusion).</w:t>
            </w:r>
            <w:r w:rsidR="000464D5" w:rsidRPr="008C181A">
              <w:rPr>
                <w:rFonts w:eastAsia="Times New Roman" w:cstheme="minorHAnsi"/>
                <w:sz w:val="18"/>
                <w:szCs w:val="18"/>
                <w:lang w:eastAsia="en-GB"/>
              </w:rPr>
              <w:t xml:space="preserve"> </w:t>
            </w:r>
            <w:r w:rsidRPr="008C181A">
              <w:rPr>
                <w:rFonts w:eastAsia="Times New Roman" w:cstheme="minorHAnsi"/>
                <w:sz w:val="18"/>
                <w:szCs w:val="18"/>
                <w:lang w:eastAsia="en-GB"/>
              </w:rPr>
              <w:t>Lack of understanding for the procedure of how to report abuse.</w:t>
            </w:r>
          </w:p>
        </w:tc>
        <w:tc>
          <w:tcPr>
            <w:tcW w:w="709" w:type="dxa"/>
          </w:tcPr>
          <w:p w14:paraId="4AFB2BD1"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3</w:t>
            </w:r>
          </w:p>
        </w:tc>
      </w:tr>
      <w:tr w:rsidR="008C181A" w:rsidRPr="008C181A" w14:paraId="3F6E9898" w14:textId="77777777" w:rsidTr="00A516FE">
        <w:trPr>
          <w:trHeight w:val="1440"/>
        </w:trPr>
        <w:tc>
          <w:tcPr>
            <w:tcW w:w="1146" w:type="dxa"/>
            <w:shd w:val="clear" w:color="auto" w:fill="auto"/>
          </w:tcPr>
          <w:p w14:paraId="6D23C082"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lastRenderedPageBreak/>
              <w:t xml:space="preserve">47. Turk &amp; Brown (1993) </w:t>
            </w:r>
          </w:p>
        </w:tc>
        <w:tc>
          <w:tcPr>
            <w:tcW w:w="1573" w:type="dxa"/>
            <w:shd w:val="clear" w:color="auto" w:fill="auto"/>
          </w:tcPr>
          <w:p w14:paraId="0F9D313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The sexual abuse of adults with learning disabilities: Results of a two year incidence survey.</w:t>
            </w:r>
          </w:p>
        </w:tc>
        <w:tc>
          <w:tcPr>
            <w:tcW w:w="962" w:type="dxa"/>
            <w:shd w:val="clear" w:color="auto" w:fill="auto"/>
          </w:tcPr>
          <w:p w14:paraId="1C76CE4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UK</w:t>
            </w:r>
          </w:p>
        </w:tc>
        <w:tc>
          <w:tcPr>
            <w:tcW w:w="2093" w:type="dxa"/>
            <w:shd w:val="clear" w:color="auto" w:fill="auto"/>
          </w:tcPr>
          <w:p w14:paraId="14D50AF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119 incidents of sexual abuse of adults aged 18+ with learning disabilities over 2 years</w:t>
            </w:r>
          </w:p>
        </w:tc>
        <w:tc>
          <w:tcPr>
            <w:tcW w:w="1324" w:type="dxa"/>
            <w:shd w:val="clear" w:color="auto" w:fill="auto"/>
          </w:tcPr>
          <w:p w14:paraId="4C13231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One large regional health authority (10 health districts, four social service districts, 5 joint social service/health districts)</w:t>
            </w:r>
          </w:p>
        </w:tc>
        <w:tc>
          <w:tcPr>
            <w:tcW w:w="1232" w:type="dxa"/>
            <w:shd w:val="clear" w:color="auto" w:fill="auto"/>
          </w:tcPr>
          <w:p w14:paraId="1534FB86"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Quantitative descriptive: Survey</w:t>
            </w:r>
          </w:p>
        </w:tc>
        <w:tc>
          <w:tcPr>
            <w:tcW w:w="1843" w:type="dxa"/>
            <w:shd w:val="clear" w:color="auto" w:fill="auto"/>
          </w:tcPr>
          <w:p w14:paraId="2CA20DE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report the incidence of sexual abuse of adults with learning disabilities.</w:t>
            </w:r>
          </w:p>
        </w:tc>
        <w:tc>
          <w:tcPr>
            <w:tcW w:w="3260" w:type="dxa"/>
            <w:shd w:val="clear" w:color="auto" w:fill="auto"/>
          </w:tcPr>
          <w:p w14:paraId="16EDE20B" w14:textId="39605E4F"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84 of the cases were proven/had sufficient evidence to suggest the sexual abuse was highly likely to have occurred. In a further 25</w:t>
            </w:r>
            <w:r w:rsidR="000464D5" w:rsidRPr="008C181A">
              <w:rPr>
                <w:rFonts w:eastAsia="Times New Roman" w:cstheme="minorHAnsi"/>
                <w:sz w:val="18"/>
                <w:szCs w:val="18"/>
                <w:lang w:eastAsia="en-GB"/>
              </w:rPr>
              <w:t xml:space="preserve"> </w:t>
            </w:r>
            <w:r w:rsidRPr="008C181A">
              <w:rPr>
                <w:rFonts w:eastAsia="Times New Roman" w:cstheme="minorHAnsi"/>
                <w:sz w:val="18"/>
                <w:szCs w:val="18"/>
                <w:lang w:eastAsia="en-GB"/>
              </w:rPr>
              <w:t>cases there was continued ongoing concern, in the absence of</w:t>
            </w:r>
          </w:p>
          <w:p w14:paraId="3F058D06" w14:textId="656A497F"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substantive evidence, that sexual abuse was occurring. Victim and perpetrator characteristics were identified. Most of the evidence was obtained from verbal disclosures of abuse, behavioural/</w:t>
            </w:r>
            <w:r w:rsidR="000464D5" w:rsidRPr="008C181A">
              <w:rPr>
                <w:rFonts w:eastAsia="Times New Roman" w:cstheme="minorHAnsi"/>
                <w:sz w:val="18"/>
                <w:szCs w:val="18"/>
                <w:lang w:eastAsia="en-GB"/>
              </w:rPr>
              <w:t xml:space="preserve"> </w:t>
            </w:r>
            <w:r w:rsidRPr="008C181A">
              <w:rPr>
                <w:rFonts w:eastAsia="Times New Roman" w:cstheme="minorHAnsi"/>
                <w:sz w:val="18"/>
                <w:szCs w:val="18"/>
                <w:lang w:eastAsia="en-GB"/>
              </w:rPr>
              <w:t>psychosomatic change, and circumstantial evidence. In 27% of cases only 1 agency were involved in the investigation. No action was taken against the alleged perpetrator in almost half of cases (48.2%). Minimal support for the victim post abuse was offered in 71% of cases.</w:t>
            </w:r>
          </w:p>
        </w:tc>
        <w:tc>
          <w:tcPr>
            <w:tcW w:w="709" w:type="dxa"/>
          </w:tcPr>
          <w:p w14:paraId="52FFEE87" w14:textId="77777777" w:rsidR="00D92261" w:rsidRPr="008C181A" w:rsidRDefault="00D92261"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4</w:t>
            </w:r>
          </w:p>
        </w:tc>
      </w:tr>
      <w:tr w:rsidR="00D92261" w:rsidRPr="008C181A" w14:paraId="58B92765" w14:textId="77777777" w:rsidTr="00A516FE">
        <w:trPr>
          <w:trHeight w:val="558"/>
        </w:trPr>
        <w:tc>
          <w:tcPr>
            <w:tcW w:w="1146" w:type="dxa"/>
            <w:shd w:val="clear" w:color="auto" w:fill="auto"/>
            <w:hideMark/>
          </w:tcPr>
          <w:p w14:paraId="10E0DA1C" w14:textId="77777777" w:rsidR="00D92261" w:rsidRPr="008C181A" w:rsidRDefault="00D92261" w:rsidP="00A516FE">
            <w:pPr>
              <w:spacing w:after="0" w:line="240" w:lineRule="auto"/>
              <w:rPr>
                <w:rFonts w:eastAsia="Times New Roman" w:cstheme="minorHAnsi"/>
                <w:sz w:val="18"/>
                <w:szCs w:val="18"/>
                <w:lang w:eastAsia="en-GB"/>
              </w:rPr>
            </w:pPr>
            <w:bookmarkStart w:id="36" w:name="_Hlk51738789"/>
            <w:r w:rsidRPr="008C181A">
              <w:rPr>
                <w:rFonts w:eastAsia="Times New Roman" w:cstheme="minorHAnsi"/>
                <w:sz w:val="18"/>
                <w:szCs w:val="18"/>
                <w:lang w:eastAsia="en-GB"/>
              </w:rPr>
              <w:t>48. Zuckerman et al. (1986)</w:t>
            </w:r>
            <w:bookmarkEnd w:id="36"/>
          </w:p>
        </w:tc>
        <w:tc>
          <w:tcPr>
            <w:tcW w:w="1573" w:type="dxa"/>
            <w:shd w:val="clear" w:color="auto" w:fill="auto"/>
            <w:hideMark/>
          </w:tcPr>
          <w:p w14:paraId="1D1C2450" w14:textId="77777777" w:rsidR="00D92261" w:rsidRPr="008C181A" w:rsidRDefault="00D92261" w:rsidP="00A516FE">
            <w:pPr>
              <w:spacing w:after="0" w:line="240" w:lineRule="auto"/>
              <w:rPr>
                <w:rFonts w:eastAsia="Times New Roman" w:cstheme="minorHAnsi"/>
                <w:sz w:val="18"/>
                <w:szCs w:val="18"/>
                <w:lang w:eastAsia="en-GB"/>
              </w:rPr>
            </w:pPr>
            <w:bookmarkStart w:id="37" w:name="_Hlk51738813"/>
            <w:r w:rsidRPr="008C181A">
              <w:rPr>
                <w:rFonts w:eastAsia="Times New Roman" w:cstheme="minorHAnsi"/>
                <w:sz w:val="18"/>
                <w:szCs w:val="18"/>
                <w:lang w:eastAsia="en-GB"/>
              </w:rPr>
              <w:t>Protection and advocacy agencies: National survey of efforts to prevent residential abuse and neglect</w:t>
            </w:r>
            <w:bookmarkEnd w:id="37"/>
          </w:p>
        </w:tc>
        <w:tc>
          <w:tcPr>
            <w:tcW w:w="962" w:type="dxa"/>
            <w:shd w:val="clear" w:color="auto" w:fill="auto"/>
            <w:noWrap/>
            <w:hideMark/>
          </w:tcPr>
          <w:p w14:paraId="5BA9D71E"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USA</w:t>
            </w:r>
          </w:p>
        </w:tc>
        <w:tc>
          <w:tcPr>
            <w:tcW w:w="2093" w:type="dxa"/>
            <w:shd w:val="clear" w:color="auto" w:fill="auto"/>
            <w:hideMark/>
          </w:tcPr>
          <w:p w14:paraId="1DAE93BC" w14:textId="1E4BC914" w:rsidR="00D92261" w:rsidRPr="008C181A" w:rsidRDefault="00A17E9A" w:rsidP="00A17E9A">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 xml:space="preserve">All </w:t>
            </w:r>
            <w:r w:rsidR="00D92261" w:rsidRPr="008C181A">
              <w:rPr>
                <w:rFonts w:eastAsia="Times New Roman" w:cstheme="minorHAnsi"/>
                <w:sz w:val="18"/>
                <w:szCs w:val="18"/>
                <w:lang w:eastAsia="en-GB"/>
              </w:rPr>
              <w:t>State protection and advocacy agencies</w:t>
            </w:r>
            <w:r w:rsidRPr="008C181A">
              <w:rPr>
                <w:rFonts w:eastAsia="Times New Roman" w:cstheme="minorHAnsi"/>
                <w:sz w:val="18"/>
                <w:szCs w:val="18"/>
                <w:lang w:eastAsia="en-GB"/>
              </w:rPr>
              <w:t xml:space="preserve"> surveyed (52 States). </w:t>
            </w:r>
            <w:r w:rsidR="00D92261" w:rsidRPr="008C181A">
              <w:rPr>
                <w:rFonts w:eastAsia="Times New Roman" w:cstheme="minorHAnsi"/>
                <w:sz w:val="18"/>
                <w:szCs w:val="18"/>
                <w:lang w:eastAsia="en-GB"/>
              </w:rPr>
              <w:t xml:space="preserve"> Directors from 43 states</w:t>
            </w:r>
            <w:r w:rsidRPr="008C181A">
              <w:rPr>
                <w:rFonts w:eastAsia="Times New Roman" w:cstheme="minorHAnsi"/>
                <w:sz w:val="18"/>
                <w:szCs w:val="18"/>
                <w:lang w:eastAsia="en-GB"/>
              </w:rPr>
              <w:t xml:space="preserve"> responded</w:t>
            </w:r>
            <w:r w:rsidR="00D92261" w:rsidRPr="008C181A">
              <w:rPr>
                <w:rFonts w:eastAsia="Times New Roman" w:cstheme="minorHAnsi"/>
                <w:sz w:val="18"/>
                <w:szCs w:val="18"/>
                <w:lang w:eastAsia="en-GB"/>
              </w:rPr>
              <w:t>.</w:t>
            </w:r>
          </w:p>
        </w:tc>
        <w:tc>
          <w:tcPr>
            <w:tcW w:w="1324" w:type="dxa"/>
            <w:shd w:val="clear" w:color="auto" w:fill="auto"/>
            <w:hideMark/>
          </w:tcPr>
          <w:p w14:paraId="4D66541C"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State institutions and community based residential services</w:t>
            </w:r>
          </w:p>
        </w:tc>
        <w:tc>
          <w:tcPr>
            <w:tcW w:w="1232" w:type="dxa"/>
            <w:shd w:val="clear" w:color="auto" w:fill="auto"/>
            <w:hideMark/>
          </w:tcPr>
          <w:p w14:paraId="69B59494" w14:textId="3C6B48CE"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Mixed methods (</w:t>
            </w:r>
            <w:r w:rsidR="00D1276E" w:rsidRPr="008C181A">
              <w:rPr>
                <w:rFonts w:eastAsia="Times New Roman" w:cstheme="minorHAnsi"/>
                <w:sz w:val="18"/>
                <w:szCs w:val="18"/>
                <w:lang w:eastAsia="en-GB"/>
              </w:rPr>
              <w:t xml:space="preserve">quantitative </w:t>
            </w:r>
            <w:r w:rsidRPr="008C181A">
              <w:rPr>
                <w:rFonts w:eastAsia="Times New Roman" w:cstheme="minorHAnsi"/>
                <w:sz w:val="18"/>
                <w:szCs w:val="18"/>
                <w:lang w:eastAsia="en-GB"/>
              </w:rPr>
              <w:t>survey</w:t>
            </w:r>
            <w:r w:rsidR="00D1276E" w:rsidRPr="008C181A">
              <w:rPr>
                <w:rFonts w:eastAsia="Times New Roman" w:cstheme="minorHAnsi"/>
                <w:sz w:val="18"/>
                <w:szCs w:val="18"/>
                <w:lang w:eastAsia="en-GB"/>
              </w:rPr>
              <w:t xml:space="preserve"> with some open-ended questions</w:t>
            </w:r>
            <w:r w:rsidRPr="008C181A">
              <w:rPr>
                <w:rFonts w:eastAsia="Times New Roman" w:cstheme="minorHAnsi"/>
                <w:sz w:val="18"/>
                <w:szCs w:val="18"/>
                <w:lang w:eastAsia="en-GB"/>
              </w:rPr>
              <w:t>)</w:t>
            </w:r>
          </w:p>
        </w:tc>
        <w:tc>
          <w:tcPr>
            <w:tcW w:w="1843" w:type="dxa"/>
            <w:shd w:val="clear" w:color="auto" w:fill="auto"/>
            <w:hideMark/>
          </w:tcPr>
          <w:p w14:paraId="7611ECDF"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To determine the involvement of protection and advocacy agencies in the investigation of abuse and neglect of persons with developmental disabilities in residential facilities.</w:t>
            </w:r>
          </w:p>
        </w:tc>
        <w:tc>
          <w:tcPr>
            <w:tcW w:w="3260" w:type="dxa"/>
            <w:shd w:val="clear" w:color="auto" w:fill="auto"/>
            <w:hideMark/>
          </w:tcPr>
          <w:p w14:paraId="28B91190" w14:textId="77777777" w:rsidR="00D92261" w:rsidRPr="008C181A" w:rsidRDefault="00D92261" w:rsidP="00A516FE">
            <w:pPr>
              <w:spacing w:after="0" w:line="240" w:lineRule="auto"/>
              <w:rPr>
                <w:rFonts w:eastAsia="Times New Roman" w:cstheme="minorHAnsi"/>
                <w:sz w:val="18"/>
                <w:szCs w:val="18"/>
                <w:lang w:eastAsia="en-GB"/>
              </w:rPr>
            </w:pPr>
            <w:r w:rsidRPr="008C181A">
              <w:rPr>
                <w:rFonts w:eastAsia="Times New Roman" w:cstheme="minorHAnsi"/>
                <w:sz w:val="18"/>
                <w:szCs w:val="18"/>
                <w:lang w:eastAsia="en-GB"/>
              </w:rPr>
              <w:t>Protection and advocacy agencies do play a role in abuse and neglect prevention, despite few staff members/resources having been allocated to investigations.</w:t>
            </w:r>
          </w:p>
        </w:tc>
        <w:tc>
          <w:tcPr>
            <w:tcW w:w="709" w:type="dxa"/>
          </w:tcPr>
          <w:p w14:paraId="5EE3802D" w14:textId="26ECEA9A" w:rsidR="00D92261" w:rsidRPr="008C181A" w:rsidRDefault="00241D25" w:rsidP="00A516FE">
            <w:pPr>
              <w:spacing w:after="0" w:line="240" w:lineRule="auto"/>
              <w:ind w:right="2286"/>
              <w:rPr>
                <w:rFonts w:eastAsia="Times New Roman" w:cstheme="minorHAnsi"/>
                <w:sz w:val="18"/>
                <w:szCs w:val="18"/>
                <w:lang w:eastAsia="en-GB"/>
              </w:rPr>
            </w:pPr>
            <w:r w:rsidRPr="008C181A">
              <w:rPr>
                <w:rFonts w:eastAsia="Times New Roman" w:cstheme="minorHAnsi"/>
                <w:sz w:val="18"/>
                <w:szCs w:val="18"/>
                <w:lang w:eastAsia="en-GB"/>
              </w:rPr>
              <w:t>1</w:t>
            </w:r>
          </w:p>
        </w:tc>
      </w:tr>
    </w:tbl>
    <w:p w14:paraId="7B21D2FE" w14:textId="015003F7" w:rsidR="0071705A" w:rsidRPr="008C181A" w:rsidRDefault="0071705A" w:rsidP="00B12909">
      <w:pPr>
        <w:spacing w:after="0" w:line="480" w:lineRule="auto"/>
        <w:ind w:firstLine="720"/>
      </w:pPr>
    </w:p>
    <w:p w14:paraId="75B4BE3E" w14:textId="39926FF8" w:rsidR="00D92261" w:rsidRPr="008C181A" w:rsidRDefault="00D92261" w:rsidP="00B12909">
      <w:pPr>
        <w:spacing w:after="0" w:line="480" w:lineRule="auto"/>
        <w:ind w:firstLine="720"/>
      </w:pPr>
    </w:p>
    <w:p w14:paraId="41DE46F9" w14:textId="07559C0C" w:rsidR="000464D5" w:rsidRPr="008C181A" w:rsidRDefault="000464D5" w:rsidP="00B12909">
      <w:pPr>
        <w:spacing w:after="0" w:line="480" w:lineRule="auto"/>
        <w:ind w:firstLine="720"/>
      </w:pPr>
    </w:p>
    <w:p w14:paraId="7A5026D0" w14:textId="6FEDEB14" w:rsidR="000464D5" w:rsidRPr="008C181A" w:rsidRDefault="000464D5" w:rsidP="00B12909">
      <w:pPr>
        <w:spacing w:after="0" w:line="480" w:lineRule="auto"/>
        <w:ind w:firstLine="720"/>
      </w:pPr>
    </w:p>
    <w:p w14:paraId="15603F4D" w14:textId="28692924" w:rsidR="000464D5" w:rsidRPr="008C181A" w:rsidRDefault="000464D5" w:rsidP="00B12909">
      <w:pPr>
        <w:spacing w:after="0" w:line="480" w:lineRule="auto"/>
        <w:ind w:firstLine="720"/>
      </w:pPr>
    </w:p>
    <w:p w14:paraId="4EE7ADC8" w14:textId="1E81227B" w:rsidR="00D92261" w:rsidRPr="008C181A" w:rsidRDefault="00D92261" w:rsidP="00D92261">
      <w:pPr>
        <w:spacing w:after="0" w:line="480" w:lineRule="auto"/>
        <w:rPr>
          <w:rFonts w:cstheme="minorHAnsi"/>
          <w:b/>
          <w:bCs/>
          <w:shd w:val="clear" w:color="auto" w:fill="FFFFFF"/>
        </w:rPr>
      </w:pPr>
      <w:r w:rsidRPr="008C181A">
        <w:rPr>
          <w:rFonts w:cstheme="minorHAnsi"/>
          <w:b/>
          <w:bCs/>
          <w:shd w:val="clear" w:color="auto" w:fill="FFFFFF"/>
        </w:rPr>
        <w:lastRenderedPageBreak/>
        <w:t xml:space="preserve">Table </w:t>
      </w:r>
      <w:r w:rsidR="00D54B19" w:rsidRPr="008C181A">
        <w:rPr>
          <w:rFonts w:cstheme="minorHAnsi"/>
          <w:b/>
          <w:bCs/>
          <w:shd w:val="clear" w:color="auto" w:fill="FFFFFF"/>
        </w:rPr>
        <w:t>3</w:t>
      </w:r>
    </w:p>
    <w:p w14:paraId="2902B5E9" w14:textId="77777777" w:rsidR="00D92261" w:rsidRPr="008C181A" w:rsidRDefault="00D92261" w:rsidP="00D92261">
      <w:pPr>
        <w:spacing w:after="0" w:line="480" w:lineRule="auto"/>
        <w:rPr>
          <w:rFonts w:cstheme="minorHAnsi"/>
          <w:i/>
          <w:iCs/>
          <w:shd w:val="clear" w:color="auto" w:fill="FFFFFF"/>
        </w:rPr>
      </w:pPr>
      <w:r w:rsidRPr="008C181A">
        <w:rPr>
          <w:rFonts w:cstheme="minorHAnsi"/>
          <w:i/>
          <w:iCs/>
          <w:shd w:val="clear" w:color="auto" w:fill="FFFFFF"/>
        </w:rPr>
        <w:t>Quality appraisal table</w:t>
      </w:r>
    </w:p>
    <w:tbl>
      <w:tblPr>
        <w:tblStyle w:val="TableGrid"/>
        <w:tblpPr w:leftFromText="180" w:rightFromText="180" w:vertAnchor="text" w:tblpY="1"/>
        <w:tblOverlap w:val="never"/>
        <w:tblW w:w="13320" w:type="dxa"/>
        <w:tblLayout w:type="fixed"/>
        <w:tblLook w:val="04A0" w:firstRow="1" w:lastRow="0" w:firstColumn="1" w:lastColumn="0" w:noHBand="0" w:noVBand="1"/>
      </w:tblPr>
      <w:tblGrid>
        <w:gridCol w:w="1240"/>
        <w:gridCol w:w="3432"/>
        <w:gridCol w:w="284"/>
        <w:gridCol w:w="283"/>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6"/>
      </w:tblGrid>
      <w:tr w:rsidR="008C181A" w:rsidRPr="008C181A" w14:paraId="76AF34F4" w14:textId="77777777" w:rsidTr="00A64384">
        <w:trPr>
          <w:trHeight w:val="327"/>
        </w:trPr>
        <w:tc>
          <w:tcPr>
            <w:tcW w:w="4672" w:type="dxa"/>
            <w:gridSpan w:val="2"/>
          </w:tcPr>
          <w:p w14:paraId="5DC07843" w14:textId="77777777" w:rsidR="00A64384" w:rsidRPr="008C181A" w:rsidRDefault="00A64384">
            <w:pPr>
              <w:jc w:val="center"/>
              <w:rPr>
                <w:rFonts w:cstheme="minorHAnsi"/>
                <w:b/>
                <w:sz w:val="18"/>
                <w:szCs w:val="18"/>
              </w:rPr>
            </w:pPr>
            <w:r w:rsidRPr="008C181A">
              <w:rPr>
                <w:rFonts w:cstheme="minorHAnsi"/>
                <w:b/>
                <w:sz w:val="18"/>
                <w:szCs w:val="18"/>
              </w:rPr>
              <w:t>Methodological Quality Criteria</w:t>
            </w:r>
          </w:p>
          <w:p w14:paraId="3BD29222" w14:textId="77777777" w:rsidR="00A64384" w:rsidRPr="008C181A" w:rsidRDefault="00A64384">
            <w:pPr>
              <w:jc w:val="center"/>
              <w:rPr>
                <w:rFonts w:cstheme="minorHAnsi"/>
                <w:b/>
                <w:sz w:val="18"/>
                <w:szCs w:val="18"/>
              </w:rPr>
            </w:pPr>
          </w:p>
        </w:tc>
        <w:tc>
          <w:tcPr>
            <w:tcW w:w="8648" w:type="dxa"/>
            <w:gridSpan w:val="21"/>
          </w:tcPr>
          <w:p w14:paraId="183CFC7E" w14:textId="7CD4F848" w:rsidR="00A64384" w:rsidRPr="008C181A" w:rsidRDefault="00A64384">
            <w:pPr>
              <w:jc w:val="center"/>
              <w:rPr>
                <w:rFonts w:eastAsia="Times New Roman" w:cstheme="minorHAnsi"/>
                <w:b/>
                <w:bCs/>
                <w:sz w:val="18"/>
                <w:szCs w:val="18"/>
                <w:lang w:eastAsia="en-GB"/>
              </w:rPr>
            </w:pPr>
            <w:r w:rsidRPr="008C181A">
              <w:rPr>
                <w:rFonts w:eastAsia="Times New Roman" w:cstheme="minorHAnsi"/>
                <w:b/>
                <w:bCs/>
                <w:sz w:val="18"/>
                <w:szCs w:val="18"/>
                <w:lang w:eastAsia="en-GB"/>
              </w:rPr>
              <w:t xml:space="preserve"> Ratings</w:t>
            </w:r>
          </w:p>
        </w:tc>
      </w:tr>
      <w:tr w:rsidR="008C181A" w:rsidRPr="008C181A" w14:paraId="143DCBBA" w14:textId="77777777" w:rsidTr="00A64384">
        <w:trPr>
          <w:trHeight w:val="252"/>
        </w:trPr>
        <w:tc>
          <w:tcPr>
            <w:tcW w:w="4672" w:type="dxa"/>
            <w:gridSpan w:val="2"/>
            <w:shd w:val="clear" w:color="auto" w:fill="EDEDED" w:themeFill="accent3" w:themeFillTint="33"/>
          </w:tcPr>
          <w:p w14:paraId="3A8F63E9" w14:textId="77777777" w:rsidR="00A64384" w:rsidRPr="008C181A" w:rsidRDefault="00A64384">
            <w:pPr>
              <w:rPr>
                <w:rFonts w:cstheme="minorHAnsi"/>
                <w:b/>
                <w:sz w:val="18"/>
                <w:szCs w:val="18"/>
              </w:rPr>
            </w:pPr>
            <w:r w:rsidRPr="008C181A">
              <w:rPr>
                <w:rFonts w:cstheme="minorHAnsi"/>
                <w:b/>
                <w:sz w:val="18"/>
                <w:szCs w:val="18"/>
              </w:rPr>
              <w:t>Article Number</w:t>
            </w:r>
          </w:p>
        </w:tc>
        <w:tc>
          <w:tcPr>
            <w:tcW w:w="284" w:type="dxa"/>
            <w:shd w:val="clear" w:color="auto" w:fill="EDEDED" w:themeFill="accent3" w:themeFillTint="33"/>
          </w:tcPr>
          <w:p w14:paraId="29F8B172" w14:textId="77777777" w:rsidR="00A64384" w:rsidRPr="008C181A" w:rsidRDefault="00A64384">
            <w:pPr>
              <w:rPr>
                <w:rFonts w:cstheme="minorHAnsi"/>
                <w:b/>
                <w:bCs/>
                <w:sz w:val="18"/>
                <w:szCs w:val="18"/>
              </w:rPr>
            </w:pPr>
            <w:r w:rsidRPr="008C181A">
              <w:rPr>
                <w:rFonts w:eastAsia="Times New Roman" w:cstheme="minorHAnsi"/>
                <w:b/>
                <w:bCs/>
                <w:sz w:val="18"/>
                <w:szCs w:val="18"/>
                <w:lang w:eastAsia="en-GB"/>
              </w:rPr>
              <w:t>2</w:t>
            </w:r>
          </w:p>
        </w:tc>
        <w:tc>
          <w:tcPr>
            <w:tcW w:w="283" w:type="dxa"/>
            <w:shd w:val="clear" w:color="auto" w:fill="EDEDED" w:themeFill="accent3" w:themeFillTint="33"/>
          </w:tcPr>
          <w:p w14:paraId="44BC270C" w14:textId="77777777" w:rsidR="00A64384" w:rsidRPr="008C181A" w:rsidRDefault="00A64384">
            <w:pPr>
              <w:rPr>
                <w:rFonts w:cstheme="minorHAnsi"/>
                <w:b/>
                <w:bCs/>
                <w:sz w:val="18"/>
                <w:szCs w:val="18"/>
              </w:rPr>
            </w:pPr>
            <w:r w:rsidRPr="008C181A">
              <w:rPr>
                <w:rFonts w:cstheme="minorHAnsi"/>
                <w:b/>
                <w:bCs/>
                <w:sz w:val="18"/>
                <w:szCs w:val="18"/>
              </w:rPr>
              <w:t>4</w:t>
            </w:r>
          </w:p>
        </w:tc>
        <w:tc>
          <w:tcPr>
            <w:tcW w:w="425" w:type="dxa"/>
            <w:shd w:val="clear" w:color="auto" w:fill="EDEDED" w:themeFill="accent3" w:themeFillTint="33"/>
          </w:tcPr>
          <w:p w14:paraId="0132DFE3" w14:textId="77777777" w:rsidR="00A64384" w:rsidRPr="008C181A" w:rsidRDefault="00A64384">
            <w:pPr>
              <w:rPr>
                <w:rFonts w:cstheme="minorHAnsi"/>
                <w:b/>
                <w:bCs/>
                <w:sz w:val="18"/>
                <w:szCs w:val="18"/>
              </w:rPr>
            </w:pPr>
            <w:r w:rsidRPr="008C181A">
              <w:rPr>
                <w:rFonts w:cstheme="minorHAnsi"/>
                <w:b/>
                <w:bCs/>
                <w:sz w:val="18"/>
                <w:szCs w:val="18"/>
              </w:rPr>
              <w:t>10</w:t>
            </w:r>
          </w:p>
        </w:tc>
        <w:tc>
          <w:tcPr>
            <w:tcW w:w="426" w:type="dxa"/>
            <w:shd w:val="clear" w:color="auto" w:fill="EDEDED" w:themeFill="accent3" w:themeFillTint="33"/>
          </w:tcPr>
          <w:p w14:paraId="17C3C9DB"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11</w:t>
            </w:r>
          </w:p>
        </w:tc>
        <w:tc>
          <w:tcPr>
            <w:tcW w:w="425" w:type="dxa"/>
            <w:shd w:val="clear" w:color="auto" w:fill="EDEDED" w:themeFill="accent3" w:themeFillTint="33"/>
          </w:tcPr>
          <w:p w14:paraId="4D23877D"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15</w:t>
            </w:r>
          </w:p>
        </w:tc>
        <w:tc>
          <w:tcPr>
            <w:tcW w:w="425" w:type="dxa"/>
            <w:shd w:val="clear" w:color="auto" w:fill="EDEDED" w:themeFill="accent3" w:themeFillTint="33"/>
          </w:tcPr>
          <w:p w14:paraId="67119CD6"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16</w:t>
            </w:r>
          </w:p>
        </w:tc>
        <w:tc>
          <w:tcPr>
            <w:tcW w:w="425" w:type="dxa"/>
            <w:shd w:val="clear" w:color="auto" w:fill="EDEDED" w:themeFill="accent3" w:themeFillTint="33"/>
          </w:tcPr>
          <w:p w14:paraId="29BABEC5"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22</w:t>
            </w:r>
          </w:p>
        </w:tc>
        <w:tc>
          <w:tcPr>
            <w:tcW w:w="426" w:type="dxa"/>
            <w:shd w:val="clear" w:color="auto" w:fill="EDEDED" w:themeFill="accent3" w:themeFillTint="33"/>
          </w:tcPr>
          <w:p w14:paraId="7C355D29"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24</w:t>
            </w:r>
          </w:p>
        </w:tc>
        <w:tc>
          <w:tcPr>
            <w:tcW w:w="425" w:type="dxa"/>
            <w:shd w:val="clear" w:color="auto" w:fill="EDEDED" w:themeFill="accent3" w:themeFillTint="33"/>
          </w:tcPr>
          <w:p w14:paraId="2643E6AE"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25</w:t>
            </w:r>
          </w:p>
        </w:tc>
        <w:tc>
          <w:tcPr>
            <w:tcW w:w="425" w:type="dxa"/>
            <w:shd w:val="clear" w:color="auto" w:fill="EDEDED" w:themeFill="accent3" w:themeFillTint="33"/>
          </w:tcPr>
          <w:p w14:paraId="15F5738F"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28</w:t>
            </w:r>
          </w:p>
        </w:tc>
        <w:tc>
          <w:tcPr>
            <w:tcW w:w="425" w:type="dxa"/>
            <w:shd w:val="clear" w:color="auto" w:fill="EDEDED" w:themeFill="accent3" w:themeFillTint="33"/>
          </w:tcPr>
          <w:p w14:paraId="045F0055"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29</w:t>
            </w:r>
          </w:p>
        </w:tc>
        <w:tc>
          <w:tcPr>
            <w:tcW w:w="426" w:type="dxa"/>
            <w:shd w:val="clear" w:color="auto" w:fill="EDEDED" w:themeFill="accent3" w:themeFillTint="33"/>
          </w:tcPr>
          <w:p w14:paraId="4B9C6604" w14:textId="3E6ED32C"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31</w:t>
            </w:r>
          </w:p>
        </w:tc>
        <w:tc>
          <w:tcPr>
            <w:tcW w:w="425" w:type="dxa"/>
            <w:shd w:val="clear" w:color="auto" w:fill="EDEDED" w:themeFill="accent3" w:themeFillTint="33"/>
          </w:tcPr>
          <w:p w14:paraId="4A027694"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33</w:t>
            </w:r>
          </w:p>
        </w:tc>
        <w:tc>
          <w:tcPr>
            <w:tcW w:w="425" w:type="dxa"/>
            <w:shd w:val="clear" w:color="auto" w:fill="EDEDED" w:themeFill="accent3" w:themeFillTint="33"/>
          </w:tcPr>
          <w:p w14:paraId="5B8BDE69" w14:textId="77777777" w:rsidR="00A64384" w:rsidRPr="008C181A" w:rsidRDefault="00A64384">
            <w:pPr>
              <w:rPr>
                <w:rFonts w:cstheme="minorHAnsi"/>
                <w:b/>
                <w:bCs/>
                <w:sz w:val="18"/>
                <w:szCs w:val="18"/>
              </w:rPr>
            </w:pPr>
            <w:r w:rsidRPr="008C181A">
              <w:rPr>
                <w:rFonts w:cstheme="minorHAnsi"/>
                <w:b/>
                <w:bCs/>
                <w:sz w:val="18"/>
                <w:szCs w:val="18"/>
              </w:rPr>
              <w:t>37</w:t>
            </w:r>
          </w:p>
        </w:tc>
        <w:tc>
          <w:tcPr>
            <w:tcW w:w="425" w:type="dxa"/>
            <w:shd w:val="clear" w:color="auto" w:fill="EDEDED" w:themeFill="accent3" w:themeFillTint="33"/>
          </w:tcPr>
          <w:p w14:paraId="1FE04966"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38</w:t>
            </w:r>
          </w:p>
        </w:tc>
        <w:tc>
          <w:tcPr>
            <w:tcW w:w="426" w:type="dxa"/>
            <w:shd w:val="clear" w:color="auto" w:fill="EDEDED" w:themeFill="accent3" w:themeFillTint="33"/>
          </w:tcPr>
          <w:p w14:paraId="7A6C8D11"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40</w:t>
            </w:r>
          </w:p>
        </w:tc>
        <w:tc>
          <w:tcPr>
            <w:tcW w:w="425" w:type="dxa"/>
            <w:shd w:val="clear" w:color="auto" w:fill="EDEDED" w:themeFill="accent3" w:themeFillTint="33"/>
          </w:tcPr>
          <w:p w14:paraId="316CBC2A"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41</w:t>
            </w:r>
          </w:p>
        </w:tc>
        <w:tc>
          <w:tcPr>
            <w:tcW w:w="425" w:type="dxa"/>
            <w:shd w:val="clear" w:color="auto" w:fill="EDEDED" w:themeFill="accent3" w:themeFillTint="33"/>
          </w:tcPr>
          <w:p w14:paraId="337B5BD1"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42</w:t>
            </w:r>
          </w:p>
        </w:tc>
        <w:tc>
          <w:tcPr>
            <w:tcW w:w="425" w:type="dxa"/>
            <w:shd w:val="clear" w:color="auto" w:fill="EDEDED" w:themeFill="accent3" w:themeFillTint="33"/>
          </w:tcPr>
          <w:p w14:paraId="1E7E427C"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43</w:t>
            </w:r>
          </w:p>
        </w:tc>
        <w:tc>
          <w:tcPr>
            <w:tcW w:w="426" w:type="dxa"/>
            <w:shd w:val="clear" w:color="auto" w:fill="EDEDED" w:themeFill="accent3" w:themeFillTint="33"/>
          </w:tcPr>
          <w:p w14:paraId="6CC9558D"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45</w:t>
            </w:r>
          </w:p>
        </w:tc>
        <w:tc>
          <w:tcPr>
            <w:tcW w:w="425" w:type="dxa"/>
            <w:shd w:val="clear" w:color="auto" w:fill="EDEDED" w:themeFill="accent3" w:themeFillTint="33"/>
          </w:tcPr>
          <w:p w14:paraId="02E3FF82" w14:textId="77777777" w:rsidR="00A64384" w:rsidRPr="008C181A" w:rsidRDefault="00A64384">
            <w:pPr>
              <w:rPr>
                <w:rFonts w:eastAsia="Times New Roman" w:cstheme="minorHAnsi"/>
                <w:b/>
                <w:bCs/>
                <w:sz w:val="18"/>
                <w:szCs w:val="18"/>
                <w:lang w:eastAsia="en-GB"/>
              </w:rPr>
            </w:pPr>
            <w:r w:rsidRPr="008C181A">
              <w:rPr>
                <w:rFonts w:eastAsia="Times New Roman" w:cstheme="minorHAnsi"/>
                <w:b/>
                <w:bCs/>
                <w:sz w:val="18"/>
                <w:szCs w:val="18"/>
                <w:lang w:eastAsia="en-GB"/>
              </w:rPr>
              <w:t>46</w:t>
            </w:r>
          </w:p>
        </w:tc>
      </w:tr>
      <w:tr w:rsidR="008C181A" w:rsidRPr="008C181A" w14:paraId="1E717744" w14:textId="77777777" w:rsidTr="00A64384">
        <w:tc>
          <w:tcPr>
            <w:tcW w:w="1240" w:type="dxa"/>
            <w:vMerge w:val="restart"/>
            <w:vAlign w:val="center"/>
          </w:tcPr>
          <w:p w14:paraId="21BD4EE7" w14:textId="77777777" w:rsidR="00A64384" w:rsidRPr="008C181A" w:rsidRDefault="00A64384">
            <w:pPr>
              <w:jc w:val="center"/>
              <w:rPr>
                <w:rFonts w:cstheme="minorHAnsi"/>
                <w:b/>
                <w:bCs/>
                <w:sz w:val="18"/>
                <w:szCs w:val="18"/>
              </w:rPr>
            </w:pPr>
            <w:r w:rsidRPr="008C181A">
              <w:rPr>
                <w:rFonts w:cstheme="minorHAnsi"/>
                <w:b/>
                <w:bCs/>
                <w:sz w:val="18"/>
                <w:szCs w:val="18"/>
              </w:rPr>
              <w:t>Qualitative</w:t>
            </w:r>
          </w:p>
        </w:tc>
        <w:tc>
          <w:tcPr>
            <w:tcW w:w="3432" w:type="dxa"/>
          </w:tcPr>
          <w:p w14:paraId="7688AD76" w14:textId="77777777" w:rsidR="00A64384" w:rsidRPr="008C181A" w:rsidRDefault="00A64384">
            <w:pPr>
              <w:pStyle w:val="ListParagraph"/>
              <w:numPr>
                <w:ilvl w:val="1"/>
                <w:numId w:val="12"/>
              </w:numPr>
              <w:contextualSpacing/>
              <w:rPr>
                <w:rFonts w:cstheme="minorHAnsi"/>
                <w:sz w:val="18"/>
                <w:szCs w:val="18"/>
              </w:rPr>
            </w:pPr>
            <w:r w:rsidRPr="008C181A">
              <w:rPr>
                <w:rFonts w:cstheme="minorHAnsi"/>
                <w:sz w:val="18"/>
                <w:szCs w:val="18"/>
              </w:rPr>
              <w:t>Is the qualitative approach appropriate to answer the research question?</w:t>
            </w:r>
          </w:p>
        </w:tc>
        <w:tc>
          <w:tcPr>
            <w:tcW w:w="284" w:type="dxa"/>
          </w:tcPr>
          <w:p w14:paraId="747374E3"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0C580D66"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906A8F2"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7F8C09C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A60FF06"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6246544"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D4DC49C"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1B7C6586"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E4F78C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9D965D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42523D4"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FDC485E" w14:textId="18544240" w:rsidR="00A64384" w:rsidRPr="008C181A" w:rsidRDefault="00A64384">
            <w:pPr>
              <w:rPr>
                <w:rFonts w:cstheme="minorHAnsi"/>
                <w:sz w:val="18"/>
                <w:szCs w:val="18"/>
              </w:rPr>
            </w:pPr>
            <w:r w:rsidRPr="008C181A">
              <w:rPr>
                <w:rFonts w:cstheme="minorHAnsi"/>
                <w:sz w:val="18"/>
                <w:szCs w:val="18"/>
              </w:rPr>
              <w:t>Y</w:t>
            </w:r>
          </w:p>
        </w:tc>
        <w:tc>
          <w:tcPr>
            <w:tcW w:w="425" w:type="dxa"/>
          </w:tcPr>
          <w:p w14:paraId="20D11B83"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1193082"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E669C62"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118A1513"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957399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2493ED5"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EFC3749"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CE1D76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F11ECED"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7BD879C3" w14:textId="77777777" w:rsidTr="00A64384">
        <w:tc>
          <w:tcPr>
            <w:tcW w:w="1240" w:type="dxa"/>
            <w:vMerge/>
          </w:tcPr>
          <w:p w14:paraId="01F932BD" w14:textId="77777777" w:rsidR="00A64384" w:rsidRPr="008C181A" w:rsidRDefault="00A64384">
            <w:pPr>
              <w:rPr>
                <w:rFonts w:cstheme="minorHAnsi"/>
                <w:sz w:val="18"/>
                <w:szCs w:val="18"/>
              </w:rPr>
            </w:pPr>
          </w:p>
        </w:tc>
        <w:tc>
          <w:tcPr>
            <w:tcW w:w="3432" w:type="dxa"/>
          </w:tcPr>
          <w:p w14:paraId="501C37A1" w14:textId="77777777" w:rsidR="00A64384" w:rsidRPr="008C181A" w:rsidRDefault="00A64384">
            <w:pPr>
              <w:pStyle w:val="ListParagraph"/>
              <w:numPr>
                <w:ilvl w:val="1"/>
                <w:numId w:val="8"/>
              </w:numPr>
              <w:contextualSpacing/>
              <w:rPr>
                <w:rFonts w:cstheme="minorHAnsi"/>
                <w:sz w:val="18"/>
                <w:szCs w:val="18"/>
              </w:rPr>
            </w:pPr>
            <w:r w:rsidRPr="008C181A">
              <w:rPr>
                <w:rFonts w:cstheme="minorHAnsi"/>
                <w:sz w:val="18"/>
                <w:szCs w:val="18"/>
              </w:rPr>
              <w:t>Are the qualitative data collection methods adequate to address the research question?</w:t>
            </w:r>
          </w:p>
        </w:tc>
        <w:tc>
          <w:tcPr>
            <w:tcW w:w="284" w:type="dxa"/>
          </w:tcPr>
          <w:p w14:paraId="658EF374"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381EA36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A7050DC"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11DACD9C"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20E8A4E"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2DC8164"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705CB5DD"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2FB9C5A3"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4DFDCD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B285A7C"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7623FEDE"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DF570D9" w14:textId="4DC64940" w:rsidR="00A64384" w:rsidRPr="008C181A" w:rsidRDefault="00A64384">
            <w:pPr>
              <w:rPr>
                <w:rFonts w:cstheme="minorHAnsi"/>
                <w:sz w:val="18"/>
                <w:szCs w:val="18"/>
              </w:rPr>
            </w:pPr>
            <w:r w:rsidRPr="008C181A">
              <w:rPr>
                <w:rFonts w:cstheme="minorHAnsi"/>
                <w:sz w:val="18"/>
                <w:szCs w:val="18"/>
              </w:rPr>
              <w:t>X</w:t>
            </w:r>
          </w:p>
        </w:tc>
        <w:tc>
          <w:tcPr>
            <w:tcW w:w="425" w:type="dxa"/>
          </w:tcPr>
          <w:p w14:paraId="2BF72BB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455FBF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1B08B80"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5CE473A2"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334E84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FC041F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DAE72F8"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87D8BAE"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3646827"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4C9B3949" w14:textId="77777777" w:rsidTr="00A64384">
        <w:tc>
          <w:tcPr>
            <w:tcW w:w="1240" w:type="dxa"/>
            <w:vMerge/>
          </w:tcPr>
          <w:p w14:paraId="3AC43550" w14:textId="77777777" w:rsidR="00A64384" w:rsidRPr="008C181A" w:rsidRDefault="00A64384">
            <w:pPr>
              <w:pStyle w:val="ListParagraph"/>
              <w:ind w:left="360"/>
              <w:rPr>
                <w:rFonts w:cstheme="minorHAnsi"/>
                <w:sz w:val="18"/>
                <w:szCs w:val="18"/>
              </w:rPr>
            </w:pPr>
          </w:p>
        </w:tc>
        <w:tc>
          <w:tcPr>
            <w:tcW w:w="3432" w:type="dxa"/>
          </w:tcPr>
          <w:p w14:paraId="143E0120" w14:textId="77777777" w:rsidR="00A64384" w:rsidRPr="008C181A" w:rsidRDefault="00A64384">
            <w:pPr>
              <w:pStyle w:val="ListParagraph"/>
              <w:numPr>
                <w:ilvl w:val="1"/>
                <w:numId w:val="8"/>
              </w:numPr>
              <w:contextualSpacing/>
              <w:rPr>
                <w:rFonts w:cstheme="minorHAnsi"/>
                <w:sz w:val="18"/>
                <w:szCs w:val="18"/>
              </w:rPr>
            </w:pPr>
            <w:r w:rsidRPr="008C181A">
              <w:rPr>
                <w:rFonts w:cstheme="minorHAnsi"/>
                <w:sz w:val="18"/>
                <w:szCs w:val="18"/>
              </w:rPr>
              <w:t>Are the findings adequately derived from the data?</w:t>
            </w:r>
          </w:p>
        </w:tc>
        <w:tc>
          <w:tcPr>
            <w:tcW w:w="284" w:type="dxa"/>
          </w:tcPr>
          <w:p w14:paraId="29BDF1E8"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76F61D7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AD5ED78"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C04031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0F8464E"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FADDED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C4B13BA"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740D22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CCB5805"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FFC8B96"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683D62D"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3ABC70A3" w14:textId="34690CD2" w:rsidR="00A64384" w:rsidRPr="008C181A" w:rsidRDefault="00A64384">
            <w:pPr>
              <w:rPr>
                <w:rFonts w:cstheme="minorHAnsi"/>
                <w:sz w:val="18"/>
                <w:szCs w:val="18"/>
              </w:rPr>
            </w:pPr>
            <w:r w:rsidRPr="008C181A">
              <w:rPr>
                <w:rFonts w:cstheme="minorHAnsi"/>
                <w:sz w:val="18"/>
                <w:szCs w:val="18"/>
              </w:rPr>
              <w:t>Y</w:t>
            </w:r>
          </w:p>
        </w:tc>
        <w:tc>
          <w:tcPr>
            <w:tcW w:w="425" w:type="dxa"/>
          </w:tcPr>
          <w:p w14:paraId="6A39F374"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4C3DABF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4FB021C"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C8CF524"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6A5416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CCB6975"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2998134"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25FE573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965DDEF"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7BE0238D" w14:textId="77777777" w:rsidTr="00A64384">
        <w:tc>
          <w:tcPr>
            <w:tcW w:w="1240" w:type="dxa"/>
            <w:vMerge/>
          </w:tcPr>
          <w:p w14:paraId="79F17324" w14:textId="77777777" w:rsidR="00A64384" w:rsidRPr="008C181A" w:rsidRDefault="00A64384">
            <w:pPr>
              <w:rPr>
                <w:rFonts w:cstheme="minorHAnsi"/>
                <w:sz w:val="18"/>
                <w:szCs w:val="18"/>
              </w:rPr>
            </w:pPr>
          </w:p>
        </w:tc>
        <w:tc>
          <w:tcPr>
            <w:tcW w:w="3432" w:type="dxa"/>
          </w:tcPr>
          <w:p w14:paraId="3EDB332D" w14:textId="77777777" w:rsidR="00A64384" w:rsidRPr="008C181A" w:rsidRDefault="00A64384">
            <w:pPr>
              <w:pStyle w:val="ListParagraph"/>
              <w:numPr>
                <w:ilvl w:val="1"/>
                <w:numId w:val="8"/>
              </w:numPr>
              <w:contextualSpacing/>
              <w:rPr>
                <w:rFonts w:cstheme="minorHAnsi"/>
                <w:sz w:val="18"/>
                <w:szCs w:val="18"/>
              </w:rPr>
            </w:pPr>
            <w:r w:rsidRPr="008C181A">
              <w:rPr>
                <w:rFonts w:cstheme="minorHAnsi"/>
                <w:sz w:val="18"/>
                <w:szCs w:val="18"/>
              </w:rPr>
              <w:t>Is the interpretation of results sufficiently substantiated by data?</w:t>
            </w:r>
          </w:p>
        </w:tc>
        <w:tc>
          <w:tcPr>
            <w:tcW w:w="284" w:type="dxa"/>
          </w:tcPr>
          <w:p w14:paraId="7A470C00"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12A46738"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81895B4"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7233E35E"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BA68A34"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F10CCE0"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52907B00"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BCB8FBC"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B55E5E2"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960C6A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0B0B275"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35BAED2C" w14:textId="3310634E" w:rsidR="00A64384" w:rsidRPr="008C181A" w:rsidRDefault="00A64384">
            <w:pPr>
              <w:rPr>
                <w:rFonts w:cstheme="minorHAnsi"/>
                <w:sz w:val="18"/>
                <w:szCs w:val="18"/>
              </w:rPr>
            </w:pPr>
            <w:r w:rsidRPr="008C181A">
              <w:rPr>
                <w:rFonts w:cstheme="minorHAnsi"/>
                <w:sz w:val="18"/>
                <w:szCs w:val="18"/>
              </w:rPr>
              <w:t>Y</w:t>
            </w:r>
          </w:p>
        </w:tc>
        <w:tc>
          <w:tcPr>
            <w:tcW w:w="425" w:type="dxa"/>
          </w:tcPr>
          <w:p w14:paraId="5F299370"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590A2373"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4FEE4F7"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71A2D10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E3A497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D215C8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3E7A260"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84D161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0563D30" w14:textId="77777777" w:rsidR="00A64384" w:rsidRPr="008C181A" w:rsidRDefault="00A64384">
            <w:pPr>
              <w:rPr>
                <w:rFonts w:cstheme="minorHAnsi"/>
                <w:sz w:val="18"/>
                <w:szCs w:val="18"/>
              </w:rPr>
            </w:pPr>
            <w:r w:rsidRPr="008C181A">
              <w:rPr>
                <w:rFonts w:cstheme="minorHAnsi"/>
                <w:sz w:val="18"/>
                <w:szCs w:val="18"/>
              </w:rPr>
              <w:t>X</w:t>
            </w:r>
          </w:p>
        </w:tc>
      </w:tr>
      <w:tr w:rsidR="008C181A" w:rsidRPr="008C181A" w14:paraId="717B05C3" w14:textId="77777777" w:rsidTr="00A64384">
        <w:trPr>
          <w:trHeight w:val="595"/>
        </w:trPr>
        <w:tc>
          <w:tcPr>
            <w:tcW w:w="1240" w:type="dxa"/>
            <w:vMerge/>
          </w:tcPr>
          <w:p w14:paraId="60C0C026" w14:textId="77777777" w:rsidR="00A64384" w:rsidRPr="008C181A" w:rsidRDefault="00A64384">
            <w:pPr>
              <w:rPr>
                <w:rFonts w:cstheme="minorHAnsi"/>
                <w:sz w:val="18"/>
                <w:szCs w:val="18"/>
              </w:rPr>
            </w:pPr>
          </w:p>
        </w:tc>
        <w:tc>
          <w:tcPr>
            <w:tcW w:w="3432" w:type="dxa"/>
          </w:tcPr>
          <w:p w14:paraId="5D98493F" w14:textId="77777777" w:rsidR="00A64384" w:rsidRPr="008C181A" w:rsidRDefault="00A64384">
            <w:pPr>
              <w:pStyle w:val="ListParagraph"/>
              <w:numPr>
                <w:ilvl w:val="1"/>
                <w:numId w:val="8"/>
              </w:numPr>
              <w:contextualSpacing/>
              <w:rPr>
                <w:rFonts w:cstheme="minorHAnsi"/>
                <w:sz w:val="18"/>
                <w:szCs w:val="18"/>
              </w:rPr>
            </w:pPr>
            <w:r w:rsidRPr="008C181A">
              <w:rPr>
                <w:rFonts w:cstheme="minorHAnsi"/>
                <w:sz w:val="18"/>
                <w:szCs w:val="18"/>
              </w:rPr>
              <w:t>Is there coherence between qualitative data sources, collection, analysis, and interpretation?</w:t>
            </w:r>
          </w:p>
        </w:tc>
        <w:tc>
          <w:tcPr>
            <w:tcW w:w="284" w:type="dxa"/>
          </w:tcPr>
          <w:p w14:paraId="363ECEC1"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228E85E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0B49755"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3B1E879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D44CBC1"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7349766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6450AF66"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665D5AB"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BC2AD08"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4674D051"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A68870D"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6711A61B" w14:textId="230188F5" w:rsidR="00A64384" w:rsidRPr="008C181A" w:rsidRDefault="00A64384">
            <w:pPr>
              <w:rPr>
                <w:rFonts w:cstheme="minorHAnsi"/>
                <w:sz w:val="18"/>
                <w:szCs w:val="18"/>
              </w:rPr>
            </w:pPr>
            <w:r w:rsidRPr="008C181A">
              <w:rPr>
                <w:rFonts w:cstheme="minorHAnsi"/>
                <w:sz w:val="18"/>
                <w:szCs w:val="18"/>
              </w:rPr>
              <w:t>Y</w:t>
            </w:r>
          </w:p>
        </w:tc>
        <w:tc>
          <w:tcPr>
            <w:tcW w:w="425" w:type="dxa"/>
          </w:tcPr>
          <w:p w14:paraId="2B1E565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5E31D1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4E02B96"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16F4FBB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F69C711"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806AF5E"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23827AF9"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5FB4636B"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2656EC38" w14:textId="77777777" w:rsidR="00A64384" w:rsidRPr="008C181A" w:rsidRDefault="00A64384">
            <w:pPr>
              <w:rPr>
                <w:rFonts w:cstheme="minorHAnsi"/>
                <w:sz w:val="18"/>
                <w:szCs w:val="18"/>
              </w:rPr>
            </w:pPr>
            <w:r w:rsidRPr="008C181A">
              <w:rPr>
                <w:rFonts w:cstheme="minorHAnsi"/>
                <w:sz w:val="18"/>
                <w:szCs w:val="18"/>
              </w:rPr>
              <w:t>X</w:t>
            </w:r>
          </w:p>
        </w:tc>
      </w:tr>
      <w:tr w:rsidR="008C181A" w:rsidRPr="008C181A" w14:paraId="5D029777" w14:textId="68843DAE" w:rsidTr="00A64384">
        <w:trPr>
          <w:gridAfter w:val="12"/>
          <w:wAfter w:w="5104" w:type="dxa"/>
          <w:trHeight w:val="279"/>
        </w:trPr>
        <w:tc>
          <w:tcPr>
            <w:tcW w:w="4672" w:type="dxa"/>
            <w:gridSpan w:val="2"/>
            <w:shd w:val="clear" w:color="auto" w:fill="EDEDED" w:themeFill="accent3" w:themeFillTint="33"/>
          </w:tcPr>
          <w:p w14:paraId="17990E3E" w14:textId="77777777" w:rsidR="00A64384" w:rsidRPr="008C181A" w:rsidRDefault="00A64384">
            <w:pPr>
              <w:rPr>
                <w:rFonts w:cstheme="minorHAnsi"/>
                <w:b/>
                <w:bCs/>
                <w:sz w:val="18"/>
                <w:szCs w:val="18"/>
              </w:rPr>
            </w:pPr>
            <w:r w:rsidRPr="008C181A">
              <w:rPr>
                <w:rFonts w:cstheme="minorHAnsi"/>
                <w:b/>
                <w:bCs/>
                <w:sz w:val="18"/>
                <w:szCs w:val="18"/>
              </w:rPr>
              <w:t>Article Number</w:t>
            </w:r>
          </w:p>
        </w:tc>
        <w:tc>
          <w:tcPr>
            <w:tcW w:w="284" w:type="dxa"/>
            <w:shd w:val="clear" w:color="auto" w:fill="EDEDED" w:themeFill="accent3" w:themeFillTint="33"/>
          </w:tcPr>
          <w:p w14:paraId="65C41280" w14:textId="77777777" w:rsidR="00A64384" w:rsidRPr="008C181A" w:rsidRDefault="00A64384">
            <w:pPr>
              <w:rPr>
                <w:rFonts w:cstheme="minorHAnsi"/>
                <w:b/>
                <w:bCs/>
                <w:sz w:val="18"/>
                <w:szCs w:val="18"/>
              </w:rPr>
            </w:pPr>
            <w:r w:rsidRPr="008C181A">
              <w:rPr>
                <w:rFonts w:cstheme="minorHAnsi"/>
                <w:b/>
                <w:bCs/>
                <w:sz w:val="18"/>
                <w:szCs w:val="18"/>
              </w:rPr>
              <w:t>1</w:t>
            </w:r>
          </w:p>
        </w:tc>
        <w:tc>
          <w:tcPr>
            <w:tcW w:w="283" w:type="dxa"/>
            <w:shd w:val="clear" w:color="auto" w:fill="EDEDED" w:themeFill="accent3" w:themeFillTint="33"/>
          </w:tcPr>
          <w:p w14:paraId="2E069843" w14:textId="77777777" w:rsidR="00A64384" w:rsidRPr="008C181A" w:rsidRDefault="00A64384">
            <w:pPr>
              <w:rPr>
                <w:rFonts w:cstheme="minorHAnsi"/>
                <w:b/>
                <w:bCs/>
                <w:sz w:val="18"/>
                <w:szCs w:val="18"/>
              </w:rPr>
            </w:pPr>
            <w:r w:rsidRPr="008C181A">
              <w:rPr>
                <w:rFonts w:cstheme="minorHAnsi"/>
                <w:b/>
                <w:bCs/>
                <w:sz w:val="18"/>
                <w:szCs w:val="18"/>
              </w:rPr>
              <w:t>5</w:t>
            </w:r>
          </w:p>
        </w:tc>
        <w:tc>
          <w:tcPr>
            <w:tcW w:w="425" w:type="dxa"/>
            <w:shd w:val="clear" w:color="auto" w:fill="EDEDED" w:themeFill="accent3" w:themeFillTint="33"/>
          </w:tcPr>
          <w:p w14:paraId="4E0BFB0F" w14:textId="77777777" w:rsidR="00A64384" w:rsidRPr="008C181A" w:rsidRDefault="00A64384">
            <w:pPr>
              <w:rPr>
                <w:rFonts w:cstheme="minorHAnsi"/>
                <w:b/>
                <w:bCs/>
                <w:sz w:val="18"/>
                <w:szCs w:val="18"/>
              </w:rPr>
            </w:pPr>
            <w:r w:rsidRPr="008C181A">
              <w:rPr>
                <w:rFonts w:cstheme="minorHAnsi"/>
                <w:b/>
                <w:bCs/>
                <w:sz w:val="18"/>
                <w:szCs w:val="18"/>
              </w:rPr>
              <w:t>6</w:t>
            </w:r>
          </w:p>
        </w:tc>
        <w:tc>
          <w:tcPr>
            <w:tcW w:w="426" w:type="dxa"/>
            <w:shd w:val="clear" w:color="auto" w:fill="EDEDED" w:themeFill="accent3" w:themeFillTint="33"/>
          </w:tcPr>
          <w:p w14:paraId="3CAB5B8C" w14:textId="77777777" w:rsidR="00A64384" w:rsidRPr="008C181A" w:rsidRDefault="00A64384">
            <w:pPr>
              <w:rPr>
                <w:rFonts w:cstheme="minorHAnsi"/>
                <w:b/>
                <w:bCs/>
                <w:sz w:val="18"/>
                <w:szCs w:val="18"/>
              </w:rPr>
            </w:pPr>
            <w:r w:rsidRPr="008C181A">
              <w:rPr>
                <w:rFonts w:cstheme="minorHAnsi"/>
                <w:b/>
                <w:bCs/>
                <w:sz w:val="18"/>
                <w:szCs w:val="18"/>
              </w:rPr>
              <w:t>17</w:t>
            </w:r>
          </w:p>
        </w:tc>
        <w:tc>
          <w:tcPr>
            <w:tcW w:w="425" w:type="dxa"/>
            <w:shd w:val="clear" w:color="auto" w:fill="EDEDED" w:themeFill="accent3" w:themeFillTint="33"/>
          </w:tcPr>
          <w:p w14:paraId="14E3CF52" w14:textId="77777777" w:rsidR="00A64384" w:rsidRPr="008C181A" w:rsidRDefault="00A64384">
            <w:pPr>
              <w:rPr>
                <w:rFonts w:cstheme="minorHAnsi"/>
                <w:b/>
                <w:bCs/>
                <w:sz w:val="18"/>
                <w:szCs w:val="18"/>
              </w:rPr>
            </w:pPr>
            <w:r w:rsidRPr="008C181A">
              <w:rPr>
                <w:rFonts w:cstheme="minorHAnsi"/>
                <w:b/>
                <w:bCs/>
                <w:sz w:val="18"/>
                <w:szCs w:val="18"/>
              </w:rPr>
              <w:t>23</w:t>
            </w:r>
          </w:p>
        </w:tc>
        <w:tc>
          <w:tcPr>
            <w:tcW w:w="425" w:type="dxa"/>
            <w:shd w:val="clear" w:color="auto" w:fill="EDEDED" w:themeFill="accent3" w:themeFillTint="33"/>
          </w:tcPr>
          <w:p w14:paraId="02953EE1" w14:textId="77777777" w:rsidR="00A64384" w:rsidRPr="008C181A" w:rsidRDefault="00A64384">
            <w:pPr>
              <w:rPr>
                <w:rFonts w:cstheme="minorHAnsi"/>
                <w:b/>
                <w:bCs/>
                <w:sz w:val="18"/>
                <w:szCs w:val="18"/>
              </w:rPr>
            </w:pPr>
            <w:r w:rsidRPr="008C181A">
              <w:rPr>
                <w:rFonts w:cstheme="minorHAnsi"/>
                <w:b/>
                <w:bCs/>
                <w:sz w:val="18"/>
                <w:szCs w:val="18"/>
              </w:rPr>
              <w:t>27</w:t>
            </w:r>
          </w:p>
        </w:tc>
        <w:tc>
          <w:tcPr>
            <w:tcW w:w="425" w:type="dxa"/>
            <w:shd w:val="clear" w:color="auto" w:fill="EDEDED" w:themeFill="accent3" w:themeFillTint="33"/>
          </w:tcPr>
          <w:p w14:paraId="3299F928" w14:textId="77777777" w:rsidR="00A64384" w:rsidRPr="008C181A" w:rsidRDefault="00A64384">
            <w:pPr>
              <w:rPr>
                <w:rFonts w:cstheme="minorHAnsi"/>
                <w:b/>
                <w:bCs/>
                <w:sz w:val="18"/>
                <w:szCs w:val="18"/>
              </w:rPr>
            </w:pPr>
            <w:r w:rsidRPr="008C181A">
              <w:rPr>
                <w:rFonts w:cstheme="minorHAnsi"/>
                <w:b/>
                <w:bCs/>
                <w:sz w:val="18"/>
                <w:szCs w:val="18"/>
              </w:rPr>
              <w:t>30</w:t>
            </w:r>
          </w:p>
        </w:tc>
        <w:tc>
          <w:tcPr>
            <w:tcW w:w="426" w:type="dxa"/>
            <w:shd w:val="clear" w:color="auto" w:fill="EDEDED" w:themeFill="accent3" w:themeFillTint="33"/>
          </w:tcPr>
          <w:p w14:paraId="57F84EF2" w14:textId="77777777" w:rsidR="00A64384" w:rsidRPr="008C181A" w:rsidRDefault="00A64384">
            <w:pPr>
              <w:rPr>
                <w:rFonts w:cstheme="minorHAnsi"/>
                <w:b/>
                <w:bCs/>
                <w:sz w:val="18"/>
                <w:szCs w:val="18"/>
              </w:rPr>
            </w:pPr>
            <w:r w:rsidRPr="008C181A">
              <w:rPr>
                <w:rFonts w:cstheme="minorHAnsi"/>
                <w:b/>
                <w:bCs/>
                <w:sz w:val="18"/>
                <w:szCs w:val="18"/>
              </w:rPr>
              <w:t>34</w:t>
            </w:r>
          </w:p>
        </w:tc>
        <w:tc>
          <w:tcPr>
            <w:tcW w:w="425" w:type="dxa"/>
            <w:shd w:val="clear" w:color="auto" w:fill="EDEDED" w:themeFill="accent3" w:themeFillTint="33"/>
          </w:tcPr>
          <w:p w14:paraId="6BF97B78" w14:textId="77777777" w:rsidR="00A64384" w:rsidRPr="008C181A" w:rsidRDefault="00A64384">
            <w:pPr>
              <w:rPr>
                <w:rFonts w:cstheme="minorHAnsi"/>
                <w:b/>
                <w:bCs/>
                <w:sz w:val="18"/>
                <w:szCs w:val="18"/>
              </w:rPr>
            </w:pPr>
            <w:r w:rsidRPr="008C181A">
              <w:rPr>
                <w:rFonts w:cstheme="minorHAnsi"/>
                <w:b/>
                <w:bCs/>
                <w:sz w:val="18"/>
                <w:szCs w:val="18"/>
              </w:rPr>
              <w:t>44</w:t>
            </w:r>
          </w:p>
        </w:tc>
      </w:tr>
      <w:tr w:rsidR="008C181A" w:rsidRPr="008C181A" w14:paraId="077AF6EC" w14:textId="75E423DF" w:rsidTr="00A64384">
        <w:trPr>
          <w:gridAfter w:val="12"/>
          <w:wAfter w:w="5104" w:type="dxa"/>
        </w:trPr>
        <w:tc>
          <w:tcPr>
            <w:tcW w:w="1240" w:type="dxa"/>
            <w:vMerge w:val="restart"/>
            <w:vAlign w:val="center"/>
          </w:tcPr>
          <w:p w14:paraId="47798739" w14:textId="77777777" w:rsidR="00A64384" w:rsidRPr="008C181A" w:rsidRDefault="00A64384">
            <w:pPr>
              <w:jc w:val="center"/>
              <w:rPr>
                <w:rFonts w:cstheme="minorHAnsi"/>
                <w:sz w:val="18"/>
                <w:szCs w:val="18"/>
              </w:rPr>
            </w:pPr>
            <w:r w:rsidRPr="008C181A">
              <w:rPr>
                <w:rFonts w:cstheme="minorHAnsi"/>
                <w:b/>
                <w:bCs/>
                <w:sz w:val="18"/>
                <w:szCs w:val="18"/>
              </w:rPr>
              <w:t>Quantitative non-randomized</w:t>
            </w:r>
          </w:p>
        </w:tc>
        <w:tc>
          <w:tcPr>
            <w:tcW w:w="3432" w:type="dxa"/>
          </w:tcPr>
          <w:p w14:paraId="1C456B21" w14:textId="77777777" w:rsidR="00A64384" w:rsidRPr="008C181A" w:rsidRDefault="00A64384">
            <w:pPr>
              <w:pStyle w:val="ListParagraph"/>
              <w:numPr>
                <w:ilvl w:val="1"/>
                <w:numId w:val="9"/>
              </w:numPr>
              <w:contextualSpacing/>
              <w:rPr>
                <w:rFonts w:cstheme="minorHAnsi"/>
                <w:sz w:val="18"/>
                <w:szCs w:val="18"/>
              </w:rPr>
            </w:pPr>
            <w:r w:rsidRPr="008C181A">
              <w:rPr>
                <w:rFonts w:cstheme="minorHAnsi"/>
                <w:sz w:val="18"/>
                <w:szCs w:val="18"/>
              </w:rPr>
              <w:t>Are the participants representative of the target population?</w:t>
            </w:r>
          </w:p>
        </w:tc>
        <w:tc>
          <w:tcPr>
            <w:tcW w:w="284" w:type="dxa"/>
          </w:tcPr>
          <w:p w14:paraId="2E2B872A"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56ED163F"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607B4D5F"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75541139"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5259E23"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7F3063E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E748D4B"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585D7F7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5EEDC02"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16A7A15F" w14:textId="77B3C1C7" w:rsidTr="00A64384">
        <w:trPr>
          <w:gridAfter w:val="12"/>
          <w:wAfter w:w="5104" w:type="dxa"/>
        </w:trPr>
        <w:tc>
          <w:tcPr>
            <w:tcW w:w="1240" w:type="dxa"/>
            <w:vMerge/>
          </w:tcPr>
          <w:p w14:paraId="135F6612" w14:textId="77777777" w:rsidR="00A64384" w:rsidRPr="008C181A" w:rsidRDefault="00A64384">
            <w:pPr>
              <w:rPr>
                <w:rFonts w:cstheme="minorHAnsi"/>
                <w:sz w:val="18"/>
                <w:szCs w:val="18"/>
              </w:rPr>
            </w:pPr>
          </w:p>
        </w:tc>
        <w:tc>
          <w:tcPr>
            <w:tcW w:w="3432" w:type="dxa"/>
          </w:tcPr>
          <w:p w14:paraId="4DDB8C11" w14:textId="77777777" w:rsidR="00A64384" w:rsidRPr="008C181A" w:rsidRDefault="00A64384">
            <w:pPr>
              <w:pStyle w:val="ListParagraph"/>
              <w:numPr>
                <w:ilvl w:val="1"/>
                <w:numId w:val="9"/>
              </w:numPr>
              <w:contextualSpacing/>
              <w:rPr>
                <w:rFonts w:cstheme="minorHAnsi"/>
                <w:sz w:val="18"/>
                <w:szCs w:val="18"/>
              </w:rPr>
            </w:pPr>
            <w:r w:rsidRPr="008C181A">
              <w:rPr>
                <w:rFonts w:cstheme="minorHAnsi"/>
                <w:sz w:val="18"/>
                <w:szCs w:val="18"/>
              </w:rPr>
              <w:t>Are measurements appropriate regarding both the outcome and intervention (or exposure)?</w:t>
            </w:r>
          </w:p>
        </w:tc>
        <w:tc>
          <w:tcPr>
            <w:tcW w:w="284" w:type="dxa"/>
          </w:tcPr>
          <w:p w14:paraId="7A99459C"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65105EE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01630EB"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2E5F6F2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E380575"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6362E9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7A770CA"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7D9EC5D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F193F8B" w14:textId="77777777" w:rsidR="00A64384" w:rsidRPr="008C181A" w:rsidRDefault="00A64384">
            <w:pPr>
              <w:rPr>
                <w:rFonts w:cstheme="minorHAnsi"/>
                <w:sz w:val="18"/>
                <w:szCs w:val="18"/>
              </w:rPr>
            </w:pPr>
            <w:r w:rsidRPr="008C181A">
              <w:rPr>
                <w:rFonts w:cstheme="minorHAnsi"/>
                <w:sz w:val="18"/>
                <w:szCs w:val="18"/>
              </w:rPr>
              <w:t>X</w:t>
            </w:r>
          </w:p>
        </w:tc>
      </w:tr>
      <w:tr w:rsidR="008C181A" w:rsidRPr="008C181A" w14:paraId="29E78594" w14:textId="065702DB" w:rsidTr="00A64384">
        <w:trPr>
          <w:gridAfter w:val="12"/>
          <w:wAfter w:w="5104" w:type="dxa"/>
        </w:trPr>
        <w:tc>
          <w:tcPr>
            <w:tcW w:w="1240" w:type="dxa"/>
            <w:vMerge/>
          </w:tcPr>
          <w:p w14:paraId="37E6863D" w14:textId="77777777" w:rsidR="00A64384" w:rsidRPr="008C181A" w:rsidRDefault="00A64384">
            <w:pPr>
              <w:rPr>
                <w:rFonts w:cstheme="minorHAnsi"/>
                <w:sz w:val="18"/>
                <w:szCs w:val="18"/>
              </w:rPr>
            </w:pPr>
          </w:p>
        </w:tc>
        <w:tc>
          <w:tcPr>
            <w:tcW w:w="3432" w:type="dxa"/>
          </w:tcPr>
          <w:p w14:paraId="21B8AC00" w14:textId="77777777" w:rsidR="00A64384" w:rsidRPr="008C181A" w:rsidRDefault="00A64384">
            <w:pPr>
              <w:pStyle w:val="ListParagraph"/>
              <w:numPr>
                <w:ilvl w:val="1"/>
                <w:numId w:val="9"/>
              </w:numPr>
              <w:contextualSpacing/>
              <w:rPr>
                <w:rFonts w:cstheme="minorHAnsi"/>
                <w:sz w:val="18"/>
                <w:szCs w:val="18"/>
              </w:rPr>
            </w:pPr>
            <w:r w:rsidRPr="008C181A">
              <w:rPr>
                <w:rFonts w:cstheme="minorHAnsi"/>
                <w:sz w:val="18"/>
                <w:szCs w:val="18"/>
              </w:rPr>
              <w:t>Are there complete outcome data?</w:t>
            </w:r>
          </w:p>
        </w:tc>
        <w:tc>
          <w:tcPr>
            <w:tcW w:w="284" w:type="dxa"/>
          </w:tcPr>
          <w:p w14:paraId="44AB4DAC" w14:textId="77777777" w:rsidR="00A64384" w:rsidRPr="008C181A" w:rsidRDefault="00A64384">
            <w:pPr>
              <w:rPr>
                <w:rFonts w:cstheme="minorHAnsi"/>
                <w:sz w:val="18"/>
                <w:szCs w:val="18"/>
              </w:rPr>
            </w:pPr>
            <w:r w:rsidRPr="008C181A">
              <w:rPr>
                <w:rFonts w:cstheme="minorHAnsi"/>
                <w:sz w:val="18"/>
                <w:szCs w:val="18"/>
              </w:rPr>
              <w:t>X</w:t>
            </w:r>
          </w:p>
        </w:tc>
        <w:tc>
          <w:tcPr>
            <w:tcW w:w="283" w:type="dxa"/>
          </w:tcPr>
          <w:p w14:paraId="7ACF98DF"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928979B"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754CBAB2"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BA33102"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5E9BD465"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B300926" w14:textId="77777777" w:rsidR="00A64384" w:rsidRPr="008C181A" w:rsidRDefault="00A64384">
            <w:pPr>
              <w:rPr>
                <w:rFonts w:cstheme="minorHAnsi"/>
                <w:sz w:val="18"/>
                <w:szCs w:val="18"/>
              </w:rPr>
            </w:pPr>
            <w:r w:rsidRPr="008C181A">
              <w:rPr>
                <w:rFonts w:cstheme="minorHAnsi"/>
                <w:sz w:val="18"/>
                <w:szCs w:val="18"/>
              </w:rPr>
              <w:t>?</w:t>
            </w:r>
          </w:p>
        </w:tc>
        <w:tc>
          <w:tcPr>
            <w:tcW w:w="426" w:type="dxa"/>
          </w:tcPr>
          <w:p w14:paraId="1CDBC435"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602F115" w14:textId="77777777" w:rsidR="00A64384" w:rsidRPr="008C181A" w:rsidRDefault="00A64384">
            <w:pPr>
              <w:rPr>
                <w:rFonts w:cstheme="minorHAnsi"/>
                <w:sz w:val="18"/>
                <w:szCs w:val="18"/>
              </w:rPr>
            </w:pPr>
            <w:r w:rsidRPr="008C181A">
              <w:rPr>
                <w:rFonts w:cstheme="minorHAnsi"/>
                <w:sz w:val="18"/>
                <w:szCs w:val="18"/>
              </w:rPr>
              <w:t>?</w:t>
            </w:r>
          </w:p>
        </w:tc>
      </w:tr>
      <w:tr w:rsidR="008C181A" w:rsidRPr="008C181A" w14:paraId="7661F3AF" w14:textId="6F7F40B1" w:rsidTr="00A64384">
        <w:trPr>
          <w:gridAfter w:val="12"/>
          <w:wAfter w:w="5104" w:type="dxa"/>
        </w:trPr>
        <w:tc>
          <w:tcPr>
            <w:tcW w:w="1240" w:type="dxa"/>
            <w:vMerge/>
          </w:tcPr>
          <w:p w14:paraId="31FC352A" w14:textId="77777777" w:rsidR="00A64384" w:rsidRPr="008C181A" w:rsidRDefault="00A64384">
            <w:pPr>
              <w:rPr>
                <w:rFonts w:cstheme="minorHAnsi"/>
                <w:sz w:val="18"/>
                <w:szCs w:val="18"/>
              </w:rPr>
            </w:pPr>
          </w:p>
        </w:tc>
        <w:tc>
          <w:tcPr>
            <w:tcW w:w="3432" w:type="dxa"/>
          </w:tcPr>
          <w:p w14:paraId="33906127" w14:textId="77777777" w:rsidR="00A64384" w:rsidRPr="008C181A" w:rsidRDefault="00A64384">
            <w:pPr>
              <w:pStyle w:val="ListParagraph"/>
              <w:numPr>
                <w:ilvl w:val="1"/>
                <w:numId w:val="9"/>
              </w:numPr>
              <w:contextualSpacing/>
              <w:rPr>
                <w:rFonts w:cstheme="minorHAnsi"/>
                <w:sz w:val="18"/>
                <w:szCs w:val="18"/>
              </w:rPr>
            </w:pPr>
            <w:r w:rsidRPr="008C181A">
              <w:rPr>
                <w:rFonts w:cstheme="minorHAnsi"/>
                <w:sz w:val="18"/>
                <w:szCs w:val="18"/>
              </w:rPr>
              <w:t>Are the confounders accounted for in the design and analysis?</w:t>
            </w:r>
          </w:p>
        </w:tc>
        <w:tc>
          <w:tcPr>
            <w:tcW w:w="284" w:type="dxa"/>
          </w:tcPr>
          <w:p w14:paraId="44EBE74A"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2914DEB8"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20B114B5"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447431C1"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8A59653"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4384C67E"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7BFAF88"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FBDD37D"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0674F81" w14:textId="77777777" w:rsidR="00A64384" w:rsidRPr="008C181A" w:rsidRDefault="00A64384">
            <w:pPr>
              <w:rPr>
                <w:rFonts w:cstheme="minorHAnsi"/>
                <w:sz w:val="18"/>
                <w:szCs w:val="18"/>
              </w:rPr>
            </w:pPr>
            <w:r w:rsidRPr="008C181A">
              <w:rPr>
                <w:rFonts w:cstheme="minorHAnsi"/>
                <w:sz w:val="18"/>
                <w:szCs w:val="18"/>
              </w:rPr>
              <w:t>X</w:t>
            </w:r>
          </w:p>
        </w:tc>
      </w:tr>
      <w:tr w:rsidR="008C181A" w:rsidRPr="008C181A" w14:paraId="2B3D85B4" w14:textId="11081161" w:rsidTr="00A64384">
        <w:trPr>
          <w:gridAfter w:val="12"/>
          <w:wAfter w:w="5104" w:type="dxa"/>
        </w:trPr>
        <w:tc>
          <w:tcPr>
            <w:tcW w:w="1240" w:type="dxa"/>
            <w:vMerge/>
          </w:tcPr>
          <w:p w14:paraId="26CE6907" w14:textId="77777777" w:rsidR="00A64384" w:rsidRPr="008C181A" w:rsidRDefault="00A64384">
            <w:pPr>
              <w:rPr>
                <w:rFonts w:cstheme="minorHAnsi"/>
                <w:sz w:val="18"/>
                <w:szCs w:val="18"/>
              </w:rPr>
            </w:pPr>
          </w:p>
        </w:tc>
        <w:tc>
          <w:tcPr>
            <w:tcW w:w="3432" w:type="dxa"/>
          </w:tcPr>
          <w:p w14:paraId="579FED1C" w14:textId="77777777" w:rsidR="00A64384" w:rsidRPr="008C181A" w:rsidRDefault="00A64384">
            <w:pPr>
              <w:pStyle w:val="ListParagraph"/>
              <w:numPr>
                <w:ilvl w:val="1"/>
                <w:numId w:val="9"/>
              </w:numPr>
              <w:contextualSpacing/>
              <w:rPr>
                <w:rFonts w:cstheme="minorHAnsi"/>
                <w:sz w:val="18"/>
                <w:szCs w:val="18"/>
              </w:rPr>
            </w:pPr>
            <w:r w:rsidRPr="008C181A">
              <w:rPr>
                <w:rFonts w:cstheme="minorHAnsi"/>
                <w:sz w:val="18"/>
                <w:szCs w:val="18"/>
              </w:rPr>
              <w:t>During the study period, is the intervention administered (or exposure occurred) as intended?</w:t>
            </w:r>
          </w:p>
        </w:tc>
        <w:tc>
          <w:tcPr>
            <w:tcW w:w="284" w:type="dxa"/>
          </w:tcPr>
          <w:p w14:paraId="2D583486" w14:textId="77777777" w:rsidR="00A64384" w:rsidRPr="008C181A" w:rsidRDefault="00A64384">
            <w:pPr>
              <w:rPr>
                <w:rFonts w:cstheme="minorHAnsi"/>
                <w:sz w:val="18"/>
                <w:szCs w:val="18"/>
              </w:rPr>
            </w:pPr>
            <w:r w:rsidRPr="008C181A">
              <w:rPr>
                <w:rFonts w:cstheme="minorHAnsi"/>
                <w:sz w:val="18"/>
                <w:szCs w:val="18"/>
              </w:rPr>
              <w:t>?</w:t>
            </w:r>
          </w:p>
        </w:tc>
        <w:tc>
          <w:tcPr>
            <w:tcW w:w="283" w:type="dxa"/>
          </w:tcPr>
          <w:p w14:paraId="2BE3BAFE"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5A897298"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5FE26A1"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21CE08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8DE866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BD77583"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73C3F6B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FDD6376"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677A412D" w14:textId="0186E6C7" w:rsidTr="00A64384">
        <w:trPr>
          <w:gridAfter w:val="15"/>
          <w:wAfter w:w="6380" w:type="dxa"/>
          <w:trHeight w:val="319"/>
        </w:trPr>
        <w:tc>
          <w:tcPr>
            <w:tcW w:w="4672" w:type="dxa"/>
            <w:gridSpan w:val="2"/>
            <w:shd w:val="clear" w:color="auto" w:fill="EDEDED" w:themeFill="accent3" w:themeFillTint="33"/>
          </w:tcPr>
          <w:p w14:paraId="723F0A14" w14:textId="77777777" w:rsidR="00A64384" w:rsidRPr="008C181A" w:rsidRDefault="00A64384">
            <w:pPr>
              <w:rPr>
                <w:rFonts w:cstheme="minorHAnsi"/>
                <w:b/>
                <w:bCs/>
                <w:sz w:val="18"/>
                <w:szCs w:val="18"/>
              </w:rPr>
            </w:pPr>
            <w:r w:rsidRPr="008C181A">
              <w:rPr>
                <w:rFonts w:cstheme="minorHAnsi"/>
                <w:b/>
                <w:bCs/>
                <w:sz w:val="18"/>
                <w:szCs w:val="18"/>
              </w:rPr>
              <w:t>Article Number</w:t>
            </w:r>
          </w:p>
        </w:tc>
        <w:tc>
          <w:tcPr>
            <w:tcW w:w="284" w:type="dxa"/>
            <w:shd w:val="clear" w:color="auto" w:fill="EDEDED" w:themeFill="accent3" w:themeFillTint="33"/>
          </w:tcPr>
          <w:p w14:paraId="77728A3D" w14:textId="77777777" w:rsidR="00A64384" w:rsidRPr="008C181A" w:rsidRDefault="00A64384">
            <w:pPr>
              <w:rPr>
                <w:rFonts w:cstheme="minorHAnsi"/>
                <w:b/>
                <w:bCs/>
                <w:sz w:val="18"/>
                <w:szCs w:val="18"/>
              </w:rPr>
            </w:pPr>
            <w:r w:rsidRPr="008C181A">
              <w:rPr>
                <w:rFonts w:cstheme="minorHAnsi"/>
                <w:b/>
                <w:bCs/>
                <w:sz w:val="18"/>
                <w:szCs w:val="18"/>
              </w:rPr>
              <w:t>7</w:t>
            </w:r>
          </w:p>
        </w:tc>
        <w:tc>
          <w:tcPr>
            <w:tcW w:w="283" w:type="dxa"/>
            <w:shd w:val="clear" w:color="auto" w:fill="EDEDED" w:themeFill="accent3" w:themeFillTint="33"/>
          </w:tcPr>
          <w:p w14:paraId="002E3270" w14:textId="77777777" w:rsidR="00A64384" w:rsidRPr="008C181A" w:rsidRDefault="00A64384">
            <w:pPr>
              <w:rPr>
                <w:rFonts w:cstheme="minorHAnsi"/>
                <w:b/>
                <w:bCs/>
                <w:sz w:val="18"/>
                <w:szCs w:val="18"/>
              </w:rPr>
            </w:pPr>
            <w:r w:rsidRPr="008C181A">
              <w:rPr>
                <w:rFonts w:cstheme="minorHAnsi"/>
                <w:b/>
                <w:bCs/>
                <w:sz w:val="18"/>
                <w:szCs w:val="18"/>
              </w:rPr>
              <w:t>14</w:t>
            </w:r>
          </w:p>
        </w:tc>
        <w:tc>
          <w:tcPr>
            <w:tcW w:w="425" w:type="dxa"/>
            <w:shd w:val="clear" w:color="auto" w:fill="EDEDED" w:themeFill="accent3" w:themeFillTint="33"/>
          </w:tcPr>
          <w:p w14:paraId="075191F0" w14:textId="77777777" w:rsidR="00A64384" w:rsidRPr="008C181A" w:rsidRDefault="00A64384">
            <w:pPr>
              <w:rPr>
                <w:rFonts w:cstheme="minorHAnsi"/>
                <w:b/>
                <w:bCs/>
                <w:sz w:val="18"/>
                <w:szCs w:val="18"/>
              </w:rPr>
            </w:pPr>
            <w:r w:rsidRPr="008C181A">
              <w:rPr>
                <w:rFonts w:cstheme="minorHAnsi"/>
                <w:b/>
                <w:bCs/>
                <w:sz w:val="18"/>
                <w:szCs w:val="18"/>
              </w:rPr>
              <w:t>18</w:t>
            </w:r>
          </w:p>
        </w:tc>
        <w:tc>
          <w:tcPr>
            <w:tcW w:w="426" w:type="dxa"/>
            <w:shd w:val="clear" w:color="auto" w:fill="EDEDED" w:themeFill="accent3" w:themeFillTint="33"/>
          </w:tcPr>
          <w:p w14:paraId="5F584DD9" w14:textId="77777777" w:rsidR="00A64384" w:rsidRPr="008C181A" w:rsidRDefault="00A64384">
            <w:pPr>
              <w:rPr>
                <w:rFonts w:cstheme="minorHAnsi"/>
                <w:b/>
                <w:bCs/>
                <w:sz w:val="18"/>
                <w:szCs w:val="18"/>
              </w:rPr>
            </w:pPr>
            <w:r w:rsidRPr="008C181A">
              <w:rPr>
                <w:rFonts w:cstheme="minorHAnsi"/>
                <w:b/>
                <w:bCs/>
                <w:sz w:val="18"/>
                <w:szCs w:val="18"/>
              </w:rPr>
              <w:t>19</w:t>
            </w:r>
          </w:p>
        </w:tc>
        <w:tc>
          <w:tcPr>
            <w:tcW w:w="425" w:type="dxa"/>
            <w:shd w:val="clear" w:color="auto" w:fill="EDEDED" w:themeFill="accent3" w:themeFillTint="33"/>
          </w:tcPr>
          <w:p w14:paraId="59AF65BF" w14:textId="77777777" w:rsidR="00A64384" w:rsidRPr="008C181A" w:rsidRDefault="00A64384">
            <w:pPr>
              <w:rPr>
                <w:rFonts w:cstheme="minorHAnsi"/>
                <w:b/>
                <w:bCs/>
                <w:sz w:val="18"/>
                <w:szCs w:val="18"/>
              </w:rPr>
            </w:pPr>
            <w:r w:rsidRPr="008C181A">
              <w:rPr>
                <w:rFonts w:cstheme="minorHAnsi"/>
                <w:b/>
                <w:bCs/>
                <w:sz w:val="18"/>
                <w:szCs w:val="18"/>
              </w:rPr>
              <w:t>32</w:t>
            </w:r>
          </w:p>
        </w:tc>
        <w:tc>
          <w:tcPr>
            <w:tcW w:w="425" w:type="dxa"/>
            <w:shd w:val="clear" w:color="auto" w:fill="EDEDED" w:themeFill="accent3" w:themeFillTint="33"/>
          </w:tcPr>
          <w:p w14:paraId="38DF3ED5" w14:textId="77777777" w:rsidR="00A64384" w:rsidRPr="008C181A" w:rsidRDefault="00A64384">
            <w:pPr>
              <w:rPr>
                <w:rFonts w:cstheme="minorHAnsi"/>
                <w:b/>
                <w:bCs/>
                <w:sz w:val="18"/>
                <w:szCs w:val="18"/>
              </w:rPr>
            </w:pPr>
            <w:r w:rsidRPr="008C181A">
              <w:rPr>
                <w:rFonts w:cstheme="minorHAnsi"/>
                <w:b/>
                <w:bCs/>
                <w:sz w:val="18"/>
                <w:szCs w:val="18"/>
              </w:rPr>
              <w:t>47</w:t>
            </w:r>
          </w:p>
        </w:tc>
      </w:tr>
      <w:tr w:rsidR="008C181A" w:rsidRPr="008C181A" w14:paraId="18229114" w14:textId="2E133E3E" w:rsidTr="00A64384">
        <w:trPr>
          <w:gridAfter w:val="15"/>
          <w:wAfter w:w="6380" w:type="dxa"/>
        </w:trPr>
        <w:tc>
          <w:tcPr>
            <w:tcW w:w="1240" w:type="dxa"/>
            <w:vMerge w:val="restart"/>
            <w:vAlign w:val="center"/>
          </w:tcPr>
          <w:p w14:paraId="58234658" w14:textId="77777777" w:rsidR="00A64384" w:rsidRPr="008C181A" w:rsidRDefault="00A64384">
            <w:pPr>
              <w:jc w:val="center"/>
              <w:rPr>
                <w:rFonts w:cstheme="minorHAnsi"/>
                <w:sz w:val="18"/>
                <w:szCs w:val="18"/>
              </w:rPr>
            </w:pPr>
            <w:r w:rsidRPr="008C181A">
              <w:rPr>
                <w:rFonts w:cstheme="minorHAnsi"/>
                <w:b/>
                <w:bCs/>
                <w:sz w:val="18"/>
                <w:szCs w:val="18"/>
              </w:rPr>
              <w:t>Quantitative descriptive</w:t>
            </w:r>
          </w:p>
        </w:tc>
        <w:tc>
          <w:tcPr>
            <w:tcW w:w="3432" w:type="dxa"/>
          </w:tcPr>
          <w:p w14:paraId="5C4E867E" w14:textId="77777777" w:rsidR="00A64384" w:rsidRPr="008C181A" w:rsidRDefault="00A64384">
            <w:pPr>
              <w:pStyle w:val="ListParagraph"/>
              <w:numPr>
                <w:ilvl w:val="1"/>
                <w:numId w:val="10"/>
              </w:numPr>
              <w:contextualSpacing/>
              <w:rPr>
                <w:rFonts w:cstheme="minorHAnsi"/>
                <w:sz w:val="18"/>
                <w:szCs w:val="18"/>
              </w:rPr>
            </w:pPr>
            <w:r w:rsidRPr="008C181A">
              <w:rPr>
                <w:rFonts w:cstheme="minorHAnsi"/>
                <w:sz w:val="18"/>
                <w:szCs w:val="18"/>
              </w:rPr>
              <w:t>Is the sampling strategy relevant to address the research question?</w:t>
            </w:r>
          </w:p>
        </w:tc>
        <w:tc>
          <w:tcPr>
            <w:tcW w:w="284" w:type="dxa"/>
          </w:tcPr>
          <w:p w14:paraId="4B8A7886"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1A3E83F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B59B262"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B1D4C04"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DFA1D61"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F45E9AE"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250DE73C" w14:textId="5B47C298" w:rsidTr="00A64384">
        <w:trPr>
          <w:gridAfter w:val="15"/>
          <w:wAfter w:w="6380" w:type="dxa"/>
        </w:trPr>
        <w:tc>
          <w:tcPr>
            <w:tcW w:w="1240" w:type="dxa"/>
            <w:vMerge/>
          </w:tcPr>
          <w:p w14:paraId="01247014" w14:textId="77777777" w:rsidR="00A64384" w:rsidRPr="008C181A" w:rsidRDefault="00A64384">
            <w:pPr>
              <w:rPr>
                <w:rFonts w:cstheme="minorHAnsi"/>
                <w:sz w:val="18"/>
                <w:szCs w:val="18"/>
              </w:rPr>
            </w:pPr>
          </w:p>
        </w:tc>
        <w:tc>
          <w:tcPr>
            <w:tcW w:w="3432" w:type="dxa"/>
          </w:tcPr>
          <w:p w14:paraId="6DEC7180" w14:textId="77777777" w:rsidR="00A64384" w:rsidRPr="008C181A" w:rsidRDefault="00A64384">
            <w:pPr>
              <w:pStyle w:val="ListParagraph"/>
              <w:numPr>
                <w:ilvl w:val="1"/>
                <w:numId w:val="10"/>
              </w:numPr>
              <w:contextualSpacing/>
              <w:rPr>
                <w:rFonts w:cstheme="minorHAnsi"/>
                <w:sz w:val="18"/>
                <w:szCs w:val="18"/>
              </w:rPr>
            </w:pPr>
            <w:r w:rsidRPr="008C181A">
              <w:rPr>
                <w:rFonts w:cstheme="minorHAnsi"/>
                <w:sz w:val="18"/>
                <w:szCs w:val="18"/>
              </w:rPr>
              <w:t>Is the sampling presentative of the target population?</w:t>
            </w:r>
          </w:p>
        </w:tc>
        <w:tc>
          <w:tcPr>
            <w:tcW w:w="284" w:type="dxa"/>
          </w:tcPr>
          <w:p w14:paraId="22CB2B39" w14:textId="77777777" w:rsidR="00A64384" w:rsidRPr="008C181A" w:rsidRDefault="00A64384">
            <w:pPr>
              <w:rPr>
                <w:rFonts w:cstheme="minorHAnsi"/>
                <w:sz w:val="18"/>
                <w:szCs w:val="18"/>
              </w:rPr>
            </w:pPr>
            <w:r w:rsidRPr="008C181A">
              <w:rPr>
                <w:rFonts w:cstheme="minorHAnsi"/>
                <w:sz w:val="18"/>
                <w:szCs w:val="18"/>
              </w:rPr>
              <w:t>X</w:t>
            </w:r>
          </w:p>
        </w:tc>
        <w:tc>
          <w:tcPr>
            <w:tcW w:w="283" w:type="dxa"/>
          </w:tcPr>
          <w:p w14:paraId="6745E220"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7F00DD35"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5F33368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AC0F2F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736314B" w14:textId="77777777" w:rsidR="00A64384" w:rsidRPr="008C181A" w:rsidRDefault="00A64384">
            <w:pPr>
              <w:rPr>
                <w:rFonts w:cstheme="minorHAnsi"/>
                <w:sz w:val="18"/>
                <w:szCs w:val="18"/>
              </w:rPr>
            </w:pPr>
            <w:r w:rsidRPr="008C181A">
              <w:rPr>
                <w:rFonts w:cstheme="minorHAnsi"/>
                <w:sz w:val="18"/>
                <w:szCs w:val="18"/>
              </w:rPr>
              <w:t>X</w:t>
            </w:r>
          </w:p>
        </w:tc>
      </w:tr>
      <w:tr w:rsidR="008C181A" w:rsidRPr="008C181A" w14:paraId="317626E8" w14:textId="282B058C" w:rsidTr="00A64384">
        <w:trPr>
          <w:gridAfter w:val="15"/>
          <w:wAfter w:w="6380" w:type="dxa"/>
        </w:trPr>
        <w:tc>
          <w:tcPr>
            <w:tcW w:w="1240" w:type="dxa"/>
            <w:vMerge/>
          </w:tcPr>
          <w:p w14:paraId="216CAC3C" w14:textId="77777777" w:rsidR="00A64384" w:rsidRPr="008C181A" w:rsidRDefault="00A64384">
            <w:pPr>
              <w:rPr>
                <w:rFonts w:cstheme="minorHAnsi"/>
                <w:sz w:val="18"/>
                <w:szCs w:val="18"/>
              </w:rPr>
            </w:pPr>
          </w:p>
        </w:tc>
        <w:tc>
          <w:tcPr>
            <w:tcW w:w="3432" w:type="dxa"/>
          </w:tcPr>
          <w:p w14:paraId="61183F8E" w14:textId="77777777" w:rsidR="00A64384" w:rsidRPr="008C181A" w:rsidRDefault="00A64384">
            <w:pPr>
              <w:pStyle w:val="ListParagraph"/>
              <w:numPr>
                <w:ilvl w:val="1"/>
                <w:numId w:val="10"/>
              </w:numPr>
              <w:contextualSpacing/>
              <w:rPr>
                <w:rFonts w:cstheme="minorHAnsi"/>
                <w:sz w:val="18"/>
                <w:szCs w:val="18"/>
              </w:rPr>
            </w:pPr>
            <w:r w:rsidRPr="008C181A">
              <w:rPr>
                <w:rFonts w:cstheme="minorHAnsi"/>
                <w:sz w:val="18"/>
                <w:szCs w:val="18"/>
              </w:rPr>
              <w:t>Are the measurements appropriate?</w:t>
            </w:r>
          </w:p>
        </w:tc>
        <w:tc>
          <w:tcPr>
            <w:tcW w:w="284" w:type="dxa"/>
          </w:tcPr>
          <w:p w14:paraId="7A4B088B"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2B93B428"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C733F84"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4C5894C0"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7D4F75DE"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6C69C9F8"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1EC6403F" w14:textId="0195AA65" w:rsidTr="00A64384">
        <w:trPr>
          <w:gridAfter w:val="15"/>
          <w:wAfter w:w="6380" w:type="dxa"/>
        </w:trPr>
        <w:tc>
          <w:tcPr>
            <w:tcW w:w="1240" w:type="dxa"/>
            <w:vMerge/>
          </w:tcPr>
          <w:p w14:paraId="1CBF56D8" w14:textId="77777777" w:rsidR="00A64384" w:rsidRPr="008C181A" w:rsidRDefault="00A64384">
            <w:pPr>
              <w:rPr>
                <w:rFonts w:cstheme="minorHAnsi"/>
                <w:sz w:val="18"/>
                <w:szCs w:val="18"/>
              </w:rPr>
            </w:pPr>
          </w:p>
        </w:tc>
        <w:tc>
          <w:tcPr>
            <w:tcW w:w="3432" w:type="dxa"/>
          </w:tcPr>
          <w:p w14:paraId="737357A9" w14:textId="77777777" w:rsidR="00A64384" w:rsidRPr="008C181A" w:rsidRDefault="00A64384">
            <w:pPr>
              <w:pStyle w:val="ListParagraph"/>
              <w:numPr>
                <w:ilvl w:val="1"/>
                <w:numId w:val="10"/>
              </w:numPr>
              <w:contextualSpacing/>
              <w:rPr>
                <w:rFonts w:cstheme="minorHAnsi"/>
                <w:sz w:val="18"/>
                <w:szCs w:val="18"/>
              </w:rPr>
            </w:pPr>
            <w:r w:rsidRPr="008C181A">
              <w:rPr>
                <w:rFonts w:cstheme="minorHAnsi"/>
                <w:sz w:val="18"/>
                <w:szCs w:val="18"/>
              </w:rPr>
              <w:t>Is the risk of non-response bias low?</w:t>
            </w:r>
          </w:p>
        </w:tc>
        <w:tc>
          <w:tcPr>
            <w:tcW w:w="284" w:type="dxa"/>
          </w:tcPr>
          <w:p w14:paraId="2AF6DB44"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5B4696B2"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E100015"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06E0022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ABFEB9C"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FBE9E29"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06BF28F4" w14:textId="29FB2FA8" w:rsidTr="00A64384">
        <w:trPr>
          <w:gridAfter w:val="15"/>
          <w:wAfter w:w="6380" w:type="dxa"/>
        </w:trPr>
        <w:tc>
          <w:tcPr>
            <w:tcW w:w="1240" w:type="dxa"/>
            <w:vMerge/>
          </w:tcPr>
          <w:p w14:paraId="369B70F4" w14:textId="77777777" w:rsidR="00A64384" w:rsidRPr="008C181A" w:rsidRDefault="00A64384">
            <w:pPr>
              <w:rPr>
                <w:rFonts w:cstheme="minorHAnsi"/>
                <w:sz w:val="18"/>
                <w:szCs w:val="18"/>
              </w:rPr>
            </w:pPr>
          </w:p>
        </w:tc>
        <w:tc>
          <w:tcPr>
            <w:tcW w:w="3432" w:type="dxa"/>
          </w:tcPr>
          <w:p w14:paraId="0448FFBC" w14:textId="77777777" w:rsidR="00A64384" w:rsidRPr="008C181A" w:rsidRDefault="00A64384">
            <w:pPr>
              <w:pStyle w:val="ListParagraph"/>
              <w:numPr>
                <w:ilvl w:val="1"/>
                <w:numId w:val="10"/>
              </w:numPr>
              <w:contextualSpacing/>
              <w:rPr>
                <w:rFonts w:cstheme="minorHAnsi"/>
                <w:sz w:val="18"/>
                <w:szCs w:val="18"/>
              </w:rPr>
            </w:pPr>
            <w:r w:rsidRPr="008C181A">
              <w:rPr>
                <w:rFonts w:cstheme="minorHAnsi"/>
                <w:sz w:val="18"/>
                <w:szCs w:val="18"/>
              </w:rPr>
              <w:t>Is the statistical analysis appropriate to answer the research question?</w:t>
            </w:r>
          </w:p>
        </w:tc>
        <w:tc>
          <w:tcPr>
            <w:tcW w:w="284" w:type="dxa"/>
          </w:tcPr>
          <w:p w14:paraId="7F878085"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0C5A7B7C"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63FFF9E"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03E1362"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87A7F47"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E71971E" w14:textId="77777777" w:rsidR="00A64384" w:rsidRPr="008C181A" w:rsidRDefault="00A64384">
            <w:pPr>
              <w:rPr>
                <w:rFonts w:cstheme="minorHAnsi"/>
                <w:sz w:val="18"/>
                <w:szCs w:val="18"/>
              </w:rPr>
            </w:pPr>
            <w:r w:rsidRPr="008C181A">
              <w:rPr>
                <w:rFonts w:cstheme="minorHAnsi"/>
                <w:sz w:val="18"/>
                <w:szCs w:val="18"/>
              </w:rPr>
              <w:t>Y</w:t>
            </w:r>
          </w:p>
        </w:tc>
      </w:tr>
      <w:tr w:rsidR="008C181A" w:rsidRPr="008C181A" w14:paraId="122AEF2D" w14:textId="139CCAE8" w:rsidTr="00A64384">
        <w:trPr>
          <w:gridAfter w:val="9"/>
          <w:wAfter w:w="3828" w:type="dxa"/>
          <w:trHeight w:val="314"/>
        </w:trPr>
        <w:tc>
          <w:tcPr>
            <w:tcW w:w="4672" w:type="dxa"/>
            <w:gridSpan w:val="2"/>
            <w:shd w:val="clear" w:color="auto" w:fill="EDEDED" w:themeFill="accent3" w:themeFillTint="33"/>
          </w:tcPr>
          <w:p w14:paraId="6E92BDF4" w14:textId="77777777" w:rsidR="00A64384" w:rsidRPr="008C181A" w:rsidRDefault="00A64384">
            <w:pPr>
              <w:rPr>
                <w:rFonts w:cstheme="minorHAnsi"/>
                <w:b/>
                <w:bCs/>
                <w:sz w:val="18"/>
                <w:szCs w:val="18"/>
              </w:rPr>
            </w:pPr>
            <w:r w:rsidRPr="008C181A">
              <w:rPr>
                <w:rFonts w:cstheme="minorHAnsi"/>
                <w:b/>
                <w:bCs/>
                <w:sz w:val="18"/>
                <w:szCs w:val="18"/>
              </w:rPr>
              <w:t>Article Number</w:t>
            </w:r>
          </w:p>
        </w:tc>
        <w:tc>
          <w:tcPr>
            <w:tcW w:w="284" w:type="dxa"/>
            <w:shd w:val="clear" w:color="auto" w:fill="EDEDED" w:themeFill="accent3" w:themeFillTint="33"/>
          </w:tcPr>
          <w:p w14:paraId="0E8E2504" w14:textId="77777777" w:rsidR="00A64384" w:rsidRPr="008C181A" w:rsidRDefault="00A64384">
            <w:pPr>
              <w:rPr>
                <w:rFonts w:cstheme="minorHAnsi"/>
                <w:b/>
                <w:bCs/>
                <w:sz w:val="18"/>
                <w:szCs w:val="18"/>
              </w:rPr>
            </w:pPr>
            <w:r w:rsidRPr="008C181A">
              <w:rPr>
                <w:rFonts w:cstheme="minorHAnsi"/>
                <w:b/>
                <w:bCs/>
                <w:sz w:val="18"/>
                <w:szCs w:val="18"/>
              </w:rPr>
              <w:t>3</w:t>
            </w:r>
          </w:p>
        </w:tc>
        <w:tc>
          <w:tcPr>
            <w:tcW w:w="283" w:type="dxa"/>
            <w:shd w:val="clear" w:color="auto" w:fill="EDEDED" w:themeFill="accent3" w:themeFillTint="33"/>
          </w:tcPr>
          <w:p w14:paraId="7E2EC92A" w14:textId="77777777" w:rsidR="00A64384" w:rsidRPr="008C181A" w:rsidRDefault="00A64384">
            <w:pPr>
              <w:rPr>
                <w:rFonts w:cstheme="minorHAnsi"/>
                <w:b/>
                <w:bCs/>
                <w:sz w:val="18"/>
                <w:szCs w:val="18"/>
              </w:rPr>
            </w:pPr>
            <w:r w:rsidRPr="008C181A">
              <w:rPr>
                <w:rFonts w:cstheme="minorHAnsi"/>
                <w:b/>
                <w:bCs/>
                <w:sz w:val="18"/>
                <w:szCs w:val="18"/>
              </w:rPr>
              <w:t>8</w:t>
            </w:r>
          </w:p>
        </w:tc>
        <w:tc>
          <w:tcPr>
            <w:tcW w:w="425" w:type="dxa"/>
            <w:shd w:val="clear" w:color="auto" w:fill="EDEDED" w:themeFill="accent3" w:themeFillTint="33"/>
          </w:tcPr>
          <w:p w14:paraId="63E851BB" w14:textId="77777777" w:rsidR="00A64384" w:rsidRPr="008C181A" w:rsidRDefault="00A64384">
            <w:pPr>
              <w:rPr>
                <w:rFonts w:cstheme="minorHAnsi"/>
                <w:b/>
                <w:bCs/>
                <w:sz w:val="18"/>
                <w:szCs w:val="18"/>
              </w:rPr>
            </w:pPr>
            <w:r w:rsidRPr="008C181A">
              <w:rPr>
                <w:rFonts w:cstheme="minorHAnsi"/>
                <w:b/>
                <w:bCs/>
                <w:sz w:val="18"/>
                <w:szCs w:val="18"/>
              </w:rPr>
              <w:t>9</w:t>
            </w:r>
          </w:p>
        </w:tc>
        <w:tc>
          <w:tcPr>
            <w:tcW w:w="426" w:type="dxa"/>
            <w:shd w:val="clear" w:color="auto" w:fill="EDEDED" w:themeFill="accent3" w:themeFillTint="33"/>
          </w:tcPr>
          <w:p w14:paraId="62946E57" w14:textId="77777777" w:rsidR="00A64384" w:rsidRPr="008C181A" w:rsidRDefault="00A64384">
            <w:pPr>
              <w:rPr>
                <w:rFonts w:cstheme="minorHAnsi"/>
                <w:b/>
                <w:bCs/>
                <w:sz w:val="18"/>
                <w:szCs w:val="18"/>
              </w:rPr>
            </w:pPr>
            <w:r w:rsidRPr="008C181A">
              <w:rPr>
                <w:rFonts w:cstheme="minorHAnsi"/>
                <w:b/>
                <w:bCs/>
                <w:sz w:val="18"/>
                <w:szCs w:val="18"/>
              </w:rPr>
              <w:t>12</w:t>
            </w:r>
          </w:p>
        </w:tc>
        <w:tc>
          <w:tcPr>
            <w:tcW w:w="425" w:type="dxa"/>
            <w:shd w:val="clear" w:color="auto" w:fill="EDEDED" w:themeFill="accent3" w:themeFillTint="33"/>
          </w:tcPr>
          <w:p w14:paraId="7359DFA9" w14:textId="77777777" w:rsidR="00A64384" w:rsidRPr="008C181A" w:rsidRDefault="00A64384">
            <w:pPr>
              <w:rPr>
                <w:rFonts w:cstheme="minorHAnsi"/>
                <w:b/>
                <w:bCs/>
                <w:sz w:val="18"/>
                <w:szCs w:val="18"/>
              </w:rPr>
            </w:pPr>
            <w:r w:rsidRPr="008C181A">
              <w:rPr>
                <w:rFonts w:cstheme="minorHAnsi"/>
                <w:b/>
                <w:bCs/>
                <w:sz w:val="18"/>
                <w:szCs w:val="18"/>
              </w:rPr>
              <w:t>13</w:t>
            </w:r>
          </w:p>
        </w:tc>
        <w:tc>
          <w:tcPr>
            <w:tcW w:w="425" w:type="dxa"/>
            <w:shd w:val="clear" w:color="auto" w:fill="EDEDED" w:themeFill="accent3" w:themeFillTint="33"/>
          </w:tcPr>
          <w:p w14:paraId="59E6515A" w14:textId="77777777" w:rsidR="00A64384" w:rsidRPr="008C181A" w:rsidRDefault="00A64384">
            <w:pPr>
              <w:rPr>
                <w:rFonts w:cstheme="minorHAnsi"/>
                <w:b/>
                <w:bCs/>
                <w:sz w:val="18"/>
                <w:szCs w:val="18"/>
              </w:rPr>
            </w:pPr>
            <w:r w:rsidRPr="008C181A">
              <w:rPr>
                <w:rFonts w:cstheme="minorHAnsi"/>
                <w:b/>
                <w:bCs/>
                <w:sz w:val="18"/>
                <w:szCs w:val="18"/>
              </w:rPr>
              <w:t>20</w:t>
            </w:r>
          </w:p>
        </w:tc>
        <w:tc>
          <w:tcPr>
            <w:tcW w:w="425" w:type="dxa"/>
            <w:shd w:val="clear" w:color="auto" w:fill="EDEDED" w:themeFill="accent3" w:themeFillTint="33"/>
          </w:tcPr>
          <w:p w14:paraId="73CBC661" w14:textId="77777777" w:rsidR="00A64384" w:rsidRPr="008C181A" w:rsidRDefault="00A64384">
            <w:pPr>
              <w:rPr>
                <w:rFonts w:cstheme="minorHAnsi"/>
                <w:b/>
                <w:bCs/>
                <w:sz w:val="18"/>
                <w:szCs w:val="18"/>
              </w:rPr>
            </w:pPr>
            <w:r w:rsidRPr="008C181A">
              <w:rPr>
                <w:rFonts w:cstheme="minorHAnsi"/>
                <w:b/>
                <w:bCs/>
                <w:sz w:val="18"/>
                <w:szCs w:val="18"/>
              </w:rPr>
              <w:t>21</w:t>
            </w:r>
          </w:p>
        </w:tc>
        <w:tc>
          <w:tcPr>
            <w:tcW w:w="426" w:type="dxa"/>
            <w:shd w:val="clear" w:color="auto" w:fill="EDEDED" w:themeFill="accent3" w:themeFillTint="33"/>
          </w:tcPr>
          <w:p w14:paraId="6B866B86" w14:textId="77777777" w:rsidR="00A64384" w:rsidRPr="008C181A" w:rsidRDefault="00A64384">
            <w:pPr>
              <w:rPr>
                <w:rFonts w:cstheme="minorHAnsi"/>
                <w:b/>
                <w:bCs/>
                <w:sz w:val="18"/>
                <w:szCs w:val="18"/>
              </w:rPr>
            </w:pPr>
            <w:r w:rsidRPr="008C181A">
              <w:rPr>
                <w:rFonts w:cstheme="minorHAnsi"/>
                <w:b/>
                <w:bCs/>
                <w:sz w:val="18"/>
                <w:szCs w:val="18"/>
              </w:rPr>
              <w:t>26</w:t>
            </w:r>
          </w:p>
        </w:tc>
        <w:tc>
          <w:tcPr>
            <w:tcW w:w="425" w:type="dxa"/>
            <w:shd w:val="clear" w:color="auto" w:fill="EDEDED" w:themeFill="accent3" w:themeFillTint="33"/>
          </w:tcPr>
          <w:p w14:paraId="1ED7F04A" w14:textId="77777777" w:rsidR="00A64384" w:rsidRPr="008C181A" w:rsidRDefault="00A64384">
            <w:pPr>
              <w:rPr>
                <w:rFonts w:cstheme="minorHAnsi"/>
                <w:b/>
                <w:bCs/>
                <w:sz w:val="18"/>
                <w:szCs w:val="18"/>
              </w:rPr>
            </w:pPr>
            <w:r w:rsidRPr="008C181A">
              <w:rPr>
                <w:rFonts w:cstheme="minorHAnsi"/>
                <w:b/>
                <w:bCs/>
                <w:sz w:val="18"/>
                <w:szCs w:val="18"/>
              </w:rPr>
              <w:t>35</w:t>
            </w:r>
          </w:p>
        </w:tc>
        <w:tc>
          <w:tcPr>
            <w:tcW w:w="425" w:type="dxa"/>
            <w:shd w:val="clear" w:color="auto" w:fill="EDEDED" w:themeFill="accent3" w:themeFillTint="33"/>
          </w:tcPr>
          <w:p w14:paraId="5D29FD0E" w14:textId="77777777" w:rsidR="00A64384" w:rsidRPr="008C181A" w:rsidRDefault="00A64384">
            <w:pPr>
              <w:rPr>
                <w:rFonts w:cstheme="minorHAnsi"/>
                <w:b/>
                <w:bCs/>
                <w:sz w:val="18"/>
                <w:szCs w:val="18"/>
              </w:rPr>
            </w:pPr>
            <w:r w:rsidRPr="008C181A">
              <w:rPr>
                <w:rFonts w:cstheme="minorHAnsi"/>
                <w:b/>
                <w:bCs/>
                <w:sz w:val="18"/>
                <w:szCs w:val="18"/>
              </w:rPr>
              <w:t>36</w:t>
            </w:r>
          </w:p>
        </w:tc>
        <w:tc>
          <w:tcPr>
            <w:tcW w:w="425" w:type="dxa"/>
            <w:shd w:val="clear" w:color="auto" w:fill="EDEDED" w:themeFill="accent3" w:themeFillTint="33"/>
          </w:tcPr>
          <w:p w14:paraId="2EDDE870" w14:textId="77777777" w:rsidR="00A64384" w:rsidRPr="008C181A" w:rsidRDefault="00A64384">
            <w:pPr>
              <w:rPr>
                <w:rFonts w:cstheme="minorHAnsi"/>
                <w:b/>
                <w:bCs/>
                <w:sz w:val="18"/>
                <w:szCs w:val="18"/>
              </w:rPr>
            </w:pPr>
            <w:r w:rsidRPr="008C181A">
              <w:rPr>
                <w:rFonts w:cstheme="minorHAnsi"/>
                <w:b/>
                <w:bCs/>
                <w:sz w:val="18"/>
                <w:szCs w:val="18"/>
              </w:rPr>
              <w:t>39</w:t>
            </w:r>
          </w:p>
        </w:tc>
        <w:tc>
          <w:tcPr>
            <w:tcW w:w="426" w:type="dxa"/>
            <w:shd w:val="clear" w:color="auto" w:fill="EDEDED" w:themeFill="accent3" w:themeFillTint="33"/>
          </w:tcPr>
          <w:p w14:paraId="0120D74A" w14:textId="3528CF90" w:rsidR="00A64384" w:rsidRPr="008C181A" w:rsidRDefault="00A64384">
            <w:pPr>
              <w:rPr>
                <w:rFonts w:cstheme="minorHAnsi"/>
                <w:b/>
                <w:bCs/>
                <w:sz w:val="18"/>
                <w:szCs w:val="18"/>
              </w:rPr>
            </w:pPr>
            <w:r w:rsidRPr="008C181A">
              <w:rPr>
                <w:rFonts w:cstheme="minorHAnsi"/>
                <w:b/>
                <w:bCs/>
                <w:sz w:val="18"/>
                <w:szCs w:val="18"/>
              </w:rPr>
              <w:t>48</w:t>
            </w:r>
          </w:p>
        </w:tc>
      </w:tr>
      <w:tr w:rsidR="008C181A" w:rsidRPr="008C181A" w14:paraId="0C1A922F" w14:textId="63EFDD6A" w:rsidTr="00A64384">
        <w:trPr>
          <w:gridAfter w:val="9"/>
          <w:wAfter w:w="3828" w:type="dxa"/>
        </w:trPr>
        <w:tc>
          <w:tcPr>
            <w:tcW w:w="1240" w:type="dxa"/>
            <w:vMerge w:val="restart"/>
            <w:vAlign w:val="center"/>
          </w:tcPr>
          <w:p w14:paraId="142646B3" w14:textId="53640E36" w:rsidR="00A64384" w:rsidRPr="008C181A" w:rsidRDefault="00A64384" w:rsidP="00A64384">
            <w:pPr>
              <w:rPr>
                <w:rFonts w:cstheme="minorHAnsi"/>
                <w:sz w:val="18"/>
                <w:szCs w:val="18"/>
              </w:rPr>
            </w:pPr>
            <w:r w:rsidRPr="008C181A">
              <w:rPr>
                <w:rFonts w:cstheme="minorHAnsi"/>
                <w:b/>
                <w:bCs/>
                <w:sz w:val="18"/>
                <w:szCs w:val="18"/>
              </w:rPr>
              <w:t>Mixed methods</w:t>
            </w:r>
          </w:p>
        </w:tc>
        <w:tc>
          <w:tcPr>
            <w:tcW w:w="3432" w:type="dxa"/>
          </w:tcPr>
          <w:p w14:paraId="1B730118" w14:textId="77777777" w:rsidR="00A64384" w:rsidRPr="008C181A" w:rsidRDefault="00A64384">
            <w:pPr>
              <w:pStyle w:val="ListParagraph"/>
              <w:numPr>
                <w:ilvl w:val="1"/>
                <w:numId w:val="11"/>
              </w:numPr>
              <w:contextualSpacing/>
              <w:rPr>
                <w:rFonts w:cstheme="minorHAnsi"/>
                <w:sz w:val="18"/>
                <w:szCs w:val="18"/>
              </w:rPr>
            </w:pPr>
            <w:r w:rsidRPr="008C181A">
              <w:rPr>
                <w:rFonts w:cstheme="minorHAnsi"/>
                <w:sz w:val="18"/>
                <w:szCs w:val="18"/>
              </w:rPr>
              <w:t>Is there an adequate rationale for using a mixed methods design to address the research question?</w:t>
            </w:r>
          </w:p>
        </w:tc>
        <w:tc>
          <w:tcPr>
            <w:tcW w:w="284" w:type="dxa"/>
          </w:tcPr>
          <w:p w14:paraId="25FDB4CF" w14:textId="77777777" w:rsidR="00A64384" w:rsidRPr="008C181A" w:rsidRDefault="00A64384">
            <w:pPr>
              <w:rPr>
                <w:rFonts w:cstheme="minorHAnsi"/>
                <w:sz w:val="18"/>
                <w:szCs w:val="18"/>
              </w:rPr>
            </w:pPr>
            <w:r w:rsidRPr="008C181A">
              <w:rPr>
                <w:rFonts w:cstheme="minorHAnsi"/>
                <w:sz w:val="18"/>
                <w:szCs w:val="18"/>
              </w:rPr>
              <w:t>X</w:t>
            </w:r>
          </w:p>
        </w:tc>
        <w:tc>
          <w:tcPr>
            <w:tcW w:w="283" w:type="dxa"/>
          </w:tcPr>
          <w:p w14:paraId="110E40C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AD86C2F"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BBB2902"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2620F4C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595BB2A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DE1EFF6"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4FBF7FC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09656E8"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2290B2B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423CA74"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40E19CF" w14:textId="12F502CB" w:rsidR="00A64384" w:rsidRPr="008C181A" w:rsidRDefault="00A64384">
            <w:pPr>
              <w:rPr>
                <w:rFonts w:cstheme="minorHAnsi"/>
                <w:sz w:val="18"/>
                <w:szCs w:val="18"/>
              </w:rPr>
            </w:pPr>
            <w:r w:rsidRPr="008C181A">
              <w:rPr>
                <w:rFonts w:cstheme="minorHAnsi"/>
                <w:sz w:val="18"/>
                <w:szCs w:val="18"/>
              </w:rPr>
              <w:t>X</w:t>
            </w:r>
          </w:p>
        </w:tc>
      </w:tr>
      <w:tr w:rsidR="008C181A" w:rsidRPr="008C181A" w14:paraId="4CCC90FE" w14:textId="2C00C12A" w:rsidTr="00A64384">
        <w:trPr>
          <w:gridAfter w:val="9"/>
          <w:wAfter w:w="3828" w:type="dxa"/>
        </w:trPr>
        <w:tc>
          <w:tcPr>
            <w:tcW w:w="1240" w:type="dxa"/>
            <w:vMerge/>
          </w:tcPr>
          <w:p w14:paraId="7266BC39" w14:textId="77777777" w:rsidR="00A64384" w:rsidRPr="008C181A" w:rsidRDefault="00A64384">
            <w:pPr>
              <w:rPr>
                <w:rFonts w:cstheme="minorHAnsi"/>
                <w:sz w:val="18"/>
                <w:szCs w:val="18"/>
              </w:rPr>
            </w:pPr>
          </w:p>
        </w:tc>
        <w:tc>
          <w:tcPr>
            <w:tcW w:w="3432" w:type="dxa"/>
          </w:tcPr>
          <w:p w14:paraId="6A4FC02B" w14:textId="77777777" w:rsidR="00A64384" w:rsidRPr="008C181A" w:rsidRDefault="00A64384">
            <w:pPr>
              <w:pStyle w:val="ListParagraph"/>
              <w:numPr>
                <w:ilvl w:val="1"/>
                <w:numId w:val="11"/>
              </w:numPr>
              <w:contextualSpacing/>
              <w:rPr>
                <w:rFonts w:cstheme="minorHAnsi"/>
                <w:sz w:val="18"/>
                <w:szCs w:val="18"/>
              </w:rPr>
            </w:pPr>
            <w:r w:rsidRPr="008C181A">
              <w:rPr>
                <w:rFonts w:cstheme="minorHAnsi"/>
                <w:sz w:val="18"/>
                <w:szCs w:val="18"/>
              </w:rPr>
              <w:t>Are the different components of the study effectively integrated to answer the research question?</w:t>
            </w:r>
          </w:p>
        </w:tc>
        <w:tc>
          <w:tcPr>
            <w:tcW w:w="284" w:type="dxa"/>
          </w:tcPr>
          <w:p w14:paraId="108C119C"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688C34E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5D7958E"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1A91558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48B204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862A792"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BC3936E"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18FBEBDC"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13940501"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090C60A"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D0A3CD5"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33FF2D1E" w14:textId="36A5BA31" w:rsidR="00A64384" w:rsidRPr="008C181A" w:rsidRDefault="00A64384">
            <w:pPr>
              <w:rPr>
                <w:rFonts w:cstheme="minorHAnsi"/>
                <w:sz w:val="18"/>
                <w:szCs w:val="18"/>
              </w:rPr>
            </w:pPr>
            <w:r w:rsidRPr="008C181A">
              <w:rPr>
                <w:rFonts w:cstheme="minorHAnsi"/>
                <w:sz w:val="18"/>
                <w:szCs w:val="18"/>
              </w:rPr>
              <w:t>Y</w:t>
            </w:r>
          </w:p>
        </w:tc>
      </w:tr>
      <w:tr w:rsidR="008C181A" w:rsidRPr="008C181A" w14:paraId="0DACAB19" w14:textId="5F72AEF7" w:rsidTr="00A64384">
        <w:trPr>
          <w:gridAfter w:val="9"/>
          <w:wAfter w:w="3828" w:type="dxa"/>
        </w:trPr>
        <w:tc>
          <w:tcPr>
            <w:tcW w:w="1240" w:type="dxa"/>
            <w:vMerge/>
          </w:tcPr>
          <w:p w14:paraId="5EE34367" w14:textId="77777777" w:rsidR="00A64384" w:rsidRPr="008C181A" w:rsidRDefault="00A64384">
            <w:pPr>
              <w:rPr>
                <w:rFonts w:cstheme="minorHAnsi"/>
                <w:sz w:val="18"/>
                <w:szCs w:val="18"/>
              </w:rPr>
            </w:pPr>
          </w:p>
        </w:tc>
        <w:tc>
          <w:tcPr>
            <w:tcW w:w="3432" w:type="dxa"/>
          </w:tcPr>
          <w:p w14:paraId="4F9DAC2C" w14:textId="77777777" w:rsidR="00A64384" w:rsidRPr="008C181A" w:rsidRDefault="00A64384">
            <w:pPr>
              <w:pStyle w:val="ListParagraph"/>
              <w:numPr>
                <w:ilvl w:val="1"/>
                <w:numId w:val="11"/>
              </w:numPr>
              <w:contextualSpacing/>
              <w:rPr>
                <w:rFonts w:cstheme="minorHAnsi"/>
                <w:sz w:val="18"/>
                <w:szCs w:val="18"/>
              </w:rPr>
            </w:pPr>
            <w:r w:rsidRPr="008C181A">
              <w:rPr>
                <w:rFonts w:cstheme="minorHAnsi"/>
                <w:sz w:val="18"/>
                <w:szCs w:val="18"/>
              </w:rPr>
              <w:t>Are the outputs of the integration of qualitative and quantitative components adequately interpreted?</w:t>
            </w:r>
          </w:p>
        </w:tc>
        <w:tc>
          <w:tcPr>
            <w:tcW w:w="284" w:type="dxa"/>
          </w:tcPr>
          <w:p w14:paraId="6EE2E115" w14:textId="77777777" w:rsidR="00A64384" w:rsidRPr="008C181A" w:rsidRDefault="00A64384">
            <w:pPr>
              <w:rPr>
                <w:rFonts w:cstheme="minorHAnsi"/>
                <w:sz w:val="18"/>
                <w:szCs w:val="18"/>
              </w:rPr>
            </w:pPr>
            <w:r w:rsidRPr="008C181A">
              <w:rPr>
                <w:rFonts w:cstheme="minorHAnsi"/>
                <w:sz w:val="18"/>
                <w:szCs w:val="18"/>
              </w:rPr>
              <w:t>X</w:t>
            </w:r>
          </w:p>
        </w:tc>
        <w:tc>
          <w:tcPr>
            <w:tcW w:w="283" w:type="dxa"/>
          </w:tcPr>
          <w:p w14:paraId="10E1DF5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4440BD21"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2A47641"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7A59583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509AA740"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80F2EAC"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597E4FF4"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5DCE2AD1"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494D7256"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3B2821FD"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4DAF161E" w14:textId="0EE4B6C1" w:rsidR="00A64384" w:rsidRPr="008C181A" w:rsidRDefault="00A64384">
            <w:pPr>
              <w:rPr>
                <w:rFonts w:cstheme="minorHAnsi"/>
                <w:sz w:val="18"/>
                <w:szCs w:val="18"/>
              </w:rPr>
            </w:pPr>
            <w:r w:rsidRPr="008C181A">
              <w:rPr>
                <w:rFonts w:cstheme="minorHAnsi"/>
                <w:sz w:val="18"/>
                <w:szCs w:val="18"/>
              </w:rPr>
              <w:t>?</w:t>
            </w:r>
          </w:p>
        </w:tc>
      </w:tr>
      <w:tr w:rsidR="008C181A" w:rsidRPr="008C181A" w14:paraId="1F98B448" w14:textId="50F05550" w:rsidTr="00A64384">
        <w:trPr>
          <w:gridAfter w:val="9"/>
          <w:wAfter w:w="3828" w:type="dxa"/>
        </w:trPr>
        <w:tc>
          <w:tcPr>
            <w:tcW w:w="1240" w:type="dxa"/>
            <w:vMerge/>
          </w:tcPr>
          <w:p w14:paraId="342C9CCC" w14:textId="77777777" w:rsidR="00A64384" w:rsidRPr="008C181A" w:rsidRDefault="00A64384">
            <w:pPr>
              <w:rPr>
                <w:rFonts w:cstheme="minorHAnsi"/>
                <w:sz w:val="18"/>
                <w:szCs w:val="18"/>
              </w:rPr>
            </w:pPr>
          </w:p>
        </w:tc>
        <w:tc>
          <w:tcPr>
            <w:tcW w:w="3432" w:type="dxa"/>
          </w:tcPr>
          <w:p w14:paraId="2E881939" w14:textId="77777777" w:rsidR="00A64384" w:rsidRPr="008C181A" w:rsidRDefault="00A64384">
            <w:pPr>
              <w:pStyle w:val="ListParagraph"/>
              <w:numPr>
                <w:ilvl w:val="1"/>
                <w:numId w:val="11"/>
              </w:numPr>
              <w:contextualSpacing/>
              <w:rPr>
                <w:rFonts w:cstheme="minorHAnsi"/>
                <w:sz w:val="18"/>
                <w:szCs w:val="18"/>
              </w:rPr>
            </w:pPr>
            <w:r w:rsidRPr="008C181A">
              <w:rPr>
                <w:rFonts w:cstheme="minorHAnsi"/>
                <w:sz w:val="18"/>
                <w:szCs w:val="18"/>
              </w:rPr>
              <w:t>Are divergences and inconsistencies between quantitative and qualitative results adequately addressed?</w:t>
            </w:r>
          </w:p>
        </w:tc>
        <w:tc>
          <w:tcPr>
            <w:tcW w:w="284" w:type="dxa"/>
          </w:tcPr>
          <w:p w14:paraId="363C74C0" w14:textId="77777777" w:rsidR="00A64384" w:rsidRPr="008C181A" w:rsidRDefault="00A64384">
            <w:pPr>
              <w:rPr>
                <w:rFonts w:cstheme="minorHAnsi"/>
                <w:sz w:val="18"/>
                <w:szCs w:val="18"/>
              </w:rPr>
            </w:pPr>
            <w:r w:rsidRPr="008C181A">
              <w:rPr>
                <w:rFonts w:cstheme="minorHAnsi"/>
                <w:sz w:val="18"/>
                <w:szCs w:val="18"/>
              </w:rPr>
              <w:t>Y</w:t>
            </w:r>
          </w:p>
        </w:tc>
        <w:tc>
          <w:tcPr>
            <w:tcW w:w="283" w:type="dxa"/>
          </w:tcPr>
          <w:p w14:paraId="4857C9C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6AE5DECA"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0FA0EE5C" w14:textId="77777777" w:rsidR="00A64384" w:rsidRPr="008C181A" w:rsidRDefault="00A64384">
            <w:pPr>
              <w:rPr>
                <w:rFonts w:cstheme="minorHAnsi"/>
                <w:sz w:val="18"/>
                <w:szCs w:val="18"/>
              </w:rPr>
            </w:pPr>
            <w:r w:rsidRPr="008C181A">
              <w:rPr>
                <w:rFonts w:cstheme="minorHAnsi"/>
                <w:sz w:val="18"/>
                <w:szCs w:val="18"/>
              </w:rPr>
              <w:t>?</w:t>
            </w:r>
          </w:p>
        </w:tc>
        <w:tc>
          <w:tcPr>
            <w:tcW w:w="425" w:type="dxa"/>
          </w:tcPr>
          <w:p w14:paraId="2BE50661"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C32919B"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0B089D09"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647D1ECF"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F13E269"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28E1AF9C" w14:textId="77777777" w:rsidR="00A64384" w:rsidRPr="008C181A" w:rsidRDefault="00A64384">
            <w:pPr>
              <w:rPr>
                <w:rFonts w:cstheme="minorHAnsi"/>
                <w:sz w:val="18"/>
                <w:szCs w:val="18"/>
              </w:rPr>
            </w:pPr>
            <w:r w:rsidRPr="008C181A">
              <w:rPr>
                <w:rFonts w:cstheme="minorHAnsi"/>
                <w:sz w:val="18"/>
                <w:szCs w:val="18"/>
              </w:rPr>
              <w:t>Y</w:t>
            </w:r>
          </w:p>
        </w:tc>
        <w:tc>
          <w:tcPr>
            <w:tcW w:w="425" w:type="dxa"/>
          </w:tcPr>
          <w:p w14:paraId="751AC8DD" w14:textId="77777777" w:rsidR="00A64384" w:rsidRPr="008C181A" w:rsidRDefault="00A64384">
            <w:pPr>
              <w:rPr>
                <w:rFonts w:cstheme="minorHAnsi"/>
                <w:sz w:val="18"/>
                <w:szCs w:val="18"/>
              </w:rPr>
            </w:pPr>
            <w:r w:rsidRPr="008C181A">
              <w:rPr>
                <w:rFonts w:cstheme="minorHAnsi"/>
                <w:sz w:val="18"/>
                <w:szCs w:val="18"/>
              </w:rPr>
              <w:t>Y</w:t>
            </w:r>
          </w:p>
        </w:tc>
        <w:tc>
          <w:tcPr>
            <w:tcW w:w="426" w:type="dxa"/>
          </w:tcPr>
          <w:p w14:paraId="2F05C4CA" w14:textId="7743D27E" w:rsidR="00A64384" w:rsidRPr="008C181A" w:rsidRDefault="00A64384">
            <w:pPr>
              <w:rPr>
                <w:rFonts w:cstheme="minorHAnsi"/>
                <w:sz w:val="18"/>
                <w:szCs w:val="18"/>
              </w:rPr>
            </w:pPr>
            <w:r w:rsidRPr="008C181A">
              <w:rPr>
                <w:rFonts w:cstheme="minorHAnsi"/>
                <w:sz w:val="18"/>
                <w:szCs w:val="18"/>
              </w:rPr>
              <w:t>?</w:t>
            </w:r>
          </w:p>
        </w:tc>
      </w:tr>
      <w:tr w:rsidR="008C181A" w:rsidRPr="008C181A" w14:paraId="57BFC3BD" w14:textId="0B5B5459" w:rsidTr="00A64384">
        <w:trPr>
          <w:gridAfter w:val="9"/>
          <w:wAfter w:w="3828" w:type="dxa"/>
        </w:trPr>
        <w:tc>
          <w:tcPr>
            <w:tcW w:w="1240" w:type="dxa"/>
            <w:vMerge/>
          </w:tcPr>
          <w:p w14:paraId="4048FA82" w14:textId="77777777" w:rsidR="00A64384" w:rsidRPr="008C181A" w:rsidRDefault="00A64384">
            <w:pPr>
              <w:rPr>
                <w:rFonts w:cstheme="minorHAnsi"/>
                <w:sz w:val="18"/>
                <w:szCs w:val="18"/>
              </w:rPr>
            </w:pPr>
          </w:p>
        </w:tc>
        <w:tc>
          <w:tcPr>
            <w:tcW w:w="3432" w:type="dxa"/>
          </w:tcPr>
          <w:p w14:paraId="4ABF2A96" w14:textId="77777777" w:rsidR="00A64384" w:rsidRPr="008C181A" w:rsidRDefault="00A64384">
            <w:pPr>
              <w:pStyle w:val="ListParagraph"/>
              <w:numPr>
                <w:ilvl w:val="1"/>
                <w:numId w:val="11"/>
              </w:numPr>
              <w:contextualSpacing/>
              <w:rPr>
                <w:rFonts w:cstheme="minorHAnsi"/>
                <w:sz w:val="18"/>
                <w:szCs w:val="18"/>
              </w:rPr>
            </w:pPr>
            <w:r w:rsidRPr="008C181A">
              <w:rPr>
                <w:rFonts w:cstheme="minorHAnsi"/>
                <w:sz w:val="18"/>
                <w:szCs w:val="18"/>
              </w:rPr>
              <w:t>Do the different components of the study adhere to the quality criteria of each tradition of the methods involved?</w:t>
            </w:r>
          </w:p>
        </w:tc>
        <w:tc>
          <w:tcPr>
            <w:tcW w:w="284" w:type="dxa"/>
          </w:tcPr>
          <w:p w14:paraId="22D1A2C5" w14:textId="77777777" w:rsidR="00A64384" w:rsidRPr="008C181A" w:rsidRDefault="00A64384">
            <w:pPr>
              <w:rPr>
                <w:rFonts w:cstheme="minorHAnsi"/>
                <w:sz w:val="18"/>
                <w:szCs w:val="18"/>
              </w:rPr>
            </w:pPr>
            <w:r w:rsidRPr="008C181A">
              <w:rPr>
                <w:rFonts w:cstheme="minorHAnsi"/>
                <w:sz w:val="18"/>
                <w:szCs w:val="18"/>
              </w:rPr>
              <w:t>X</w:t>
            </w:r>
          </w:p>
        </w:tc>
        <w:tc>
          <w:tcPr>
            <w:tcW w:w="283" w:type="dxa"/>
          </w:tcPr>
          <w:p w14:paraId="5F5E3715"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C740076"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494294EB"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1A57E459"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38DFF02A"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20D6031"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562FDE9D"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57C0A54"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2A4E21B" w14:textId="77777777" w:rsidR="00A64384" w:rsidRPr="008C181A" w:rsidRDefault="00A64384">
            <w:pPr>
              <w:rPr>
                <w:rFonts w:cstheme="minorHAnsi"/>
                <w:sz w:val="18"/>
                <w:szCs w:val="18"/>
              </w:rPr>
            </w:pPr>
            <w:r w:rsidRPr="008C181A">
              <w:rPr>
                <w:rFonts w:cstheme="minorHAnsi"/>
                <w:sz w:val="18"/>
                <w:szCs w:val="18"/>
              </w:rPr>
              <w:t>X</w:t>
            </w:r>
          </w:p>
        </w:tc>
        <w:tc>
          <w:tcPr>
            <w:tcW w:w="425" w:type="dxa"/>
          </w:tcPr>
          <w:p w14:paraId="0A82D205" w14:textId="77777777" w:rsidR="00A64384" w:rsidRPr="008C181A" w:rsidRDefault="00A64384">
            <w:pPr>
              <w:rPr>
                <w:rFonts w:cstheme="minorHAnsi"/>
                <w:sz w:val="18"/>
                <w:szCs w:val="18"/>
              </w:rPr>
            </w:pPr>
            <w:r w:rsidRPr="008C181A">
              <w:rPr>
                <w:rFonts w:cstheme="minorHAnsi"/>
                <w:sz w:val="18"/>
                <w:szCs w:val="18"/>
              </w:rPr>
              <w:t>X</w:t>
            </w:r>
          </w:p>
        </w:tc>
        <w:tc>
          <w:tcPr>
            <w:tcW w:w="426" w:type="dxa"/>
          </w:tcPr>
          <w:p w14:paraId="49BFA170" w14:textId="7FEF1771" w:rsidR="00A64384" w:rsidRPr="008C181A" w:rsidRDefault="00A64384">
            <w:pPr>
              <w:rPr>
                <w:rFonts w:cstheme="minorHAnsi"/>
                <w:sz w:val="18"/>
                <w:szCs w:val="18"/>
              </w:rPr>
            </w:pPr>
            <w:r w:rsidRPr="008C181A">
              <w:rPr>
                <w:rFonts w:cstheme="minorHAnsi"/>
                <w:sz w:val="18"/>
                <w:szCs w:val="18"/>
              </w:rPr>
              <w:t>X</w:t>
            </w:r>
          </w:p>
        </w:tc>
      </w:tr>
    </w:tbl>
    <w:p w14:paraId="5E7230A1" w14:textId="78D20664" w:rsidR="00A11DF9" w:rsidRPr="008C181A" w:rsidRDefault="00A11DF9" w:rsidP="00D92261">
      <w:pPr>
        <w:spacing w:after="0" w:line="480" w:lineRule="auto"/>
        <w:rPr>
          <w:sz w:val="20"/>
          <w:szCs w:val="20"/>
        </w:rPr>
      </w:pPr>
    </w:p>
    <w:p w14:paraId="11B2B745" w14:textId="77777777" w:rsidR="00A11DF9" w:rsidRPr="008C181A" w:rsidRDefault="00A11DF9" w:rsidP="00A64384">
      <w:pPr>
        <w:rPr>
          <w:sz w:val="20"/>
          <w:szCs w:val="20"/>
        </w:rPr>
      </w:pPr>
    </w:p>
    <w:p w14:paraId="3D0CFB4F" w14:textId="77777777" w:rsidR="00A11DF9" w:rsidRPr="008C181A" w:rsidRDefault="00A11DF9" w:rsidP="00A64384">
      <w:pPr>
        <w:rPr>
          <w:sz w:val="20"/>
          <w:szCs w:val="20"/>
        </w:rPr>
      </w:pPr>
    </w:p>
    <w:p w14:paraId="636C68D3" w14:textId="77777777" w:rsidR="00A11DF9" w:rsidRPr="008C181A" w:rsidRDefault="00A11DF9" w:rsidP="00A64384">
      <w:pPr>
        <w:rPr>
          <w:sz w:val="20"/>
          <w:szCs w:val="20"/>
        </w:rPr>
      </w:pPr>
    </w:p>
    <w:p w14:paraId="48444DAF" w14:textId="77777777" w:rsidR="00A11DF9" w:rsidRPr="008C181A" w:rsidRDefault="00A11DF9" w:rsidP="00A64384">
      <w:pPr>
        <w:rPr>
          <w:sz w:val="20"/>
          <w:szCs w:val="20"/>
        </w:rPr>
      </w:pPr>
    </w:p>
    <w:p w14:paraId="2C4C1627" w14:textId="023876C4" w:rsidR="00A11DF9" w:rsidRPr="008C181A" w:rsidRDefault="00A11DF9" w:rsidP="00D92261">
      <w:pPr>
        <w:spacing w:after="0" w:line="480" w:lineRule="auto"/>
        <w:rPr>
          <w:sz w:val="20"/>
          <w:szCs w:val="20"/>
        </w:rPr>
      </w:pPr>
    </w:p>
    <w:p w14:paraId="4B30DD46" w14:textId="6180BA39" w:rsidR="00D92261" w:rsidRPr="008C181A" w:rsidRDefault="00A11DF9" w:rsidP="00D92261">
      <w:pPr>
        <w:spacing w:after="0" w:line="480" w:lineRule="auto"/>
      </w:pPr>
      <w:r w:rsidRPr="008C181A">
        <w:rPr>
          <w:sz w:val="20"/>
          <w:szCs w:val="20"/>
          <w:lang w:val="es-ES"/>
        </w:rPr>
        <w:br w:type="textWrapping" w:clear="all"/>
      </w:r>
      <w:r w:rsidR="00D92261" w:rsidRPr="008C181A">
        <w:rPr>
          <w:sz w:val="20"/>
          <w:szCs w:val="20"/>
          <w:lang w:val="es-ES"/>
        </w:rPr>
        <w:t>Note</w:t>
      </w:r>
      <w:r w:rsidR="00D5787B" w:rsidRPr="008C181A">
        <w:rPr>
          <w:sz w:val="20"/>
          <w:szCs w:val="20"/>
          <w:lang w:val="es-ES"/>
        </w:rPr>
        <w:t>.</w:t>
      </w:r>
      <w:r w:rsidR="00D92261" w:rsidRPr="008C181A">
        <w:rPr>
          <w:sz w:val="20"/>
          <w:szCs w:val="20"/>
          <w:lang w:val="es-ES"/>
        </w:rPr>
        <w:t xml:space="preserve"> X=No, Y=Yes, ?= </w:t>
      </w:r>
      <w:r w:rsidR="00D92261" w:rsidRPr="008C181A">
        <w:rPr>
          <w:sz w:val="20"/>
          <w:szCs w:val="20"/>
        </w:rPr>
        <w:t>Can’t tell</w:t>
      </w:r>
    </w:p>
    <w:sectPr w:rsidR="00D92261" w:rsidRPr="008C181A" w:rsidSect="00C453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FBE2D" w14:textId="77777777" w:rsidR="004305BD" w:rsidRDefault="004305BD" w:rsidP="00796781">
      <w:pPr>
        <w:spacing w:after="0" w:line="240" w:lineRule="auto"/>
      </w:pPr>
      <w:r>
        <w:separator/>
      </w:r>
    </w:p>
  </w:endnote>
  <w:endnote w:type="continuationSeparator" w:id="0">
    <w:p w14:paraId="4C986D3F" w14:textId="77777777" w:rsidR="004305BD" w:rsidRDefault="004305BD" w:rsidP="0079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40A1" w14:textId="77777777" w:rsidR="00311B61" w:rsidRDefault="00311B61" w:rsidP="00796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ACB3F3" w14:textId="77777777" w:rsidR="00311B61" w:rsidRDefault="00311B61" w:rsidP="00F65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46CD" w14:textId="38966780" w:rsidR="00311B61" w:rsidRDefault="00311B61" w:rsidP="007967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7745">
      <w:rPr>
        <w:rStyle w:val="PageNumber"/>
        <w:noProof/>
      </w:rPr>
      <w:t>20</w:t>
    </w:r>
    <w:r>
      <w:rPr>
        <w:rStyle w:val="PageNumber"/>
      </w:rPr>
      <w:fldChar w:fldCharType="end"/>
    </w:r>
  </w:p>
  <w:p w14:paraId="2EE4C4BD" w14:textId="77777777" w:rsidR="00311B61" w:rsidRDefault="00311B61" w:rsidP="00F651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6E1C" w14:textId="77777777" w:rsidR="004305BD" w:rsidRDefault="004305BD" w:rsidP="00796781">
      <w:pPr>
        <w:spacing w:after="0" w:line="240" w:lineRule="auto"/>
      </w:pPr>
      <w:r>
        <w:separator/>
      </w:r>
    </w:p>
  </w:footnote>
  <w:footnote w:type="continuationSeparator" w:id="0">
    <w:p w14:paraId="3CA44134" w14:textId="77777777" w:rsidR="004305BD" w:rsidRDefault="004305BD" w:rsidP="0079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2E19" w14:textId="01913A18" w:rsidR="00311B61" w:rsidRDefault="00311B61">
    <w:pPr>
      <w:pStyle w:val="Header"/>
    </w:pPr>
    <w:r>
      <w:t>DETECTING AND PREVENTING ABUSE: A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EC8505"/>
    <w:multiLevelType w:val="hybridMultilevel"/>
    <w:tmpl w:val="B2C792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491CBA"/>
    <w:multiLevelType w:val="multilevel"/>
    <w:tmpl w:val="817CCF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6FC848"/>
    <w:multiLevelType w:val="hybridMultilevel"/>
    <w:tmpl w:val="9DDF15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3E1A3A"/>
    <w:multiLevelType w:val="multilevel"/>
    <w:tmpl w:val="A900D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5B1C0E"/>
    <w:multiLevelType w:val="hybridMultilevel"/>
    <w:tmpl w:val="F888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46953"/>
    <w:multiLevelType w:val="hybridMultilevel"/>
    <w:tmpl w:val="D7521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AD3A97"/>
    <w:multiLevelType w:val="multilevel"/>
    <w:tmpl w:val="D1042B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4624167"/>
    <w:multiLevelType w:val="hybridMultilevel"/>
    <w:tmpl w:val="E0D628B4"/>
    <w:lvl w:ilvl="0" w:tplc="40D6A7A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34A47"/>
    <w:multiLevelType w:val="multilevel"/>
    <w:tmpl w:val="B21C73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AA3236"/>
    <w:multiLevelType w:val="hybridMultilevel"/>
    <w:tmpl w:val="E266E01A"/>
    <w:lvl w:ilvl="0" w:tplc="50AC7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27CFE"/>
    <w:multiLevelType w:val="multilevel"/>
    <w:tmpl w:val="E4A04E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8F7249"/>
    <w:multiLevelType w:val="hybridMultilevel"/>
    <w:tmpl w:val="5338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EA9"/>
    <w:multiLevelType w:val="hybridMultilevel"/>
    <w:tmpl w:val="2D8C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2"/>
  </w:num>
  <w:num w:numId="4">
    <w:abstractNumId w:val="5"/>
  </w:num>
  <w:num w:numId="5">
    <w:abstractNumId w:val="9"/>
  </w:num>
  <w:num w:numId="6">
    <w:abstractNumId w:val="2"/>
  </w:num>
  <w:num w:numId="7">
    <w:abstractNumId w:val="0"/>
  </w:num>
  <w:num w:numId="8">
    <w:abstractNumId w:val="8"/>
  </w:num>
  <w:num w:numId="9">
    <w:abstractNumId w:val="1"/>
  </w:num>
  <w:num w:numId="10">
    <w:abstractNumId w:val="6"/>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8F"/>
    <w:rsid w:val="000106FA"/>
    <w:rsid w:val="00020182"/>
    <w:rsid w:val="00020818"/>
    <w:rsid w:val="0002107C"/>
    <w:rsid w:val="00022D7A"/>
    <w:rsid w:val="00024130"/>
    <w:rsid w:val="000248EC"/>
    <w:rsid w:val="00024A24"/>
    <w:rsid w:val="00031255"/>
    <w:rsid w:val="00032190"/>
    <w:rsid w:val="000362A7"/>
    <w:rsid w:val="00037D15"/>
    <w:rsid w:val="000406B2"/>
    <w:rsid w:val="00046195"/>
    <w:rsid w:val="000464D5"/>
    <w:rsid w:val="00047145"/>
    <w:rsid w:val="00051425"/>
    <w:rsid w:val="00056ECA"/>
    <w:rsid w:val="00057112"/>
    <w:rsid w:val="0006134A"/>
    <w:rsid w:val="00062230"/>
    <w:rsid w:val="00067DF1"/>
    <w:rsid w:val="00067E07"/>
    <w:rsid w:val="00070B16"/>
    <w:rsid w:val="0007240E"/>
    <w:rsid w:val="00072B58"/>
    <w:rsid w:val="00073F6A"/>
    <w:rsid w:val="00081E32"/>
    <w:rsid w:val="00082488"/>
    <w:rsid w:val="00084F47"/>
    <w:rsid w:val="000856F3"/>
    <w:rsid w:val="00087235"/>
    <w:rsid w:val="00087B0A"/>
    <w:rsid w:val="000920CE"/>
    <w:rsid w:val="00095E0A"/>
    <w:rsid w:val="00096CD0"/>
    <w:rsid w:val="000A0FB7"/>
    <w:rsid w:val="000A1382"/>
    <w:rsid w:val="000A5F01"/>
    <w:rsid w:val="000A6500"/>
    <w:rsid w:val="000B174A"/>
    <w:rsid w:val="000B481F"/>
    <w:rsid w:val="000B7D54"/>
    <w:rsid w:val="000C14E5"/>
    <w:rsid w:val="000C2FB5"/>
    <w:rsid w:val="000C340E"/>
    <w:rsid w:val="000C3579"/>
    <w:rsid w:val="000D56BE"/>
    <w:rsid w:val="000D59BF"/>
    <w:rsid w:val="000D63AE"/>
    <w:rsid w:val="000E2C5F"/>
    <w:rsid w:val="000E41E4"/>
    <w:rsid w:val="000E458D"/>
    <w:rsid w:val="000E61DA"/>
    <w:rsid w:val="000F189C"/>
    <w:rsid w:val="000F2708"/>
    <w:rsid w:val="000F2980"/>
    <w:rsid w:val="000F7F6C"/>
    <w:rsid w:val="00101939"/>
    <w:rsid w:val="00102CB9"/>
    <w:rsid w:val="001038A6"/>
    <w:rsid w:val="00105E53"/>
    <w:rsid w:val="0011048F"/>
    <w:rsid w:val="00110FC6"/>
    <w:rsid w:val="001118C5"/>
    <w:rsid w:val="00111F1A"/>
    <w:rsid w:val="0011419B"/>
    <w:rsid w:val="00116C11"/>
    <w:rsid w:val="001178AC"/>
    <w:rsid w:val="00117AEE"/>
    <w:rsid w:val="001209A4"/>
    <w:rsid w:val="00121CAE"/>
    <w:rsid w:val="0013310C"/>
    <w:rsid w:val="00143013"/>
    <w:rsid w:val="0014631F"/>
    <w:rsid w:val="001469D0"/>
    <w:rsid w:val="00150FA7"/>
    <w:rsid w:val="00151C14"/>
    <w:rsid w:val="00152E9A"/>
    <w:rsid w:val="001612B8"/>
    <w:rsid w:val="00164DAF"/>
    <w:rsid w:val="00166734"/>
    <w:rsid w:val="00170432"/>
    <w:rsid w:val="00177CB6"/>
    <w:rsid w:val="001862B8"/>
    <w:rsid w:val="00186EFE"/>
    <w:rsid w:val="00191656"/>
    <w:rsid w:val="0019180A"/>
    <w:rsid w:val="00191C8B"/>
    <w:rsid w:val="0019462D"/>
    <w:rsid w:val="00195C84"/>
    <w:rsid w:val="00196993"/>
    <w:rsid w:val="001A10AF"/>
    <w:rsid w:val="001A1DCE"/>
    <w:rsid w:val="001A30A9"/>
    <w:rsid w:val="001A42C0"/>
    <w:rsid w:val="001A558D"/>
    <w:rsid w:val="001A7776"/>
    <w:rsid w:val="001B691E"/>
    <w:rsid w:val="001B6EBC"/>
    <w:rsid w:val="001C0B42"/>
    <w:rsid w:val="001C1E18"/>
    <w:rsid w:val="001C24A3"/>
    <w:rsid w:val="001C4988"/>
    <w:rsid w:val="001D030C"/>
    <w:rsid w:val="001D2C9A"/>
    <w:rsid w:val="001D33DD"/>
    <w:rsid w:val="001D4C75"/>
    <w:rsid w:val="001F51E5"/>
    <w:rsid w:val="001F6FEC"/>
    <w:rsid w:val="00200933"/>
    <w:rsid w:val="002009F4"/>
    <w:rsid w:val="00205571"/>
    <w:rsid w:val="00207989"/>
    <w:rsid w:val="00210F34"/>
    <w:rsid w:val="0021716E"/>
    <w:rsid w:val="002239C6"/>
    <w:rsid w:val="00224A5D"/>
    <w:rsid w:val="002259BB"/>
    <w:rsid w:val="002266B2"/>
    <w:rsid w:val="00226858"/>
    <w:rsid w:val="00226967"/>
    <w:rsid w:val="002344CA"/>
    <w:rsid w:val="00235FAA"/>
    <w:rsid w:val="002412ED"/>
    <w:rsid w:val="00241D25"/>
    <w:rsid w:val="00242374"/>
    <w:rsid w:val="0024564B"/>
    <w:rsid w:val="00246CC6"/>
    <w:rsid w:val="0025072A"/>
    <w:rsid w:val="00253CE4"/>
    <w:rsid w:val="002664D4"/>
    <w:rsid w:val="002665A8"/>
    <w:rsid w:val="002668C8"/>
    <w:rsid w:val="002725A5"/>
    <w:rsid w:val="00273252"/>
    <w:rsid w:val="002770E0"/>
    <w:rsid w:val="00277E9F"/>
    <w:rsid w:val="00291719"/>
    <w:rsid w:val="00293893"/>
    <w:rsid w:val="0029564A"/>
    <w:rsid w:val="00295F5B"/>
    <w:rsid w:val="002A4525"/>
    <w:rsid w:val="002A5BAB"/>
    <w:rsid w:val="002A60EA"/>
    <w:rsid w:val="002A757C"/>
    <w:rsid w:val="002B09BE"/>
    <w:rsid w:val="002B4A0C"/>
    <w:rsid w:val="002B7441"/>
    <w:rsid w:val="002B7E21"/>
    <w:rsid w:val="002C414C"/>
    <w:rsid w:val="002C5877"/>
    <w:rsid w:val="002C61D5"/>
    <w:rsid w:val="002C7F10"/>
    <w:rsid w:val="002D3746"/>
    <w:rsid w:val="002E0CDB"/>
    <w:rsid w:val="002E1C1F"/>
    <w:rsid w:val="002E3211"/>
    <w:rsid w:val="002F0192"/>
    <w:rsid w:val="002F3433"/>
    <w:rsid w:val="002F4130"/>
    <w:rsid w:val="002F41D5"/>
    <w:rsid w:val="002F4DD0"/>
    <w:rsid w:val="002F6AA5"/>
    <w:rsid w:val="00301CC5"/>
    <w:rsid w:val="0030584D"/>
    <w:rsid w:val="0030758B"/>
    <w:rsid w:val="0031116E"/>
    <w:rsid w:val="00311B61"/>
    <w:rsid w:val="00315536"/>
    <w:rsid w:val="0032122F"/>
    <w:rsid w:val="00321642"/>
    <w:rsid w:val="00321A01"/>
    <w:rsid w:val="00333262"/>
    <w:rsid w:val="003349AB"/>
    <w:rsid w:val="00337079"/>
    <w:rsid w:val="00343D6B"/>
    <w:rsid w:val="0034551C"/>
    <w:rsid w:val="00360059"/>
    <w:rsid w:val="00360A1D"/>
    <w:rsid w:val="00360F78"/>
    <w:rsid w:val="003670C0"/>
    <w:rsid w:val="00367B36"/>
    <w:rsid w:val="00367D91"/>
    <w:rsid w:val="0037218B"/>
    <w:rsid w:val="0037465F"/>
    <w:rsid w:val="00376969"/>
    <w:rsid w:val="003802E9"/>
    <w:rsid w:val="00380901"/>
    <w:rsid w:val="003821AB"/>
    <w:rsid w:val="003850B9"/>
    <w:rsid w:val="0039127F"/>
    <w:rsid w:val="00393B23"/>
    <w:rsid w:val="003945DF"/>
    <w:rsid w:val="00396B7A"/>
    <w:rsid w:val="003A49F5"/>
    <w:rsid w:val="003A4B2B"/>
    <w:rsid w:val="003A4F58"/>
    <w:rsid w:val="003A593F"/>
    <w:rsid w:val="003A6EE3"/>
    <w:rsid w:val="003A77AF"/>
    <w:rsid w:val="003B1819"/>
    <w:rsid w:val="003B2E6B"/>
    <w:rsid w:val="003B3E11"/>
    <w:rsid w:val="003B49FD"/>
    <w:rsid w:val="003B6995"/>
    <w:rsid w:val="003C3218"/>
    <w:rsid w:val="003C386D"/>
    <w:rsid w:val="003C4011"/>
    <w:rsid w:val="003C53C6"/>
    <w:rsid w:val="003C70F8"/>
    <w:rsid w:val="003D0D92"/>
    <w:rsid w:val="003D1CB7"/>
    <w:rsid w:val="003D46EF"/>
    <w:rsid w:val="003D61B7"/>
    <w:rsid w:val="003D78F5"/>
    <w:rsid w:val="003D7CE9"/>
    <w:rsid w:val="003E1221"/>
    <w:rsid w:val="003E398B"/>
    <w:rsid w:val="003E3BE4"/>
    <w:rsid w:val="003E3F11"/>
    <w:rsid w:val="003E5BFC"/>
    <w:rsid w:val="003E624E"/>
    <w:rsid w:val="003E6563"/>
    <w:rsid w:val="003F2EDF"/>
    <w:rsid w:val="003F3E6C"/>
    <w:rsid w:val="00411591"/>
    <w:rsid w:val="00411A78"/>
    <w:rsid w:val="00414D5C"/>
    <w:rsid w:val="00415BD6"/>
    <w:rsid w:val="00424811"/>
    <w:rsid w:val="004305BD"/>
    <w:rsid w:val="004313B7"/>
    <w:rsid w:val="004314D9"/>
    <w:rsid w:val="00432A52"/>
    <w:rsid w:val="00442884"/>
    <w:rsid w:val="004512A6"/>
    <w:rsid w:val="00456526"/>
    <w:rsid w:val="004576D0"/>
    <w:rsid w:val="004608BF"/>
    <w:rsid w:val="00461813"/>
    <w:rsid w:val="00462E49"/>
    <w:rsid w:val="00466380"/>
    <w:rsid w:val="0047151C"/>
    <w:rsid w:val="00474509"/>
    <w:rsid w:val="00476439"/>
    <w:rsid w:val="004765DB"/>
    <w:rsid w:val="00476995"/>
    <w:rsid w:val="004779B7"/>
    <w:rsid w:val="004812D0"/>
    <w:rsid w:val="004820F5"/>
    <w:rsid w:val="004834EB"/>
    <w:rsid w:val="00491018"/>
    <w:rsid w:val="00491EC9"/>
    <w:rsid w:val="00492F69"/>
    <w:rsid w:val="00495ECB"/>
    <w:rsid w:val="00496848"/>
    <w:rsid w:val="004A078C"/>
    <w:rsid w:val="004A30CA"/>
    <w:rsid w:val="004A6492"/>
    <w:rsid w:val="004A6980"/>
    <w:rsid w:val="004A74C9"/>
    <w:rsid w:val="004A767F"/>
    <w:rsid w:val="004B4B0B"/>
    <w:rsid w:val="004B763B"/>
    <w:rsid w:val="004C007A"/>
    <w:rsid w:val="004C0B63"/>
    <w:rsid w:val="004C0ED7"/>
    <w:rsid w:val="004C149E"/>
    <w:rsid w:val="004C5182"/>
    <w:rsid w:val="004D4724"/>
    <w:rsid w:val="004E4568"/>
    <w:rsid w:val="004E4BB6"/>
    <w:rsid w:val="004E77F7"/>
    <w:rsid w:val="004F22BB"/>
    <w:rsid w:val="004F3DD9"/>
    <w:rsid w:val="004F5056"/>
    <w:rsid w:val="004F6E64"/>
    <w:rsid w:val="00501AD1"/>
    <w:rsid w:val="00502380"/>
    <w:rsid w:val="005172A6"/>
    <w:rsid w:val="00523978"/>
    <w:rsid w:val="00525A00"/>
    <w:rsid w:val="00526103"/>
    <w:rsid w:val="00526D68"/>
    <w:rsid w:val="00527BCE"/>
    <w:rsid w:val="00531B36"/>
    <w:rsid w:val="0053267D"/>
    <w:rsid w:val="00535656"/>
    <w:rsid w:val="0053768C"/>
    <w:rsid w:val="00540280"/>
    <w:rsid w:val="005415B5"/>
    <w:rsid w:val="005417DE"/>
    <w:rsid w:val="00541AAA"/>
    <w:rsid w:val="00543434"/>
    <w:rsid w:val="005468C4"/>
    <w:rsid w:val="00551E5C"/>
    <w:rsid w:val="00552F94"/>
    <w:rsid w:val="005536CD"/>
    <w:rsid w:val="00557C48"/>
    <w:rsid w:val="0056000B"/>
    <w:rsid w:val="00561138"/>
    <w:rsid w:val="005631D8"/>
    <w:rsid w:val="00564273"/>
    <w:rsid w:val="005700F6"/>
    <w:rsid w:val="00570145"/>
    <w:rsid w:val="00570241"/>
    <w:rsid w:val="0057221B"/>
    <w:rsid w:val="00573782"/>
    <w:rsid w:val="00575C38"/>
    <w:rsid w:val="005802F5"/>
    <w:rsid w:val="005840BA"/>
    <w:rsid w:val="00587583"/>
    <w:rsid w:val="00590300"/>
    <w:rsid w:val="00592FDF"/>
    <w:rsid w:val="0059364C"/>
    <w:rsid w:val="005947D9"/>
    <w:rsid w:val="00596237"/>
    <w:rsid w:val="0059661D"/>
    <w:rsid w:val="005A24BC"/>
    <w:rsid w:val="005B0F3D"/>
    <w:rsid w:val="005B3B0D"/>
    <w:rsid w:val="005B3F0A"/>
    <w:rsid w:val="005B42F7"/>
    <w:rsid w:val="005B5A00"/>
    <w:rsid w:val="005D00FE"/>
    <w:rsid w:val="005D239D"/>
    <w:rsid w:val="005D44D5"/>
    <w:rsid w:val="005D4595"/>
    <w:rsid w:val="005E110B"/>
    <w:rsid w:val="005E14DA"/>
    <w:rsid w:val="005E5568"/>
    <w:rsid w:val="005E5B26"/>
    <w:rsid w:val="005F2E9C"/>
    <w:rsid w:val="005F45F2"/>
    <w:rsid w:val="005F4C26"/>
    <w:rsid w:val="005F5316"/>
    <w:rsid w:val="005F6CC6"/>
    <w:rsid w:val="005F7B0E"/>
    <w:rsid w:val="0060280A"/>
    <w:rsid w:val="00614C6C"/>
    <w:rsid w:val="00614FD1"/>
    <w:rsid w:val="00616851"/>
    <w:rsid w:val="00621550"/>
    <w:rsid w:val="006253B4"/>
    <w:rsid w:val="006320F0"/>
    <w:rsid w:val="006339F6"/>
    <w:rsid w:val="00634486"/>
    <w:rsid w:val="00635884"/>
    <w:rsid w:val="00635B6E"/>
    <w:rsid w:val="00640A00"/>
    <w:rsid w:val="00640B5F"/>
    <w:rsid w:val="00641773"/>
    <w:rsid w:val="00643499"/>
    <w:rsid w:val="00643EC5"/>
    <w:rsid w:val="00645191"/>
    <w:rsid w:val="00645CC3"/>
    <w:rsid w:val="006476FD"/>
    <w:rsid w:val="00651CC3"/>
    <w:rsid w:val="00653487"/>
    <w:rsid w:val="00653600"/>
    <w:rsid w:val="006623D6"/>
    <w:rsid w:val="00674136"/>
    <w:rsid w:val="0067680D"/>
    <w:rsid w:val="00680826"/>
    <w:rsid w:val="00682BE2"/>
    <w:rsid w:val="00686093"/>
    <w:rsid w:val="00686476"/>
    <w:rsid w:val="00686EE8"/>
    <w:rsid w:val="006907E6"/>
    <w:rsid w:val="006922A4"/>
    <w:rsid w:val="00695C37"/>
    <w:rsid w:val="006973B5"/>
    <w:rsid w:val="006A01CD"/>
    <w:rsid w:val="006B05DB"/>
    <w:rsid w:val="006B0A02"/>
    <w:rsid w:val="006B141D"/>
    <w:rsid w:val="006B2184"/>
    <w:rsid w:val="006B2EBD"/>
    <w:rsid w:val="006B448F"/>
    <w:rsid w:val="006B6ED7"/>
    <w:rsid w:val="006C0465"/>
    <w:rsid w:val="006C1F03"/>
    <w:rsid w:val="006C2EE9"/>
    <w:rsid w:val="006C7F44"/>
    <w:rsid w:val="006D00FD"/>
    <w:rsid w:val="006D1F0B"/>
    <w:rsid w:val="006D2671"/>
    <w:rsid w:val="006D2CA8"/>
    <w:rsid w:val="006D4EE3"/>
    <w:rsid w:val="006E18A3"/>
    <w:rsid w:val="006E1E81"/>
    <w:rsid w:val="006E3145"/>
    <w:rsid w:val="006E49DB"/>
    <w:rsid w:val="006E6429"/>
    <w:rsid w:val="006E6568"/>
    <w:rsid w:val="006F2087"/>
    <w:rsid w:val="006F3933"/>
    <w:rsid w:val="006F416E"/>
    <w:rsid w:val="006F43B5"/>
    <w:rsid w:val="006F47BA"/>
    <w:rsid w:val="00702E2B"/>
    <w:rsid w:val="00702ECD"/>
    <w:rsid w:val="0070396D"/>
    <w:rsid w:val="00704984"/>
    <w:rsid w:val="0070696A"/>
    <w:rsid w:val="00711408"/>
    <w:rsid w:val="007166F6"/>
    <w:rsid w:val="0071705A"/>
    <w:rsid w:val="00723C4B"/>
    <w:rsid w:val="007253E3"/>
    <w:rsid w:val="00725710"/>
    <w:rsid w:val="00732D8D"/>
    <w:rsid w:val="007369BF"/>
    <w:rsid w:val="00736B10"/>
    <w:rsid w:val="007375D8"/>
    <w:rsid w:val="00740B8C"/>
    <w:rsid w:val="00744492"/>
    <w:rsid w:val="0074550E"/>
    <w:rsid w:val="00745D32"/>
    <w:rsid w:val="00745DBC"/>
    <w:rsid w:val="0075124E"/>
    <w:rsid w:val="007522DA"/>
    <w:rsid w:val="00754ED0"/>
    <w:rsid w:val="00756598"/>
    <w:rsid w:val="00756D42"/>
    <w:rsid w:val="007629CA"/>
    <w:rsid w:val="007648CA"/>
    <w:rsid w:val="007655D4"/>
    <w:rsid w:val="00770430"/>
    <w:rsid w:val="0077164C"/>
    <w:rsid w:val="00773848"/>
    <w:rsid w:val="00774BB0"/>
    <w:rsid w:val="00796781"/>
    <w:rsid w:val="007A3398"/>
    <w:rsid w:val="007A438A"/>
    <w:rsid w:val="007B57A9"/>
    <w:rsid w:val="007B77CA"/>
    <w:rsid w:val="007C1992"/>
    <w:rsid w:val="007C2D9B"/>
    <w:rsid w:val="007C5F0D"/>
    <w:rsid w:val="007C7647"/>
    <w:rsid w:val="007D171B"/>
    <w:rsid w:val="007D2E3B"/>
    <w:rsid w:val="007D7541"/>
    <w:rsid w:val="007D78DA"/>
    <w:rsid w:val="007E4868"/>
    <w:rsid w:val="007E54A6"/>
    <w:rsid w:val="007F1091"/>
    <w:rsid w:val="007F2C78"/>
    <w:rsid w:val="007F4AFD"/>
    <w:rsid w:val="007F7417"/>
    <w:rsid w:val="008008E9"/>
    <w:rsid w:val="00803678"/>
    <w:rsid w:val="00804899"/>
    <w:rsid w:val="00815812"/>
    <w:rsid w:val="0081728A"/>
    <w:rsid w:val="00817F4B"/>
    <w:rsid w:val="008204B4"/>
    <w:rsid w:val="008231E7"/>
    <w:rsid w:val="00824B20"/>
    <w:rsid w:val="00824E4D"/>
    <w:rsid w:val="0082682A"/>
    <w:rsid w:val="00831C1F"/>
    <w:rsid w:val="0083383B"/>
    <w:rsid w:val="008342FE"/>
    <w:rsid w:val="00835B13"/>
    <w:rsid w:val="00841CB3"/>
    <w:rsid w:val="00843953"/>
    <w:rsid w:val="00844B6A"/>
    <w:rsid w:val="00845B01"/>
    <w:rsid w:val="00850F8C"/>
    <w:rsid w:val="008524C7"/>
    <w:rsid w:val="008529FF"/>
    <w:rsid w:val="008660E6"/>
    <w:rsid w:val="0086625E"/>
    <w:rsid w:val="00867A8A"/>
    <w:rsid w:val="008704E1"/>
    <w:rsid w:val="00872DD1"/>
    <w:rsid w:val="0087352F"/>
    <w:rsid w:val="0087674B"/>
    <w:rsid w:val="00883456"/>
    <w:rsid w:val="00884B33"/>
    <w:rsid w:val="00893C6F"/>
    <w:rsid w:val="008A1392"/>
    <w:rsid w:val="008A2CCD"/>
    <w:rsid w:val="008A453E"/>
    <w:rsid w:val="008A787B"/>
    <w:rsid w:val="008B03F4"/>
    <w:rsid w:val="008B09B4"/>
    <w:rsid w:val="008B44B3"/>
    <w:rsid w:val="008C1144"/>
    <w:rsid w:val="008C181A"/>
    <w:rsid w:val="008C2FC1"/>
    <w:rsid w:val="008C7A28"/>
    <w:rsid w:val="008D0A03"/>
    <w:rsid w:val="008D150D"/>
    <w:rsid w:val="008D1B65"/>
    <w:rsid w:val="008D6817"/>
    <w:rsid w:val="008E381C"/>
    <w:rsid w:val="008E43C5"/>
    <w:rsid w:val="008E4CE4"/>
    <w:rsid w:val="008F433D"/>
    <w:rsid w:val="008F4C74"/>
    <w:rsid w:val="008F7E68"/>
    <w:rsid w:val="00901875"/>
    <w:rsid w:val="00902108"/>
    <w:rsid w:val="00905E2A"/>
    <w:rsid w:val="00906A4F"/>
    <w:rsid w:val="00914993"/>
    <w:rsid w:val="009164DA"/>
    <w:rsid w:val="00917BBD"/>
    <w:rsid w:val="0092097F"/>
    <w:rsid w:val="0092512D"/>
    <w:rsid w:val="009333CF"/>
    <w:rsid w:val="00936476"/>
    <w:rsid w:val="00936F5C"/>
    <w:rsid w:val="00940A51"/>
    <w:rsid w:val="00941C22"/>
    <w:rsid w:val="00945944"/>
    <w:rsid w:val="00945E5C"/>
    <w:rsid w:val="00952BDB"/>
    <w:rsid w:val="00962856"/>
    <w:rsid w:val="009628F5"/>
    <w:rsid w:val="009633E0"/>
    <w:rsid w:val="009671ED"/>
    <w:rsid w:val="00970068"/>
    <w:rsid w:val="0097464F"/>
    <w:rsid w:val="00975F8F"/>
    <w:rsid w:val="0098234F"/>
    <w:rsid w:val="00983E05"/>
    <w:rsid w:val="009859E4"/>
    <w:rsid w:val="009913B9"/>
    <w:rsid w:val="00991FB3"/>
    <w:rsid w:val="009932FE"/>
    <w:rsid w:val="009951A5"/>
    <w:rsid w:val="009962A1"/>
    <w:rsid w:val="00996935"/>
    <w:rsid w:val="009A12AB"/>
    <w:rsid w:val="009A2319"/>
    <w:rsid w:val="009A241A"/>
    <w:rsid w:val="009A4BCA"/>
    <w:rsid w:val="009A5280"/>
    <w:rsid w:val="009A589D"/>
    <w:rsid w:val="009B31FC"/>
    <w:rsid w:val="009B4514"/>
    <w:rsid w:val="009B4B38"/>
    <w:rsid w:val="009B540B"/>
    <w:rsid w:val="009B60A3"/>
    <w:rsid w:val="009B7182"/>
    <w:rsid w:val="009B77DE"/>
    <w:rsid w:val="009C194E"/>
    <w:rsid w:val="009C207A"/>
    <w:rsid w:val="009C24CC"/>
    <w:rsid w:val="009C3B4B"/>
    <w:rsid w:val="009C4C92"/>
    <w:rsid w:val="009C5F45"/>
    <w:rsid w:val="009C662F"/>
    <w:rsid w:val="009D0A48"/>
    <w:rsid w:val="009D143A"/>
    <w:rsid w:val="009D25C8"/>
    <w:rsid w:val="009D6AD1"/>
    <w:rsid w:val="009E1947"/>
    <w:rsid w:val="009E49E5"/>
    <w:rsid w:val="009E51C1"/>
    <w:rsid w:val="009E61FA"/>
    <w:rsid w:val="009F6E69"/>
    <w:rsid w:val="00A013FC"/>
    <w:rsid w:val="00A0171D"/>
    <w:rsid w:val="00A02FE4"/>
    <w:rsid w:val="00A06974"/>
    <w:rsid w:val="00A10759"/>
    <w:rsid w:val="00A10872"/>
    <w:rsid w:val="00A115FA"/>
    <w:rsid w:val="00A11DF9"/>
    <w:rsid w:val="00A1231D"/>
    <w:rsid w:val="00A123FE"/>
    <w:rsid w:val="00A1272C"/>
    <w:rsid w:val="00A12A68"/>
    <w:rsid w:val="00A17E9A"/>
    <w:rsid w:val="00A20674"/>
    <w:rsid w:val="00A2488C"/>
    <w:rsid w:val="00A2528B"/>
    <w:rsid w:val="00A343EB"/>
    <w:rsid w:val="00A34DB4"/>
    <w:rsid w:val="00A4079B"/>
    <w:rsid w:val="00A40D81"/>
    <w:rsid w:val="00A41CB4"/>
    <w:rsid w:val="00A43A3A"/>
    <w:rsid w:val="00A45C21"/>
    <w:rsid w:val="00A50646"/>
    <w:rsid w:val="00A516FE"/>
    <w:rsid w:val="00A54B81"/>
    <w:rsid w:val="00A5692F"/>
    <w:rsid w:val="00A609EA"/>
    <w:rsid w:val="00A64384"/>
    <w:rsid w:val="00A75E7F"/>
    <w:rsid w:val="00A77376"/>
    <w:rsid w:val="00A81543"/>
    <w:rsid w:val="00A86E14"/>
    <w:rsid w:val="00A90783"/>
    <w:rsid w:val="00A91493"/>
    <w:rsid w:val="00A919CA"/>
    <w:rsid w:val="00A9538F"/>
    <w:rsid w:val="00A96F73"/>
    <w:rsid w:val="00AA0A4F"/>
    <w:rsid w:val="00AA1B47"/>
    <w:rsid w:val="00AB03AB"/>
    <w:rsid w:val="00AB13AB"/>
    <w:rsid w:val="00AB1DA8"/>
    <w:rsid w:val="00AB4AE2"/>
    <w:rsid w:val="00AB5327"/>
    <w:rsid w:val="00AB623C"/>
    <w:rsid w:val="00AB69C7"/>
    <w:rsid w:val="00AB6BB8"/>
    <w:rsid w:val="00AC29DB"/>
    <w:rsid w:val="00AC2B2A"/>
    <w:rsid w:val="00AC30DA"/>
    <w:rsid w:val="00AC32DA"/>
    <w:rsid w:val="00AC59E7"/>
    <w:rsid w:val="00AC7BF2"/>
    <w:rsid w:val="00AD2FBD"/>
    <w:rsid w:val="00AD4270"/>
    <w:rsid w:val="00AD6B80"/>
    <w:rsid w:val="00AD7293"/>
    <w:rsid w:val="00AE0B05"/>
    <w:rsid w:val="00AF3443"/>
    <w:rsid w:val="00AF5ACE"/>
    <w:rsid w:val="00B0064A"/>
    <w:rsid w:val="00B00FB7"/>
    <w:rsid w:val="00B01988"/>
    <w:rsid w:val="00B02696"/>
    <w:rsid w:val="00B04F70"/>
    <w:rsid w:val="00B06C3E"/>
    <w:rsid w:val="00B079FC"/>
    <w:rsid w:val="00B10BF2"/>
    <w:rsid w:val="00B12909"/>
    <w:rsid w:val="00B167B8"/>
    <w:rsid w:val="00B273B0"/>
    <w:rsid w:val="00B30CDB"/>
    <w:rsid w:val="00B35750"/>
    <w:rsid w:val="00B35C9E"/>
    <w:rsid w:val="00B35FA4"/>
    <w:rsid w:val="00B44239"/>
    <w:rsid w:val="00B4469E"/>
    <w:rsid w:val="00B447A7"/>
    <w:rsid w:val="00B44B1F"/>
    <w:rsid w:val="00B4629C"/>
    <w:rsid w:val="00B525D2"/>
    <w:rsid w:val="00B5376F"/>
    <w:rsid w:val="00B62013"/>
    <w:rsid w:val="00B62D75"/>
    <w:rsid w:val="00B632FE"/>
    <w:rsid w:val="00B66B60"/>
    <w:rsid w:val="00B77A0D"/>
    <w:rsid w:val="00B91E9F"/>
    <w:rsid w:val="00B96468"/>
    <w:rsid w:val="00B96AD9"/>
    <w:rsid w:val="00BA0A1B"/>
    <w:rsid w:val="00BA1F0B"/>
    <w:rsid w:val="00BA34C2"/>
    <w:rsid w:val="00BA445D"/>
    <w:rsid w:val="00BA44FF"/>
    <w:rsid w:val="00BB01E7"/>
    <w:rsid w:val="00BB480A"/>
    <w:rsid w:val="00BC1030"/>
    <w:rsid w:val="00BC103F"/>
    <w:rsid w:val="00BC4C5A"/>
    <w:rsid w:val="00BD199D"/>
    <w:rsid w:val="00BD287E"/>
    <w:rsid w:val="00BD4E35"/>
    <w:rsid w:val="00BD5F22"/>
    <w:rsid w:val="00BD6AC2"/>
    <w:rsid w:val="00BD6B39"/>
    <w:rsid w:val="00BD798C"/>
    <w:rsid w:val="00BE0009"/>
    <w:rsid w:val="00BE18A1"/>
    <w:rsid w:val="00BE19D2"/>
    <w:rsid w:val="00BE4B2B"/>
    <w:rsid w:val="00BE6878"/>
    <w:rsid w:val="00BF1D60"/>
    <w:rsid w:val="00C01D40"/>
    <w:rsid w:val="00C02884"/>
    <w:rsid w:val="00C05052"/>
    <w:rsid w:val="00C057EC"/>
    <w:rsid w:val="00C10089"/>
    <w:rsid w:val="00C1380E"/>
    <w:rsid w:val="00C16763"/>
    <w:rsid w:val="00C16EB7"/>
    <w:rsid w:val="00C214B1"/>
    <w:rsid w:val="00C24B5A"/>
    <w:rsid w:val="00C25D57"/>
    <w:rsid w:val="00C35F57"/>
    <w:rsid w:val="00C3663D"/>
    <w:rsid w:val="00C37797"/>
    <w:rsid w:val="00C40E72"/>
    <w:rsid w:val="00C42360"/>
    <w:rsid w:val="00C43099"/>
    <w:rsid w:val="00C438B3"/>
    <w:rsid w:val="00C449C6"/>
    <w:rsid w:val="00C44FC7"/>
    <w:rsid w:val="00C45307"/>
    <w:rsid w:val="00C46CDA"/>
    <w:rsid w:val="00C477CA"/>
    <w:rsid w:val="00C5312B"/>
    <w:rsid w:val="00C54146"/>
    <w:rsid w:val="00C54948"/>
    <w:rsid w:val="00C54B37"/>
    <w:rsid w:val="00C55AB7"/>
    <w:rsid w:val="00C621BF"/>
    <w:rsid w:val="00C73267"/>
    <w:rsid w:val="00C82974"/>
    <w:rsid w:val="00C85EFB"/>
    <w:rsid w:val="00C867F8"/>
    <w:rsid w:val="00C910FA"/>
    <w:rsid w:val="00C920F7"/>
    <w:rsid w:val="00C93527"/>
    <w:rsid w:val="00C9401A"/>
    <w:rsid w:val="00C95408"/>
    <w:rsid w:val="00C96C90"/>
    <w:rsid w:val="00CA1EC6"/>
    <w:rsid w:val="00CA2A7D"/>
    <w:rsid w:val="00CA5DA1"/>
    <w:rsid w:val="00CA5ECC"/>
    <w:rsid w:val="00CB02F7"/>
    <w:rsid w:val="00CB1C89"/>
    <w:rsid w:val="00CB1FCC"/>
    <w:rsid w:val="00CB223A"/>
    <w:rsid w:val="00CB362D"/>
    <w:rsid w:val="00CB62D1"/>
    <w:rsid w:val="00CB7613"/>
    <w:rsid w:val="00CC15F1"/>
    <w:rsid w:val="00CC2F9F"/>
    <w:rsid w:val="00CC4899"/>
    <w:rsid w:val="00CC6B47"/>
    <w:rsid w:val="00CD04CF"/>
    <w:rsid w:val="00CD3632"/>
    <w:rsid w:val="00CD6DDC"/>
    <w:rsid w:val="00CE2DB5"/>
    <w:rsid w:val="00CE3457"/>
    <w:rsid w:val="00CE4573"/>
    <w:rsid w:val="00CF0B33"/>
    <w:rsid w:val="00CF65CD"/>
    <w:rsid w:val="00D00531"/>
    <w:rsid w:val="00D01490"/>
    <w:rsid w:val="00D044AB"/>
    <w:rsid w:val="00D04D67"/>
    <w:rsid w:val="00D11A95"/>
    <w:rsid w:val="00D1276E"/>
    <w:rsid w:val="00D14934"/>
    <w:rsid w:val="00D1563F"/>
    <w:rsid w:val="00D15C6B"/>
    <w:rsid w:val="00D170D5"/>
    <w:rsid w:val="00D1724C"/>
    <w:rsid w:val="00D17B5C"/>
    <w:rsid w:val="00D2145C"/>
    <w:rsid w:val="00D21809"/>
    <w:rsid w:val="00D2258C"/>
    <w:rsid w:val="00D2731A"/>
    <w:rsid w:val="00D27713"/>
    <w:rsid w:val="00D35187"/>
    <w:rsid w:val="00D36F43"/>
    <w:rsid w:val="00D3712E"/>
    <w:rsid w:val="00D373D1"/>
    <w:rsid w:val="00D46E8A"/>
    <w:rsid w:val="00D500FC"/>
    <w:rsid w:val="00D50B0A"/>
    <w:rsid w:val="00D513C8"/>
    <w:rsid w:val="00D52E61"/>
    <w:rsid w:val="00D54540"/>
    <w:rsid w:val="00D547B0"/>
    <w:rsid w:val="00D54B19"/>
    <w:rsid w:val="00D5787B"/>
    <w:rsid w:val="00D605EE"/>
    <w:rsid w:val="00D62D21"/>
    <w:rsid w:val="00D66965"/>
    <w:rsid w:val="00D726D4"/>
    <w:rsid w:val="00D76FCC"/>
    <w:rsid w:val="00D84C56"/>
    <w:rsid w:val="00D863D2"/>
    <w:rsid w:val="00D92261"/>
    <w:rsid w:val="00D9272F"/>
    <w:rsid w:val="00D97302"/>
    <w:rsid w:val="00DA02D1"/>
    <w:rsid w:val="00DA1D77"/>
    <w:rsid w:val="00DA2E1E"/>
    <w:rsid w:val="00DA356B"/>
    <w:rsid w:val="00DA45F0"/>
    <w:rsid w:val="00DA4FC3"/>
    <w:rsid w:val="00DA52CE"/>
    <w:rsid w:val="00DA7AD8"/>
    <w:rsid w:val="00DB0D2E"/>
    <w:rsid w:val="00DB0D66"/>
    <w:rsid w:val="00DB0F52"/>
    <w:rsid w:val="00DB2365"/>
    <w:rsid w:val="00DC2C81"/>
    <w:rsid w:val="00DC42D9"/>
    <w:rsid w:val="00DC69D7"/>
    <w:rsid w:val="00DD734F"/>
    <w:rsid w:val="00DE18F9"/>
    <w:rsid w:val="00DE206C"/>
    <w:rsid w:val="00DF15F7"/>
    <w:rsid w:val="00DF41BA"/>
    <w:rsid w:val="00DF6FF4"/>
    <w:rsid w:val="00E001D5"/>
    <w:rsid w:val="00E0087C"/>
    <w:rsid w:val="00E07FEE"/>
    <w:rsid w:val="00E1260D"/>
    <w:rsid w:val="00E147A0"/>
    <w:rsid w:val="00E14FBD"/>
    <w:rsid w:val="00E1691C"/>
    <w:rsid w:val="00E217A1"/>
    <w:rsid w:val="00E23BD2"/>
    <w:rsid w:val="00E250DD"/>
    <w:rsid w:val="00E2581C"/>
    <w:rsid w:val="00E26338"/>
    <w:rsid w:val="00E32881"/>
    <w:rsid w:val="00E35DE5"/>
    <w:rsid w:val="00E36D62"/>
    <w:rsid w:val="00E37745"/>
    <w:rsid w:val="00E475AC"/>
    <w:rsid w:val="00E521E6"/>
    <w:rsid w:val="00E5227B"/>
    <w:rsid w:val="00E546A1"/>
    <w:rsid w:val="00E61D4F"/>
    <w:rsid w:val="00E646E9"/>
    <w:rsid w:val="00E65856"/>
    <w:rsid w:val="00E720B7"/>
    <w:rsid w:val="00E734A2"/>
    <w:rsid w:val="00E8020E"/>
    <w:rsid w:val="00E86EB7"/>
    <w:rsid w:val="00E9129B"/>
    <w:rsid w:val="00E917F4"/>
    <w:rsid w:val="00E9187E"/>
    <w:rsid w:val="00E925D0"/>
    <w:rsid w:val="00E92667"/>
    <w:rsid w:val="00E93E06"/>
    <w:rsid w:val="00E97763"/>
    <w:rsid w:val="00EA30CA"/>
    <w:rsid w:val="00EA3E0A"/>
    <w:rsid w:val="00EA46DE"/>
    <w:rsid w:val="00EA6CE7"/>
    <w:rsid w:val="00EB49DB"/>
    <w:rsid w:val="00EC071E"/>
    <w:rsid w:val="00EC24C1"/>
    <w:rsid w:val="00EC5D42"/>
    <w:rsid w:val="00ED0A4E"/>
    <w:rsid w:val="00ED18D5"/>
    <w:rsid w:val="00ED3B18"/>
    <w:rsid w:val="00EE0A27"/>
    <w:rsid w:val="00EE4028"/>
    <w:rsid w:val="00EE45A2"/>
    <w:rsid w:val="00EE4746"/>
    <w:rsid w:val="00EE4E56"/>
    <w:rsid w:val="00EE7AA6"/>
    <w:rsid w:val="00EF0EF9"/>
    <w:rsid w:val="00EF42D6"/>
    <w:rsid w:val="00F004C6"/>
    <w:rsid w:val="00F00B35"/>
    <w:rsid w:val="00F01CF3"/>
    <w:rsid w:val="00F01E15"/>
    <w:rsid w:val="00F029F1"/>
    <w:rsid w:val="00F03D94"/>
    <w:rsid w:val="00F05BED"/>
    <w:rsid w:val="00F108C1"/>
    <w:rsid w:val="00F10B86"/>
    <w:rsid w:val="00F117E1"/>
    <w:rsid w:val="00F15697"/>
    <w:rsid w:val="00F15EEC"/>
    <w:rsid w:val="00F166E8"/>
    <w:rsid w:val="00F1687F"/>
    <w:rsid w:val="00F21AF4"/>
    <w:rsid w:val="00F2230E"/>
    <w:rsid w:val="00F2359F"/>
    <w:rsid w:val="00F239A7"/>
    <w:rsid w:val="00F24FB6"/>
    <w:rsid w:val="00F2681E"/>
    <w:rsid w:val="00F27C2F"/>
    <w:rsid w:val="00F32BB8"/>
    <w:rsid w:val="00F36585"/>
    <w:rsid w:val="00F40C60"/>
    <w:rsid w:val="00F42DED"/>
    <w:rsid w:val="00F45A4E"/>
    <w:rsid w:val="00F46399"/>
    <w:rsid w:val="00F46B19"/>
    <w:rsid w:val="00F52928"/>
    <w:rsid w:val="00F627FD"/>
    <w:rsid w:val="00F6316C"/>
    <w:rsid w:val="00F65047"/>
    <w:rsid w:val="00F651F2"/>
    <w:rsid w:val="00F662A9"/>
    <w:rsid w:val="00F66CDB"/>
    <w:rsid w:val="00F719D7"/>
    <w:rsid w:val="00F73C04"/>
    <w:rsid w:val="00F807E0"/>
    <w:rsid w:val="00F80EC1"/>
    <w:rsid w:val="00F8131A"/>
    <w:rsid w:val="00F83335"/>
    <w:rsid w:val="00F83C9D"/>
    <w:rsid w:val="00F83D09"/>
    <w:rsid w:val="00F84065"/>
    <w:rsid w:val="00F84D5A"/>
    <w:rsid w:val="00F87D5F"/>
    <w:rsid w:val="00F9122D"/>
    <w:rsid w:val="00FA17C6"/>
    <w:rsid w:val="00FA2549"/>
    <w:rsid w:val="00FA30FA"/>
    <w:rsid w:val="00FA5AE7"/>
    <w:rsid w:val="00FA5F5B"/>
    <w:rsid w:val="00FA62CA"/>
    <w:rsid w:val="00FA6D65"/>
    <w:rsid w:val="00FB1BAB"/>
    <w:rsid w:val="00FB2051"/>
    <w:rsid w:val="00FB2D1E"/>
    <w:rsid w:val="00FB2F21"/>
    <w:rsid w:val="00FB3EAF"/>
    <w:rsid w:val="00FB77AB"/>
    <w:rsid w:val="00FC529C"/>
    <w:rsid w:val="00FC5317"/>
    <w:rsid w:val="00FD06EB"/>
    <w:rsid w:val="00FD2D7C"/>
    <w:rsid w:val="00FE109D"/>
    <w:rsid w:val="00FE4D80"/>
    <w:rsid w:val="00FE62D0"/>
    <w:rsid w:val="00FE6CFD"/>
    <w:rsid w:val="00FF0795"/>
    <w:rsid w:val="00FF50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6503"/>
  <w15:docId w15:val="{70B1FC4F-859B-434A-8A0F-6A48C3FF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22D"/>
    <w:rPr>
      <w:b/>
      <w:bCs/>
    </w:rPr>
  </w:style>
  <w:style w:type="paragraph" w:styleId="ListParagraph">
    <w:name w:val="List Paragraph"/>
    <w:basedOn w:val="Normal"/>
    <w:uiPriority w:val="34"/>
    <w:qFormat/>
    <w:rsid w:val="0024564B"/>
    <w:pPr>
      <w:spacing w:after="0" w:line="240" w:lineRule="auto"/>
      <w:ind w:left="720"/>
    </w:pPr>
    <w:rPr>
      <w:rFonts w:ascii="Calibri" w:hAnsi="Calibri" w:cs="Times New Roman"/>
    </w:rPr>
  </w:style>
  <w:style w:type="paragraph" w:customStyle="1" w:styleId="Default">
    <w:name w:val="Default"/>
    <w:rsid w:val="00A609E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65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47"/>
    <w:rPr>
      <w:rFonts w:ascii="Segoe UI" w:hAnsi="Segoe UI" w:cs="Segoe UI"/>
      <w:sz w:val="18"/>
      <w:szCs w:val="18"/>
    </w:rPr>
  </w:style>
  <w:style w:type="character" w:styleId="Hyperlink">
    <w:name w:val="Hyperlink"/>
    <w:basedOn w:val="DefaultParagraphFont"/>
    <w:uiPriority w:val="99"/>
    <w:unhideWhenUsed/>
    <w:rsid w:val="00CB1FCC"/>
    <w:rPr>
      <w:color w:val="0000FF"/>
      <w:u w:val="single"/>
    </w:rPr>
  </w:style>
  <w:style w:type="character" w:customStyle="1" w:styleId="UnresolvedMention1">
    <w:name w:val="Unresolved Mention1"/>
    <w:basedOn w:val="DefaultParagraphFont"/>
    <w:uiPriority w:val="99"/>
    <w:semiHidden/>
    <w:unhideWhenUsed/>
    <w:rsid w:val="005E14DA"/>
    <w:rPr>
      <w:color w:val="605E5C"/>
      <w:shd w:val="clear" w:color="auto" w:fill="E1DFDD"/>
    </w:rPr>
  </w:style>
  <w:style w:type="paragraph" w:styleId="Footer">
    <w:name w:val="footer"/>
    <w:basedOn w:val="Normal"/>
    <w:link w:val="FooterChar"/>
    <w:uiPriority w:val="99"/>
    <w:unhideWhenUsed/>
    <w:rsid w:val="0079678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6781"/>
  </w:style>
  <w:style w:type="character" w:styleId="PageNumber">
    <w:name w:val="page number"/>
    <w:basedOn w:val="DefaultParagraphFont"/>
    <w:uiPriority w:val="99"/>
    <w:semiHidden/>
    <w:unhideWhenUsed/>
    <w:rsid w:val="00796781"/>
  </w:style>
  <w:style w:type="character" w:styleId="CommentReference">
    <w:name w:val="annotation reference"/>
    <w:basedOn w:val="DefaultParagraphFont"/>
    <w:uiPriority w:val="99"/>
    <w:semiHidden/>
    <w:unhideWhenUsed/>
    <w:rsid w:val="00D21809"/>
    <w:rPr>
      <w:sz w:val="18"/>
      <w:szCs w:val="18"/>
    </w:rPr>
  </w:style>
  <w:style w:type="paragraph" w:styleId="CommentText">
    <w:name w:val="annotation text"/>
    <w:basedOn w:val="Normal"/>
    <w:link w:val="CommentTextChar"/>
    <w:uiPriority w:val="99"/>
    <w:unhideWhenUsed/>
    <w:rsid w:val="00D21809"/>
    <w:pPr>
      <w:spacing w:line="240" w:lineRule="auto"/>
    </w:pPr>
    <w:rPr>
      <w:sz w:val="24"/>
      <w:szCs w:val="24"/>
    </w:rPr>
  </w:style>
  <w:style w:type="character" w:customStyle="1" w:styleId="CommentTextChar">
    <w:name w:val="Comment Text Char"/>
    <w:basedOn w:val="DefaultParagraphFont"/>
    <w:link w:val="CommentText"/>
    <w:uiPriority w:val="99"/>
    <w:rsid w:val="00D21809"/>
    <w:rPr>
      <w:sz w:val="24"/>
      <w:szCs w:val="24"/>
    </w:rPr>
  </w:style>
  <w:style w:type="paragraph" w:styleId="CommentSubject">
    <w:name w:val="annotation subject"/>
    <w:basedOn w:val="CommentText"/>
    <w:next w:val="CommentText"/>
    <w:link w:val="CommentSubjectChar"/>
    <w:uiPriority w:val="99"/>
    <w:semiHidden/>
    <w:unhideWhenUsed/>
    <w:rsid w:val="00D21809"/>
    <w:rPr>
      <w:b/>
      <w:bCs/>
      <w:sz w:val="20"/>
      <w:szCs w:val="20"/>
    </w:rPr>
  </w:style>
  <w:style w:type="character" w:customStyle="1" w:styleId="CommentSubjectChar">
    <w:name w:val="Comment Subject Char"/>
    <w:basedOn w:val="CommentTextChar"/>
    <w:link w:val="CommentSubject"/>
    <w:uiPriority w:val="99"/>
    <w:semiHidden/>
    <w:rsid w:val="00D21809"/>
    <w:rPr>
      <w:b/>
      <w:bCs/>
      <w:sz w:val="20"/>
      <w:szCs w:val="20"/>
    </w:rPr>
  </w:style>
  <w:style w:type="character" w:customStyle="1" w:styleId="UnresolvedMention2">
    <w:name w:val="Unresolved Mention2"/>
    <w:basedOn w:val="DefaultParagraphFont"/>
    <w:uiPriority w:val="99"/>
    <w:semiHidden/>
    <w:unhideWhenUsed/>
    <w:rsid w:val="00C95408"/>
    <w:rPr>
      <w:color w:val="605E5C"/>
      <w:shd w:val="clear" w:color="auto" w:fill="E1DFDD"/>
    </w:rPr>
  </w:style>
  <w:style w:type="paragraph" w:styleId="Revision">
    <w:name w:val="Revision"/>
    <w:hidden/>
    <w:uiPriority w:val="99"/>
    <w:semiHidden/>
    <w:rsid w:val="00A86E14"/>
    <w:pPr>
      <w:spacing w:after="0" w:line="240" w:lineRule="auto"/>
    </w:pPr>
  </w:style>
  <w:style w:type="character" w:customStyle="1" w:styleId="UnresolvedMention3">
    <w:name w:val="Unresolved Mention3"/>
    <w:basedOn w:val="DefaultParagraphFont"/>
    <w:uiPriority w:val="99"/>
    <w:semiHidden/>
    <w:unhideWhenUsed/>
    <w:rsid w:val="0086625E"/>
    <w:rPr>
      <w:color w:val="605E5C"/>
      <w:shd w:val="clear" w:color="auto" w:fill="E1DFDD"/>
    </w:rPr>
  </w:style>
  <w:style w:type="character" w:customStyle="1" w:styleId="nlmmonth">
    <w:name w:val="nlm_month"/>
    <w:basedOn w:val="DefaultParagraphFont"/>
    <w:rsid w:val="00651CC3"/>
  </w:style>
  <w:style w:type="character" w:customStyle="1" w:styleId="nlmyear">
    <w:name w:val="nlm_year"/>
    <w:basedOn w:val="DefaultParagraphFont"/>
    <w:rsid w:val="00651CC3"/>
  </w:style>
  <w:style w:type="character" w:customStyle="1" w:styleId="nlmarticle-title">
    <w:name w:val="nlm_article-title"/>
    <w:basedOn w:val="DefaultParagraphFont"/>
    <w:rsid w:val="00651CC3"/>
  </w:style>
  <w:style w:type="character" w:customStyle="1" w:styleId="nlmpublisher-loc">
    <w:name w:val="nlm_publisher-loc"/>
    <w:basedOn w:val="DefaultParagraphFont"/>
    <w:rsid w:val="00A343EB"/>
  </w:style>
  <w:style w:type="character" w:customStyle="1" w:styleId="nlmpublisher-name">
    <w:name w:val="nlm_publisher-name"/>
    <w:basedOn w:val="DefaultParagraphFont"/>
    <w:rsid w:val="00A343EB"/>
  </w:style>
  <w:style w:type="table" w:styleId="TableGrid">
    <w:name w:val="Table Grid"/>
    <w:basedOn w:val="TableNormal"/>
    <w:uiPriority w:val="39"/>
    <w:rsid w:val="00641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75"/>
  </w:style>
  <w:style w:type="character" w:customStyle="1" w:styleId="UnresolvedMention4">
    <w:name w:val="Unresolved Mention4"/>
    <w:basedOn w:val="DefaultParagraphFont"/>
    <w:uiPriority w:val="99"/>
    <w:semiHidden/>
    <w:unhideWhenUsed/>
    <w:rsid w:val="009633E0"/>
    <w:rPr>
      <w:color w:val="605E5C"/>
      <w:shd w:val="clear" w:color="auto" w:fill="E1DFDD"/>
    </w:rPr>
  </w:style>
  <w:style w:type="character" w:customStyle="1" w:styleId="ref-lnk">
    <w:name w:val="ref-lnk"/>
    <w:basedOn w:val="DefaultParagraphFont"/>
    <w:rsid w:val="00AC29DB"/>
  </w:style>
  <w:style w:type="character" w:customStyle="1" w:styleId="ref-journal">
    <w:name w:val="ref-journal"/>
    <w:basedOn w:val="DefaultParagraphFont"/>
    <w:rsid w:val="0045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31344">
      <w:bodyDiv w:val="1"/>
      <w:marLeft w:val="0"/>
      <w:marRight w:val="0"/>
      <w:marTop w:val="0"/>
      <w:marBottom w:val="0"/>
      <w:divBdr>
        <w:top w:val="none" w:sz="0" w:space="0" w:color="auto"/>
        <w:left w:val="none" w:sz="0" w:space="0" w:color="auto"/>
        <w:bottom w:val="none" w:sz="0" w:space="0" w:color="auto"/>
        <w:right w:val="none" w:sz="0" w:space="0" w:color="auto"/>
      </w:divBdr>
    </w:div>
    <w:div w:id="918058860">
      <w:bodyDiv w:val="1"/>
      <w:marLeft w:val="0"/>
      <w:marRight w:val="0"/>
      <w:marTop w:val="0"/>
      <w:marBottom w:val="0"/>
      <w:divBdr>
        <w:top w:val="none" w:sz="0" w:space="0" w:color="auto"/>
        <w:left w:val="none" w:sz="0" w:space="0" w:color="auto"/>
        <w:bottom w:val="none" w:sz="0" w:space="0" w:color="auto"/>
        <w:right w:val="none" w:sz="0" w:space="0" w:color="auto"/>
      </w:divBdr>
    </w:div>
    <w:div w:id="987323416">
      <w:bodyDiv w:val="1"/>
      <w:marLeft w:val="0"/>
      <w:marRight w:val="0"/>
      <w:marTop w:val="0"/>
      <w:marBottom w:val="0"/>
      <w:divBdr>
        <w:top w:val="none" w:sz="0" w:space="0" w:color="auto"/>
        <w:left w:val="none" w:sz="0" w:space="0" w:color="auto"/>
        <w:bottom w:val="none" w:sz="0" w:space="0" w:color="auto"/>
        <w:right w:val="none" w:sz="0" w:space="0" w:color="auto"/>
      </w:divBdr>
    </w:div>
    <w:div w:id="1735541899">
      <w:bodyDiv w:val="1"/>
      <w:marLeft w:val="0"/>
      <w:marRight w:val="0"/>
      <w:marTop w:val="0"/>
      <w:marBottom w:val="0"/>
      <w:divBdr>
        <w:top w:val="none" w:sz="0" w:space="0" w:color="auto"/>
        <w:left w:val="none" w:sz="0" w:space="0" w:color="auto"/>
        <w:bottom w:val="none" w:sz="0" w:space="0" w:color="auto"/>
        <w:right w:val="none" w:sz="0" w:space="0" w:color="auto"/>
      </w:divBdr>
    </w:div>
    <w:div w:id="1787238981">
      <w:bodyDiv w:val="1"/>
      <w:marLeft w:val="0"/>
      <w:marRight w:val="0"/>
      <w:marTop w:val="0"/>
      <w:marBottom w:val="0"/>
      <w:divBdr>
        <w:top w:val="none" w:sz="0" w:space="0" w:color="auto"/>
        <w:left w:val="none" w:sz="0" w:space="0" w:color="auto"/>
        <w:bottom w:val="none" w:sz="0" w:space="0" w:color="auto"/>
        <w:right w:val="none" w:sz="0" w:space="0" w:color="auto"/>
      </w:divBdr>
    </w:div>
    <w:div w:id="1836146219">
      <w:bodyDiv w:val="1"/>
      <w:marLeft w:val="0"/>
      <w:marRight w:val="0"/>
      <w:marTop w:val="0"/>
      <w:marBottom w:val="0"/>
      <w:divBdr>
        <w:top w:val="none" w:sz="0" w:space="0" w:color="auto"/>
        <w:left w:val="none" w:sz="0" w:space="0" w:color="auto"/>
        <w:bottom w:val="none" w:sz="0" w:space="0" w:color="auto"/>
        <w:right w:val="none" w:sz="0" w:space="0" w:color="auto"/>
      </w:divBdr>
    </w:div>
    <w:div w:id="1948350537">
      <w:bodyDiv w:val="1"/>
      <w:marLeft w:val="0"/>
      <w:marRight w:val="0"/>
      <w:marTop w:val="0"/>
      <w:marBottom w:val="0"/>
      <w:divBdr>
        <w:top w:val="none" w:sz="0" w:space="0" w:color="auto"/>
        <w:left w:val="none" w:sz="0" w:space="0" w:color="auto"/>
        <w:bottom w:val="none" w:sz="0" w:space="0" w:color="auto"/>
        <w:right w:val="none" w:sz="0" w:space="0" w:color="auto"/>
      </w:divBdr>
    </w:div>
    <w:div w:id="202100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0.500.11990/998" TargetMode="External"/><Relationship Id="rId13" Type="http://schemas.openxmlformats.org/officeDocument/2006/relationships/hyperlink" Target="https://doi.org/10.1016/S0140-6736(11)61851-5" TargetMode="External"/><Relationship Id="rId18" Type="http://schemas.openxmlformats.org/officeDocument/2006/relationships/hyperlink" Target="https://doi.org/10.1016/j.amepre.2011.07.014" TargetMode="External"/><Relationship Id="rId26" Type="http://schemas.openxmlformats.org/officeDocument/2006/relationships/hyperlink" Target="https://doi.org/10.1111/j.1468-3148.1993.tb00053.x" TargetMode="External"/><Relationship Id="rId3" Type="http://schemas.openxmlformats.org/officeDocument/2006/relationships/styles" Target="styles.xml"/><Relationship Id="rId21" Type="http://schemas.openxmlformats.org/officeDocument/2006/relationships/hyperlink" Target="https://www.nice.org.uk/guidance/ng189/chapter/Rationale-and-impact" TargetMode="External"/><Relationship Id="rId7" Type="http://schemas.openxmlformats.org/officeDocument/2006/relationships/endnotes" Target="endnotes.xml"/><Relationship Id="rId12" Type="http://schemas.openxmlformats.org/officeDocument/2006/relationships/hyperlink" Target="https://doi.org/10.1108/IJSSP-12-2013-0117" TargetMode="External"/><Relationship Id="rId17" Type="http://schemas.openxmlformats.org/officeDocument/2006/relationships/hyperlink" Target="https://doi.org/10.1177/0886260514534530" TargetMode="External"/><Relationship Id="rId25" Type="http://schemas.openxmlformats.org/officeDocument/2006/relationships/hyperlink" Target="https://doi.org/10.3390/ijerph18041980" TargetMode="External"/><Relationship Id="rId2" Type="http://schemas.openxmlformats.org/officeDocument/2006/relationships/numbering" Target="numbering.xml"/><Relationship Id="rId16" Type="http://schemas.openxmlformats.org/officeDocument/2006/relationships/hyperlink" Target="https://doi.org/10.1177/1077801206292672" TargetMode="External"/><Relationship Id="rId20" Type="http://schemas.openxmlformats.org/officeDocument/2006/relationships/hyperlink" Target="https://www.cqc.org.uk/news/stories/cqc-publishes-second-part-independent-review-its-regulation-whorlton-hal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iadvocacy.org/wp-content/uploads/Serbia-rep-english.pdf" TargetMode="External"/><Relationship Id="rId24" Type="http://schemas.openxmlformats.org/officeDocument/2006/relationships/hyperlink" Target="https://doi.org/10.4324/9780203346938_chapter_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mepre.2021.03.016" TargetMode="External"/><Relationship Id="rId23" Type="http://schemas.openxmlformats.org/officeDocument/2006/relationships/hyperlink" Target="https://doi.org/10.1093/bjsw/bcn146" TargetMode="External"/><Relationship Id="rId28" Type="http://schemas.openxmlformats.org/officeDocument/2006/relationships/header" Target="header1.xml"/><Relationship Id="rId10" Type="http://schemas.openxmlformats.org/officeDocument/2006/relationships/hyperlink" Target="https://doi.org/10.1177/08862605211006373" TargetMode="External"/><Relationship Id="rId19" Type="http://schemas.openxmlformats.org/officeDocument/2006/relationships/hyperlink" Target="https://www.cqc.org.uk/news/stories/cqc-publishes-independent-review-its-regulation-whorlton-hall-between-2015-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qc.org.uk/sites/default/files/20191118_rssinterimreport_full.pdf" TargetMode="External"/><Relationship Id="rId14" Type="http://schemas.openxmlformats.org/officeDocument/2006/relationships/hyperlink" Target="https://doi.org/10.1371/journal.pone.0055952" TargetMode="External"/><Relationship Id="rId22" Type="http://schemas.openxmlformats.org/officeDocument/2006/relationships/hyperlink" Target="https://doi.org/10.1352/1934-9556(2007)45%5b373:POSAOP%5d2.0.CO;2" TargetMode="External"/><Relationship Id="rId27" Type="http://schemas.openxmlformats.org/officeDocument/2006/relationships/hyperlink" Target="https://www.refworld.org/docid/45f973632.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E3B6-6A69-4273-99E6-679C11D3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17503</Words>
  <Characters>99770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Collins</dc:creator>
  <cp:keywords/>
  <dc:description/>
  <cp:lastModifiedBy>Josephine Collins</cp:lastModifiedBy>
  <cp:revision>4</cp:revision>
  <cp:lastPrinted>2020-09-25T11:10:00Z</cp:lastPrinted>
  <dcterms:created xsi:type="dcterms:W3CDTF">2021-10-26T11:38:00Z</dcterms:created>
  <dcterms:modified xsi:type="dcterms:W3CDTF">2021-10-26T13:30:00Z</dcterms:modified>
</cp:coreProperties>
</file>