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CD5" w:rsidRDefault="710DF024" w:rsidP="001D2C9C">
      <w:pPr>
        <w:pStyle w:val="Title"/>
      </w:pPr>
      <w:bookmarkStart w:id="0" w:name="_Toc321141833"/>
      <w:r>
        <w:t xml:space="preserve">The repatriation of Human Remains </w:t>
      </w:r>
      <w:r w:rsidR="00CF760C">
        <w:t>from</w:t>
      </w:r>
      <w:r>
        <w:t xml:space="preserve"> France</w:t>
      </w:r>
      <w:bookmarkEnd w:id="0"/>
      <w:r w:rsidR="0013362D">
        <w:t xml:space="preserve">: </w:t>
      </w:r>
      <w:r w:rsidR="002C4BB0">
        <w:t>20 years of (mal)practice</w:t>
      </w:r>
    </w:p>
    <w:p w:rsidR="000E072C" w:rsidRPr="000E072C" w:rsidRDefault="000E072C" w:rsidP="001D2C9C">
      <w:pPr>
        <w:spacing w:line="240" w:lineRule="auto"/>
      </w:pPr>
    </w:p>
    <w:p w:rsidR="00DE209A" w:rsidRDefault="00DE209A" w:rsidP="001D2C9C">
      <w:pPr>
        <w:spacing w:line="240" w:lineRule="auto"/>
      </w:pPr>
    </w:p>
    <w:p w:rsidR="00F53882" w:rsidRDefault="00F53882" w:rsidP="001D2C9C">
      <w:pPr>
        <w:pStyle w:val="Heading2"/>
        <w:spacing w:line="240" w:lineRule="auto"/>
      </w:pPr>
      <w:r>
        <w:t xml:space="preserve">Introduction </w:t>
      </w:r>
    </w:p>
    <w:p w:rsidR="00DA23F6" w:rsidRDefault="00DA23F6" w:rsidP="001D2C9C">
      <w:pPr>
        <w:spacing w:line="240" w:lineRule="auto"/>
      </w:pPr>
      <w:r>
        <w:t>The repatriation</w:t>
      </w:r>
      <w:r w:rsidR="00244BBC">
        <w:rPr>
          <w:rStyle w:val="FootnoteReference"/>
        </w:rPr>
        <w:footnoteReference w:id="1"/>
      </w:r>
      <w:r>
        <w:t xml:space="preserve"> of human remains has been at the forefront of claims by </w:t>
      </w:r>
      <w:r w:rsidR="00027B51">
        <w:t xml:space="preserve">Indigenous </w:t>
      </w:r>
      <w:r>
        <w:t>peoples</w:t>
      </w:r>
      <w:r w:rsidR="00B01C0D">
        <w:t xml:space="preserve"> </w:t>
      </w:r>
      <w:r>
        <w:t>since</w:t>
      </w:r>
      <w:r w:rsidR="00B01C0D">
        <w:t xml:space="preserve"> </w:t>
      </w:r>
      <w:r w:rsidR="00027B51">
        <w:t>the nineteenth century</w:t>
      </w:r>
      <w:r w:rsidR="00F841F6">
        <w:t>.</w:t>
      </w:r>
      <w:r w:rsidR="009C2B40">
        <w:rPr>
          <w:rStyle w:val="FootnoteReference"/>
        </w:rPr>
        <w:footnoteReference w:id="2"/>
      </w:r>
      <w:r w:rsidR="00F841F6">
        <w:t xml:space="preserve"> </w:t>
      </w:r>
      <w:r w:rsidR="001860E6">
        <w:t xml:space="preserve">Some </w:t>
      </w:r>
      <w:r w:rsidR="004C624C">
        <w:t xml:space="preserve">of these claims </w:t>
      </w:r>
      <w:r w:rsidR="001860E6">
        <w:t xml:space="preserve">have been </w:t>
      </w:r>
      <w:r w:rsidR="004C624C">
        <w:t xml:space="preserve">successful: </w:t>
      </w:r>
      <w:r w:rsidR="001860E6">
        <w:t xml:space="preserve">the British Museum in </w:t>
      </w:r>
      <w:r w:rsidR="00596FBC">
        <w:t>England</w:t>
      </w:r>
      <w:r w:rsidR="001860E6">
        <w:t xml:space="preserve"> has repatriated more than a hundred sets of remains</w:t>
      </w:r>
      <w:r w:rsidR="00596FBC">
        <w:t>.</w:t>
      </w:r>
      <w:r w:rsidR="001860E6">
        <w:rPr>
          <w:rStyle w:val="FootnoteReference"/>
        </w:rPr>
        <w:footnoteReference w:id="3"/>
      </w:r>
      <w:r w:rsidR="001860E6">
        <w:t xml:space="preserve"> German museums repatriated 45 remains to Australia</w:t>
      </w:r>
      <w:r w:rsidR="00596FBC" w:rsidRPr="00596FBC">
        <w:t xml:space="preserve"> </w:t>
      </w:r>
      <w:r w:rsidR="00596FBC">
        <w:t>in November 2019</w:t>
      </w:r>
      <w:r w:rsidR="001860E6">
        <w:t>.</w:t>
      </w:r>
      <w:r w:rsidR="001860E6" w:rsidRPr="710DF024">
        <w:rPr>
          <w:rStyle w:val="FootnoteReference"/>
        </w:rPr>
        <w:footnoteReference w:id="4"/>
      </w:r>
      <w:r w:rsidR="004C624C">
        <w:t xml:space="preserve"> </w:t>
      </w:r>
      <w:r w:rsidR="001860E6">
        <w:t xml:space="preserve">In </w:t>
      </w:r>
      <w:r w:rsidR="002D3D45">
        <w:t>contrast</w:t>
      </w:r>
      <w:r w:rsidR="001860E6">
        <w:t>,</w:t>
      </w:r>
      <w:r w:rsidR="002D3D45">
        <w:t xml:space="preserve"> i</w:t>
      </w:r>
      <w:r w:rsidR="004C624C">
        <w:t xml:space="preserve">n the last 20 years, French </w:t>
      </w:r>
      <w:r w:rsidR="002D3D45">
        <w:t xml:space="preserve">accredited </w:t>
      </w:r>
      <w:r w:rsidR="004C624C">
        <w:t xml:space="preserve">museums have repatriated the remains of two individuals and 21 Mokomokai </w:t>
      </w:r>
      <w:r w:rsidR="00596FBC">
        <w:t>that are</w:t>
      </w:r>
      <w:r w:rsidR="004C624C">
        <w:t xml:space="preserve"> Maori tattooed and shrunk heads. A collaboration </w:t>
      </w:r>
      <w:r w:rsidR="00596FBC">
        <w:t xml:space="preserve">to discuss the repatriation of Aboriginal remains </w:t>
      </w:r>
      <w:r w:rsidR="004C624C">
        <w:t>between France and Australia</w:t>
      </w:r>
      <w:r w:rsidR="00596FBC">
        <w:t xml:space="preserve"> </w:t>
      </w:r>
      <w:r w:rsidR="004C624C">
        <w:t>was announced in 2014,</w:t>
      </w:r>
      <w:r w:rsidR="002D3D45">
        <w:t xml:space="preserve"> but</w:t>
      </w:r>
      <w:r w:rsidR="004C624C">
        <w:t xml:space="preserve"> has not yet been followed up.</w:t>
      </w:r>
      <w:r w:rsidR="004C624C">
        <w:rPr>
          <w:rStyle w:val="FootnoteReference"/>
        </w:rPr>
        <w:footnoteReference w:id="5"/>
      </w:r>
      <w:r w:rsidR="004C624C">
        <w:t xml:space="preserve"> </w:t>
      </w:r>
      <w:r w:rsidR="0038578E">
        <w:t>Another promise has been made to repatriate remains of Algerian soldiers killed at the end of the 19</w:t>
      </w:r>
      <w:r w:rsidR="0038578E" w:rsidRPr="002D3D45">
        <w:rPr>
          <w:vertAlign w:val="superscript"/>
        </w:rPr>
        <w:t>th</w:t>
      </w:r>
      <w:r w:rsidR="0038578E">
        <w:t xml:space="preserve"> century and whose remains are currently held in the Museum of Natural History</w:t>
      </w:r>
      <w:r w:rsidR="00596FBC" w:rsidRPr="00596FBC">
        <w:t xml:space="preserve"> </w:t>
      </w:r>
      <w:r w:rsidR="00596FBC">
        <w:t>and research is taking place to identify those remains</w:t>
      </w:r>
      <w:r w:rsidR="0038578E">
        <w:t>.</w:t>
      </w:r>
      <w:r w:rsidR="0038578E" w:rsidRPr="710DF024">
        <w:rPr>
          <w:rStyle w:val="FootnoteReference"/>
        </w:rPr>
        <w:footnoteReference w:id="6"/>
      </w:r>
      <w:r w:rsidR="00822AEE">
        <w:t xml:space="preserve"> Indeed, </w:t>
      </w:r>
      <w:r w:rsidR="00596FBC">
        <w:t xml:space="preserve">an important </w:t>
      </w:r>
      <w:r w:rsidR="00822AEE">
        <w:t>practical obstacle to repatriation is</w:t>
      </w:r>
      <w:r w:rsidR="00822AEE" w:rsidRPr="003F1013">
        <w:t xml:space="preserve"> the</w:t>
      </w:r>
      <w:r w:rsidR="00596FBC">
        <w:t>ir</w:t>
      </w:r>
      <w:r w:rsidR="00822AEE">
        <w:t xml:space="preserve"> correct</w:t>
      </w:r>
      <w:r w:rsidR="00822AEE" w:rsidRPr="003F1013">
        <w:t xml:space="preserve"> identification</w:t>
      </w:r>
      <w:r w:rsidR="00822AEE">
        <w:t>. S</w:t>
      </w:r>
      <w:r w:rsidR="00822AEE" w:rsidRPr="003F1013">
        <w:t xml:space="preserve">ome skeletal remains were separated from their contexts when initially taken for sale or exhibition purposes, existing reports are inadequate </w:t>
      </w:r>
      <w:r w:rsidR="00822AEE">
        <w:t>and do not refer</w:t>
      </w:r>
      <w:r w:rsidR="00822AEE" w:rsidRPr="003F1013">
        <w:t xml:space="preserve"> to </w:t>
      </w:r>
      <w:r w:rsidR="00822AEE">
        <w:t xml:space="preserve">the provenance, </w:t>
      </w:r>
      <w:r w:rsidR="00822AEE" w:rsidRPr="003F1013">
        <w:t xml:space="preserve">context or </w:t>
      </w:r>
      <w:r w:rsidR="00822AEE">
        <w:t xml:space="preserve">original </w:t>
      </w:r>
      <w:r w:rsidR="00822AEE">
        <w:lastRenderedPageBreak/>
        <w:t>Indigenous Peoples</w:t>
      </w:r>
      <w:r w:rsidR="00822AEE" w:rsidRPr="003F1013">
        <w:t xml:space="preserve">, </w:t>
      </w:r>
      <w:r w:rsidR="00596FBC">
        <w:t xml:space="preserve">and </w:t>
      </w:r>
      <w:r w:rsidR="00822AEE" w:rsidRPr="003F1013">
        <w:t xml:space="preserve">different museums might identify different </w:t>
      </w:r>
      <w:r w:rsidR="00822AEE">
        <w:t>Indigenous Peoples</w:t>
      </w:r>
      <w:r w:rsidR="00822AEE" w:rsidRPr="003F1013">
        <w:t xml:space="preserve"> as the rightful </w:t>
      </w:r>
      <w:r w:rsidR="00822AEE">
        <w:t>holder of the remains</w:t>
      </w:r>
      <w:r w:rsidR="00822AEE" w:rsidRPr="003F1013">
        <w:t>.</w:t>
      </w:r>
      <w:r w:rsidR="00822AEE" w:rsidRPr="003F1013">
        <w:rPr>
          <w:rStyle w:val="FootnoteReference"/>
        </w:rPr>
        <w:footnoteReference w:id="7"/>
      </w:r>
      <w:r w:rsidR="00822AEE">
        <w:t xml:space="preserve"> Hence, there might be a complete lack of information on the whereabouts of the remains as is the case with King Toera’s that have not yet been identified despite research undertaken in the archives of the Museum of Natural History in 2008 and 2012.</w:t>
      </w:r>
      <w:r w:rsidR="00822AEE" w:rsidRPr="71772AF6">
        <w:rPr>
          <w:rStyle w:val="FootnoteReference"/>
        </w:rPr>
        <w:footnoteReference w:id="8"/>
      </w:r>
      <w:r w:rsidR="00822AEE">
        <w:t xml:space="preserve"> Notwithstanding </w:t>
      </w:r>
      <w:r w:rsidR="0038578E">
        <w:t>the</w:t>
      </w:r>
      <w:r w:rsidR="00596FBC">
        <w:t>se</w:t>
      </w:r>
      <w:r w:rsidR="0038578E">
        <w:t xml:space="preserve"> practical difficulties</w:t>
      </w:r>
      <w:r w:rsidR="00596FBC">
        <w:t xml:space="preserve">, </w:t>
      </w:r>
      <w:r w:rsidR="0038578E">
        <w:t xml:space="preserve">the main </w:t>
      </w:r>
      <w:r w:rsidR="00596FBC">
        <w:t>obstacle</w:t>
      </w:r>
      <w:r w:rsidR="0038578E">
        <w:t xml:space="preserve"> is the lack of clear policy and guidance regarding the process of repatriation which the </w:t>
      </w:r>
      <w:r w:rsidR="710DF024">
        <w:t xml:space="preserve">Savoy Sarr </w:t>
      </w:r>
      <w:r w:rsidR="00F841F6">
        <w:t>Report</w:t>
      </w:r>
      <w:r w:rsidR="0038578E">
        <w:t xml:space="preserve">, with its </w:t>
      </w:r>
      <w:r w:rsidR="001860E6">
        <w:t>focus</w:t>
      </w:r>
      <w:r w:rsidR="0038578E">
        <w:t xml:space="preserve"> </w:t>
      </w:r>
      <w:r w:rsidR="001860E6">
        <w:t xml:space="preserve">on </w:t>
      </w:r>
      <w:r w:rsidR="00BC4A7E">
        <w:t>African</w:t>
      </w:r>
      <w:r w:rsidR="001860E6">
        <w:t xml:space="preserve"> artefacts</w:t>
      </w:r>
      <w:r w:rsidR="0038578E">
        <w:t>, highlighted again</w:t>
      </w:r>
      <w:r w:rsidR="0013362D">
        <w:t>.</w:t>
      </w:r>
      <w:r w:rsidR="00670584">
        <w:rPr>
          <w:rStyle w:val="FootnoteReference"/>
        </w:rPr>
        <w:footnoteReference w:id="9"/>
      </w:r>
      <w:r w:rsidR="002D3D45">
        <w:t xml:space="preserve"> </w:t>
      </w:r>
    </w:p>
    <w:p w:rsidR="003C2016" w:rsidRDefault="003C2016" w:rsidP="003C2016">
      <w:pPr>
        <w:spacing w:before="240" w:line="240" w:lineRule="auto"/>
      </w:pPr>
      <w:r>
        <w:t>The advantages of repatriation</w:t>
      </w:r>
      <w:r w:rsidR="00BC0D56">
        <w:t xml:space="preserve"> of human remains</w:t>
      </w:r>
      <w:r>
        <w:t xml:space="preserve"> are</w:t>
      </w:r>
      <w:r w:rsidRPr="003C2016">
        <w:t xml:space="preserve"> now well established </w:t>
      </w:r>
      <w:r>
        <w:t>by</w:t>
      </w:r>
      <w:r w:rsidRPr="003C2016">
        <w:t xml:space="preserve"> a variety of studies</w:t>
      </w:r>
      <w:r>
        <w:t xml:space="preserve">. Firstly, it addresses the wrongs of a scientific classification of races/the colonized as less advanced, less human, less civilized that supported the narrative of the superiority of the European colonizer over the peoples living in these “newly found/discovered” lands, as illustrated by the cases of Saartje Baartman and Vamaica Peru. These studies are now disowned but the remnants of these classifications are displayed in our museums. </w:t>
      </w:r>
      <w:r w:rsidR="00596FBC">
        <w:t>Secondly, r</w:t>
      </w:r>
      <w:r>
        <w:t>epatriation contributes to the re-humanisation of remains that are no longer exhibited objects but traces of people who once lived.</w:t>
      </w:r>
      <w:r>
        <w:rPr>
          <w:rStyle w:val="FootnoteReference"/>
        </w:rPr>
        <w:footnoteReference w:id="10"/>
      </w:r>
      <w:r>
        <w:t xml:space="preserve"> This re-humanization also heals communities and exorcize the past sometimes in conjunction with the descendants of grave-robbers.</w:t>
      </w:r>
      <w:r>
        <w:rPr>
          <w:rStyle w:val="FootnoteReference"/>
        </w:rPr>
        <w:footnoteReference w:id="11"/>
      </w:r>
      <w:r w:rsidRPr="00783ECB">
        <w:t xml:space="preserve"> It </w:t>
      </w:r>
      <w:r>
        <w:t xml:space="preserve">gives an opportunity for </w:t>
      </w:r>
      <w:r w:rsidRPr="002E0424">
        <w:t>closure to the traditional custodians and relatives of the deceased,</w:t>
      </w:r>
      <w:r>
        <w:t xml:space="preserve"> and </w:t>
      </w:r>
      <w:r w:rsidRPr="002E0424">
        <w:t>provid</w:t>
      </w:r>
      <w:r>
        <w:t>es</w:t>
      </w:r>
      <w:r w:rsidRPr="002E0424">
        <w:t xml:space="preserve"> for the spiritual and cultural needs to properly bury the dead whose spirit is not at rest</w:t>
      </w:r>
      <w:r>
        <w:t>.</w:t>
      </w:r>
      <w:r>
        <w:rPr>
          <w:rStyle w:val="FootnoteReference"/>
        </w:rPr>
        <w:footnoteReference w:id="12"/>
      </w:r>
      <w:r>
        <w:t xml:space="preserve"> Next, repatriation contributes to the safeguarding of cultural identity. The righting of a wrong, the repatriation of the remains of an Elder to its community, mends the psychological and physical consequences of the loss.</w:t>
      </w:r>
      <w:r>
        <w:rPr>
          <w:rStyle w:val="FootnoteReference"/>
        </w:rPr>
        <w:footnoteReference w:id="13"/>
      </w:r>
      <w:r>
        <w:t xml:space="preserve"> It can lead to a cultural revival for the communities, </w:t>
      </w:r>
      <w:r w:rsidRPr="002E0424">
        <w:t>better cohesion</w:t>
      </w:r>
      <w:r>
        <w:t xml:space="preserve"> and a sense that injustices have been resolved. This wrong is acutely felt as human remains are a sui generis category of cultural heritage that are “spiritually alive.”</w:t>
      </w:r>
      <w:r w:rsidRPr="71772AF6">
        <w:rPr>
          <w:rStyle w:val="FootnoteReference"/>
        </w:rPr>
        <w:footnoteReference w:id="14"/>
      </w:r>
      <w:r>
        <w:t xml:space="preserve"> Finally, it improves collaboration and discussion between museums and communities, it </w:t>
      </w:r>
      <w:r w:rsidRPr="00EC1551">
        <w:t>encourage</w:t>
      </w:r>
      <w:r>
        <w:t>s</w:t>
      </w:r>
      <w:r w:rsidRPr="00EC1551">
        <w:t xml:space="preserve"> intercultural understanding and oblige</w:t>
      </w:r>
      <w:r>
        <w:t>s</w:t>
      </w:r>
      <w:r w:rsidRPr="00EC1551">
        <w:t xml:space="preserve"> museums to communicate with</w:t>
      </w:r>
      <w:r>
        <w:t xml:space="preserve"> Indigenous Peoples and can </w:t>
      </w:r>
      <w:r>
        <w:lastRenderedPageBreak/>
        <w:t>foster new exchanges, as was the case between France and New Zealand after the repatriation of the Mokomokai.</w:t>
      </w:r>
      <w:r>
        <w:rPr>
          <w:rStyle w:val="FootnoteReference"/>
        </w:rPr>
        <w:footnoteReference w:id="15"/>
      </w:r>
      <w:r>
        <w:t xml:space="preserve"> </w:t>
      </w:r>
    </w:p>
    <w:p w:rsidR="00596FBC" w:rsidRPr="00B11DB2" w:rsidRDefault="00596FBC" w:rsidP="003C2016">
      <w:pPr>
        <w:spacing w:before="240" w:line="240" w:lineRule="auto"/>
      </w:pPr>
    </w:p>
    <w:p w:rsidR="004C624C" w:rsidRDefault="003C2016" w:rsidP="001D2C9C">
      <w:pPr>
        <w:spacing w:line="240" w:lineRule="auto"/>
      </w:pPr>
      <w:r>
        <w:t>In contrast, a</w:t>
      </w:r>
      <w:r w:rsidR="004C624C">
        <w:t>rguments against repatriation</w:t>
      </w:r>
      <w:r w:rsidR="00BC0D56">
        <w:t xml:space="preserve"> of human remains</w:t>
      </w:r>
      <w:r w:rsidR="004C624C">
        <w:t xml:space="preserve"> </w:t>
      </w:r>
      <w:r w:rsidR="00C1083E">
        <w:t>rely on</w:t>
      </w:r>
      <w:r w:rsidR="00BC0D56">
        <w:t xml:space="preserve"> two main arguments:</w:t>
      </w:r>
      <w:r w:rsidR="004C624C">
        <w:t xml:space="preserve"> the</w:t>
      </w:r>
      <w:r w:rsidR="001860E6">
        <w:t xml:space="preserve"> </w:t>
      </w:r>
      <w:r w:rsidR="00C1083E">
        <w:t xml:space="preserve">role </w:t>
      </w:r>
      <w:r w:rsidR="001860E6">
        <w:t xml:space="preserve">of museums as protector of </w:t>
      </w:r>
      <w:r w:rsidR="00C1083E">
        <w:t>Mankind’s</w:t>
      </w:r>
      <w:r w:rsidR="004C624C">
        <w:t xml:space="preserve"> </w:t>
      </w:r>
      <w:r w:rsidR="00BC0D56">
        <w:t>History</w:t>
      </w:r>
      <w:r w:rsidR="001860E6">
        <w:t xml:space="preserve"> and the universality of scientific knowledge derived from the study of human remains.</w:t>
      </w:r>
      <w:r w:rsidR="00C1083E">
        <w:rPr>
          <w:rStyle w:val="FootnoteReference"/>
        </w:rPr>
        <w:footnoteReference w:id="16"/>
      </w:r>
      <w:r w:rsidR="001860E6">
        <w:t xml:space="preserve"> Thus, museums become the guardians of samples from which data is extracted</w:t>
      </w:r>
      <w:r w:rsidR="00596FBC">
        <w:t xml:space="preserve"> for the purpose of Knowledge</w:t>
      </w:r>
      <w:r w:rsidR="001860E6">
        <w:t>. A strong proponent of this position was John Merryman who defined the terms cultural nationalists and cultural internationalist</w:t>
      </w:r>
      <w:r w:rsidR="00C1083E">
        <w:t>.</w:t>
      </w:r>
      <w:r w:rsidR="001860E6">
        <w:rPr>
          <w:rStyle w:val="FootnoteReference"/>
        </w:rPr>
        <w:footnoteReference w:id="17"/>
      </w:r>
      <w:r w:rsidR="001860E6">
        <w:t xml:space="preserve"> More recently, Tiffany Jenkins has </w:t>
      </w:r>
      <w:r w:rsidR="001860E6" w:rsidRPr="08FC9826">
        <w:t>dr</w:t>
      </w:r>
      <w:r w:rsidR="001860E6">
        <w:t>awn on</w:t>
      </w:r>
      <w:r w:rsidR="001860E6" w:rsidRPr="08FC9826">
        <w:t xml:space="preserve"> Merryman</w:t>
      </w:r>
      <w:r w:rsidR="001860E6">
        <w:t>’s position to argue that museums’ foundational purpose is “to extend our knowledge of past people and their lives” and that, therefore, they should keep their treasures, including human remains.</w:t>
      </w:r>
      <w:r w:rsidR="001860E6">
        <w:rPr>
          <w:rStyle w:val="FootnoteReference"/>
        </w:rPr>
        <w:footnoteReference w:id="18"/>
      </w:r>
      <w:r w:rsidR="004C624C">
        <w:t xml:space="preserve"> </w:t>
      </w:r>
      <w:r w:rsidR="00C1083E">
        <w:t xml:space="preserve">Hence, repatriation is presented </w:t>
      </w:r>
      <w:r w:rsidR="00BC0D56">
        <w:t xml:space="preserve">as an issue of </w:t>
      </w:r>
      <w:r w:rsidR="00596FBC">
        <w:t>exclusivity, us/museums against them/claimants</w:t>
      </w:r>
      <w:r w:rsidR="00BC0D56">
        <w:t xml:space="preserve">, an all or nothing approach where the interest of </w:t>
      </w:r>
      <w:r w:rsidR="00596FBC">
        <w:t>Human</w:t>
      </w:r>
      <w:r w:rsidR="00BC0D56">
        <w:t>kind</w:t>
      </w:r>
      <w:r w:rsidR="00596FBC">
        <w:t>/History/Knowledge</w:t>
      </w:r>
      <w:r w:rsidR="00BC0D56">
        <w:t xml:space="preserve"> supersede the interest of communities</w:t>
      </w:r>
      <w:r w:rsidR="00596FBC">
        <w:t xml:space="preserve"> but does not question who defines these interests and on whose interests they are defined</w:t>
      </w:r>
      <w:r w:rsidR="00BC0D56">
        <w:t xml:space="preserve">. This approach is </w:t>
      </w:r>
      <w:r w:rsidR="00596FBC">
        <w:t xml:space="preserve">also </w:t>
      </w:r>
      <w:r w:rsidR="00BC0D56">
        <w:t>in contradiction with several international instruments.</w:t>
      </w:r>
    </w:p>
    <w:p w:rsidR="004C624C" w:rsidRDefault="004C624C" w:rsidP="001D2C9C">
      <w:pPr>
        <w:spacing w:line="240" w:lineRule="auto"/>
      </w:pPr>
    </w:p>
    <w:p w:rsidR="004C624C" w:rsidRDefault="00C1083E" w:rsidP="004C624C">
      <w:pPr>
        <w:spacing w:line="240" w:lineRule="auto"/>
      </w:pPr>
      <w:r>
        <w:t>S</w:t>
      </w:r>
      <w:r w:rsidR="004C624C">
        <w:t xml:space="preserve">everal international instruments have recognised the particular status of human remains and their close relationship with human rights as well as </w:t>
      </w:r>
      <w:r w:rsidR="004C624C" w:rsidRPr="00CD5736">
        <w:t xml:space="preserve">the significance of </w:t>
      </w:r>
      <w:r w:rsidR="004C624C">
        <w:t>culture and heritage</w:t>
      </w:r>
      <w:r w:rsidR="004C624C" w:rsidRPr="00CD5736">
        <w:t xml:space="preserve"> </w:t>
      </w:r>
      <w:r w:rsidR="004C624C">
        <w:t xml:space="preserve">for </w:t>
      </w:r>
      <w:r w:rsidR="004C624C" w:rsidRPr="00CD5736">
        <w:t>indigenous peoples</w:t>
      </w:r>
      <w:r w:rsidR="004C624C">
        <w:t xml:space="preserve"> who</w:t>
      </w:r>
      <w:r w:rsidR="004C624C" w:rsidRPr="00CD5736">
        <w:t xml:space="preserve"> </w:t>
      </w:r>
      <w:r w:rsidR="004C624C">
        <w:t>“</w:t>
      </w:r>
      <w:r w:rsidR="004C624C" w:rsidRPr="00CD5736">
        <w:t>have a right to have the objects that are essential for the preservation of their own cult</w:t>
      </w:r>
      <w:r w:rsidR="004C624C">
        <w:t>ural identity returned to them.”</w:t>
      </w:r>
      <w:r w:rsidR="004C624C">
        <w:rPr>
          <w:rStyle w:val="FootnoteReference"/>
        </w:rPr>
        <w:footnoteReference w:id="19"/>
      </w:r>
      <w:r w:rsidR="004C624C">
        <w:t xml:space="preserve"> Article 27 of the </w:t>
      </w:r>
      <w:r w:rsidR="004C624C" w:rsidRPr="00F16C1D">
        <w:t>International Covenant on Civil and Political Rights</w:t>
      </w:r>
      <w:r w:rsidR="004C624C">
        <w:t>,</w:t>
      </w:r>
      <w:r w:rsidR="004C624C">
        <w:rPr>
          <w:rStyle w:val="FootnoteReference"/>
        </w:rPr>
        <w:footnoteReference w:id="20"/>
      </w:r>
      <w:r w:rsidR="004C624C">
        <w:t xml:space="preserve"> and Article 15 of the </w:t>
      </w:r>
      <w:r w:rsidR="004C624C" w:rsidRPr="00F16C1D">
        <w:t>International Covenant on Economic, Social and Cultural Rights</w:t>
      </w:r>
      <w:r w:rsidR="004C624C" w:rsidRPr="001344B8">
        <w:t xml:space="preserve"> </w:t>
      </w:r>
      <w:r w:rsidR="004C624C">
        <w:t>have recognised a s</w:t>
      </w:r>
      <w:r w:rsidR="004C624C" w:rsidRPr="00CD5736">
        <w:t>trong link between the preservation of the cultural identity of a community and their effective enjoyment</w:t>
      </w:r>
      <w:r w:rsidR="004C624C">
        <w:t xml:space="preserve"> of human rights.</w:t>
      </w:r>
      <w:r w:rsidR="004C624C">
        <w:rPr>
          <w:rStyle w:val="FootnoteReference"/>
        </w:rPr>
        <w:footnoteReference w:id="21"/>
      </w:r>
      <w:r w:rsidR="004C624C">
        <w:t xml:space="preserve"> </w:t>
      </w:r>
      <w:r w:rsidR="00E67451">
        <w:t>An important step</w:t>
      </w:r>
      <w:r w:rsidR="004C624C">
        <w:t xml:space="preserve"> in the recognition of a strong link between cultural heritage and peoples by the international community is the 1982 Mexico City Declaration on Cultural Policies.</w:t>
      </w:r>
      <w:r w:rsidR="004C624C">
        <w:rPr>
          <w:rStyle w:val="FootnoteReference"/>
        </w:rPr>
        <w:footnoteReference w:id="22"/>
      </w:r>
      <w:r w:rsidR="004C624C">
        <w:t xml:space="preserve"> The association between </w:t>
      </w:r>
      <w:r>
        <w:t>the</w:t>
      </w:r>
      <w:r w:rsidR="004C624C">
        <w:t xml:space="preserve"> protect</w:t>
      </w:r>
      <w:r>
        <w:t>ion of</w:t>
      </w:r>
      <w:r w:rsidR="004C624C">
        <w:t xml:space="preserve"> tangible and intangible heritage of </w:t>
      </w:r>
      <w:r>
        <w:t>communities</w:t>
      </w:r>
      <w:r w:rsidR="004C624C">
        <w:t xml:space="preserve"> is</w:t>
      </w:r>
      <w:r w:rsidR="00E67451">
        <w:t xml:space="preserve"> </w:t>
      </w:r>
      <w:r w:rsidR="004C624C">
        <w:t xml:space="preserve">found in the 2003 </w:t>
      </w:r>
      <w:r w:rsidR="004C624C" w:rsidRPr="00F16C1D">
        <w:t>Convention for the Safeguarding of the Intangible Cultural Heritage</w:t>
      </w:r>
      <w:r w:rsidR="004C624C">
        <w:t>,</w:t>
      </w:r>
      <w:r w:rsidR="004C624C">
        <w:rPr>
          <w:rStyle w:val="FootnoteReference"/>
        </w:rPr>
        <w:footnoteReference w:id="23"/>
      </w:r>
      <w:r w:rsidR="004C624C">
        <w:t xml:space="preserve"> and the 2005 </w:t>
      </w:r>
      <w:r w:rsidR="004C624C">
        <w:rPr>
          <w:rFonts w:cs="Arial"/>
          <w:color w:val="333333"/>
        </w:rPr>
        <w:t xml:space="preserve">on the Protection and Promotion of the Diversity of Cultural </w:t>
      </w:r>
      <w:r w:rsidR="004C624C">
        <w:rPr>
          <w:rFonts w:cs="Arial"/>
          <w:color w:val="333333"/>
        </w:rPr>
        <w:lastRenderedPageBreak/>
        <w:t>Expressions</w:t>
      </w:r>
      <w:r w:rsidR="004C624C">
        <w:t>.</w:t>
      </w:r>
      <w:r w:rsidR="004C624C" w:rsidRPr="710DF024">
        <w:rPr>
          <w:rStyle w:val="FootnoteReference"/>
        </w:rPr>
        <w:footnoteReference w:id="24"/>
      </w:r>
      <w:r w:rsidR="004C624C">
        <w:t xml:space="preserve"> The interconnection between human rights and cultural identity, in particular of Indigenous peoples, has been underlined by the Human Right Committee,</w:t>
      </w:r>
      <w:r w:rsidR="004C624C">
        <w:rPr>
          <w:rStyle w:val="FootnoteReference"/>
        </w:rPr>
        <w:footnoteReference w:id="25"/>
      </w:r>
      <w:r w:rsidR="004C624C">
        <w:t xml:space="preserve"> the  Committee of the Rights of the Child,</w:t>
      </w:r>
      <w:r w:rsidR="004C624C">
        <w:rPr>
          <w:rStyle w:val="FootnoteReference"/>
        </w:rPr>
        <w:footnoteReference w:id="26"/>
      </w:r>
      <w:r w:rsidR="004C624C">
        <w:t xml:space="preserve"> the Committee on the Elimination of Racial Discrimination,</w:t>
      </w:r>
      <w:r w:rsidR="004C624C">
        <w:rPr>
          <w:rStyle w:val="FootnoteReference"/>
        </w:rPr>
        <w:footnoteReference w:id="27"/>
      </w:r>
      <w:r w:rsidR="004C624C">
        <w:t>and the Committee on Economic, Social and Cultural Rights</w:t>
      </w:r>
      <w:r w:rsidR="00E67451">
        <w:t>.</w:t>
      </w:r>
      <w:r w:rsidR="004C624C">
        <w:rPr>
          <w:rStyle w:val="FootnoteReference"/>
        </w:rPr>
        <w:footnoteReference w:id="28"/>
      </w:r>
      <w:r w:rsidR="004C624C">
        <w:t xml:space="preserve"> Finally, Article 12</w:t>
      </w:r>
      <w:r w:rsidR="004C624C" w:rsidRPr="00CD5736">
        <w:t>(2)</w:t>
      </w:r>
      <w:r w:rsidR="004C624C">
        <w:t xml:space="preserve"> of the United Nations Declaration on the Rights of Indigenous People provides positive measures to allow </w:t>
      </w:r>
      <w:r w:rsidR="002D3D45">
        <w:t>Indigenous Peoples</w:t>
      </w:r>
      <w:r w:rsidR="004C624C">
        <w:t xml:space="preserve"> to claim for the repatriation of cultural objects and human remains.</w:t>
      </w:r>
      <w:r w:rsidR="004C624C">
        <w:rPr>
          <w:rStyle w:val="FootnoteReference"/>
        </w:rPr>
        <w:footnoteReference w:id="29"/>
      </w:r>
      <w:r w:rsidR="004C624C">
        <w:t xml:space="preserve"> It states </w:t>
      </w:r>
      <w:r w:rsidR="004C624C" w:rsidRPr="00CD5736">
        <w:t xml:space="preserve">that </w:t>
      </w:r>
      <w:r w:rsidR="004C624C">
        <w:t>“</w:t>
      </w:r>
      <w:r w:rsidR="004C624C" w:rsidRPr="00CD5736">
        <w:t>states shall seek to enable the access and/or repatriation of ceremonial objects and human remains in their possession through fair, transparent and effective mechanisms developed in conjunction with indigenous peoples concerned</w:t>
      </w:r>
      <w:r w:rsidR="004C624C">
        <w:t>”</w:t>
      </w:r>
      <w:r w:rsidR="004C624C" w:rsidRPr="00CD5736">
        <w:t xml:space="preserve">. </w:t>
      </w:r>
    </w:p>
    <w:p w:rsidR="004C624C" w:rsidRDefault="004C624C" w:rsidP="004C624C">
      <w:pPr>
        <w:spacing w:line="240" w:lineRule="auto"/>
      </w:pPr>
    </w:p>
    <w:p w:rsidR="004C624C" w:rsidRDefault="00E67451" w:rsidP="004C624C">
      <w:pPr>
        <w:spacing w:line="240" w:lineRule="auto"/>
        <w:rPr>
          <w:color w:val="000000" w:themeColor="text1"/>
          <w:lang w:eastAsia="en-GB"/>
        </w:rPr>
      </w:pPr>
      <w:r>
        <w:t>The principles of these instruments are embodied in different co</w:t>
      </w:r>
      <w:r w:rsidR="004C624C">
        <w:t>des of practice</w:t>
      </w:r>
      <w:r w:rsidR="00C1083E">
        <w:t xml:space="preserve">. </w:t>
      </w:r>
      <w:r w:rsidR="004C624C">
        <w:t xml:space="preserve">The ICOM Code of Practice </w:t>
      </w:r>
      <w:r>
        <w:t>recognises the importance of human remains in the management of museum collection, promotes dialogue between museums and communities, encourages museums to exhibit remains with decency and respect for the believes of different communities, requires museums to address requests for the removal from public display of human remains or material of sacred significance from the originating communities with respect and sensitivity</w:t>
      </w:r>
      <w:r w:rsidRPr="00E67451">
        <w:t xml:space="preserve"> </w:t>
      </w:r>
      <w:r>
        <w:t xml:space="preserve">(Article 4-4), </w:t>
      </w:r>
      <w:r w:rsidR="004C624C">
        <w:t>provides that museums should cooperate to repatriate remains exported or transferred in violation of the principles of international and national conventions when the remains are part of the country or people’s cultural heritage</w:t>
      </w:r>
      <w:r w:rsidR="004C624C" w:rsidRPr="0020665B">
        <w:t xml:space="preserve"> </w:t>
      </w:r>
      <w:r w:rsidR="004C624C">
        <w:t xml:space="preserve">(Article 6-3). This is particularly relevant for requests for the repatriation of human remains that were taken during colonisation, more often than not, without the consent of the family or the community. The Vermillion Accord on Human Remains, adopted by the World Archaeological Congress (WAC) in 1989 following a suggestion by the International Law Association’s Committee on Cultural Heritage Law, encourages archaeologists and scientists to consult with and to demonstrate the value of the research to </w:t>
      </w:r>
      <w:r w:rsidR="002D3D45">
        <w:t>Indigenous Peoples</w:t>
      </w:r>
      <w:r w:rsidR="004C624C">
        <w:t xml:space="preserve"> prior to undertaking research on human remains.</w:t>
      </w:r>
      <w:r w:rsidR="004C624C">
        <w:rPr>
          <w:rStyle w:val="FootnoteReference"/>
        </w:rPr>
        <w:footnoteReference w:id="30"/>
      </w:r>
      <w:r w:rsidR="004C624C">
        <w:t xml:space="preserve"> The agreement has six provisions that emphasise the importance of respect and consent for research, display and the future of the remains.</w:t>
      </w:r>
      <w:r w:rsidR="004C624C" w:rsidRPr="00804CB0">
        <w:t xml:space="preserve"> </w:t>
      </w:r>
      <w:r w:rsidR="004C624C">
        <w:t>The Tamaki Makau-rau Accord on the Display of Human Remains and Sacred Objects, adopted in 2006,</w:t>
      </w:r>
      <w:r w:rsidR="004C624C">
        <w:rPr>
          <w:rStyle w:val="FootnoteReference"/>
        </w:rPr>
        <w:footnoteReference w:id="31"/>
      </w:r>
      <w:r w:rsidR="004C624C">
        <w:t xml:space="preserve"> endorses six principles for the display of human remains based on consent, respect and dignity. Finally, </w:t>
      </w:r>
      <w:r w:rsidR="004C624C" w:rsidRPr="00A5160E">
        <w:rPr>
          <w:color w:val="000000" w:themeColor="text1"/>
          <w:lang w:eastAsia="en-GB"/>
        </w:rPr>
        <w:t xml:space="preserve">the Mataatua Declaration on Cultural and Intellectual Property Rights of Indigenous Peoples, adopted in New Zealand in 1993, goes further as it clearly states that </w:t>
      </w:r>
      <w:r w:rsidR="004C624C">
        <w:rPr>
          <w:color w:val="000000" w:themeColor="text1"/>
          <w:lang w:eastAsia="en-GB"/>
        </w:rPr>
        <w:t>“</w:t>
      </w:r>
      <w:r w:rsidR="004C624C" w:rsidRPr="00A5160E">
        <w:rPr>
          <w:color w:val="000000" w:themeColor="text1"/>
          <w:lang w:eastAsia="en-GB"/>
        </w:rPr>
        <w:t xml:space="preserve">[a]ll </w:t>
      </w:r>
      <w:r w:rsidR="004C624C" w:rsidRPr="00A5160E">
        <w:rPr>
          <w:color w:val="000000" w:themeColor="text1"/>
          <w:lang w:eastAsia="en-GB"/>
        </w:rPr>
        <w:lastRenderedPageBreak/>
        <w:t>human remains and burial objects of indigenous peoples held by museums and other institutions must be returned to their traditional areas in a culturally appropriate manner</w:t>
      </w:r>
      <w:r w:rsidR="004C624C">
        <w:rPr>
          <w:color w:val="000000" w:themeColor="text1"/>
          <w:lang w:eastAsia="en-GB"/>
        </w:rPr>
        <w:t>”</w:t>
      </w:r>
      <w:r w:rsidR="004C624C" w:rsidRPr="00A5160E">
        <w:rPr>
          <w:color w:val="000000" w:themeColor="text1"/>
          <w:lang w:eastAsia="en-GB"/>
        </w:rPr>
        <w:t xml:space="preserve"> (para 2.12)</w:t>
      </w:r>
      <w:r w:rsidR="004C624C">
        <w:rPr>
          <w:color w:val="000000" w:themeColor="text1"/>
          <w:lang w:eastAsia="en-GB"/>
        </w:rPr>
        <w:t>.</w:t>
      </w:r>
      <w:r w:rsidR="004C624C" w:rsidRPr="710DF024">
        <w:rPr>
          <w:rStyle w:val="FootnoteReference"/>
          <w:color w:val="000000" w:themeColor="text1"/>
          <w:lang w:eastAsia="en-GB"/>
        </w:rPr>
        <w:footnoteReference w:id="32"/>
      </w:r>
      <w:r w:rsidR="004C624C">
        <w:rPr>
          <w:color w:val="000000" w:themeColor="text1"/>
          <w:lang w:eastAsia="en-GB"/>
        </w:rPr>
        <w:t xml:space="preserve"> All these instruments, hard or soft, concur to the recognition of the importance of human remains for Indigenous people</w:t>
      </w:r>
      <w:r>
        <w:rPr>
          <w:color w:val="000000" w:themeColor="text1"/>
          <w:lang w:eastAsia="en-GB"/>
        </w:rPr>
        <w:t xml:space="preserve"> and that repatriation should occur</w:t>
      </w:r>
      <w:r w:rsidR="00421B7C">
        <w:rPr>
          <w:color w:val="000000" w:themeColor="text1"/>
          <w:lang w:eastAsia="en-GB"/>
        </w:rPr>
        <w:t>.</w:t>
      </w:r>
      <w:r w:rsidR="004C624C">
        <w:rPr>
          <w:color w:val="000000" w:themeColor="text1"/>
          <w:lang w:eastAsia="en-GB"/>
        </w:rPr>
        <w:t xml:space="preserve"> </w:t>
      </w:r>
    </w:p>
    <w:p w:rsidR="71772AF6" w:rsidRDefault="004C624C" w:rsidP="00E67451">
      <w:pPr>
        <w:spacing w:before="240" w:line="240" w:lineRule="auto"/>
      </w:pPr>
      <w:r>
        <w:t xml:space="preserve">Treating </w:t>
      </w:r>
      <w:r w:rsidR="00601D5E">
        <w:t xml:space="preserve">communities of origin </w:t>
      </w:r>
      <w:r>
        <w:t xml:space="preserve">with dignity requires to have an open process whereby they can request the repatriation of their </w:t>
      </w:r>
      <w:r w:rsidR="008B59DE">
        <w:t>Ancestors</w:t>
      </w:r>
      <w:r>
        <w:t xml:space="preserve">’ remains, which is far from being the case in France. The practice of repatriation has created opacity and inequality of treatment between </w:t>
      </w:r>
      <w:r w:rsidR="00601D5E">
        <w:t>Indigenous Peoples</w:t>
      </w:r>
      <w:r>
        <w:t>, Maoris and non-Maoris</w:t>
      </w:r>
      <w:r w:rsidR="00601D5E">
        <w:t>,</w:t>
      </w:r>
      <w:r>
        <w:t xml:space="preserve"> in violation of the international instruments mentioned above. </w:t>
      </w:r>
      <w:r w:rsidR="00E67451">
        <w:t xml:space="preserve">Thus, this </w:t>
      </w:r>
      <w:r w:rsidR="00BC0D56">
        <w:t>article</w:t>
      </w:r>
      <w:r w:rsidR="003C2016" w:rsidRPr="003C2016">
        <w:t xml:space="preserve"> aims to contribute to th</w:t>
      </w:r>
      <w:r w:rsidR="00601D5E">
        <w:t>e</w:t>
      </w:r>
      <w:r w:rsidR="003C2016" w:rsidRPr="003C2016">
        <w:t xml:space="preserve"> growing </w:t>
      </w:r>
      <w:r w:rsidR="00BC0D56">
        <w:t>debate</w:t>
      </w:r>
      <w:r w:rsidR="003C2016">
        <w:t xml:space="preserve"> on repatriation</w:t>
      </w:r>
      <w:r w:rsidR="003C2016" w:rsidRPr="003C2016">
        <w:t xml:space="preserve"> by exploring</w:t>
      </w:r>
      <w:r w:rsidR="00601D5E">
        <w:t xml:space="preserve"> </w:t>
      </w:r>
      <w:r w:rsidR="00BC0D56">
        <w:t xml:space="preserve">France’s (lack of) </w:t>
      </w:r>
      <w:r w:rsidR="00601D5E">
        <w:t xml:space="preserve">practice in the last 20 years. There is a sense of urgency </w:t>
      </w:r>
      <w:r w:rsidR="00154863">
        <w:t>with this issue following the publi</w:t>
      </w:r>
      <w:r w:rsidR="00E67451">
        <w:t>cation of the Savoy Sarr report</w:t>
      </w:r>
      <w:r w:rsidR="00154863">
        <w:t>.</w:t>
      </w:r>
      <w:r w:rsidR="00601D5E">
        <w:t xml:space="preserve"> Firstly, the three cases of repatriation are </w:t>
      </w:r>
      <w:r w:rsidR="00E67451">
        <w:t>set in the context of the</w:t>
      </w:r>
      <w:r w:rsidR="00601D5E">
        <w:t xml:space="preserve"> discussion on repatriation.</w:t>
      </w:r>
      <w:r w:rsidR="00601D5E">
        <w:rPr>
          <w:rStyle w:val="FootnoteReference"/>
        </w:rPr>
        <w:footnoteReference w:id="33"/>
      </w:r>
      <w:r w:rsidR="00601D5E">
        <w:t xml:space="preserve"> Secondly, </w:t>
      </w:r>
      <w:r w:rsidR="00E67451">
        <w:t xml:space="preserve">the article </w:t>
      </w:r>
      <w:r w:rsidR="00601D5E">
        <w:t xml:space="preserve">will analyse how the heritagization of remains has led to their reification, to their transmutation into artefacts that can be owned by collectors, institutions or museums. Thirdly, </w:t>
      </w:r>
      <w:r w:rsidR="00E67451">
        <w:t xml:space="preserve">it </w:t>
      </w:r>
      <w:r w:rsidR="00601D5E">
        <w:t xml:space="preserve">will discuss the lack of </w:t>
      </w:r>
      <w:bookmarkStart w:id="1" w:name="_GoBack"/>
      <w:bookmarkEnd w:id="1"/>
      <w:r w:rsidR="00601D5E">
        <w:t xml:space="preserve">engagement of the </w:t>
      </w:r>
      <w:r w:rsidR="00601D5E">
        <w:rPr>
          <w:i/>
        </w:rPr>
        <w:t>Commission Nationale des Collections</w:t>
      </w:r>
      <w:r w:rsidR="00601D5E">
        <w:t xml:space="preserve"> created by statute in 2002 and which purpose</w:t>
      </w:r>
      <w:r w:rsidR="00822AEE">
        <w:t>, amongst many,</w:t>
      </w:r>
      <w:r w:rsidR="00601D5E">
        <w:t xml:space="preserve"> was to address </w:t>
      </w:r>
      <w:r w:rsidR="00E67451">
        <w:t xml:space="preserve">the issue of </w:t>
      </w:r>
      <w:r w:rsidR="00601D5E">
        <w:t xml:space="preserve">repatriation. This will be done by drawing on parliamentary debates and parliamentary reports. Finally, the article will critically assess the different criteria that have been put forward to allow for the </w:t>
      </w:r>
      <w:r w:rsidR="00822AEE">
        <w:t>de-accession</w:t>
      </w:r>
      <w:r w:rsidR="00601D5E">
        <w:t xml:space="preserve"> of human remains</w:t>
      </w:r>
      <w:r w:rsidR="00822AEE">
        <w:t xml:space="preserve"> or to put in differently, their re-humanization</w:t>
      </w:r>
      <w:r w:rsidR="00601D5E">
        <w:t>.</w:t>
      </w:r>
      <w:r w:rsidR="00E67451">
        <w:t xml:space="preserve"> </w:t>
      </w:r>
      <w:r w:rsidR="00601D5E">
        <w:t xml:space="preserve">   </w:t>
      </w:r>
    </w:p>
    <w:p w:rsidR="00162A1F" w:rsidRDefault="00162A1F" w:rsidP="001D2C9C">
      <w:pPr>
        <w:spacing w:line="240" w:lineRule="auto"/>
      </w:pPr>
    </w:p>
    <w:p w:rsidR="00FA3760" w:rsidRDefault="00F841F6" w:rsidP="001D2C9C">
      <w:pPr>
        <w:pStyle w:val="Heading2"/>
        <w:spacing w:line="240" w:lineRule="auto"/>
      </w:pPr>
      <w:r>
        <w:t xml:space="preserve">Three </w:t>
      </w:r>
      <w:r w:rsidR="00FA3760">
        <w:t>cases</w:t>
      </w:r>
      <w:r>
        <w:t xml:space="preserve"> of repatriation </w:t>
      </w:r>
    </w:p>
    <w:p w:rsidR="00EA0D34" w:rsidRDefault="00154863" w:rsidP="00EA0D34">
      <w:pPr>
        <w:spacing w:line="240" w:lineRule="auto"/>
      </w:pPr>
      <w:r>
        <w:t>Since 2002, there has only been three cases of repatriation of human remains following different models: the repatriation of Saartje Baartman to South Africa in 2002, the repatriation of the Mokomoaki to New Zealand in 2010</w:t>
      </w:r>
      <w:r w:rsidR="00E67451">
        <w:t>, both statutory repatriation</w:t>
      </w:r>
      <w:r>
        <w:t xml:space="preserve"> and the rarely mentioned case of Vamaicu Peru whose remains were repatriated to Uruguay in 2002 and which is the only case of repatriation by a</w:t>
      </w:r>
      <w:r w:rsidR="00822AEE">
        <w:t>n accredited</w:t>
      </w:r>
      <w:r>
        <w:t xml:space="preserve"> museum following an administrative process.</w:t>
      </w:r>
      <w:r w:rsidR="00EA0D34">
        <w:t xml:space="preserve"> </w:t>
      </w:r>
    </w:p>
    <w:p w:rsidR="00154863" w:rsidRPr="00154863" w:rsidRDefault="00154863" w:rsidP="00154863"/>
    <w:p w:rsidR="00FA3760" w:rsidRPr="00765A25" w:rsidRDefault="00FA3760" w:rsidP="001D2C9C">
      <w:pPr>
        <w:pStyle w:val="Heading3"/>
        <w:spacing w:line="240" w:lineRule="auto"/>
      </w:pPr>
      <w:r>
        <w:lastRenderedPageBreak/>
        <w:t>Saartje Baartman</w:t>
      </w:r>
    </w:p>
    <w:p w:rsidR="00FA3760" w:rsidRDefault="00FA3760" w:rsidP="001D2C9C">
      <w:pPr>
        <w:spacing w:line="240" w:lineRule="auto"/>
      </w:pPr>
      <w:r w:rsidRPr="003F1013">
        <w:t>Saartjie Baartman was born in South Africa in 1789 under the occupation of the Boers, her mother was from a Bochiman tribe and her father from the Hottentots tribe. From her birth, she was submitted to the oppression of the colonizer, her first name was in Dutch, Saartjie (Sarah), as was the tradition then; her surname was Baartman (</w:t>
      </w:r>
      <w:r>
        <w:t>“</w:t>
      </w:r>
      <w:r w:rsidRPr="003F1013">
        <w:t>bearded</w:t>
      </w:r>
      <w:r>
        <w:t>”</w:t>
      </w:r>
      <w:r w:rsidRPr="003F1013">
        <w:t xml:space="preserve"> in Dutch), which was given to her by Alexander Dunlop when he took her to London in 1810.</w:t>
      </w:r>
      <w:r w:rsidRPr="003F1013">
        <w:rPr>
          <w:rStyle w:val="FootnoteReference"/>
          <w:color w:val="000000"/>
        </w:rPr>
        <w:footnoteReference w:id="34"/>
      </w:r>
      <w:r w:rsidRPr="003F1013">
        <w:t xml:space="preserve"> She was exhibited in a human zoo because </w:t>
      </w:r>
      <w:r>
        <w:t>of her race</w:t>
      </w:r>
      <w:r w:rsidRPr="003F1013">
        <w:t xml:space="preserve">, </w:t>
      </w:r>
      <w:r>
        <w:t>her</w:t>
      </w:r>
      <w:r w:rsidRPr="003F1013">
        <w:t xml:space="preserve"> small stature and </w:t>
      </w:r>
      <w:r>
        <w:t>her</w:t>
      </w:r>
      <w:r w:rsidRPr="003F1013">
        <w:t xml:space="preserve"> steatopygia which is an accumulation of large amounts of fat on the buttocks. In 1814, she was sold to a Frenchman who exhibited her in Paris under the name </w:t>
      </w:r>
      <w:r>
        <w:t>“</w:t>
      </w:r>
      <w:r w:rsidRPr="710DF024">
        <w:rPr>
          <w:i/>
          <w:iCs/>
        </w:rPr>
        <w:t>Vénus hottentote</w:t>
      </w:r>
      <w:r>
        <w:t>”</w:t>
      </w:r>
      <w:r w:rsidRPr="003F1013">
        <w:t>.</w:t>
      </w:r>
      <w:r>
        <w:rPr>
          <w:rStyle w:val="FootnoteReference"/>
        </w:rPr>
        <w:footnoteReference w:id="35"/>
      </w:r>
      <w:r w:rsidRPr="003F1013">
        <w:t xml:space="preserve"> She died of pneumonia two years later and her body was transported to the Museum of Natural History at the request of </w:t>
      </w:r>
      <w:r>
        <w:t xml:space="preserve">Georges Cuvier who </w:t>
      </w:r>
      <w:r w:rsidRPr="003F1013">
        <w:t xml:space="preserve">moulded her entire body in plaster before dissecting it and extracting her skeleton which was soon after exhibited in the Museum and from 1937 in the </w:t>
      </w:r>
      <w:r w:rsidRPr="710DF024">
        <w:rPr>
          <w:i/>
          <w:iCs/>
        </w:rPr>
        <w:t>Musée de l’Homme</w:t>
      </w:r>
      <w:r w:rsidRPr="003F1013">
        <w:t>. Her remains</w:t>
      </w:r>
      <w:r>
        <w:t xml:space="preserve"> were used</w:t>
      </w:r>
      <w:r w:rsidRPr="003F1013">
        <w:t xml:space="preserve"> as evidence of the superiority of the white race; </w:t>
      </w:r>
      <w:r>
        <w:t>theories nowadays disowned.</w:t>
      </w:r>
      <w:r>
        <w:rPr>
          <w:rStyle w:val="FootnoteReference"/>
        </w:rPr>
        <w:footnoteReference w:id="36"/>
      </w:r>
      <w:r>
        <w:t xml:space="preserve"> </w:t>
      </w:r>
      <w:r w:rsidRPr="003F1013">
        <w:t xml:space="preserve">In 1994, François Mitterrand (then President of France) promised Nelson Mandela (then President of South Africa) </w:t>
      </w:r>
      <w:r>
        <w:t>to repatriate</w:t>
      </w:r>
      <w:r w:rsidRPr="003F1013">
        <w:t xml:space="preserve"> Saartjie Baartman to her native country.</w:t>
      </w:r>
      <w:r w:rsidRPr="003F1013">
        <w:rPr>
          <w:rStyle w:val="FootnoteReference"/>
        </w:rPr>
        <w:footnoteReference w:id="37"/>
      </w:r>
      <w:r w:rsidRPr="003F1013">
        <w:t xml:space="preserve"> Unfortunately, the </w:t>
      </w:r>
      <w:r w:rsidRPr="710DF024">
        <w:rPr>
          <w:i/>
          <w:iCs/>
        </w:rPr>
        <w:t>Musée de l’Homme</w:t>
      </w:r>
      <w:r w:rsidRPr="003F1013">
        <w:t xml:space="preserve"> did not follow up on this promise and delayed the decision to return her remains</w:t>
      </w:r>
      <w:r>
        <w:t xml:space="preserve"> because of </w:t>
      </w:r>
      <w:r w:rsidRPr="003F1013">
        <w:t>a strong opposition from museum curators.</w:t>
      </w:r>
      <w:r w:rsidRPr="003F1013">
        <w:rPr>
          <w:rStyle w:val="FootnoteReference"/>
        </w:rPr>
        <w:footnoteReference w:id="38"/>
      </w:r>
      <w:r w:rsidRPr="003F1013">
        <w:t xml:space="preserve"> Finally, Nicolas About</w:t>
      </w:r>
      <w:r w:rsidR="00154863" w:rsidRPr="00154863">
        <w:t xml:space="preserve"> </w:t>
      </w:r>
      <w:r w:rsidR="00154863" w:rsidRPr="003F1013">
        <w:t>MP</w:t>
      </w:r>
      <w:r w:rsidRPr="003F1013">
        <w:t xml:space="preserve"> introduced a private members’ Bil</w:t>
      </w:r>
      <w:r>
        <w:t xml:space="preserve">l </w:t>
      </w:r>
      <w:r w:rsidRPr="003F1013">
        <w:t xml:space="preserve">in 2001, with one article authorising the deaccession of her remains and their </w:t>
      </w:r>
      <w:r>
        <w:t>repatriation</w:t>
      </w:r>
      <w:r w:rsidRPr="003F1013">
        <w:t xml:space="preserve"> to South Africa to be buried. The Statute was enacted on May 4, 2002</w:t>
      </w:r>
      <w:r w:rsidRPr="003F1013">
        <w:rPr>
          <w:rStyle w:val="FootnoteReference"/>
        </w:rPr>
        <w:footnoteReference w:id="39"/>
      </w:r>
      <w:r>
        <w:rPr>
          <w:rStyle w:val="FootnoteReference"/>
        </w:rPr>
        <w:t xml:space="preserve"> </w:t>
      </w:r>
      <w:r w:rsidRPr="003F1013">
        <w:t>and her remains returned to South Africa shortly after.</w:t>
      </w:r>
      <w:r w:rsidRPr="003F1013">
        <w:rPr>
          <w:rStyle w:val="FootnoteReference"/>
        </w:rPr>
        <w:footnoteReference w:id="40"/>
      </w:r>
    </w:p>
    <w:p w:rsidR="00F57706" w:rsidRDefault="00F57706" w:rsidP="001D2C9C">
      <w:pPr>
        <w:spacing w:line="240" w:lineRule="auto"/>
      </w:pPr>
      <w:r>
        <w:t>Saartje Baartman’s</w:t>
      </w:r>
      <w:r w:rsidRPr="003F1013">
        <w:t xml:space="preserve"> repatriation was presented as an act of generosity by the French state </w:t>
      </w:r>
      <w:r w:rsidR="00DD7187">
        <w:t>as well as</w:t>
      </w:r>
      <w:r w:rsidRPr="003F1013">
        <w:t xml:space="preserve"> repentance for the objectification of different races and their display in human z</w:t>
      </w:r>
      <w:r w:rsidR="00154863">
        <w:t xml:space="preserve">oos. </w:t>
      </w:r>
      <w:r w:rsidR="00154863" w:rsidRPr="00DD7187">
        <w:t xml:space="preserve">In parliamentary debates, </w:t>
      </w:r>
      <w:r w:rsidR="00DD7187" w:rsidRPr="00DD7187">
        <w:t>Schwartze</w:t>
      </w:r>
      <w:r w:rsidR="00D627D5">
        <w:t>n</w:t>
      </w:r>
      <w:r w:rsidR="00DD7187" w:rsidRPr="00DD7187">
        <w:t>berg</w:t>
      </w:r>
      <w:r w:rsidR="00D627D5">
        <w:t>, Secretary of State for Research,</w:t>
      </w:r>
      <w:r w:rsidR="00E70D0F">
        <w:t xml:space="preserve"> </w:t>
      </w:r>
      <w:r w:rsidR="00DD7187" w:rsidRPr="00DD7187">
        <w:t>stated that it was time to</w:t>
      </w:r>
      <w:r w:rsidR="00E70D0F">
        <w:t xml:space="preserve"> treat her remains with decency and to finally give her justice for the sexism and racism that she endured while alive.</w:t>
      </w:r>
      <w:r w:rsidR="00DD7187">
        <w:rPr>
          <w:rStyle w:val="FootnoteReference"/>
          <w:lang w:val="fr-FR"/>
        </w:rPr>
        <w:footnoteReference w:id="41"/>
      </w:r>
      <w:r w:rsidR="00E70D0F">
        <w:t xml:space="preserve"> He also m</w:t>
      </w:r>
      <w:r w:rsidRPr="003F1013">
        <w:t xml:space="preserve">entioned three important dates in French constitutional history: the Revolutions of </w:t>
      </w:r>
      <w:r w:rsidRPr="003F1013">
        <w:lastRenderedPageBreak/>
        <w:t xml:space="preserve">1789 and 1848 that enshrined the moto </w:t>
      </w:r>
      <w:r>
        <w:t>“</w:t>
      </w:r>
      <w:r w:rsidRPr="710DF024">
        <w:rPr>
          <w:i/>
          <w:iCs/>
        </w:rPr>
        <w:t>Liberté, Égalité, Fraternité</w:t>
      </w:r>
      <w:r>
        <w:rPr>
          <w:i/>
          <w:iCs/>
        </w:rPr>
        <w:t>”</w:t>
      </w:r>
      <w:r w:rsidRPr="003F1013">
        <w:t xml:space="preserve"> (freedom, equality, brotherhood) and 1946 (the year of the constitution of the Fourth Republic after Nazi occupation and World War 2) and described France as a </w:t>
      </w:r>
      <w:r>
        <w:t>“</w:t>
      </w:r>
      <w:r w:rsidRPr="003F1013">
        <w:t>democratic and free</w:t>
      </w:r>
      <w:r>
        <w:t>”</w:t>
      </w:r>
      <w:r w:rsidRPr="003F1013">
        <w:t xml:space="preserve"> state that recognized the liberation of South Africa from Apartheid;</w:t>
      </w:r>
      <w:r w:rsidR="00D627D5">
        <w:rPr>
          <w:rStyle w:val="FootnoteReference"/>
        </w:rPr>
        <w:footnoteReference w:id="42"/>
      </w:r>
      <w:r w:rsidRPr="003F1013">
        <w:t xml:space="preserve"> hence by agreeing to repatriate Saartjie Baartman’s remains, the French republic honoured the principles of liberty, equality and fraternity between people. Moudelino’s analysis</w:t>
      </w:r>
      <w:r w:rsidR="00F648B6">
        <w:t xml:space="preserve"> of the last section of the debates</w:t>
      </w:r>
      <w:r w:rsidRPr="003F1013">
        <w:t xml:space="preserve"> is pertinent: </w:t>
      </w:r>
    </w:p>
    <w:p w:rsidR="00F57706" w:rsidRDefault="00F57706" w:rsidP="001D2C9C">
      <w:pPr>
        <w:spacing w:line="240" w:lineRule="auto"/>
        <w:ind w:left="1440"/>
      </w:pPr>
      <w:r>
        <w:t>“</w:t>
      </w:r>
      <w:r w:rsidRPr="003F1013">
        <w:t>the return of Baartman’s remains comes to symbolize an act of true French Republican generosity, analogous to the abolition of slavery (as the reference to Schoelcher suggests), to the defence by Zola of Dreyfus (the French Jewish soldier falsely accused and convicted of treason in 1894), and even to the Revolution itself, all within a broader framework structured around a longer history of Enlightment and the defence of Human Rights.</w:t>
      </w:r>
      <w:r>
        <w:t>”</w:t>
      </w:r>
      <w:r w:rsidRPr="003F1013">
        <w:rPr>
          <w:rStyle w:val="FootnoteReference"/>
        </w:rPr>
        <w:footnoteReference w:id="43"/>
      </w:r>
      <w:r w:rsidRPr="003F1013">
        <w:t xml:space="preserve"> </w:t>
      </w:r>
    </w:p>
    <w:p w:rsidR="009433D9" w:rsidRDefault="009433D9" w:rsidP="001D2C9C">
      <w:pPr>
        <w:spacing w:line="240" w:lineRule="auto"/>
      </w:pPr>
      <w:r>
        <w:t>Hence, parliamentary debate</w:t>
      </w:r>
      <w:r w:rsidR="00F648B6">
        <w:t>s</w:t>
      </w:r>
      <w:r>
        <w:t xml:space="preserve"> show that this </w:t>
      </w:r>
      <w:r w:rsidR="00244BBC">
        <w:t xml:space="preserve">repatriation was </w:t>
      </w:r>
      <w:r w:rsidR="001C3D86" w:rsidRPr="003F1013">
        <w:t>a political act</w:t>
      </w:r>
      <w:r w:rsidR="001C3D86">
        <w:t xml:space="preserve"> rather than </w:t>
      </w:r>
      <w:r w:rsidR="001C3D86" w:rsidRPr="003F1013">
        <w:t xml:space="preserve">a general policy for the </w:t>
      </w:r>
      <w:r w:rsidR="001C3D86">
        <w:t>repatriation</w:t>
      </w:r>
      <w:r w:rsidR="001C3D86" w:rsidRPr="003F1013">
        <w:t xml:space="preserve"> of human remains.</w:t>
      </w:r>
      <w:r w:rsidR="001C3D86" w:rsidRPr="003F1013">
        <w:rPr>
          <w:rStyle w:val="FootnoteReference"/>
        </w:rPr>
        <w:footnoteReference w:id="44"/>
      </w:r>
      <w:r w:rsidR="001C3D86" w:rsidRPr="003F1013">
        <w:t xml:space="preserve"> </w:t>
      </w:r>
      <w:r>
        <w:t>However, concomitantly to this discussion, a</w:t>
      </w:r>
      <w:r w:rsidR="00E70D0F">
        <w:t xml:space="preserve"> long</w:t>
      </w:r>
      <w:r>
        <w:t xml:space="preserve"> awaited reform on museum management was finally adopted. This major reform acknowledged the need to deaccess some objects in order to improve collection management and set up the </w:t>
      </w:r>
      <w:r w:rsidRPr="00E70D0F">
        <w:rPr>
          <w:i/>
        </w:rPr>
        <w:t>Commission</w:t>
      </w:r>
      <w:r w:rsidRPr="710DF024">
        <w:rPr>
          <w:i/>
          <w:iCs/>
        </w:rPr>
        <w:t xml:space="preserve"> Scientifique Nationale des Collections</w:t>
      </w:r>
      <w:r>
        <w:t xml:space="preserve"> (thereafter Commission) whose mission was to oversee such process.</w:t>
      </w:r>
      <w:r w:rsidRPr="009433D9">
        <w:rPr>
          <w:rStyle w:val="FootnoteReference"/>
        </w:rPr>
        <w:t xml:space="preserve"> </w:t>
      </w:r>
      <w:r>
        <w:rPr>
          <w:rStyle w:val="FootnoteReference"/>
        </w:rPr>
        <w:footnoteReference w:id="45"/>
      </w:r>
      <w:r>
        <w:t xml:space="preserve"> It </w:t>
      </w:r>
      <w:r w:rsidR="00B06079">
        <w:t>is however remarking to note how easily MPs focuses</w:t>
      </w:r>
      <w:r w:rsidR="00B06079" w:rsidRPr="00B06079">
        <w:t xml:space="preserve"> </w:t>
      </w:r>
      <w:r w:rsidR="00B06079">
        <w:t>exclusively on the repatriation of Saartje Baartam’s remains to the exclusion of remains of other people who had similar experiences.</w:t>
      </w:r>
    </w:p>
    <w:p w:rsidR="00FA3760" w:rsidRDefault="00F57706" w:rsidP="001D2C9C">
      <w:pPr>
        <w:pStyle w:val="Heading3"/>
        <w:spacing w:line="240" w:lineRule="auto"/>
      </w:pPr>
      <w:r>
        <w:t xml:space="preserve"> </w:t>
      </w:r>
      <w:r w:rsidR="00FA3760">
        <w:t>Vamaica Peru</w:t>
      </w:r>
    </w:p>
    <w:p w:rsidR="00FA3760" w:rsidRDefault="00FA3760" w:rsidP="001D2C9C">
      <w:pPr>
        <w:spacing w:line="240" w:lineRule="auto"/>
      </w:pPr>
      <w:r>
        <w:t>Concomitantly to the much-publicised repatriation of the remains of Saartje Baartman to South Africa, the remains of Vamaica Peru</w:t>
      </w:r>
      <w:r w:rsidR="001C3D86">
        <w:t xml:space="preserve"> were repatriated</w:t>
      </w:r>
      <w:r>
        <w:t xml:space="preserve"> to Uruguay</w:t>
      </w:r>
      <w:r w:rsidR="00154863" w:rsidRPr="00154863">
        <w:t xml:space="preserve"> </w:t>
      </w:r>
      <w:r w:rsidR="00154863">
        <w:t>in 2002</w:t>
      </w:r>
      <w:r>
        <w:t xml:space="preserve">. The circumstances of the </w:t>
      </w:r>
      <w:r w:rsidR="00154863">
        <w:t xml:space="preserve">collection </w:t>
      </w:r>
      <w:r>
        <w:t xml:space="preserve">and </w:t>
      </w:r>
      <w:r w:rsidR="00154863">
        <w:t xml:space="preserve">display </w:t>
      </w:r>
      <w:r>
        <w:t>of the remains bear similarities to the case of Saartje Baartman. Vamaica Peru and three members of his tribe, the Charruas, were made prisoner</w:t>
      </w:r>
      <w:r w:rsidR="001C3D86">
        <w:t>s</w:t>
      </w:r>
      <w:r>
        <w:t xml:space="preserve"> following the war of </w:t>
      </w:r>
      <w:r w:rsidR="001C3D86">
        <w:t>Independence</w:t>
      </w:r>
      <w:r>
        <w:t xml:space="preserve">. They had been bought to be exhibited </w:t>
      </w:r>
      <w:r w:rsidR="001C3D86">
        <w:t xml:space="preserve">in human zoos </w:t>
      </w:r>
      <w:r>
        <w:t xml:space="preserve">and arrived in France in 1831/32 where they should have been “studied” by Georges Cuvier, had </w:t>
      </w:r>
      <w:r w:rsidR="001C3D86">
        <w:t>he</w:t>
      </w:r>
      <w:r>
        <w:t xml:space="preserve"> not passed away a few weeks before their arrival.</w:t>
      </w:r>
      <w:r>
        <w:rPr>
          <w:rStyle w:val="FootnoteReference"/>
        </w:rPr>
        <w:footnoteReference w:id="46"/>
      </w:r>
      <w:r>
        <w:t xml:space="preserve"> After Vamaica Peru’s death in 1833, his corpse was dissected and his remains were kept in the Natural History Museum for 200 years.</w:t>
      </w:r>
      <w:r>
        <w:rPr>
          <w:rStyle w:val="FootnoteReference"/>
        </w:rPr>
        <w:footnoteReference w:id="47"/>
      </w:r>
      <w:r>
        <w:t xml:space="preserve"> The decision to repatriate his remains was made by the Museums with the approval of the Secretary of </w:t>
      </w:r>
      <w:r>
        <w:lastRenderedPageBreak/>
        <w:t>State for Research following the legal framework in force at the time.</w:t>
      </w:r>
      <w:r w:rsidR="00F648B6">
        <w:rPr>
          <w:rStyle w:val="FootnoteReference"/>
        </w:rPr>
        <w:footnoteReference w:id="48"/>
      </w:r>
      <w:r w:rsidR="001C3D86">
        <w:t xml:space="preserve"> </w:t>
      </w:r>
      <w:r w:rsidR="00822AEE">
        <w:t xml:space="preserve">Hence, this case shows that museums could have engaged more widely with repatriation if they had the will to do so. </w:t>
      </w:r>
    </w:p>
    <w:p w:rsidR="00B54062" w:rsidRDefault="00277D61" w:rsidP="001D2C9C">
      <w:pPr>
        <w:spacing w:line="240" w:lineRule="auto"/>
      </w:pPr>
      <w:r>
        <w:t xml:space="preserve">The weakness of such an approach is the lack of </w:t>
      </w:r>
      <w:r w:rsidR="00B54062" w:rsidRPr="00B06079">
        <w:t xml:space="preserve">public debate </w:t>
      </w:r>
      <w:r>
        <w:t>surrounding the</w:t>
      </w:r>
      <w:r w:rsidR="00B54062" w:rsidRPr="00B06079">
        <w:t xml:space="preserve"> decision</w:t>
      </w:r>
      <w:r>
        <w:t xml:space="preserve"> making process</w:t>
      </w:r>
      <w:r w:rsidR="00B54062" w:rsidRPr="00B06079">
        <w:t xml:space="preserve">. </w:t>
      </w:r>
      <w:r>
        <w:t xml:space="preserve">The consequence is that this process </w:t>
      </w:r>
      <w:r w:rsidR="00B54062" w:rsidRPr="00B06079">
        <w:t xml:space="preserve">does not </w:t>
      </w:r>
      <w:r>
        <w:t xml:space="preserve">contribute to the definition of </w:t>
      </w:r>
      <w:r w:rsidR="00B54062" w:rsidRPr="00B06079">
        <w:t>a wider policy framework</w:t>
      </w:r>
      <w:r>
        <w:t xml:space="preserve">  on repatriation which then leads to further opacity and discrimination in identifying which remains will be repatriated or not.</w:t>
      </w:r>
      <w:r w:rsidR="00B54062" w:rsidRPr="00B06079">
        <w:t xml:space="preserve"> </w:t>
      </w:r>
    </w:p>
    <w:p w:rsidR="00FA3760" w:rsidRDefault="00FA3760" w:rsidP="001D2C9C">
      <w:pPr>
        <w:pStyle w:val="Heading3"/>
        <w:spacing w:line="240" w:lineRule="auto"/>
      </w:pPr>
      <w:r>
        <w:t>The Mokomokai</w:t>
      </w:r>
    </w:p>
    <w:p w:rsidR="00FA3760" w:rsidRDefault="00FA3760" w:rsidP="001D2C9C">
      <w:pPr>
        <w:spacing w:line="240" w:lineRule="auto"/>
      </w:pPr>
      <w:r w:rsidRPr="003F1013">
        <w:t xml:space="preserve">The story </w:t>
      </w:r>
      <w:r>
        <w:t xml:space="preserve">of the repatriation of the 21 </w:t>
      </w:r>
      <w:r w:rsidRPr="003F1013">
        <w:t>Maori preserved tattooed head</w:t>
      </w:r>
      <w:r>
        <w:t>,</w:t>
      </w:r>
      <w:r w:rsidRPr="003F1013">
        <w:t xml:space="preserve"> Mokomokai </w:t>
      </w:r>
      <w:r>
        <w:t xml:space="preserve">or Toi Moko, started with </w:t>
      </w:r>
      <w:r w:rsidR="006F1D0D">
        <w:t xml:space="preserve">the </w:t>
      </w:r>
      <w:r>
        <w:t>one</w:t>
      </w:r>
      <w:r w:rsidRPr="003F1013">
        <w:t xml:space="preserve"> in possession of the Museum of Rouen</w:t>
      </w:r>
      <w:r>
        <w:t xml:space="preserve"> in 2007.</w:t>
      </w:r>
      <w:r w:rsidR="007419D2">
        <w:rPr>
          <w:rStyle w:val="FootnoteReference"/>
        </w:rPr>
        <w:footnoteReference w:id="49"/>
      </w:r>
      <w:r>
        <w:t xml:space="preserve"> </w:t>
      </w:r>
      <w:r w:rsidR="00154863">
        <w:t xml:space="preserve">It </w:t>
      </w:r>
      <w:r w:rsidRPr="003F1013">
        <w:t>unfold</w:t>
      </w:r>
      <w:r w:rsidR="00154863">
        <w:t>s</w:t>
      </w:r>
      <w:r w:rsidRPr="003F1013">
        <w:t xml:space="preserve"> as follows: a man named Drouet came in its possession in the 19</w:t>
      </w:r>
      <w:r w:rsidRPr="003F1013">
        <w:rPr>
          <w:vertAlign w:val="superscript"/>
        </w:rPr>
        <w:t>th</w:t>
      </w:r>
      <w:r w:rsidRPr="003F1013">
        <w:t xml:space="preserve"> century under unknown circumstances when trafficking was fierce as </w:t>
      </w:r>
      <w:r w:rsidR="006F1D0D">
        <w:t>Mokomokai</w:t>
      </w:r>
      <w:r w:rsidRPr="003F1013">
        <w:t xml:space="preserve"> were collected by Europeans to exhibit in their </w:t>
      </w:r>
      <w:r w:rsidRPr="710DF024">
        <w:rPr>
          <w:i/>
          <w:iCs/>
        </w:rPr>
        <w:t>cabinets de curiosités</w:t>
      </w:r>
      <w:r w:rsidRPr="003F1013">
        <w:t xml:space="preserve">. Drouet bequeathed it to the museum of Rouen in 1875 where it was exhibited until 1996 when the museum closed for refurbishment. When it was </w:t>
      </w:r>
      <w:r>
        <w:t>“rediscovered”</w:t>
      </w:r>
      <w:r w:rsidRPr="003F1013">
        <w:t xml:space="preserve"> in the storeroom in 2007, Rouen City Council contacted the amb</w:t>
      </w:r>
      <w:r>
        <w:t>assador of New Zealand in Paris</w:t>
      </w:r>
      <w:r w:rsidRPr="003F1013">
        <w:t>.</w:t>
      </w:r>
      <w:r w:rsidRPr="003F1013">
        <w:rPr>
          <w:rStyle w:val="FootnoteReference"/>
        </w:rPr>
        <w:footnoteReference w:id="50"/>
      </w:r>
      <w:r w:rsidRPr="003F1013">
        <w:t xml:space="preserve"> The official decision </w:t>
      </w:r>
      <w:r>
        <w:t>to repatriate</w:t>
      </w:r>
      <w:r w:rsidRPr="003F1013">
        <w:t xml:space="preserve"> the remains was taken by the City Council on the 19</w:t>
      </w:r>
      <w:r w:rsidRPr="003F1013">
        <w:rPr>
          <w:vertAlign w:val="superscript"/>
        </w:rPr>
        <w:t>th</w:t>
      </w:r>
      <w:r w:rsidRPr="003F1013">
        <w:t xml:space="preserve"> of October 2007 and an agreement was signed with the Museum of Te Papa Tongarewa of Wellington to prepare for its reburial.</w:t>
      </w:r>
      <w:r w:rsidRPr="003F1013">
        <w:rPr>
          <w:rStyle w:val="FootnoteReference"/>
        </w:rPr>
        <w:footnoteReference w:id="51"/>
      </w:r>
      <w:r w:rsidRPr="003F1013">
        <w:t xml:space="preserve"> All was well</w:t>
      </w:r>
      <w:r>
        <w:t>,</w:t>
      </w:r>
      <w:r w:rsidRPr="003F1013">
        <w:t xml:space="preserve"> until the Government’s local representative (</w:t>
      </w:r>
      <w:r w:rsidRPr="710DF024">
        <w:rPr>
          <w:i/>
          <w:iCs/>
        </w:rPr>
        <w:t>préfet</w:t>
      </w:r>
      <w:r w:rsidRPr="003F1013">
        <w:t>) applied for judicial review at the demand of the Secretary of State for Culture.</w:t>
      </w:r>
      <w:r w:rsidRPr="003F1013">
        <w:rPr>
          <w:rStyle w:val="FootnoteReference"/>
        </w:rPr>
        <w:footnoteReference w:id="52"/>
      </w:r>
      <w:r w:rsidRPr="003F1013">
        <w:t xml:space="preserve"> In December 2007, the Administrative Tribunal of Rouen voided the Council’s decision and, consequently, the agreement with the Museum of Te Papa Tongarewa, on the ground that the formal process for deaccession of an artefact from a public collection had not been complied with.</w:t>
      </w:r>
      <w:r w:rsidRPr="003F1013">
        <w:rPr>
          <w:rStyle w:val="FootnoteReference"/>
        </w:rPr>
        <w:footnoteReference w:id="53"/>
      </w:r>
      <w:r w:rsidRPr="003F1013">
        <w:t xml:space="preserve"> </w:t>
      </w:r>
      <w:r>
        <w:t>The City Council did not follow the process set up by a 2002 Statute</w:t>
      </w:r>
      <w:r w:rsidR="006F1D0D">
        <w:t xml:space="preserve"> that required the approval of </w:t>
      </w:r>
      <w:r>
        <w:t xml:space="preserve">the </w:t>
      </w:r>
      <w:r w:rsidRPr="006F1D0D">
        <w:rPr>
          <w:i/>
        </w:rPr>
        <w:t>Commission</w:t>
      </w:r>
      <w:r w:rsidR="006F1D0D" w:rsidRPr="006F1D0D">
        <w:rPr>
          <w:i/>
        </w:rPr>
        <w:t xml:space="preserve"> National des Collection</w:t>
      </w:r>
      <w:r>
        <w:t xml:space="preserve"> before agreeing to repatriate the Toko Moko; approval that would no</w:t>
      </w:r>
      <w:r w:rsidR="006F1D0D">
        <w:t>t have been granted because it</w:t>
      </w:r>
      <w:r>
        <w:t xml:space="preserve"> had been bequeathed by Drouet in 1875. </w:t>
      </w:r>
      <w:r w:rsidRPr="003F1013">
        <w:t>Th</w:t>
      </w:r>
      <w:r>
        <w:t xml:space="preserve">e Tribunal's </w:t>
      </w:r>
      <w:r w:rsidRPr="003F1013">
        <w:t>decision was confirmed by the Administrative Court of Appeal of Douai in July 2008.</w:t>
      </w:r>
      <w:r w:rsidRPr="003F1013">
        <w:rPr>
          <w:rStyle w:val="FootnoteReference"/>
        </w:rPr>
        <w:footnoteReference w:id="54"/>
      </w:r>
      <w:r w:rsidRPr="00C73E31">
        <w:rPr>
          <w:rStyle w:val="FootnoteReference"/>
        </w:rPr>
        <w:t xml:space="preserve"> </w:t>
      </w:r>
    </w:p>
    <w:p w:rsidR="00FA3760" w:rsidRDefault="00FA3760" w:rsidP="001D2C9C">
      <w:pPr>
        <w:spacing w:line="240" w:lineRule="auto"/>
      </w:pPr>
    </w:p>
    <w:p w:rsidR="00FA3760" w:rsidRDefault="00FA3760" w:rsidP="001D2C9C">
      <w:pPr>
        <w:spacing w:line="240" w:lineRule="auto"/>
      </w:pPr>
      <w:r>
        <w:t>Concomitantly to the judicial review process, t</w:t>
      </w:r>
      <w:r w:rsidRPr="003F1013">
        <w:t xml:space="preserve">he MP for Rouen, Mrs Morin-Desailly (who was also a city councillor), introduced a private </w:t>
      </w:r>
      <w:r>
        <w:t xml:space="preserve">member’s </w:t>
      </w:r>
      <w:r w:rsidRPr="003F1013">
        <w:t xml:space="preserve">Bill to allow for the deaccession of all </w:t>
      </w:r>
      <w:r>
        <w:t>Maori preserved tattooed head</w:t>
      </w:r>
      <w:r w:rsidRPr="003F1013">
        <w:t xml:space="preserve"> held in accredited museums</w:t>
      </w:r>
      <w:r>
        <w:t>.</w:t>
      </w:r>
      <w:r w:rsidRPr="003F1013">
        <w:rPr>
          <w:rStyle w:val="FootnoteReference"/>
        </w:rPr>
        <w:footnoteReference w:id="55"/>
      </w:r>
      <w:r w:rsidRPr="003F1013">
        <w:t xml:space="preserve"> The Bill, supported by the Government, was later amended to modify the deaccession process of all artefacts held in public museums. The statute was finally enacted on the 18</w:t>
      </w:r>
      <w:r w:rsidRPr="003F1013">
        <w:rPr>
          <w:vertAlign w:val="superscript"/>
        </w:rPr>
        <w:t>th</w:t>
      </w:r>
      <w:r w:rsidRPr="003F1013">
        <w:t xml:space="preserve"> of May 2010, and deaccessed all M</w:t>
      </w:r>
      <w:r w:rsidR="006F1D0D">
        <w:t>okomokai</w:t>
      </w:r>
      <w:r w:rsidRPr="003F1013">
        <w:t xml:space="preserve"> kept in collections of accredited museums</w:t>
      </w:r>
      <w:r>
        <w:t xml:space="preserve"> </w:t>
      </w:r>
      <w:r w:rsidRPr="003F1013">
        <w:t xml:space="preserve">in order </w:t>
      </w:r>
      <w:r>
        <w:t>to repatriate</w:t>
      </w:r>
      <w:r w:rsidRPr="003F1013">
        <w:t xml:space="preserve"> them to their original communities</w:t>
      </w:r>
      <w:r>
        <w:t>, including th</w:t>
      </w:r>
      <w:r w:rsidR="006F1D0D">
        <w:t>ose</w:t>
      </w:r>
      <w:r>
        <w:t xml:space="preserve"> bequeathed to the State</w:t>
      </w:r>
      <w:r w:rsidRPr="003F1013">
        <w:t>.</w:t>
      </w:r>
      <w:r w:rsidRPr="003F1013">
        <w:rPr>
          <w:rStyle w:val="FootnoteReference"/>
        </w:rPr>
        <w:footnoteReference w:id="56"/>
      </w:r>
      <w:r w:rsidRPr="003F1013">
        <w:t xml:space="preserve"> </w:t>
      </w:r>
      <w:r>
        <w:t xml:space="preserve">Rouen’s </w:t>
      </w:r>
      <w:r w:rsidRPr="003F1013">
        <w:t>Mokomokai was returned on May, 9</w:t>
      </w:r>
      <w:r w:rsidRPr="003F1013">
        <w:rPr>
          <w:vertAlign w:val="superscript"/>
        </w:rPr>
        <w:t>th</w:t>
      </w:r>
      <w:r w:rsidRPr="003F1013">
        <w:t xml:space="preserve"> 2011 to New Zealand,</w:t>
      </w:r>
      <w:r>
        <w:t xml:space="preserve"> and others in 2012</w:t>
      </w:r>
      <w:r w:rsidRPr="003F1013">
        <w:t>.</w:t>
      </w:r>
      <w:r w:rsidRPr="003F1013">
        <w:rPr>
          <w:rStyle w:val="FootnoteReference"/>
        </w:rPr>
        <w:footnoteReference w:id="57"/>
      </w:r>
    </w:p>
    <w:p w:rsidR="00FA3760" w:rsidRDefault="00FA3760" w:rsidP="001D2C9C">
      <w:pPr>
        <w:spacing w:line="240" w:lineRule="auto"/>
      </w:pPr>
    </w:p>
    <w:p w:rsidR="00F57706" w:rsidRDefault="00F57706" w:rsidP="001D2C9C">
      <w:pPr>
        <w:spacing w:line="240" w:lineRule="auto"/>
      </w:pPr>
      <w:r>
        <w:t>At a political level, French Parliament was being seen as doing the right thing, MPs adopted the Bill with an overwhelming majority (457 for and 8 against</w:t>
      </w:r>
      <w:r w:rsidRPr="71772AF6">
        <w:rPr>
          <w:rStyle w:val="FootnoteReference"/>
          <w:sz w:val="21"/>
          <w:szCs w:val="21"/>
        </w:rPr>
        <w:footnoteReference w:id="58"/>
      </w:r>
      <w:r>
        <w:t>), and aimed to untarnish France’s reputation after the initial refusal to repatriate the Mokomokai. The statute also had a memorial aspect, MPs talked of a duty to repatriate (</w:t>
      </w:r>
      <w:r w:rsidRPr="710DF024">
        <w:rPr>
          <w:i/>
          <w:iCs/>
        </w:rPr>
        <w:t>veritable devoir</w:t>
      </w:r>
      <w:r>
        <w:t>),</w:t>
      </w:r>
      <w:r w:rsidRPr="71772AF6">
        <w:rPr>
          <w:rStyle w:val="FootnoteReference"/>
          <w:sz w:val="21"/>
          <w:szCs w:val="21"/>
        </w:rPr>
        <w:footnoteReference w:id="59"/>
      </w:r>
      <w:r>
        <w:t xml:space="preserve"> to redress the wrongs of colonialism (many described at great length and in detail the trade of these heads in the 19</w:t>
      </w:r>
      <w:r w:rsidRPr="71772AF6">
        <w:rPr>
          <w:vertAlign w:val="superscript"/>
        </w:rPr>
        <w:t>th</w:t>
      </w:r>
      <w:r>
        <w:t xml:space="preserve"> century), of the need to comply with the principle of human dignity, ethics and respect between cultures of living peoples.</w:t>
      </w:r>
      <w:r w:rsidRPr="71772AF6">
        <w:rPr>
          <w:rStyle w:val="FootnoteReference"/>
          <w:sz w:val="21"/>
          <w:szCs w:val="21"/>
          <w:lang w:val="fr-FR"/>
        </w:rPr>
        <w:footnoteReference w:id="60"/>
      </w:r>
      <w:r>
        <w:t xml:space="preserve"> However, the legal principle of inalienability was not questioned during the debate; most MPs approved of the repatriation in the case of the Maori remains but also repeated several times that this repatriation was an exceptional situation and that the integrity of public collections was not in question, that the principle of inalienability was not diminished and that the floodgate of restitution had not been opened.</w:t>
      </w:r>
      <w:r w:rsidRPr="71772AF6">
        <w:rPr>
          <w:rStyle w:val="FootnoteReference"/>
          <w:sz w:val="21"/>
          <w:szCs w:val="21"/>
        </w:rPr>
        <w:footnoteReference w:id="61"/>
      </w:r>
      <w:r>
        <w:t xml:space="preserve"> None but one MP, Huguette Bello, discussed the possibility to repatriate human remains to other communities. Mrs Bello highlighted that deaccessioning only Maori remains discriminated against other </w:t>
      </w:r>
      <w:r w:rsidR="002D3D45">
        <w:t>Indigenous Peoples</w:t>
      </w:r>
      <w:r>
        <w:t xml:space="preserve"> and mentioned two set of remains that also deserved to be returned: the skull of chief Ataï from New Caledonia and the skull of King Toera from Madagascar who had a similar fate in 1897.</w:t>
      </w:r>
      <w:r w:rsidRPr="71772AF6">
        <w:rPr>
          <w:rStyle w:val="FootnoteReference"/>
        </w:rPr>
        <w:footnoteReference w:id="62"/>
      </w:r>
      <w:r>
        <w:t xml:space="preserve"> </w:t>
      </w:r>
    </w:p>
    <w:p w:rsidR="00FA3760" w:rsidRDefault="00FA3760" w:rsidP="001D2C9C">
      <w:pPr>
        <w:spacing w:line="240" w:lineRule="auto"/>
      </w:pPr>
    </w:p>
    <w:p w:rsidR="0045017F" w:rsidRDefault="00154863" w:rsidP="001D2C9C">
      <w:pPr>
        <w:spacing w:line="240" w:lineRule="auto"/>
      </w:pPr>
      <w:r>
        <w:lastRenderedPageBreak/>
        <w:t xml:space="preserve">An </w:t>
      </w:r>
      <w:r w:rsidR="00B645B0">
        <w:t>effective</w:t>
      </w:r>
      <w:r>
        <w:t xml:space="preserve"> programme of repatriation of human remains cannot take place through </w:t>
      </w:r>
      <w:r w:rsidR="00B645B0">
        <w:t>ad hoc</w:t>
      </w:r>
      <w:r>
        <w:t xml:space="preserve"> statutes because of the number of remains</w:t>
      </w:r>
      <w:r w:rsidR="00B645B0">
        <w:t>, several thousands,</w:t>
      </w:r>
      <w:r>
        <w:t xml:space="preserve"> in French accredited museums</w:t>
      </w:r>
      <w:r w:rsidR="00B645B0">
        <w:t xml:space="preserve">, which </w:t>
      </w:r>
      <w:r>
        <w:t xml:space="preserve">would require </w:t>
      </w:r>
      <w:r w:rsidR="00822AEE">
        <w:t xml:space="preserve">on the one hand </w:t>
      </w:r>
      <w:r w:rsidR="00B645B0">
        <w:t xml:space="preserve">considerable </w:t>
      </w:r>
      <w:r w:rsidR="00822AEE">
        <w:t xml:space="preserve">parliamentary time, which is a highly valued </w:t>
      </w:r>
      <w:r w:rsidR="00B54062">
        <w:t>commodity,</w:t>
      </w:r>
      <w:r w:rsidR="00822AEE">
        <w:t xml:space="preserve"> and on the other hand </w:t>
      </w:r>
      <w:r>
        <w:t xml:space="preserve">political consensus for each </w:t>
      </w:r>
      <w:r w:rsidR="00B645B0">
        <w:t xml:space="preserve">set of </w:t>
      </w:r>
      <w:r>
        <w:t>remains that is being voted on</w:t>
      </w:r>
      <w:r w:rsidR="00B645B0">
        <w:t xml:space="preserve">. This </w:t>
      </w:r>
      <w:r>
        <w:t xml:space="preserve">consensus might not be present when it is not supported by foreign diplomacy, or as was the case of Saartje Baartman by the </w:t>
      </w:r>
      <w:r w:rsidR="00B54062">
        <w:t xml:space="preserve">President </w:t>
      </w:r>
      <w:r>
        <w:t>himself. Furthermore, t</w:t>
      </w:r>
      <w:r w:rsidR="0045017F">
        <w:t xml:space="preserve">he adoption of </w:t>
      </w:r>
      <w:r w:rsidR="00B54062">
        <w:t>ad hoc</w:t>
      </w:r>
      <w:r w:rsidR="0045017F">
        <w:t xml:space="preserve"> statutes for the repatriation of specific sets of remains creates an inequality of treatment between </w:t>
      </w:r>
      <w:r>
        <w:t xml:space="preserve">claimants, in this case Maoris </w:t>
      </w:r>
      <w:r w:rsidR="0045017F">
        <w:t xml:space="preserve">and other </w:t>
      </w:r>
      <w:r>
        <w:t xml:space="preserve">Indigenous Peoples </w:t>
      </w:r>
      <w:r w:rsidR="0045017F">
        <w:t xml:space="preserve">wishing to </w:t>
      </w:r>
      <w:r w:rsidR="00244BBC">
        <w:t xml:space="preserve">claim for the </w:t>
      </w:r>
      <w:r w:rsidR="0045017F">
        <w:t>repatriat</w:t>
      </w:r>
      <w:r w:rsidR="00244BBC">
        <w:t xml:space="preserve">ion of </w:t>
      </w:r>
      <w:r w:rsidR="0045017F">
        <w:t>their ancestors’ remains</w:t>
      </w:r>
      <w:r>
        <w:t xml:space="preserve">. </w:t>
      </w:r>
      <w:r w:rsidR="00244BBC">
        <w:t xml:space="preserve"> </w:t>
      </w:r>
      <w:r w:rsidR="0045017F">
        <w:t>Repatriation by statute also heighten the political process that becomes dependent on party politics, MPs’ personal interest - such as Nicolas About and Catherine Morin Desailly, the two MPs who introduced private members bill for the repatriation of Saartje Baartman and the Mokomokai of Rouen- national lobbying by foreign states. This approach does not contribute to a transparent policy on repatriation</w:t>
      </w:r>
      <w:r w:rsidR="00523300" w:rsidRPr="00523300">
        <w:t xml:space="preserve"> </w:t>
      </w:r>
      <w:r w:rsidR="00523300">
        <w:t>which certainly contributes to the lack of requests for repatriation.</w:t>
      </w:r>
      <w:r w:rsidR="00523300" w:rsidRPr="71772AF6">
        <w:rPr>
          <w:rStyle w:val="FootnoteReference"/>
          <w:lang w:val="fr-FR"/>
        </w:rPr>
        <w:footnoteReference w:id="63"/>
      </w:r>
      <w:r w:rsidR="0045017F">
        <w:t xml:space="preserve"> It seems to be, however, the preferred solution in the short term, this method will be used for the restitution of one sword to Senegal and of 26 objects from the treasure of Behanzin to Benin, which Stephane Martin, then Director of the Museum of Quai Branly – Jacques Chirac, had approved.</w:t>
      </w:r>
      <w:r w:rsidR="0045017F">
        <w:rPr>
          <w:rStyle w:val="FootnoteReference"/>
        </w:rPr>
        <w:footnoteReference w:id="64"/>
      </w:r>
      <w:r w:rsidR="0045017F">
        <w:t xml:space="preserve"> The</w:t>
      </w:r>
      <w:r w:rsidR="00244BBC">
        <w:t>se claims only further highlight the need to develop</w:t>
      </w:r>
      <w:r w:rsidR="00B645B0">
        <w:t xml:space="preserve"> a</w:t>
      </w:r>
      <w:r w:rsidR="00244BBC">
        <w:t xml:space="preserve"> </w:t>
      </w:r>
      <w:r w:rsidR="0045017F">
        <w:t>clear</w:t>
      </w:r>
      <w:r w:rsidR="00244BBC">
        <w:t xml:space="preserve">  policy for the repatriation of human remains </w:t>
      </w:r>
      <w:r w:rsidR="00B645B0">
        <w:t>as well as</w:t>
      </w:r>
      <w:r w:rsidR="00244BBC">
        <w:t xml:space="preserve"> for the </w:t>
      </w:r>
      <w:r w:rsidR="00523300">
        <w:t>restitution</w:t>
      </w:r>
      <w:r w:rsidR="00244BBC">
        <w:t xml:space="preserve"> of culturally significant cultural property</w:t>
      </w:r>
      <w:r w:rsidR="0045017F">
        <w:t>.</w:t>
      </w:r>
    </w:p>
    <w:p w:rsidR="00DA23F6" w:rsidRDefault="00665150" w:rsidP="001D2C9C">
      <w:pPr>
        <w:pStyle w:val="Heading1"/>
        <w:spacing w:line="240" w:lineRule="auto"/>
      </w:pPr>
      <w:r>
        <w:t>T</w:t>
      </w:r>
      <w:r w:rsidR="00047878">
        <w:t xml:space="preserve">he </w:t>
      </w:r>
      <w:r w:rsidR="00F57706">
        <w:t>heritagization</w:t>
      </w:r>
      <w:r w:rsidR="00047878">
        <w:t xml:space="preserve"> of </w:t>
      </w:r>
      <w:r w:rsidR="00DA23F6">
        <w:t>the body</w:t>
      </w:r>
    </w:p>
    <w:p w:rsidR="00B746A6" w:rsidRDefault="006F1D0D" w:rsidP="001D2C9C">
      <w:pPr>
        <w:pStyle w:val="StyleJustifiedLinespacing15lines"/>
        <w:spacing w:line="240" w:lineRule="auto"/>
      </w:pPr>
      <w:r>
        <w:t>The repatriation</w:t>
      </w:r>
      <w:r w:rsidR="00E779E4">
        <w:t xml:space="preserve"> of Saartje Baartman, Vamaica Peru and the Mokomokai</w:t>
      </w:r>
      <w:r>
        <w:t xml:space="preserve"> </w:t>
      </w:r>
      <w:r w:rsidR="00742311">
        <w:t xml:space="preserve">represent </w:t>
      </w:r>
      <w:r w:rsidR="00C139B6">
        <w:t xml:space="preserve">a </w:t>
      </w:r>
      <w:r w:rsidR="00742311">
        <w:t xml:space="preserve">drop in comparison to the </w:t>
      </w:r>
      <w:r w:rsidR="00C139B6">
        <w:t xml:space="preserve">thousands of </w:t>
      </w:r>
      <w:r w:rsidR="005C739B">
        <w:t>‘anthropological artefacts</w:t>
      </w:r>
      <w:r w:rsidR="00742311">
        <w:t>’</w:t>
      </w:r>
      <w:r w:rsidR="005C739B">
        <w:t xml:space="preserve"> and a few hundred </w:t>
      </w:r>
      <w:r w:rsidR="00742311">
        <w:t>‘</w:t>
      </w:r>
      <w:r w:rsidR="005C739B">
        <w:t>cultural anthropology artefacts’ currently held in French museums</w:t>
      </w:r>
      <w:r w:rsidR="00E779E4">
        <w:t>.</w:t>
      </w:r>
      <w:r w:rsidR="005C739B">
        <w:rPr>
          <w:rStyle w:val="FootnoteReference"/>
        </w:rPr>
        <w:footnoteReference w:id="65"/>
      </w:r>
      <w:r w:rsidR="005C739B">
        <w:t xml:space="preserve"> </w:t>
      </w:r>
      <w:r w:rsidR="00E779E4">
        <w:t>These remains hav</w:t>
      </w:r>
      <w:r w:rsidR="005C739B">
        <w:t xml:space="preserve">e been heritagized, </w:t>
      </w:r>
      <w:r w:rsidR="008723EB">
        <w:t xml:space="preserve">have become </w:t>
      </w:r>
      <w:r w:rsidR="00742311">
        <w:t xml:space="preserve">artefacts </w:t>
      </w:r>
      <w:r w:rsidR="005C739B">
        <w:t>owned by museums to be displayed for the public’s interest. Th</w:t>
      </w:r>
      <w:r w:rsidR="00523300">
        <w:t>e</w:t>
      </w:r>
      <w:r w:rsidR="005C739B">
        <w:t xml:space="preserve"> process of heritagization</w:t>
      </w:r>
      <w:r w:rsidR="00523300">
        <w:t xml:space="preserve"> transforms the remains in artefacts that become</w:t>
      </w:r>
      <w:r w:rsidR="00B746A6">
        <w:t xml:space="preserve"> part of </w:t>
      </w:r>
      <w:r w:rsidR="00742311">
        <w:t xml:space="preserve">a nation’s </w:t>
      </w:r>
      <w:r w:rsidR="00523300">
        <w:t>heritage</w:t>
      </w:r>
      <w:r w:rsidR="00B54062">
        <w:t xml:space="preserve"> whereas the body of a living person cannot be considered as an object that can be disposed of</w:t>
      </w:r>
      <w:r w:rsidR="00742311">
        <w:t>.</w:t>
      </w:r>
      <w:r>
        <w:t xml:space="preserve"> </w:t>
      </w:r>
    </w:p>
    <w:p w:rsidR="006F1D0D" w:rsidRDefault="006F1D0D" w:rsidP="001D2C9C">
      <w:pPr>
        <w:spacing w:line="240" w:lineRule="auto"/>
      </w:pPr>
    </w:p>
    <w:p w:rsidR="001E0E25" w:rsidRDefault="00231270" w:rsidP="001D2C9C">
      <w:pPr>
        <w:spacing w:line="240" w:lineRule="auto"/>
      </w:pPr>
      <w:r>
        <w:t>In French law, there is a clear distinction between the body of the living and the corpse of the dead. The body</w:t>
      </w:r>
      <w:r w:rsidR="001E0E25">
        <w:t xml:space="preserve"> </w:t>
      </w:r>
      <w:r>
        <w:t>is protected</w:t>
      </w:r>
      <w:r w:rsidR="00DA23F6">
        <w:t xml:space="preserve">, as the physical envelope of a person, against unwanted interference; a living person has rights, including the right to consent to physical, medical and chirurgical acts. </w:t>
      </w:r>
      <w:r w:rsidR="001E0E25">
        <w:t xml:space="preserve">In civil law, the body of a living person, its parts and components (organs, blood, semen) are </w:t>
      </w:r>
      <w:r w:rsidR="001E0E25" w:rsidRPr="00665150">
        <w:rPr>
          <w:i/>
        </w:rPr>
        <w:t>extra-commercium</w:t>
      </w:r>
      <w:r w:rsidR="001E0E25">
        <w:t>, which means that they can be subjected to neither proprietary nor possessory rights regardless of the person’s consent (section 16-1 Civil code</w:t>
      </w:r>
      <w:r w:rsidR="001E0E25" w:rsidRPr="71772AF6">
        <w:rPr>
          <w:rStyle w:val="FootnoteReference"/>
        </w:rPr>
        <w:footnoteReference w:id="66"/>
      </w:r>
      <w:r w:rsidR="001E0E25">
        <w:t xml:space="preserve">). </w:t>
      </w:r>
      <w:r w:rsidR="001E0E25" w:rsidRPr="00494A68">
        <w:t>Hence, a contract</w:t>
      </w:r>
      <w:r w:rsidR="001E0E25">
        <w:t>,</w:t>
      </w:r>
      <w:r w:rsidR="001E0E25" w:rsidRPr="00494A68">
        <w:t xml:space="preserve"> </w:t>
      </w:r>
      <w:r w:rsidR="001E0E25">
        <w:t xml:space="preserve">where </w:t>
      </w:r>
      <w:r w:rsidR="001E0E25" w:rsidRPr="00494A68">
        <w:t xml:space="preserve">a seventeen-year-old had </w:t>
      </w:r>
      <w:r w:rsidR="001E0E25">
        <w:t xml:space="preserve">an Eiffel tower and a rose tattooed on her right </w:t>
      </w:r>
      <w:r w:rsidR="001E0E25">
        <w:lastRenderedPageBreak/>
        <w:t xml:space="preserve">bottom during a film production and which was removed two weeks later, is void. Notwithstanding the issue of the validity of consent of a minor, the contract was void as it breached public order and the principle that there is no right to dispose of one‘s own body </w:t>
      </w:r>
      <w:r w:rsidR="00665150">
        <w:t xml:space="preserve">according to the principle of non transferability </w:t>
      </w:r>
      <w:r w:rsidR="001E0E25" w:rsidRPr="00494A68">
        <w:t>(</w:t>
      </w:r>
      <w:r w:rsidR="001E0E25" w:rsidRPr="00A21EF1">
        <w:rPr>
          <w:i/>
        </w:rPr>
        <w:t>principe d’indisponibilité</w:t>
      </w:r>
      <w:r w:rsidR="00665150">
        <w:rPr>
          <w:i/>
        </w:rPr>
        <w:t xml:space="preserve">) </w:t>
      </w:r>
      <w:r w:rsidR="00665150" w:rsidRPr="00665150">
        <w:t xml:space="preserve">which is </w:t>
      </w:r>
      <w:r w:rsidR="001E0E25" w:rsidRPr="00665150">
        <w:t xml:space="preserve"> now</w:t>
      </w:r>
      <w:r w:rsidR="001E0E25" w:rsidRPr="00494A68">
        <w:t xml:space="preserve"> codified</w:t>
      </w:r>
      <w:r w:rsidR="001E0E25">
        <w:t xml:space="preserve"> in section 16-1 of the Civil code.</w:t>
      </w:r>
      <w:r w:rsidR="001E0E25">
        <w:rPr>
          <w:rStyle w:val="FootnoteReference"/>
          <w:lang w:val="fr-FR"/>
        </w:rPr>
        <w:footnoteReference w:id="67"/>
      </w:r>
      <w:r w:rsidR="001E0E25">
        <w:t xml:space="preserve"> </w:t>
      </w:r>
    </w:p>
    <w:p w:rsidR="001E0E25" w:rsidRDefault="001E0E25" w:rsidP="001D2C9C">
      <w:pPr>
        <w:pStyle w:val="StyleJustifiedLinespacing15lines"/>
        <w:spacing w:line="240" w:lineRule="auto"/>
      </w:pPr>
      <w:r>
        <w:t xml:space="preserve">In contrast, human </w:t>
      </w:r>
      <w:r w:rsidR="00DA23F6">
        <w:t xml:space="preserve">remains are </w:t>
      </w:r>
      <w:r w:rsidR="005C739B">
        <w:t xml:space="preserve">considered as </w:t>
      </w:r>
      <w:r w:rsidR="00DA23F6">
        <w:t>body parts, soft tissues</w:t>
      </w:r>
      <w:r w:rsidR="00665150">
        <w:t xml:space="preserve">, </w:t>
      </w:r>
      <w:r w:rsidR="00DA23F6">
        <w:t>osteological material</w:t>
      </w:r>
      <w:r w:rsidR="005C739B">
        <w:t>, objects</w:t>
      </w:r>
      <w:r w:rsidR="00E54AEA">
        <w:t xml:space="preserve"> not persons</w:t>
      </w:r>
      <w:r>
        <w:t xml:space="preserve">. </w:t>
      </w:r>
      <w:r w:rsidR="00231270">
        <w:t>There i</w:t>
      </w:r>
      <w:r>
        <w:t>s</w:t>
      </w:r>
      <w:r w:rsidR="00B645B0">
        <w:t>, however,</w:t>
      </w:r>
      <w:r>
        <w:t xml:space="preserve"> a transitional period, </w:t>
      </w:r>
      <w:r w:rsidR="00231270">
        <w:t>durin</w:t>
      </w:r>
      <w:r>
        <w:t xml:space="preserve">g which remains/corpses are still considered as an extension of the living and </w:t>
      </w:r>
      <w:r w:rsidR="008723EB">
        <w:t>are not yet seen as artefacts</w:t>
      </w:r>
      <w:r>
        <w:t xml:space="preserve">. </w:t>
      </w:r>
      <w:r w:rsidR="005C739B">
        <w:t>Before remains are heritagized, they</w:t>
      </w:r>
      <w:r>
        <w:t xml:space="preserve"> are commonly thought to be of a different kind than “normal” objects and cannot be appropriated, sold nor purchased.</w:t>
      </w:r>
      <w:r w:rsidRPr="0035468B">
        <w:rPr>
          <w:vertAlign w:val="superscript"/>
        </w:rPr>
        <w:t xml:space="preserve"> </w:t>
      </w:r>
      <w:r w:rsidR="005C739B">
        <w:t>Section 16-1-1 of the Civil code requires decency and respect when dealing with a corpse, but does not address the question of property rights.</w:t>
      </w:r>
      <w:r w:rsidR="005C739B" w:rsidRPr="71772AF6">
        <w:rPr>
          <w:rStyle w:val="FootnoteReference"/>
        </w:rPr>
        <w:footnoteReference w:id="68"/>
      </w:r>
      <w:r w:rsidR="005C739B">
        <w:t xml:space="preserve"> This </w:t>
      </w:r>
      <w:r w:rsidRPr="0035468B">
        <w:t xml:space="preserve">Section was applied in 2009 to ban the touring exhibition </w:t>
      </w:r>
      <w:r>
        <w:t>“</w:t>
      </w:r>
      <w:r w:rsidRPr="0035468B">
        <w:t>Our Body</w:t>
      </w:r>
      <w:r>
        <w:t>”</w:t>
      </w:r>
      <w:r w:rsidRPr="0035468B">
        <w:t xml:space="preserve"> which present</w:t>
      </w:r>
      <w:r w:rsidR="00E54AEA">
        <w:t>ed</w:t>
      </w:r>
      <w:r w:rsidRPr="0035468B">
        <w:t xml:space="preserve"> plastinated body in natural positions such as walking, playing, horse riding.</w:t>
      </w:r>
      <w:r w:rsidRPr="0035468B">
        <w:rPr>
          <w:vertAlign w:val="superscript"/>
        </w:rPr>
        <w:footnoteReference w:id="69"/>
      </w:r>
      <w:r w:rsidRPr="0035468B">
        <w:t xml:space="preserve"> This exhibition has been shown with great success in New York, London, Berlin and many other </w:t>
      </w:r>
      <w:r>
        <w:t>cities around the world</w:t>
      </w:r>
      <w:r w:rsidRPr="0035468B">
        <w:t xml:space="preserve">. It was </w:t>
      </w:r>
      <w:r>
        <w:t>banned</w:t>
      </w:r>
      <w:r w:rsidRPr="0035468B">
        <w:t xml:space="preserve"> in France on the ground that the organisers could not show that the </w:t>
      </w:r>
      <w:r w:rsidR="005C739B">
        <w:t>remains</w:t>
      </w:r>
      <w:r w:rsidRPr="0035468B">
        <w:t xml:space="preserve"> had been legally acquired and that </w:t>
      </w:r>
      <w:r>
        <w:t>when alive, the</w:t>
      </w:r>
      <w:r w:rsidRPr="0035468B">
        <w:t xml:space="preserve"> people had agreed to their bodies being exhibited in such manner after their death.</w:t>
      </w:r>
      <w:r>
        <w:rPr>
          <w:rStyle w:val="FootnoteReference"/>
        </w:rPr>
        <w:footnoteReference w:id="70"/>
      </w:r>
      <w:r w:rsidRPr="0035468B">
        <w:t xml:space="preserve"> Conversely, if the organisers had successfully demonstrated that the people had consented to the exhibition, then the</w:t>
      </w:r>
      <w:r w:rsidR="005C739B">
        <w:t>ir remains</w:t>
      </w:r>
      <w:r w:rsidRPr="0035468B">
        <w:t xml:space="preserve"> would have been legally acquired. According to the Court of Appeal, individuals are able to decide that their </w:t>
      </w:r>
      <w:r w:rsidR="005C739B">
        <w:t>remains</w:t>
      </w:r>
      <w:r w:rsidRPr="0035468B">
        <w:t xml:space="preserve"> can be publicly exhibited after their death whereas other and more </w:t>
      </w:r>
      <w:r>
        <w:t>“</w:t>
      </w:r>
      <w:r w:rsidRPr="0035468B">
        <w:t>traditional</w:t>
      </w:r>
      <w:r>
        <w:t>”</w:t>
      </w:r>
      <w:r w:rsidRPr="0035468B">
        <w:t xml:space="preserve"> ways of disposing of one’s </w:t>
      </w:r>
      <w:r w:rsidR="005C739B">
        <w:t>remains</w:t>
      </w:r>
      <w:r w:rsidRPr="0035468B">
        <w:t xml:space="preserve"> are strictly regulated. Indeed, the choice of living persons to dispose of their body after their death is limited to agreeing to organ donation, organising their funerals, being either buried or cremated and if the latter whether to dispose of the ashes or to keep them </w:t>
      </w:r>
      <w:r>
        <w:t>as long as it is</w:t>
      </w:r>
      <w:r w:rsidRPr="0035468B">
        <w:t xml:space="preserve"> not in a private dwelling such as the family home.</w:t>
      </w:r>
      <w:r w:rsidRPr="0035468B">
        <w:rPr>
          <w:vertAlign w:val="superscript"/>
        </w:rPr>
        <w:footnoteReference w:id="71"/>
      </w:r>
      <w:r w:rsidRPr="0035468B">
        <w:t xml:space="preserve"> Therefore, the decision of the Court of Appeal gives greater weigh</w:t>
      </w:r>
      <w:r>
        <w:t>t</w:t>
      </w:r>
      <w:r w:rsidRPr="0035468B">
        <w:t xml:space="preserve"> to the will of the living person to publicly display his/her </w:t>
      </w:r>
      <w:r w:rsidR="005C739B">
        <w:t xml:space="preserve">dead </w:t>
      </w:r>
      <w:r w:rsidRPr="0035468B">
        <w:t xml:space="preserve">body than the law does. This is the position for the remains of the recently dead which contrasts with the position for the remains of the ancient dead. </w:t>
      </w:r>
    </w:p>
    <w:p w:rsidR="00665150" w:rsidRDefault="00665150" w:rsidP="001D2C9C">
      <w:pPr>
        <w:pStyle w:val="StyleJustifiedLinespacing15lines"/>
        <w:spacing w:line="240" w:lineRule="auto"/>
      </w:pPr>
    </w:p>
    <w:p w:rsidR="00665150" w:rsidRDefault="00B746A6" w:rsidP="001D2C9C">
      <w:pPr>
        <w:pStyle w:val="StyleJustifiedLinespacing15lines"/>
        <w:spacing w:line="240" w:lineRule="auto"/>
      </w:pPr>
      <w:r>
        <w:t xml:space="preserve">After </w:t>
      </w:r>
      <w:r w:rsidR="008723EB">
        <w:t>some</w:t>
      </w:r>
      <w:r>
        <w:t xml:space="preserve"> time, remains lose their connection with the person who lived. This </w:t>
      </w:r>
      <w:r w:rsidR="008723EB">
        <w:t>dis-connection</w:t>
      </w:r>
      <w:r>
        <w:t xml:space="preserve"> usually coincides with the</w:t>
      </w:r>
      <w:r w:rsidR="008723EB">
        <w:t xml:space="preserve"> fading</w:t>
      </w:r>
      <w:r>
        <w:t xml:space="preserve"> memory of the family, </w:t>
      </w:r>
      <w:r w:rsidR="008723EB">
        <w:t>which is</w:t>
      </w:r>
      <w:r>
        <w:t xml:space="preserve"> considered in French law to be three generation</w:t>
      </w:r>
      <w:r w:rsidR="008723EB">
        <w:t>s, approximately 100 years</w:t>
      </w:r>
      <w:r>
        <w:t>.</w:t>
      </w:r>
      <w:r>
        <w:rPr>
          <w:rStyle w:val="FootnoteReference"/>
        </w:rPr>
        <w:footnoteReference w:id="72"/>
      </w:r>
      <w:r>
        <w:t xml:space="preserve"> </w:t>
      </w:r>
      <w:r w:rsidR="008723EB">
        <w:t>Once the d</w:t>
      </w:r>
      <w:r>
        <w:t>ead</w:t>
      </w:r>
      <w:r w:rsidR="008723EB">
        <w:t xml:space="preserve"> is forgotten</w:t>
      </w:r>
      <w:r>
        <w:t>, the</w:t>
      </w:r>
      <w:r w:rsidR="008723EB">
        <w:t>ir</w:t>
      </w:r>
      <w:r>
        <w:t xml:space="preserve"> remains</w:t>
      </w:r>
      <w:r w:rsidR="008723EB">
        <w:t xml:space="preserve"> are </w:t>
      </w:r>
      <w:r w:rsidR="001E0E25">
        <w:t xml:space="preserve">de-humanised and </w:t>
      </w:r>
      <w:r w:rsidR="008723EB">
        <w:t xml:space="preserve">can be </w:t>
      </w:r>
      <w:r w:rsidR="001E0E25">
        <w:t>heritag</w:t>
      </w:r>
      <w:r w:rsidR="008723EB">
        <w:t>ized. T</w:t>
      </w:r>
      <w:r>
        <w:t xml:space="preserve">he </w:t>
      </w:r>
      <w:r w:rsidR="008723EB">
        <w:t xml:space="preserve">dis-connection between the </w:t>
      </w:r>
      <w:r w:rsidR="00E54AEA">
        <w:t>person who lived</w:t>
      </w:r>
      <w:r w:rsidR="008723EB">
        <w:t xml:space="preserve"> and their remains is much quicker if the living</w:t>
      </w:r>
      <w:r>
        <w:t xml:space="preserve"> never </w:t>
      </w:r>
      <w:r w:rsidR="008723EB">
        <w:t xml:space="preserve">belong to </w:t>
      </w:r>
      <w:r>
        <w:t>the nation</w:t>
      </w:r>
      <w:r w:rsidR="008723EB">
        <w:t xml:space="preserve"> where the remains are, which was</w:t>
      </w:r>
      <w:r>
        <w:t xml:space="preserve"> the case for the </w:t>
      </w:r>
      <w:r>
        <w:lastRenderedPageBreak/>
        <w:t xml:space="preserve">remains of Saartje Baartman and Vamaica Peru who were ‘brought’ to France to be exhibited, </w:t>
      </w:r>
      <w:r w:rsidR="00E54AEA">
        <w:t xml:space="preserve">who were considered as objects even in their lifetime, </w:t>
      </w:r>
      <w:r>
        <w:t>whose bodies were dissected immediately after their death to be studied and then exhibited as ‘</w:t>
      </w:r>
      <w:r w:rsidR="00B645B0">
        <w:t>samples’</w:t>
      </w:r>
      <w:r>
        <w:t xml:space="preserve"> of different </w:t>
      </w:r>
      <w:r w:rsidR="00B645B0">
        <w:t>races</w:t>
      </w:r>
      <w:r>
        <w:t>.</w:t>
      </w:r>
      <w:r w:rsidR="00CF02B4">
        <w:t xml:space="preserve"> </w:t>
      </w:r>
      <w:r w:rsidR="005C739B">
        <w:t xml:space="preserve">These </w:t>
      </w:r>
      <w:r w:rsidR="00CF02B4">
        <w:t>heritagized ‘</w:t>
      </w:r>
      <w:r w:rsidR="005C739B">
        <w:t>objects</w:t>
      </w:r>
      <w:r w:rsidR="00CF02B4">
        <w:t>’</w:t>
      </w:r>
      <w:r w:rsidR="005C739B">
        <w:t xml:space="preserve"> </w:t>
      </w:r>
      <w:r w:rsidR="00E54AEA">
        <w:t>are</w:t>
      </w:r>
      <w:r w:rsidR="00CF02B4">
        <w:t xml:space="preserve"> then </w:t>
      </w:r>
      <w:r w:rsidR="005C739B">
        <w:t>subjected to other peoples/institutions' rights, including a right of ownership, rather than being subject of rights themselves.</w:t>
      </w:r>
      <w:r w:rsidR="005C739B" w:rsidRPr="001E0E25">
        <w:rPr>
          <w:rStyle w:val="FootnoteReference"/>
        </w:rPr>
        <w:t xml:space="preserve"> </w:t>
      </w:r>
      <w:r w:rsidR="005C739B" w:rsidRPr="08FC9826">
        <w:rPr>
          <w:rStyle w:val="FootnoteReference"/>
        </w:rPr>
        <w:footnoteReference w:id="73"/>
      </w:r>
      <w:r w:rsidR="00E54AEA">
        <w:t xml:space="preserve"> </w:t>
      </w:r>
      <w:r w:rsidR="008230C9">
        <w:t xml:space="preserve">When human remains are heritagized, they become </w:t>
      </w:r>
      <w:r w:rsidR="00665150">
        <w:t xml:space="preserve">commodified </w:t>
      </w:r>
      <w:r w:rsidR="008230C9">
        <w:t>objects that can be owned by private individuals/institutions or public institutions/museums.</w:t>
      </w:r>
      <w:r w:rsidR="00665150">
        <w:t xml:space="preserve"> Shrunk tattooed heads, skulls, flutes made of femur, or indeed complete corpses (Egyptian mummies) are found in the art market, either legally or illegally.</w:t>
      </w:r>
      <w:r w:rsidR="00665150" w:rsidRPr="710DF024">
        <w:rPr>
          <w:rStyle w:val="FootnoteReference"/>
        </w:rPr>
        <w:footnoteReference w:id="74"/>
      </w:r>
      <w:r w:rsidR="00665150">
        <w:t xml:space="preserve"> This commodification is not new, in the Middles Ages in Europe, the remains of saints, kings or queens (fingers, toes, skulls, hair, nails…) were routinely given, sold and displayed in reliquaries in churches or in personal chapels and many are still on display today in churches, or in museums such as the Cluny museum in Paris.</w:t>
      </w:r>
      <w:r w:rsidR="00665150">
        <w:rPr>
          <w:rStyle w:val="FootnoteReference"/>
        </w:rPr>
        <w:footnoteReference w:id="75"/>
      </w:r>
      <w:r w:rsidR="00665150">
        <w:t xml:space="preserve"> </w:t>
      </w:r>
    </w:p>
    <w:p w:rsidR="00665150" w:rsidRDefault="00665150" w:rsidP="001D2C9C">
      <w:pPr>
        <w:pStyle w:val="StyleJustifiedLinespacing15lines"/>
        <w:spacing w:line="240" w:lineRule="auto"/>
      </w:pPr>
    </w:p>
    <w:p w:rsidR="009524EF" w:rsidRDefault="008723EB" w:rsidP="001D2C9C">
      <w:pPr>
        <w:spacing w:line="240" w:lineRule="auto"/>
      </w:pPr>
      <w:r>
        <w:t xml:space="preserve">If </w:t>
      </w:r>
      <w:r w:rsidR="71772AF6">
        <w:t>human remains are privately owned</w:t>
      </w:r>
      <w:r w:rsidR="00765A25">
        <w:t xml:space="preserve">, there is nothing that prevents their owner to </w:t>
      </w:r>
      <w:r w:rsidR="007D60FF">
        <w:t>decide</w:t>
      </w:r>
      <w:r w:rsidR="00765A25">
        <w:t xml:space="preserve"> to relinquish their owne</w:t>
      </w:r>
      <w:r w:rsidR="00FA3760">
        <w:t xml:space="preserve">rship title to repatriate them, </w:t>
      </w:r>
      <w:r w:rsidR="00665150">
        <w:t>as was the case with the repatriation of the skull of</w:t>
      </w:r>
      <w:r w:rsidR="00FA3760">
        <w:t xml:space="preserve"> Atai</w:t>
      </w:r>
      <w:r w:rsidR="00665150">
        <w:t xml:space="preserve"> by the </w:t>
      </w:r>
      <w:r w:rsidR="00665150">
        <w:rPr>
          <w:i/>
        </w:rPr>
        <w:t>Société Anthropologique de Paris</w:t>
      </w:r>
      <w:r w:rsidR="00665150">
        <w:t>.</w:t>
      </w:r>
      <w:r w:rsidR="009524EF" w:rsidRPr="009524EF">
        <w:t xml:space="preserve"> </w:t>
      </w:r>
      <w:r w:rsidR="009524EF">
        <w:t>Ataï, his doctor and many others were killed in 1878 during the colonisation of the island of New Caledonia by French troops. Ataï and his doctor’s heads were severed and sent to Paris to be studied, as was common practice at this time.</w:t>
      </w:r>
      <w:r w:rsidR="009524EF" w:rsidRPr="710DF024">
        <w:rPr>
          <w:rStyle w:val="FootnoteReference"/>
        </w:rPr>
        <w:footnoteReference w:id="76"/>
      </w:r>
      <w:r w:rsidR="009524EF">
        <w:t xml:space="preserve"> King Toera from Madagascar had a similar fate in 1897</w:t>
      </w:r>
      <w:r w:rsidR="00B645B0">
        <w:t>, albeit his remains are now lost in the Museum of Natural History</w:t>
      </w:r>
      <w:r w:rsidR="009524EF">
        <w:t>.</w:t>
      </w:r>
      <w:r w:rsidR="009524EF" w:rsidRPr="71772AF6">
        <w:rPr>
          <w:rStyle w:val="FootnoteReference"/>
        </w:rPr>
        <w:footnoteReference w:id="77"/>
      </w:r>
      <w:r w:rsidR="009524EF">
        <w:t xml:space="preserve"> In 2013, The Prime minister promised to the Indigenous people of New Caledonia, a French semi-autonomous territory, that Atai’s remains would be returned by the Museum of Natural History.</w:t>
      </w:r>
      <w:r w:rsidR="009524EF">
        <w:rPr>
          <w:rStyle w:val="FootnoteReference"/>
        </w:rPr>
        <w:footnoteReference w:id="78"/>
      </w:r>
      <w:r w:rsidR="009524EF">
        <w:t xml:space="preserve"> However, the remains were not owned by this institution but by the </w:t>
      </w:r>
      <w:r w:rsidR="009524EF" w:rsidRPr="710DF024">
        <w:rPr>
          <w:i/>
          <w:iCs/>
        </w:rPr>
        <w:t>Société Anthropologique de Paris</w:t>
      </w:r>
      <w:r w:rsidR="00BC4A7E">
        <w:rPr>
          <w:i/>
          <w:iCs/>
        </w:rPr>
        <w:t>,</w:t>
      </w:r>
      <w:r w:rsidR="009524EF">
        <w:t xml:space="preserve"> a private institution</w:t>
      </w:r>
      <w:r w:rsidR="00BC4A7E">
        <w:t>,</w:t>
      </w:r>
      <w:r w:rsidR="009524EF">
        <w:t xml:space="preserve"> that had ‘lent’ them to the Museum. The </w:t>
      </w:r>
      <w:r w:rsidR="009524EF">
        <w:rPr>
          <w:i/>
        </w:rPr>
        <w:t xml:space="preserve">SAP </w:t>
      </w:r>
      <w:r w:rsidR="009524EF">
        <w:t>repatriated the</w:t>
      </w:r>
      <w:r w:rsidR="00BC4A7E">
        <w:t xml:space="preserve"> </w:t>
      </w:r>
      <w:r w:rsidR="009524EF">
        <w:t>remains shortly afterwards following its own internal process.</w:t>
      </w:r>
      <w:r w:rsidR="009524EF" w:rsidRPr="710DF024">
        <w:rPr>
          <w:rStyle w:val="FootnoteReference"/>
        </w:rPr>
        <w:footnoteReference w:id="79"/>
      </w:r>
    </w:p>
    <w:p w:rsidR="00FA3760" w:rsidRPr="00665150" w:rsidRDefault="00FA3760" w:rsidP="001D2C9C">
      <w:pPr>
        <w:pStyle w:val="StyleJustifiedLinespacing15lines"/>
        <w:spacing w:line="240" w:lineRule="auto"/>
      </w:pPr>
    </w:p>
    <w:p w:rsidR="00665150" w:rsidRDefault="008723EB" w:rsidP="001D2C9C">
      <w:pPr>
        <w:spacing w:line="240" w:lineRule="auto"/>
      </w:pPr>
      <w:r>
        <w:t xml:space="preserve">In contrast, </w:t>
      </w:r>
      <w:r w:rsidR="008230C9">
        <w:t xml:space="preserve">French museums that have been accredited </w:t>
      </w:r>
      <w:r w:rsidR="00BC4A7E">
        <w:t xml:space="preserve">by the </w:t>
      </w:r>
      <w:r w:rsidR="008230C9">
        <w:t xml:space="preserve">label </w:t>
      </w:r>
      <w:r w:rsidR="008230C9" w:rsidRPr="008723EB">
        <w:rPr>
          <w:i/>
        </w:rPr>
        <w:t>Musée de France</w:t>
      </w:r>
      <w:r w:rsidR="008230C9">
        <w:t xml:space="preserve"> </w:t>
      </w:r>
      <w:r>
        <w:t xml:space="preserve">are not governed by private law but by </w:t>
      </w:r>
      <w:r w:rsidR="008230C9">
        <w:t xml:space="preserve">public law and </w:t>
      </w:r>
      <w:r w:rsidR="00E54AEA">
        <w:t>by</w:t>
      </w:r>
      <w:r w:rsidR="710DF024">
        <w:t xml:space="preserve"> the Cultural Heritage Code </w:t>
      </w:r>
      <w:r w:rsidR="710DF024">
        <w:lastRenderedPageBreak/>
        <w:t>(thereafter CH</w:t>
      </w:r>
      <w:r w:rsidR="008522B2">
        <w:t>C</w:t>
      </w:r>
      <w:r w:rsidR="710DF024">
        <w:t xml:space="preserve">) </w:t>
      </w:r>
      <w:r w:rsidR="00BC4A7E">
        <w:t>including</w:t>
      </w:r>
      <w:r w:rsidR="00D72976">
        <w:t xml:space="preserve"> </w:t>
      </w:r>
      <w:r w:rsidR="710DF024">
        <w:t xml:space="preserve">rules </w:t>
      </w:r>
      <w:r w:rsidR="00E54AEA">
        <w:t>of</w:t>
      </w:r>
      <w:r w:rsidR="710DF024">
        <w:t xml:space="preserve"> </w:t>
      </w:r>
      <w:r w:rsidR="00B91AA9">
        <w:t xml:space="preserve">the </w:t>
      </w:r>
      <w:r w:rsidR="00B91AA9" w:rsidRPr="710DF024">
        <w:rPr>
          <w:i/>
          <w:iCs/>
        </w:rPr>
        <w:t>domaine public</w:t>
      </w:r>
      <w:r w:rsidR="00B91AA9">
        <w:t xml:space="preserve"> </w:t>
      </w:r>
      <w:r w:rsidR="00D72976">
        <w:t xml:space="preserve">or </w:t>
      </w:r>
      <w:r w:rsidR="00B91AA9">
        <w:t>public ownership laws.</w:t>
      </w:r>
      <w:r w:rsidR="00B91AA9">
        <w:rPr>
          <w:rStyle w:val="FootnoteReference"/>
        </w:rPr>
        <w:footnoteReference w:id="80"/>
      </w:r>
      <w:r w:rsidR="00B91AA9" w:rsidRPr="710DF024">
        <w:rPr>
          <w:i/>
          <w:iCs/>
        </w:rPr>
        <w:t xml:space="preserve"> </w:t>
      </w:r>
      <w:r w:rsidR="00B91AA9">
        <w:t>The conflict between private and public rules is illustrated by the case of</w:t>
      </w:r>
      <w:r w:rsidR="00765A25">
        <w:t xml:space="preserve"> Saartje Baartman</w:t>
      </w:r>
      <w:r w:rsidR="00905A41">
        <w:t xml:space="preserve"> and the Mokomokai</w:t>
      </w:r>
      <w:r w:rsidR="00B91AA9">
        <w:t>.</w:t>
      </w:r>
      <w:r>
        <w:t xml:space="preserve"> </w:t>
      </w:r>
      <w:r w:rsidR="0045017F">
        <w:t>During parliamentary debate</w:t>
      </w:r>
      <w:r w:rsidR="0045017F" w:rsidRPr="00AE2319">
        <w:t xml:space="preserve"> </w:t>
      </w:r>
      <w:r w:rsidR="0045017F">
        <w:t xml:space="preserve">discussing the repatriation of </w:t>
      </w:r>
      <w:r w:rsidR="00BC4A7E">
        <w:t>her</w:t>
      </w:r>
      <w:r w:rsidR="0045017F">
        <w:t xml:space="preserve"> remains, Schwartzenberg, then Secretary of State for Research, relied on the principle of section 16-1 of the Civil code to argue </w:t>
      </w:r>
      <w:r w:rsidR="00BC4A7E">
        <w:t>one the one hand</w:t>
      </w:r>
      <w:r w:rsidR="0045017F">
        <w:t xml:space="preserve"> that it applied to the State as well as private individuals, i.e. that no one, including the State, could own a human body and, </w:t>
      </w:r>
      <w:r w:rsidR="00BC4A7E">
        <w:t>one the other hand</w:t>
      </w:r>
      <w:r w:rsidR="0045017F">
        <w:t xml:space="preserve">, that it applied to a person’s body wherever she was alive or dead. </w:t>
      </w:r>
      <w:r w:rsidR="00BC4A7E">
        <w:t xml:space="preserve">As a consequence, </w:t>
      </w:r>
      <w:r w:rsidR="0045017F">
        <w:t>a statute to de-access Saartje’s remains was not needed since they were never within State’s ownership.</w:t>
      </w:r>
      <w:r w:rsidR="0045017F">
        <w:rPr>
          <w:rStyle w:val="FootnoteReference"/>
        </w:rPr>
        <w:footnoteReference w:id="81"/>
      </w:r>
      <w:r w:rsidR="0045017F" w:rsidRPr="008956B0">
        <w:t xml:space="preserve"> </w:t>
      </w:r>
      <w:r w:rsidR="00BC4A7E">
        <w:t>Schwartzenberg</w:t>
      </w:r>
      <w:r w:rsidR="0045017F">
        <w:t xml:space="preserve"> also introduced an exception to this principle, a scientific interest to keep the remains. In that case, the remains should be kept in the collection. The fear of floodgate of claims for restitution of all skeletons found in faculty of medicines as well as museums explains this exception. </w:t>
      </w:r>
      <w:r w:rsidR="00BC4A7E">
        <w:t xml:space="preserve">His </w:t>
      </w:r>
      <w:r w:rsidR="0045017F">
        <w:t xml:space="preserve">argument shows its limits since he argues that human remains cannot be owned as they are </w:t>
      </w:r>
      <w:r w:rsidR="0045017F" w:rsidRPr="710DF024">
        <w:rPr>
          <w:i/>
          <w:iCs/>
        </w:rPr>
        <w:t xml:space="preserve">extra commercium </w:t>
      </w:r>
      <w:r w:rsidR="0045017F">
        <w:t xml:space="preserve">but that if they do have a scientific interest, then they can be owned by a museum. </w:t>
      </w:r>
      <w:r w:rsidR="00BC4A7E">
        <w:t>Similarly, f</w:t>
      </w:r>
      <w:r w:rsidR="0045017F">
        <w:t>or the restitution of its Mokomokai, R</w:t>
      </w:r>
      <w:r w:rsidR="00BC4A7E">
        <w:t>ouen City Council argued</w:t>
      </w:r>
      <w:r w:rsidR="0045017F">
        <w:t xml:space="preserve"> that section 16-1 of the Civil Code set a public policy principle that excluded any proprietary right on human remains including one to the benefit of the State. Therefore, the Mokomokai could not “belong” to the Council and there was no need to comply with the de-accession procedure found in the CHC</w:t>
      </w:r>
      <w:r w:rsidR="00BC4A7E">
        <w:t xml:space="preserve"> to repatriate it</w:t>
      </w:r>
      <w:r w:rsidR="0045017F">
        <w:t xml:space="preserve">. The </w:t>
      </w:r>
      <w:r w:rsidR="00BC4A7E">
        <w:t>courts</w:t>
      </w:r>
      <w:r w:rsidR="0045017F">
        <w:t xml:space="preserve"> did not follow this argument and although recognised that according to section 16-1 the remains had to be kept in decent condition, even in a museum, the </w:t>
      </w:r>
      <w:r w:rsidR="00BC4A7E">
        <w:t>remains ‘belonged</w:t>
      </w:r>
      <w:r w:rsidR="00E54AEA">
        <w:t>’</w:t>
      </w:r>
      <w:r w:rsidR="00BC4A7E">
        <w:t xml:space="preserve"> to the </w:t>
      </w:r>
      <w:r w:rsidR="00E54AEA">
        <w:t>Nation</w:t>
      </w:r>
      <w:r w:rsidR="0045017F">
        <w:t>.</w:t>
      </w:r>
      <w:r w:rsidR="00BC4A7E">
        <w:rPr>
          <w:rStyle w:val="FootnoteReference"/>
        </w:rPr>
        <w:footnoteReference w:id="82"/>
      </w:r>
      <w:r w:rsidR="0045017F">
        <w:t xml:space="preserve"> </w:t>
      </w:r>
      <w:r w:rsidR="00D627D5">
        <w:t>MPs</w:t>
      </w:r>
      <w:r w:rsidR="00E70D0F">
        <w:t xml:space="preserve"> debates show the</w:t>
      </w:r>
      <w:r w:rsidR="00F648B6">
        <w:t>ir</w:t>
      </w:r>
      <w:r w:rsidR="00E70D0F">
        <w:t xml:space="preserve"> effort to the re-humanize the remains</w:t>
      </w:r>
      <w:r w:rsidR="00F648B6">
        <w:t>, to link them to people who were alive rather than treating them like objects exhibited in museums. Fortunately, this lead to the adoption of ad hoc statutes for their repatriation but not to a broader discussion on the display of human remains of foreign origin in French museums. Hence, h</w:t>
      </w:r>
      <w:r w:rsidR="710DF024">
        <w:t>uman remains</w:t>
      </w:r>
      <w:r w:rsidR="00BC4A7E">
        <w:t xml:space="preserve"> held in accredited museums </w:t>
      </w:r>
      <w:r w:rsidR="710DF024">
        <w:t xml:space="preserve">are part of the public domain. </w:t>
      </w:r>
      <w:r w:rsidR="0001591E">
        <w:t>T</w:t>
      </w:r>
      <w:r w:rsidR="710DF024">
        <w:t>he</w:t>
      </w:r>
      <w:r w:rsidR="00A04BE7">
        <w:t>refore, the</w:t>
      </w:r>
      <w:r w:rsidR="710DF024">
        <w:t xml:space="preserve"> only option is to end the principle of </w:t>
      </w:r>
      <w:r w:rsidR="710DF024" w:rsidRPr="710DF024">
        <w:rPr>
          <w:i/>
          <w:iCs/>
        </w:rPr>
        <w:t>doma</w:t>
      </w:r>
      <w:r w:rsidR="00A04BE7">
        <w:rPr>
          <w:i/>
          <w:iCs/>
        </w:rPr>
        <w:t>nialit</w:t>
      </w:r>
      <w:r w:rsidR="00A04BE7" w:rsidRPr="00A04BE7">
        <w:rPr>
          <w:i/>
          <w:iCs/>
        </w:rPr>
        <w:t>é</w:t>
      </w:r>
      <w:r w:rsidR="710DF024" w:rsidRPr="710DF024">
        <w:rPr>
          <w:i/>
          <w:iCs/>
        </w:rPr>
        <w:t xml:space="preserve"> publique</w:t>
      </w:r>
      <w:r w:rsidR="710DF024">
        <w:t xml:space="preserve"> through </w:t>
      </w:r>
      <w:r w:rsidR="00A04BE7">
        <w:rPr>
          <w:i/>
          <w:iCs/>
        </w:rPr>
        <w:t>dé</w:t>
      </w:r>
      <w:r w:rsidR="710DF024" w:rsidRPr="710DF024">
        <w:rPr>
          <w:i/>
          <w:iCs/>
        </w:rPr>
        <w:t>classement</w:t>
      </w:r>
      <w:r w:rsidR="710DF024">
        <w:t xml:space="preserve"> or deaccession</w:t>
      </w:r>
      <w:r w:rsidR="00581A87">
        <w:t xml:space="preserve"> which </w:t>
      </w:r>
      <w:r w:rsidR="00A04BE7">
        <w:t xml:space="preserve">involves either a </w:t>
      </w:r>
      <w:r w:rsidR="710DF024">
        <w:t xml:space="preserve">statute or </w:t>
      </w:r>
      <w:r w:rsidR="00A04BE7">
        <w:t>an</w:t>
      </w:r>
      <w:r w:rsidR="710DF024">
        <w:t xml:space="preserve"> administrative decision.</w:t>
      </w:r>
    </w:p>
    <w:p w:rsidR="00665150" w:rsidRDefault="00665150" w:rsidP="001D2C9C">
      <w:pPr>
        <w:spacing w:line="240" w:lineRule="auto"/>
      </w:pPr>
    </w:p>
    <w:p w:rsidR="00027E94" w:rsidRDefault="003E7EF6" w:rsidP="001D2C9C">
      <w:pPr>
        <w:pStyle w:val="Heading1"/>
        <w:spacing w:line="240" w:lineRule="auto"/>
      </w:pPr>
      <w:r>
        <w:t>Repatriation</w:t>
      </w:r>
      <w:r w:rsidR="00027E94">
        <w:t xml:space="preserve">: </w:t>
      </w:r>
      <w:r w:rsidR="00BC4A7E">
        <w:t xml:space="preserve">a legislative or </w:t>
      </w:r>
      <w:r w:rsidR="00027E94">
        <w:t xml:space="preserve">administrative </w:t>
      </w:r>
      <w:r w:rsidR="00BC4A7E">
        <w:t>process</w:t>
      </w:r>
      <w:r w:rsidR="00027E94">
        <w:t>?</w:t>
      </w:r>
    </w:p>
    <w:p w:rsidR="00F57706" w:rsidRDefault="00F57706" w:rsidP="001D2C9C">
      <w:pPr>
        <w:spacing w:line="240" w:lineRule="auto"/>
      </w:pPr>
      <w:r>
        <w:t>During parliamentary debates for the repatriation of Saartje Baartman’s remains and the Mokomokai, it was argued that de-accession was impossible, yet the repatriation of Vamaica Peru illustrates that the laws i</w:t>
      </w:r>
      <w:r w:rsidR="00E54AEA">
        <w:t>n place were adequate</w:t>
      </w:r>
      <w:r>
        <w:t xml:space="preserve">. </w:t>
      </w:r>
      <w:r w:rsidR="001B711B">
        <w:t xml:space="preserve">In 2002, </w:t>
      </w:r>
      <w:r w:rsidR="00E54AEA">
        <w:t xml:space="preserve">when </w:t>
      </w:r>
      <w:r>
        <w:t>Section L52 of the Code of State Property was in force</w:t>
      </w:r>
      <w:r w:rsidR="00E54AEA">
        <w:t>, it</w:t>
      </w:r>
      <w:r>
        <w:t xml:space="preserve"> applied to all museums’ artefacts, with the consequence that </w:t>
      </w:r>
      <w:r w:rsidRPr="002C7F77">
        <w:t>items of collection</w:t>
      </w:r>
      <w:r>
        <w:t>s</w:t>
      </w:r>
      <w:r w:rsidRPr="002C7F77">
        <w:t xml:space="preserve"> </w:t>
      </w:r>
      <w:r>
        <w:t>that belong to public</w:t>
      </w:r>
      <w:r w:rsidRPr="002C7F77">
        <w:t xml:space="preserve"> muse</w:t>
      </w:r>
      <w:r>
        <w:t>u</w:t>
      </w:r>
      <w:r w:rsidRPr="002C7F77">
        <w:t>ms</w:t>
      </w:r>
      <w:r>
        <w:t xml:space="preserve"> were non-transferrable (principle of inalienability). This principle of inalienability has its roots in the Middle Ages and has further evolved in a complex set of rules around its core value now found in </w:t>
      </w:r>
      <w:r w:rsidR="001B711B">
        <w:t xml:space="preserve">Section </w:t>
      </w:r>
      <w:r>
        <w:t>3111-1 of the Public Bodies’ Property Code.</w:t>
      </w:r>
      <w:r>
        <w:rPr>
          <w:rStyle w:val="FootnoteReference"/>
        </w:rPr>
        <w:footnoteReference w:id="83"/>
      </w:r>
      <w:r>
        <w:t xml:space="preserve"> An exception, called delisting or </w:t>
      </w:r>
      <w:r w:rsidRPr="710DF024">
        <w:rPr>
          <w:i/>
          <w:iCs/>
        </w:rPr>
        <w:t>déclassement</w:t>
      </w:r>
      <w:r>
        <w:rPr>
          <w:iCs/>
        </w:rPr>
        <w:t>,</w:t>
      </w:r>
      <w:r>
        <w:t xml:space="preserve"> exists to avoid a </w:t>
      </w:r>
      <w:r>
        <w:lastRenderedPageBreak/>
        <w:t>complete paralysis of the Administration. This process is twofold: firstly, the decision to dispose of an item must be taken by the same authority that affected it to the service</w:t>
      </w:r>
      <w:r w:rsidR="001B711B">
        <w:t xml:space="preserve"> in question</w:t>
      </w:r>
      <w:r>
        <w:t xml:space="preserve"> and following the same procedure;</w:t>
      </w:r>
      <w:r>
        <w:rPr>
          <w:rStyle w:val="FootnoteReference"/>
        </w:rPr>
        <w:footnoteReference w:id="84"/>
      </w:r>
      <w:r>
        <w:t xml:space="preserve"> secondly, the item must be physically removed from th</w:t>
      </w:r>
      <w:r w:rsidR="001B711B">
        <w:t>is</w:t>
      </w:r>
      <w:r>
        <w:t xml:space="preserve"> service. For example, old buildings that are too obsolete to be used as schools or hospitals, are usually sold whereas damaged cars and used military equipment that cannot be disposed of are destroyed. In Vamaica Peru’s case, the Secretary of State for Research (the relevant authority for the Museum) agreed that the remains had no scientific interest and consequently, no public interest, and should be </w:t>
      </w:r>
      <w:r w:rsidR="00B54062">
        <w:t>deaccessed</w:t>
      </w:r>
      <w:r>
        <w:t xml:space="preserve"> (</w:t>
      </w:r>
      <w:r w:rsidRPr="007901DA">
        <w:rPr>
          <w:i/>
        </w:rPr>
        <w:t>dé</w:t>
      </w:r>
      <w:r>
        <w:rPr>
          <w:i/>
        </w:rPr>
        <w:t>classé</w:t>
      </w:r>
      <w:r>
        <w:t>) from the Museum’s collection.</w:t>
      </w:r>
      <w:r>
        <w:rPr>
          <w:rStyle w:val="FootnoteReference"/>
        </w:rPr>
        <w:footnoteReference w:id="85"/>
      </w:r>
      <w:r>
        <w:t xml:space="preserve"> His remains were </w:t>
      </w:r>
      <w:r w:rsidR="001B711B">
        <w:t xml:space="preserve">then </w:t>
      </w:r>
      <w:r>
        <w:t xml:space="preserve">repatriated to Uruguay and buried in the National Pantheon. </w:t>
      </w:r>
    </w:p>
    <w:p w:rsidR="00D5668F" w:rsidRDefault="00D5668F" w:rsidP="001D2C9C">
      <w:pPr>
        <w:spacing w:line="240" w:lineRule="auto"/>
      </w:pPr>
      <w:r>
        <w:t xml:space="preserve">This process was amended in 2002 when a major reform on museum management </w:t>
      </w:r>
      <w:r w:rsidRPr="71772AF6">
        <w:t xml:space="preserve">recognised the legitimacy of deaccession and created </w:t>
      </w:r>
      <w:r w:rsidR="007901DA">
        <w:t xml:space="preserve">the </w:t>
      </w:r>
      <w:r w:rsidRPr="710DF024">
        <w:rPr>
          <w:i/>
          <w:iCs/>
        </w:rPr>
        <w:t>Commission Scientifique Nationale des Collections</w:t>
      </w:r>
      <w:r>
        <w:t xml:space="preserve"> </w:t>
      </w:r>
      <w:r w:rsidR="007901DA">
        <w:t>(</w:t>
      </w:r>
      <w:r>
        <w:t>thereafter Commission) whose mission was to oversee such process.</w:t>
      </w:r>
      <w:r w:rsidR="00D816FA">
        <w:t xml:space="preserve"> This reform recognised, for the first time, that collections were not static, that museums could not care for everything within their walls, that their aim was to preserve the past but also to invest for the future and that deaccession was necessary to guarantee effective collection management.</w:t>
      </w:r>
      <w:bookmarkStart w:id="2" w:name="_Toc321141835"/>
      <w:r w:rsidR="00393A1B">
        <w:rPr>
          <w:rStyle w:val="FootnoteReference"/>
        </w:rPr>
        <w:footnoteReference w:id="86"/>
      </w:r>
      <w:r w:rsidR="00D816FA">
        <w:t xml:space="preserve"> </w:t>
      </w:r>
      <w:r w:rsidR="00393A1B">
        <w:t>T</w:t>
      </w:r>
      <w:r w:rsidR="00393A1B" w:rsidRPr="00E70CD6">
        <w:t xml:space="preserve">he </w:t>
      </w:r>
      <w:r w:rsidRPr="00E70CD6">
        <w:t>Act codified the principle of inalienability as it applies to museums</w:t>
      </w:r>
      <w:r w:rsidR="001B711B">
        <w:t xml:space="preserve"> which </w:t>
      </w:r>
      <w:r w:rsidRPr="00E70CD6">
        <w:t xml:space="preserve"> </w:t>
      </w:r>
      <w:r w:rsidR="001B711B">
        <w:t xml:space="preserve">is  </w:t>
      </w:r>
      <w:r w:rsidR="00D816FA">
        <w:t xml:space="preserve">now </w:t>
      </w:r>
      <w:r w:rsidR="001B711B">
        <w:t xml:space="preserve">found </w:t>
      </w:r>
      <w:r w:rsidR="00D816FA">
        <w:t xml:space="preserve">in </w:t>
      </w:r>
      <w:r w:rsidR="001B711B" w:rsidRPr="00E70CD6">
        <w:t xml:space="preserve">Section </w:t>
      </w:r>
      <w:r w:rsidRPr="00E70CD6">
        <w:t>L 451-5</w:t>
      </w:r>
      <w:r w:rsidR="00D816FA">
        <w:t>(1)</w:t>
      </w:r>
      <w:r w:rsidRPr="00E70CD6">
        <w:t xml:space="preserve"> </w:t>
      </w:r>
      <w:r w:rsidR="007901DA">
        <w:t>CHC</w:t>
      </w:r>
      <w:r w:rsidRPr="00E70CD6">
        <w:t xml:space="preserve">. </w:t>
      </w:r>
      <w:r>
        <w:t xml:space="preserve">By exception to this principle, </w:t>
      </w:r>
      <w:r w:rsidR="001B711B">
        <w:t xml:space="preserve">Section </w:t>
      </w:r>
      <w:r>
        <w:t>L.454-1</w:t>
      </w:r>
      <w:r w:rsidRPr="00A3208A">
        <w:t xml:space="preserve"> </w:t>
      </w:r>
      <w:r w:rsidR="00D816FA">
        <w:t>(</w:t>
      </w:r>
      <w:r>
        <w:t>2</w:t>
      </w:r>
      <w:r w:rsidR="00D816FA">
        <w:t>)</w:t>
      </w:r>
      <w:r w:rsidRPr="003C2503">
        <w:t xml:space="preserve"> allows </w:t>
      </w:r>
      <w:r>
        <w:t xml:space="preserve">curators to deaccess </w:t>
      </w:r>
      <w:r w:rsidRPr="003C2503">
        <w:t>artefacts</w:t>
      </w:r>
      <w:r>
        <w:t xml:space="preserve"> held</w:t>
      </w:r>
      <w:r w:rsidRPr="003C2503">
        <w:t xml:space="preserve"> in public collections</w:t>
      </w:r>
      <w:r>
        <w:t xml:space="preserve"> whether purchased with public or private funds</w:t>
      </w:r>
      <w:r w:rsidRPr="003C2503">
        <w:t xml:space="preserve"> with the </w:t>
      </w:r>
      <w:r>
        <w:t>approval</w:t>
      </w:r>
      <w:r w:rsidRPr="003C2503">
        <w:t xml:space="preserve"> of </w:t>
      </w:r>
      <w:r w:rsidR="00D816FA">
        <w:t>the</w:t>
      </w:r>
      <w:r w:rsidRPr="003C2503">
        <w:t xml:space="preserve"> Commission. </w:t>
      </w:r>
      <w:r>
        <w:t>There are two exceptions to this exception, firstly works in private collections of accredited museums that were purchased with funding from the State and secondly works that were bequeathed or donated to a public collection cannot be de-accessed (</w:t>
      </w:r>
      <w:r w:rsidR="001B711B">
        <w:t xml:space="preserve">Section </w:t>
      </w:r>
      <w:r>
        <w:t xml:space="preserve">L.451-7 CHC). The aim of the latter exception is to re-assure potential donors that their gifts will not be sold unless Parliament authorises it. However, Parliament feared that curators would too easily get rid of their </w:t>
      </w:r>
      <w:r w:rsidR="00903138">
        <w:t>“</w:t>
      </w:r>
      <w:r>
        <w:t>old stuff</w:t>
      </w:r>
      <w:r w:rsidR="00903138">
        <w:t>”</w:t>
      </w:r>
      <w:r>
        <w:t xml:space="preserve"> and in order to limit and contro</w:t>
      </w:r>
      <w:r w:rsidR="00D816FA">
        <w:t xml:space="preserve">l </w:t>
      </w:r>
      <w:r w:rsidR="00D8728D">
        <w:t>this</w:t>
      </w:r>
      <w:r w:rsidR="00D816FA">
        <w:t xml:space="preserve"> new power, it created the Commission</w:t>
      </w:r>
      <w:r w:rsidRPr="710DF024">
        <w:rPr>
          <w:i/>
          <w:iCs/>
        </w:rPr>
        <w:t xml:space="preserve"> </w:t>
      </w:r>
      <w:r>
        <w:t xml:space="preserve">to oversee the process. </w:t>
      </w:r>
      <w:bookmarkEnd w:id="2"/>
      <w:r>
        <w:t xml:space="preserve">The Commission </w:t>
      </w:r>
      <w:r w:rsidRPr="0093704A">
        <w:t xml:space="preserve">created by </w:t>
      </w:r>
      <w:r>
        <w:t xml:space="preserve">the </w:t>
      </w:r>
      <w:r w:rsidRPr="0093704A">
        <w:t xml:space="preserve">2002 </w:t>
      </w:r>
      <w:r>
        <w:t>Act was set up by regulation the same year</w:t>
      </w:r>
      <w:r w:rsidR="0072745D" w:rsidRPr="0072745D">
        <w:t xml:space="preserve"> </w:t>
      </w:r>
      <w:r w:rsidR="00D8728D">
        <w:t>(</w:t>
      </w:r>
      <w:r w:rsidR="001B711B">
        <w:t xml:space="preserve">Sections </w:t>
      </w:r>
      <w:r w:rsidR="0072745D">
        <w:t xml:space="preserve">L.115-1 et seq. and R. 451-3 </w:t>
      </w:r>
      <w:r w:rsidR="00D8728D">
        <w:t xml:space="preserve">CHC). </w:t>
      </w:r>
      <w:r w:rsidR="001B711B">
        <w:t>The Commission</w:t>
      </w:r>
      <w:r w:rsidRPr="00A23AC8">
        <w:t xml:space="preserve"> decides on both accession </w:t>
      </w:r>
      <w:r w:rsidR="001B711B">
        <w:t>(</w:t>
      </w:r>
      <w:r w:rsidR="001B711B" w:rsidRPr="00A23AC8">
        <w:t>acquisition by purchase, gift or donation</w:t>
      </w:r>
      <w:r w:rsidR="001B711B">
        <w:t>, s</w:t>
      </w:r>
      <w:r w:rsidR="001B711B" w:rsidRPr="00A23AC8">
        <w:t>. 451-1 Cultural Heritage Code</w:t>
      </w:r>
      <w:r w:rsidR="001B711B" w:rsidRPr="00A23AC8">
        <w:rPr>
          <w:rStyle w:val="FootnoteReference"/>
        </w:rPr>
        <w:footnoteReference w:id="87"/>
      </w:r>
      <w:r w:rsidR="001B711B">
        <w:t xml:space="preserve">) </w:t>
      </w:r>
      <w:r w:rsidRPr="00A23AC8">
        <w:t xml:space="preserve">and deaccession at </w:t>
      </w:r>
      <w:r>
        <w:t>the request of the director of a</w:t>
      </w:r>
      <w:r w:rsidRPr="00A23AC8">
        <w:t xml:space="preserve"> museum</w:t>
      </w:r>
      <w:r>
        <w:t xml:space="preserve">; </w:t>
      </w:r>
      <w:r w:rsidRPr="00A23AC8">
        <w:t xml:space="preserve">it has met many times to discuss the former  but </w:t>
      </w:r>
      <w:r>
        <w:t>up to 2010 not</w:t>
      </w:r>
      <w:r w:rsidRPr="00A23AC8">
        <w:t xml:space="preserve"> the latter</w:t>
      </w:r>
      <w:r w:rsidR="001B711B">
        <w:t>.</w:t>
      </w:r>
      <w:r w:rsidRPr="00A23AC8">
        <w:rPr>
          <w:rStyle w:val="FootnoteReference"/>
        </w:rPr>
        <w:footnoteReference w:id="88"/>
      </w:r>
      <w:r w:rsidR="001B711B" w:rsidRPr="001B711B">
        <w:t xml:space="preserve"> </w:t>
      </w:r>
      <w:r w:rsidR="001B711B">
        <w:t>Thus, its structure and composition were modified</w:t>
      </w:r>
      <w:r w:rsidR="00E54AEA">
        <w:t xml:space="preserve"> in 2010</w:t>
      </w:r>
      <w:r w:rsidR="001B711B">
        <w:t xml:space="preserve"> to make it more inefficient: its membership was reduced and its decision process simplified. However</w:t>
      </w:r>
      <w:r w:rsidR="00432662">
        <w:t>, this did not suffice to make the Commission able to address the issue of repatriation.</w:t>
      </w:r>
    </w:p>
    <w:p w:rsidR="00D816FA" w:rsidRDefault="00D816FA" w:rsidP="001D2C9C">
      <w:pPr>
        <w:spacing w:line="240" w:lineRule="auto"/>
      </w:pPr>
    </w:p>
    <w:p w:rsidR="000E773C" w:rsidRDefault="00D923F5" w:rsidP="001D2C9C">
      <w:pPr>
        <w:spacing w:line="240" w:lineRule="auto"/>
      </w:pPr>
      <w:r>
        <w:t>Th</w:t>
      </w:r>
      <w:r w:rsidR="00432662">
        <w:t>e</w:t>
      </w:r>
      <w:r>
        <w:t xml:space="preserve"> Commission is</w:t>
      </w:r>
      <w:r w:rsidR="00E54AEA">
        <w:t xml:space="preserve"> and has been</w:t>
      </w:r>
      <w:r>
        <w:t xml:space="preserve"> in deadlock </w:t>
      </w:r>
      <w:r w:rsidR="00B54062">
        <w:t xml:space="preserve">since its creation because of </w:t>
      </w:r>
      <w:r>
        <w:t>ambiguit</w:t>
      </w:r>
      <w:r w:rsidR="00B54062">
        <w:t xml:space="preserve">ies </w:t>
      </w:r>
      <w:r>
        <w:t xml:space="preserve"> regarding its role</w:t>
      </w:r>
      <w:r w:rsidRPr="00D923F5">
        <w:t xml:space="preserve"> </w:t>
      </w:r>
      <w:r>
        <w:t xml:space="preserve">as well as political, financial and structural problems. Firstly, there were ambiguities as to its role. Morin Dessailly MP, </w:t>
      </w:r>
      <w:r w:rsidR="00432662">
        <w:t xml:space="preserve">who supported the repatriation of the Mokomokai, </w:t>
      </w:r>
      <w:r>
        <w:t xml:space="preserve">thought that the </w:t>
      </w:r>
      <w:r>
        <w:rPr>
          <w:i/>
        </w:rPr>
        <w:t xml:space="preserve">raison d’être </w:t>
      </w:r>
      <w:r>
        <w:t>of the Commission was to establish criteria for deaccession</w:t>
      </w:r>
      <w:r w:rsidR="00432662">
        <w:t xml:space="preserve"> in order to facilitate the repatriation of human remains</w:t>
      </w:r>
      <w:r>
        <w:t>.</w:t>
      </w:r>
      <w:r>
        <w:rPr>
          <w:rStyle w:val="FootnoteReference"/>
        </w:rPr>
        <w:footnoteReference w:id="89"/>
      </w:r>
      <w:r>
        <w:t xml:space="preserve"> Its president was of a different opinion</w:t>
      </w:r>
      <w:r w:rsidR="00D8728D">
        <w:t xml:space="preserve"> and </w:t>
      </w:r>
      <w:r>
        <w:t>underlined that it did not have the authority to discuss criteria for the repatriation of human remains.</w:t>
      </w:r>
      <w:r w:rsidRPr="710DF024">
        <w:rPr>
          <w:rStyle w:val="FootnoteReference"/>
        </w:rPr>
        <w:footnoteReference w:id="90"/>
      </w:r>
      <w:r>
        <w:t xml:space="preserve"> A working group was set up to discuss the place of human remains in museum collections</w:t>
      </w:r>
      <w:r w:rsidR="00D8728D">
        <w:t xml:space="preserve"> in general but not </w:t>
      </w:r>
      <w:r>
        <w:t xml:space="preserve">their repatriation. </w:t>
      </w:r>
      <w:r w:rsidR="00905A41">
        <w:t>It</w:t>
      </w:r>
      <w:r>
        <w:t xml:space="preserve"> </w:t>
      </w:r>
      <w:r w:rsidRPr="0013362D">
        <w:t>published guidelines for the display of human remains in museums</w:t>
      </w:r>
      <w:r>
        <w:t xml:space="preserve"> </w:t>
      </w:r>
      <w:r w:rsidR="00905A41">
        <w:t>in accordance with</w:t>
      </w:r>
      <w:r>
        <w:t xml:space="preserve"> </w:t>
      </w:r>
      <w:r w:rsidR="00432662">
        <w:t xml:space="preserve">the </w:t>
      </w:r>
      <w:r>
        <w:t>principle of decency,</w:t>
      </w:r>
      <w:r w:rsidRPr="0013362D">
        <w:t xml:space="preserve"> but </w:t>
      </w:r>
      <w:r w:rsidR="00905A41">
        <w:t>not much</w:t>
      </w:r>
      <w:r>
        <w:t xml:space="preserve"> is said about repatriation.</w:t>
      </w:r>
      <w:r w:rsidRPr="710DF024">
        <w:rPr>
          <w:rStyle w:val="FootnoteReference"/>
        </w:rPr>
        <w:footnoteReference w:id="91"/>
      </w:r>
      <w:r>
        <w:t xml:space="preserve"> </w:t>
      </w:r>
      <w:r w:rsidR="00432662">
        <w:t xml:space="preserve">Therefore, the issue of repatriation was addressed by </w:t>
      </w:r>
      <w:r w:rsidR="00905A41">
        <w:t xml:space="preserve">neither </w:t>
      </w:r>
      <w:r w:rsidR="00432662">
        <w:t>the Commission</w:t>
      </w:r>
      <w:r w:rsidR="00905A41">
        <w:t xml:space="preserve"> nor the working group</w:t>
      </w:r>
      <w:r w:rsidR="00432662">
        <w:t xml:space="preserve">. </w:t>
      </w:r>
      <w:r>
        <w:t>Secondly, there was a lack of political leadership in nominating the different members of the Commission</w:t>
      </w:r>
      <w:r w:rsidR="00D8728D">
        <w:t>,</w:t>
      </w:r>
      <w:r w:rsidRPr="00D923F5">
        <w:t xml:space="preserve"> </w:t>
      </w:r>
      <w:r w:rsidR="00432662">
        <w:t xml:space="preserve">for which </w:t>
      </w:r>
      <w:r>
        <w:t>Morin-Dessailly MP blames the government.</w:t>
      </w:r>
      <w:r>
        <w:rPr>
          <w:rStyle w:val="FootnoteReference"/>
        </w:rPr>
        <w:footnoteReference w:id="92"/>
      </w:r>
      <w:r>
        <w:t xml:space="preserve"> </w:t>
      </w:r>
      <w:r w:rsidR="00D8728D">
        <w:t xml:space="preserve">After the Commission’s structure and composition were amended in 2010, </w:t>
      </w:r>
      <w:r w:rsidR="002A66A2">
        <w:t xml:space="preserve">it took another three years to nominate </w:t>
      </w:r>
      <w:r w:rsidR="00432662">
        <w:t>its</w:t>
      </w:r>
      <w:r>
        <w:t xml:space="preserve"> president</w:t>
      </w:r>
      <w:r w:rsidR="00D8728D">
        <w:t xml:space="preserve"> Jacques Sallois</w:t>
      </w:r>
      <w:r>
        <w:t xml:space="preserve">, </w:t>
      </w:r>
      <w:r w:rsidR="00432662">
        <w:t xml:space="preserve">as well as </w:t>
      </w:r>
      <w:r>
        <w:t xml:space="preserve">representatives of </w:t>
      </w:r>
      <w:r w:rsidR="00D8728D">
        <w:t xml:space="preserve">both </w:t>
      </w:r>
      <w:r>
        <w:t>parliament and local authorities.</w:t>
      </w:r>
      <w:r>
        <w:rPr>
          <w:rStyle w:val="FootnoteReference"/>
        </w:rPr>
        <w:footnoteReference w:id="93"/>
      </w:r>
      <w:r>
        <w:t xml:space="preserve"> </w:t>
      </w:r>
      <w:r w:rsidR="002A66A2">
        <w:t>Furthermore</w:t>
      </w:r>
      <w:r w:rsidR="00432662">
        <w:t>, since the five-year mandate of Jacques Sallois ended in</w:t>
      </w:r>
      <w:r w:rsidR="00432662" w:rsidRPr="00432662">
        <w:t xml:space="preserve"> </w:t>
      </w:r>
      <w:r w:rsidR="00432662">
        <w:t>January 2018</w:t>
      </w:r>
      <w:r>
        <w:t>, the Commission has not had a president.</w:t>
      </w:r>
      <w:r>
        <w:rPr>
          <w:rStyle w:val="FootnoteReference"/>
        </w:rPr>
        <w:footnoteReference w:id="94"/>
      </w:r>
      <w:r>
        <w:t xml:space="preserve"> </w:t>
      </w:r>
      <w:r w:rsidR="002A66A2">
        <w:t>The Government lacks of support also shows in its willingness to break up the Commission. A bill currently discussed in Parliament has scheduled its abrogation for the reason that its mission is finished; and that it is superfluous as it would only advise the Secretary of State for Culture rather not make the final decision regarding the de-accession of objects from museum collections.</w:t>
      </w:r>
      <w:r w:rsidR="002A66A2">
        <w:rPr>
          <w:rStyle w:val="FootnoteReference"/>
        </w:rPr>
        <w:footnoteReference w:id="95"/>
      </w:r>
      <w:r w:rsidR="002A66A2">
        <w:t xml:space="preserve"> However, the Senate has shown its opposition to the Government since it voted an amendment against the abrogation of the Commission.</w:t>
      </w:r>
      <w:r w:rsidR="002A66A2">
        <w:rPr>
          <w:rStyle w:val="FootnoteReference"/>
        </w:rPr>
        <w:footnoteReference w:id="96"/>
      </w:r>
      <w:r w:rsidR="002A66A2">
        <w:t xml:space="preserve"> The bill is currently going through Parliament.</w:t>
      </w:r>
      <w:r w:rsidR="00F02F90">
        <w:t xml:space="preserve"> The way forward is uncertain, Michel Van Praet suggested the judiciary route to replace the Commission.</w:t>
      </w:r>
      <w:r w:rsidR="00F02F90">
        <w:rPr>
          <w:rStyle w:val="FootnoteReference"/>
        </w:rPr>
        <w:footnoteReference w:id="97"/>
      </w:r>
      <w:r w:rsidR="00F02F90">
        <w:t xml:space="preserve"> However, judges, albeit independent, are not the </w:t>
      </w:r>
      <w:r w:rsidR="00F02F90">
        <w:lastRenderedPageBreak/>
        <w:t xml:space="preserve">best situated to decide on the criteria to deaccess human remains or cultural objects. </w:t>
      </w:r>
      <w:r w:rsidR="002A66A2">
        <w:t xml:space="preserve">The author’s view is that the Commission should remain in place </w:t>
      </w:r>
      <w:r w:rsidR="00905A41">
        <w:t>and engage with the issue</w:t>
      </w:r>
      <w:r w:rsidR="002A66A2">
        <w:t xml:space="preserve"> of </w:t>
      </w:r>
      <w:r w:rsidR="00905A41">
        <w:t>repatriation</w:t>
      </w:r>
      <w:r w:rsidR="002A66A2">
        <w:t xml:space="preserve">. </w:t>
      </w:r>
      <w:r w:rsidR="00432662">
        <w:t>Thirdly</w:t>
      </w:r>
      <w:r>
        <w:t>, there was a lack of financial support for the work undertaken by the Commission</w:t>
      </w:r>
      <w:r w:rsidR="00905A41">
        <w:t>: members had to pay for their travel, which is not an issue if one lives in Paris but becomes one if the person lives in Marseilles or Lille.</w:t>
      </w:r>
      <w:r w:rsidRPr="710DF024">
        <w:rPr>
          <w:rStyle w:val="FootnoteReference"/>
        </w:rPr>
        <w:footnoteReference w:id="98"/>
      </w:r>
      <w:r>
        <w:t xml:space="preserve"> </w:t>
      </w:r>
      <w:r w:rsidR="00905A41">
        <w:t>This was a</w:t>
      </w:r>
      <w:r>
        <w:t xml:space="preserve"> violation of section R115-3 CHC that states that unpaid members should get their travel expenses reimbursed. </w:t>
      </w:r>
      <w:r w:rsidR="00432662">
        <w:t xml:space="preserve"> It also led to decisions </w:t>
      </w:r>
      <w:r w:rsidR="002A66A2">
        <w:t xml:space="preserve">being </w:t>
      </w:r>
      <w:r w:rsidR="00432662">
        <w:t>agreed by post rather than in person.</w:t>
      </w:r>
      <w:r w:rsidR="00432662">
        <w:rPr>
          <w:rStyle w:val="FootnoteReference"/>
        </w:rPr>
        <w:footnoteReference w:id="99"/>
      </w:r>
      <w:r w:rsidR="00432662">
        <w:t xml:space="preserve"> </w:t>
      </w:r>
      <w:r>
        <w:t xml:space="preserve">Finally, there is a structural problem in the organisation of the Commission: its large size. Section R115-2 CHC sets up four colleges with 40 members in total, some members belonging to several colleges. The quorum to meet was half of its membership (20 members), which was rarely </w:t>
      </w:r>
      <w:r w:rsidR="00432662">
        <w:t>met</w:t>
      </w:r>
      <w:r>
        <w:t xml:space="preserve"> (</w:t>
      </w:r>
      <w:r w:rsidR="00432662">
        <w:t xml:space="preserve">Section </w:t>
      </w:r>
      <w:r>
        <w:t>R115-4(3) CHC).</w:t>
      </w:r>
      <w:r w:rsidRPr="710DF024">
        <w:rPr>
          <w:rStyle w:val="FootnoteReference"/>
        </w:rPr>
        <w:footnoteReference w:id="100"/>
      </w:r>
      <w:r w:rsidRPr="008F414B">
        <w:t xml:space="preserve"> </w:t>
      </w:r>
      <w:r>
        <w:t xml:space="preserve">Even </w:t>
      </w:r>
      <w:r w:rsidR="00432662">
        <w:t>when</w:t>
      </w:r>
      <w:r>
        <w:t xml:space="preserve"> the quorum was met</w:t>
      </w:r>
      <w:r w:rsidRPr="008F414B">
        <w:t xml:space="preserve"> </w:t>
      </w:r>
      <w:r>
        <w:t>to discuss potential de-accession requests, it was rare to reach the required approval of two third of all members (26) of the Commission, rather than those present at the meeting (</w:t>
      </w:r>
      <w:r w:rsidR="00432662">
        <w:t xml:space="preserve">Section </w:t>
      </w:r>
      <w:r>
        <w:t xml:space="preserve">R115-4(4) CHC). Despite </w:t>
      </w:r>
      <w:r w:rsidR="000E773C" w:rsidRPr="000E773C">
        <w:t xml:space="preserve">these difficulties, the </w:t>
      </w:r>
      <w:r w:rsidR="00C9754F" w:rsidRPr="000E773C">
        <w:t xml:space="preserve">Commission </w:t>
      </w:r>
      <w:r w:rsidR="000E773C" w:rsidRPr="000E773C">
        <w:t xml:space="preserve">decided </w:t>
      </w:r>
      <w:r>
        <w:t xml:space="preserve">on a handful of </w:t>
      </w:r>
      <w:r w:rsidR="000E773C" w:rsidRPr="000E773C">
        <w:t>cases</w:t>
      </w:r>
      <w:r w:rsidR="007901DA">
        <w:t>:</w:t>
      </w:r>
      <w:r w:rsidR="000E773C" w:rsidRPr="000E773C">
        <w:t xml:space="preserve"> </w:t>
      </w:r>
      <w:r w:rsidR="007901DA">
        <w:t>two</w:t>
      </w:r>
      <w:r w:rsidR="000E773C" w:rsidRPr="000E773C">
        <w:t xml:space="preserve"> guns from the Army museum, </w:t>
      </w:r>
      <w:r w:rsidR="007901DA">
        <w:t xml:space="preserve">a few artefacts </w:t>
      </w:r>
      <w:r w:rsidR="00432662">
        <w:t xml:space="preserve">that were decaying in </w:t>
      </w:r>
      <w:r w:rsidR="000E773C" w:rsidRPr="000E773C">
        <w:t xml:space="preserve">the Museum of </w:t>
      </w:r>
      <w:r w:rsidR="00432662" w:rsidRPr="000E773C">
        <w:t xml:space="preserve">Air </w:t>
      </w:r>
      <w:r w:rsidR="000E773C" w:rsidRPr="000E773C">
        <w:t xml:space="preserve">and Space </w:t>
      </w:r>
      <w:r w:rsidR="00432662">
        <w:t>and the</w:t>
      </w:r>
      <w:r w:rsidR="007901DA">
        <w:t xml:space="preserve"> request </w:t>
      </w:r>
      <w:r w:rsidR="00432662">
        <w:t>was made by</w:t>
      </w:r>
      <w:r w:rsidR="000E773C" w:rsidRPr="000E773C">
        <w:t xml:space="preserve"> the </w:t>
      </w:r>
      <w:r w:rsidR="007901DA" w:rsidRPr="000E773C">
        <w:t>Secretary</w:t>
      </w:r>
      <w:r w:rsidR="000E773C" w:rsidRPr="000E773C">
        <w:t xml:space="preserve"> of </w:t>
      </w:r>
      <w:r w:rsidR="00432662" w:rsidRPr="000E773C">
        <w:t xml:space="preserve">State </w:t>
      </w:r>
      <w:r w:rsidR="000E773C" w:rsidRPr="000E773C">
        <w:t xml:space="preserve">for </w:t>
      </w:r>
      <w:r w:rsidR="007901DA" w:rsidRPr="000E773C">
        <w:t>Defence</w:t>
      </w:r>
      <w:r w:rsidR="007901DA">
        <w:t xml:space="preserve">; artefacts from the </w:t>
      </w:r>
      <w:r w:rsidR="007901DA" w:rsidRPr="007901DA">
        <w:t xml:space="preserve">Sèvres </w:t>
      </w:r>
      <w:r w:rsidR="007901DA">
        <w:t>manufacture</w:t>
      </w:r>
      <w:r w:rsidR="00432662">
        <w:t>,that produces porcelain</w:t>
      </w:r>
      <w:r w:rsidR="007901DA">
        <w:t>.</w:t>
      </w:r>
      <w:r w:rsidR="000E773C">
        <w:rPr>
          <w:rStyle w:val="FootnoteReference"/>
        </w:rPr>
        <w:footnoteReference w:id="101"/>
      </w:r>
      <w:r w:rsidR="00F817C3">
        <w:t xml:space="preserve"> </w:t>
      </w:r>
      <w:r w:rsidR="00C9754F">
        <w:t xml:space="preserve">It also submitted a report to Parliament, in 2015, in which it </w:t>
      </w:r>
      <w:r w:rsidR="00C9754F" w:rsidRPr="0013362D">
        <w:t>identified criteria to deaccess objects within two collections</w:t>
      </w:r>
      <w:r w:rsidR="00905A41">
        <w:t>:</w:t>
      </w:r>
      <w:r w:rsidR="00C9754F">
        <w:t xml:space="preserve"> Manufacture of Sevres </w:t>
      </w:r>
      <w:r w:rsidR="00905A41">
        <w:t>and</w:t>
      </w:r>
      <w:r w:rsidR="00C9754F">
        <w:t xml:space="preserve"> the Army Museum</w:t>
      </w:r>
      <w:r w:rsidR="00C9754F" w:rsidRPr="0013362D">
        <w:t xml:space="preserve"> but not human remains.</w:t>
      </w:r>
      <w:r w:rsidR="000E773C" w:rsidRPr="710DF024">
        <w:rPr>
          <w:rStyle w:val="FootnoteReference"/>
        </w:rPr>
        <w:footnoteReference w:id="102"/>
      </w:r>
      <w:r w:rsidR="00F817C3">
        <w:t xml:space="preserve"> </w:t>
      </w:r>
    </w:p>
    <w:p w:rsidR="000E773C" w:rsidRPr="00E03320" w:rsidRDefault="000E773C" w:rsidP="001D2C9C">
      <w:pPr>
        <w:spacing w:line="240" w:lineRule="auto"/>
      </w:pPr>
    </w:p>
    <w:p w:rsidR="005914CF" w:rsidRDefault="00B91AA9" w:rsidP="001D2C9C">
      <w:pPr>
        <w:spacing w:line="240" w:lineRule="auto"/>
      </w:pPr>
      <w:r>
        <w:t>Th</w:t>
      </w:r>
      <w:r w:rsidR="00E54AEA">
        <w:t>e commission’s deadlock was worsened by the lack of engagement of museum directors</w:t>
      </w:r>
      <w:r w:rsidR="00EA0D34">
        <w:t xml:space="preserve"> who </w:t>
      </w:r>
      <w:r>
        <w:t>are strongly opposed to deaccession and attached to the principle of inalienability</w:t>
      </w:r>
      <w:r w:rsidRPr="00196611">
        <w:t xml:space="preserve"> </w:t>
      </w:r>
      <w:r w:rsidR="00404726">
        <w:t xml:space="preserve">as </w:t>
      </w:r>
      <w:r w:rsidR="00905A41">
        <w:t xml:space="preserve">most still believe that </w:t>
      </w:r>
      <w:r w:rsidR="00404726">
        <w:t xml:space="preserve">the role of </w:t>
      </w:r>
      <w:r>
        <w:t xml:space="preserve">museums </w:t>
      </w:r>
      <w:r w:rsidR="00404726">
        <w:t>is to</w:t>
      </w:r>
      <w:r>
        <w:t xml:space="preserve"> preserve the past for future generations, </w:t>
      </w:r>
      <w:r w:rsidR="00404726">
        <w:t xml:space="preserve">and </w:t>
      </w:r>
      <w:r w:rsidR="00905A41">
        <w:t>that the floodgate will be opening</w:t>
      </w:r>
      <w:r w:rsidR="00404726">
        <w:t>.</w:t>
      </w:r>
      <w:r>
        <w:rPr>
          <w:rStyle w:val="FootnoteReference"/>
        </w:rPr>
        <w:footnoteReference w:id="103"/>
      </w:r>
      <w:r w:rsidR="00404726">
        <w:t xml:space="preserve"> </w:t>
      </w:r>
      <w:r w:rsidR="00EA0D34">
        <w:t>Furthermore</w:t>
      </w:r>
      <w:r>
        <w:t>, there are no guidelines on what could be deaccessed: fakes, doubles, damaged artefacts or human remains. The lack of engagement with this issue means that no criteria have been defined to identify objects that could be de-accessed</w:t>
      </w:r>
      <w:r w:rsidR="00B54062">
        <w:t>, except for the Manufacture de Sevres and the Museum of Air and Space</w:t>
      </w:r>
      <w:r>
        <w:t>. It was expected that the Commission would set those criteria in its deaccession practice but it never happened.</w:t>
      </w:r>
      <w:r w:rsidR="00D816FA">
        <w:t xml:space="preserve"> </w:t>
      </w:r>
      <w:r w:rsidR="00404726">
        <w:t xml:space="preserve">The situation is becoming urgent following the Savoy Sarr report, and the potential requests for repatriation and restitution of African cultural objects. </w:t>
      </w:r>
      <w:r w:rsidR="00EA0D34">
        <w:t>Finally</w:t>
      </w:r>
      <w:r>
        <w:t>, the lack of clarity of the deaccession procedure for human remains creates an ineq</w:t>
      </w:r>
      <w:r w:rsidR="005914CF">
        <w:t xml:space="preserve">uality of treatment between </w:t>
      </w:r>
      <w:r>
        <w:t xml:space="preserve">Maoris and </w:t>
      </w:r>
      <w:r w:rsidR="00F02F90">
        <w:t>other Indigenous peoples</w:t>
      </w:r>
      <w:r w:rsidR="005914CF">
        <w:t xml:space="preserve"> wishing to request the </w:t>
      </w:r>
      <w:r>
        <w:t>repatriation of their ancestors’ remains. Indeed, MPs showed a lot of emotional reasons either to oppose the deaccession (protecting the integrity of public collections, fearing opening the repatriation floodgate) or to support it (redressing the wrongs of colonialism being the main one),</w:t>
      </w:r>
      <w:r w:rsidRPr="00C9195A">
        <w:rPr>
          <w:rStyle w:val="FootnoteReference"/>
          <w:vertAlign w:val="baseline"/>
        </w:rPr>
        <w:t xml:space="preserve"> but they</w:t>
      </w:r>
      <w:r>
        <w:t xml:space="preserve"> neither discussed potential criteria to identify other remains </w:t>
      </w:r>
      <w:r>
        <w:lastRenderedPageBreak/>
        <w:t xml:space="preserve">that could be repatriated nor were </w:t>
      </w:r>
      <w:r w:rsidR="005914CF">
        <w:t xml:space="preserve">they </w:t>
      </w:r>
      <w:r>
        <w:t>aware</w:t>
      </w:r>
      <w:r w:rsidR="005914CF">
        <w:t xml:space="preserve"> (but one)</w:t>
      </w:r>
      <w:r>
        <w:t xml:space="preserve"> that deaccessioning only Mokamokai discrimi</w:t>
      </w:r>
      <w:r w:rsidR="005914CF">
        <w:t xml:space="preserve">nated against other </w:t>
      </w:r>
      <w:r w:rsidR="00401390">
        <w:t>Indigenous peoples</w:t>
      </w:r>
      <w:r>
        <w:t>.</w:t>
      </w:r>
    </w:p>
    <w:p w:rsidR="00B91AA9" w:rsidRDefault="00B91AA9" w:rsidP="001D2C9C">
      <w:pPr>
        <w:spacing w:line="240" w:lineRule="auto"/>
      </w:pPr>
      <w:r>
        <w:t xml:space="preserve"> </w:t>
      </w:r>
    </w:p>
    <w:p w:rsidR="00027E94" w:rsidRPr="00AA3549" w:rsidRDefault="003E7EF6" w:rsidP="001D2C9C">
      <w:pPr>
        <w:pStyle w:val="Heading1"/>
        <w:spacing w:line="240" w:lineRule="auto"/>
      </w:pPr>
      <w:r>
        <w:t>Repatriation</w:t>
      </w:r>
      <w:r w:rsidR="00027E94">
        <w:t>: possible criteria</w:t>
      </w:r>
    </w:p>
    <w:p w:rsidR="00FB0DA0" w:rsidRDefault="005914CF" w:rsidP="001D2C9C">
      <w:pPr>
        <w:spacing w:line="240" w:lineRule="auto"/>
      </w:pPr>
      <w:bookmarkStart w:id="3" w:name="_Toc321141846"/>
      <w:r>
        <w:t xml:space="preserve">Repatriation takes time and needs to be carefully thought through in order to not cause a new wrong. </w:t>
      </w:r>
      <w:r w:rsidR="008B59DE">
        <w:t>18 years after the repatriation of Vamaica Peru and Saartje Baartman, c</w:t>
      </w:r>
      <w:r>
        <w:t xml:space="preserve">riteria </w:t>
      </w:r>
      <w:r w:rsidR="008B59DE">
        <w:t>to decide</w:t>
      </w:r>
      <w:r>
        <w:t xml:space="preserve"> which remains could be repatriated and which could not be repatriated have been discussed within the Department for Culture but are not yet publicly available as they have not been approved by the Secretary of State for Culture. It is hoped that the guidelines have not adopted the four inadequate criteria put forward by the Museum of Rouen to allow for the repatriation of the Mokomokai: (1) the request originates from a sovereign country where the original community (</w:t>
      </w:r>
      <w:r w:rsidRPr="710DF024">
        <w:rPr>
          <w:i/>
          <w:iCs/>
        </w:rPr>
        <w:t>peuple</w:t>
      </w:r>
      <w:r>
        <w:t>) still lives in; (2) the remains have no scientific interest; (3) the remains will be buried and not exhibited or preserved in a museum; (4) the death of the person was caused by barbaric acts. These criteria were later conside</w:t>
      </w:r>
      <w:r w:rsidR="00F02F90">
        <w:t>red reasonable by Mrs Fourneyron</w:t>
      </w:r>
      <w:r>
        <w:t xml:space="preserve"> MP</w:t>
      </w:r>
      <w:r w:rsidR="00F02F90">
        <w:t>,</w:t>
      </w:r>
      <w:r>
        <w:rPr>
          <w:rStyle w:val="FootnoteReference"/>
        </w:rPr>
        <w:footnoteReference w:id="104"/>
      </w:r>
      <w:r>
        <w:t xml:space="preserve"> even though during parliamentary debates, they were amended as follows: 1) the request </w:t>
      </w:r>
      <w:r w:rsidR="00F02F90">
        <w:t>is</w:t>
      </w:r>
      <w:r>
        <w:t xml:space="preserve"> made</w:t>
      </w:r>
      <w:r w:rsidR="00F02F90">
        <w:t xml:space="preserve"> by</w:t>
      </w:r>
      <w:r>
        <w:t xml:space="preserve"> a democratic state, 2) in the name of an indigenous group that still exist</w:t>
      </w:r>
      <w:r w:rsidR="00F02F90">
        <w:t>s</w:t>
      </w:r>
      <w:r>
        <w:t xml:space="preserve"> today, 3) the remains have no scientific interest and 4) the principle of dignity justifie</w:t>
      </w:r>
      <w:r w:rsidR="00F02F90">
        <w:t>s</w:t>
      </w:r>
      <w:r>
        <w:t xml:space="preserve"> the repatriation. This approach emphasis </w:t>
      </w:r>
      <w:r w:rsidR="00F02F90">
        <w:t xml:space="preserve">state </w:t>
      </w:r>
      <w:r>
        <w:t xml:space="preserve">sovereignty and could lead to the exclusion of families, minorities and </w:t>
      </w:r>
      <w:r w:rsidR="00F02F90">
        <w:t>Indigenous peoples</w:t>
      </w:r>
      <w:r>
        <w:t>. The criterion of scientific interest can be disproportionate as a ground of refusal when it is not qualified as exceptional for the interest of humanity at large and a balance must be found between those scientists for whom all human remains have an interest and should be kept in museums,</w:t>
      </w:r>
      <w:r w:rsidRPr="00DB027A">
        <w:t xml:space="preserve"> </w:t>
      </w:r>
      <w:r>
        <w:t>and those who think that the pursuit of scientific knowledge is not a value above all other.</w:t>
      </w:r>
      <w:r>
        <w:rPr>
          <w:rStyle w:val="FootnoteReference"/>
        </w:rPr>
        <w:footnoteReference w:id="105"/>
      </w:r>
      <w:r w:rsidRPr="00E70511">
        <w:rPr>
          <w:rStyle w:val="FootnoteReference"/>
        </w:rPr>
        <w:t xml:space="preserve"> </w:t>
      </w:r>
      <w:r>
        <w:t xml:space="preserve">By contrast, remains of recently deceased cannot be studied without the previous consent of the living unless two conditions are met: there is a scientific or pathological interest to study the corpse and the remains are decently buried afterwards. It should not be otherwise for older remains, where consent can be gained from the communities of origin and whose remains can then be buried. It is the case that not all communities want the repatriation of their </w:t>
      </w:r>
      <w:r w:rsidR="008B59DE">
        <w:t>Ancestors</w:t>
      </w:r>
      <w:r>
        <w:t xml:space="preserve">’ remains since their spirit might not be embodied in them. Furthermore, the value of scientific research should be demonstrated to all including the community of origin and the interest of research balanced with the interests of the community, particularly its religious interest which is of paramount importance for the surviving community and the peace of the deceased whose remains are kept in a foreign place. </w:t>
      </w:r>
      <w:r w:rsidR="00F02F90" w:rsidRPr="00B11DB2">
        <w:t>Death</w:t>
      </w:r>
      <w:r w:rsidRPr="00B11DB2">
        <w:t xml:space="preserve"> related practices are part of</w:t>
      </w:r>
      <w:r w:rsidR="00F02F90">
        <w:t xml:space="preserve"> the</w:t>
      </w:r>
      <w:r w:rsidRPr="00B11DB2">
        <w:t xml:space="preserve"> cultural identity of </w:t>
      </w:r>
      <w:r w:rsidR="00F02F90">
        <w:t xml:space="preserve">a </w:t>
      </w:r>
      <w:r w:rsidRPr="00B11DB2">
        <w:t>community and</w:t>
      </w:r>
      <w:r w:rsidR="00F02F90">
        <w:t xml:space="preserve"> the</w:t>
      </w:r>
      <w:r w:rsidRPr="00B11DB2">
        <w:t xml:space="preserve"> right to repatriation outweighs</w:t>
      </w:r>
      <w:r w:rsidR="00F02F90">
        <w:t xml:space="preserve"> the</w:t>
      </w:r>
      <w:r w:rsidRPr="00B11DB2">
        <w:t xml:space="preserve"> general interest of humanity to have access</w:t>
      </w:r>
      <w:r w:rsidR="00F02F90">
        <w:t xml:space="preserve"> to</w:t>
      </w:r>
      <w:r w:rsidRPr="00B11DB2">
        <w:t xml:space="preserve"> and to preserve cultural heritage.</w:t>
      </w:r>
      <w:r w:rsidRPr="00B11DB2">
        <w:rPr>
          <w:vertAlign w:val="superscript"/>
        </w:rPr>
        <w:footnoteReference w:id="106"/>
      </w:r>
      <w:r>
        <w:t xml:space="preserve"> A dialogue between scientists and communities is important and in practice, different communities might have different </w:t>
      </w:r>
      <w:r>
        <w:lastRenderedPageBreak/>
        <w:t>views as to the testing and the display of remains.</w:t>
      </w:r>
      <w:r>
        <w:rPr>
          <w:rStyle w:val="FootnoteReference"/>
        </w:rPr>
        <w:footnoteReference w:id="107"/>
      </w:r>
      <w:r>
        <w:t xml:space="preserve"> </w:t>
      </w:r>
      <w:r w:rsidR="00F02F90">
        <w:t xml:space="preserve">For example, a request for repatriation has not been made for </w:t>
      </w:r>
      <w:r>
        <w:t xml:space="preserve">the remains of five Inuit </w:t>
      </w:r>
      <w:r w:rsidR="00F02F90">
        <w:t xml:space="preserve">even after members of their community </w:t>
      </w:r>
      <w:r w:rsidR="0045017F">
        <w:t>vis</w:t>
      </w:r>
      <w:r w:rsidR="00F02F90">
        <w:t>i</w:t>
      </w:r>
      <w:r w:rsidR="0045017F">
        <w:t>t</w:t>
      </w:r>
      <w:r w:rsidR="00F02F90">
        <w:t>ed</w:t>
      </w:r>
      <w:r w:rsidR="0045017F">
        <w:t xml:space="preserve"> the museum</w:t>
      </w:r>
      <w:r>
        <w:t>.</w:t>
      </w:r>
      <w:r>
        <w:rPr>
          <w:rStyle w:val="FootnoteReference"/>
        </w:rPr>
        <w:footnoteReference w:id="108"/>
      </w:r>
      <w:r w:rsidR="00FB0DA0" w:rsidRPr="00FB0DA0">
        <w:t xml:space="preserve"> </w:t>
      </w:r>
      <w:r w:rsidR="00F02F90">
        <w:t xml:space="preserve">There are </w:t>
      </w:r>
      <w:r w:rsidR="00FB0DA0" w:rsidRPr="003F1013">
        <w:t>alternative solution</w:t>
      </w:r>
      <w:r w:rsidR="00F02F90">
        <w:t>s</w:t>
      </w:r>
      <w:r w:rsidR="00FB0DA0" w:rsidRPr="003F1013">
        <w:t xml:space="preserve"> to the </w:t>
      </w:r>
      <w:r w:rsidR="00FB0DA0">
        <w:t>dichotomy repatriation/no repatriation</w:t>
      </w:r>
      <w:r w:rsidR="00F02F90">
        <w:t>: t</w:t>
      </w:r>
      <w:r w:rsidR="00FB0DA0" w:rsidRPr="003F1013">
        <w:t>he remains</w:t>
      </w:r>
      <w:r w:rsidR="00FB0DA0">
        <w:t xml:space="preserve"> can</w:t>
      </w:r>
      <w:r w:rsidR="00FB0DA0" w:rsidRPr="003F1013">
        <w:t xml:space="preserve"> stay in the museum but the requesting group or individuals </w:t>
      </w:r>
      <w:r w:rsidR="00FB0DA0">
        <w:t>can</w:t>
      </w:r>
      <w:r w:rsidR="00FB0DA0" w:rsidRPr="003F1013">
        <w:t xml:space="preserve"> exert a level of control over them. This, however, might not be a cost-effective option for the museum that would have to carry the financial burden of preserving and caring for the remains while not being able to exhibit them. </w:t>
      </w:r>
    </w:p>
    <w:p w:rsidR="005914CF" w:rsidRDefault="005914CF" w:rsidP="001D2C9C">
      <w:pPr>
        <w:spacing w:line="240" w:lineRule="auto"/>
      </w:pPr>
    </w:p>
    <w:p w:rsidR="00755AC9" w:rsidRDefault="00755AC9" w:rsidP="001D2C9C">
      <w:pPr>
        <w:pStyle w:val="Heading1"/>
        <w:spacing w:line="240" w:lineRule="auto"/>
      </w:pPr>
      <w:r w:rsidRPr="00A939BA">
        <w:t>Conclusion</w:t>
      </w:r>
      <w:bookmarkEnd w:id="3"/>
      <w:r w:rsidRPr="00A939BA">
        <w:t xml:space="preserve"> </w:t>
      </w:r>
    </w:p>
    <w:p w:rsidR="00F02F90" w:rsidRDefault="00F02F90" w:rsidP="00F02F90">
      <w:pPr>
        <w:spacing w:line="240" w:lineRule="auto"/>
      </w:pPr>
      <w:r>
        <w:t xml:space="preserve">The repatriation of human remains is a sensitive issue for both museums and those making the request because it often is a reminder of past atrocities. </w:t>
      </w:r>
      <w:r w:rsidRPr="00A939BA">
        <w:t>There must be safeguard</w:t>
      </w:r>
      <w:r>
        <w:t>s in place</w:t>
      </w:r>
      <w:r w:rsidRPr="00A939BA">
        <w:t xml:space="preserve"> in order to </w:t>
      </w:r>
      <w:r>
        <w:t>preserve a balance between museums’ interests and communities’ interest. France has not yet found this balance. Repatriation by</w:t>
      </w:r>
      <w:r w:rsidR="00BE27AC">
        <w:t xml:space="preserve"> ad hoc</w:t>
      </w:r>
      <w:r>
        <w:t xml:space="preserve"> </w:t>
      </w:r>
      <w:r w:rsidR="00BE27AC">
        <w:t xml:space="preserve">statutes is </w:t>
      </w:r>
      <w:r>
        <w:t>political, opaque and uncertain</w:t>
      </w:r>
      <w:r w:rsidR="00BE27AC">
        <w:t xml:space="preserve"> and cannot be the way forward</w:t>
      </w:r>
      <w:r>
        <w:t xml:space="preserve">. French museums and the Commission should face the reality of deaccession in order to guarantee the protection of national collections and to facilitate repatriation of human remains in a transparent, equal and fair way. It is not acceptable that museum curators willingly decide to by-pass the law on deaccession on the ground that their claim </w:t>
      </w:r>
      <w:r w:rsidR="00BE27AC">
        <w:t>is</w:t>
      </w:r>
      <w:r>
        <w:t xml:space="preserve"> doomed to fail. </w:t>
      </w:r>
      <w:r w:rsidR="00401390">
        <w:t>The</w:t>
      </w:r>
      <w:r w:rsidR="00BE27AC">
        <w:t xml:space="preserve"> lack of </w:t>
      </w:r>
      <w:r w:rsidR="00401390">
        <w:t>official documents to guide museum professionals on the criteria to assess a request to repatriate human remains</w:t>
      </w:r>
      <w:r w:rsidR="00BE27AC">
        <w:t xml:space="preserve"> means that F</w:t>
      </w:r>
      <w:r w:rsidR="00401390">
        <w:t xml:space="preserve">rance does not have a fair, transparent and effective mechanism to deal with requests contrary to Article 12 of the UN Declaration on the Rights of Indigenous People. It took eight years to repatriate the remains of Saartjie Baartman even though a promise had been made by the President himself to do so, and it took five years to repatriate the Mokamokai held in Rouen. A fair balance should be struck between the interests of museums to preserve and learn about the past and those of communities to care for their </w:t>
      </w:r>
      <w:r w:rsidR="008B59DE">
        <w:t>Ancestors</w:t>
      </w:r>
      <w:r w:rsidR="00401390">
        <w:t xml:space="preserve">. </w:t>
      </w:r>
      <w:r w:rsidR="00BE27AC">
        <w:t>Hence, d</w:t>
      </w:r>
      <w:r>
        <w:t xml:space="preserve">eaccession criteria for human remains should take into consideration the interest of the claimant (whether the community or the genealogical descendants) as well as the religious and social impact of a refusal to repatriate. </w:t>
      </w:r>
    </w:p>
    <w:p w:rsidR="00BD4FB4" w:rsidRPr="00BD4FB4" w:rsidRDefault="00BD4FB4" w:rsidP="001D2C9C">
      <w:pPr>
        <w:spacing w:line="240" w:lineRule="auto"/>
      </w:pPr>
    </w:p>
    <w:p w:rsidR="00DE209A" w:rsidRDefault="00DE209A" w:rsidP="001D2C9C">
      <w:pPr>
        <w:spacing w:line="240" w:lineRule="auto"/>
        <w:rPr>
          <w:rStyle w:val="FootnoteReference"/>
        </w:rPr>
      </w:pPr>
    </w:p>
    <w:p w:rsidR="002240B5" w:rsidRDefault="002240B5" w:rsidP="001D2C9C">
      <w:pPr>
        <w:spacing w:line="240" w:lineRule="auto"/>
      </w:pPr>
    </w:p>
    <w:p w:rsidR="00E5584F" w:rsidRDefault="00E5584F" w:rsidP="001D2C9C">
      <w:pPr>
        <w:spacing w:line="240" w:lineRule="auto"/>
      </w:pPr>
    </w:p>
    <w:p w:rsidR="00E5584F" w:rsidRPr="00E5584F" w:rsidRDefault="00E5584F" w:rsidP="001D2C9C">
      <w:pPr>
        <w:spacing w:line="240" w:lineRule="auto"/>
      </w:pPr>
    </w:p>
    <w:p w:rsidR="00623BE0" w:rsidRDefault="00623BE0" w:rsidP="001D2C9C">
      <w:pPr>
        <w:spacing w:line="240" w:lineRule="auto"/>
      </w:pPr>
    </w:p>
    <w:p w:rsidR="0039373F" w:rsidRDefault="0039373F" w:rsidP="001D2C9C">
      <w:pPr>
        <w:spacing w:line="240" w:lineRule="auto"/>
        <w:jc w:val="center"/>
      </w:pPr>
    </w:p>
    <w:p w:rsidR="0039373F" w:rsidRDefault="0039373F" w:rsidP="0039373F">
      <w:pPr>
        <w:spacing w:line="240" w:lineRule="auto"/>
        <w:jc w:val="center"/>
      </w:pPr>
    </w:p>
    <w:p w:rsidR="0039373F" w:rsidRDefault="0039373F" w:rsidP="0039373F">
      <w:pPr>
        <w:spacing w:line="240" w:lineRule="auto"/>
        <w:jc w:val="center"/>
      </w:pPr>
    </w:p>
    <w:p w:rsidR="0039373F" w:rsidRDefault="0039373F" w:rsidP="0039373F">
      <w:pPr>
        <w:spacing w:line="240" w:lineRule="auto"/>
        <w:ind w:left="432" w:hanging="432"/>
        <w:jc w:val="left"/>
      </w:pPr>
    </w:p>
    <w:p w:rsidR="0039373F" w:rsidRDefault="0039373F" w:rsidP="0039373F">
      <w:pPr>
        <w:spacing w:line="240" w:lineRule="auto"/>
        <w:ind w:left="432" w:hanging="432"/>
        <w:jc w:val="left"/>
      </w:pPr>
      <w:r>
        <w:t xml:space="preserve">Kohen A, 'Australian ancestral remains in French museums, Pathways to repatriation' in Fforde, Cressida, C. Timothy McKeown and Honor Keeler (eds), </w:t>
      </w:r>
      <w:r w:rsidRPr="0039373F">
        <w:rPr>
          <w:i/>
        </w:rPr>
        <w:t xml:space="preserve">The </w:t>
      </w:r>
      <w:r w:rsidRPr="0039373F">
        <w:rPr>
          <w:i/>
        </w:rPr>
        <w:lastRenderedPageBreak/>
        <w:t>Routledge Companion to Indigenous Repatration, Return, Reconcile, Renew</w:t>
      </w:r>
      <w:r>
        <w:rPr>
          <w:i/>
        </w:rPr>
        <w:t xml:space="preserve"> </w:t>
      </w:r>
      <w:r w:rsidRPr="0039373F">
        <w:t>(</w:t>
      </w:r>
      <w:r>
        <w:t>Routledge 2020).</w:t>
      </w:r>
      <w:r>
        <w:br/>
      </w:r>
    </w:p>
    <w:p w:rsidR="0039373F" w:rsidRDefault="0039373F" w:rsidP="0039373F">
      <w:pPr>
        <w:spacing w:line="240" w:lineRule="auto"/>
        <w:ind w:left="432" w:hanging="432"/>
        <w:jc w:val="left"/>
      </w:pPr>
      <w:r>
        <w:t xml:space="preserve">Lenzerini F, 'the Tension between Communities' Cultural Rights and Global Interests: The Case of the Maori Mokomokai' in Borelli, Silvia and Federico Lenzerini (eds), </w:t>
      </w:r>
      <w:r w:rsidRPr="0039373F">
        <w:rPr>
          <w:i/>
        </w:rPr>
        <w:t>Cultural Heritage, Cultural Rights, Cultural Diversity: New Developments in International Law</w:t>
      </w:r>
      <w:r>
        <w:rPr>
          <w:i/>
        </w:rPr>
        <w:t xml:space="preserve"> </w:t>
      </w:r>
      <w:r w:rsidRPr="0039373F">
        <w:t>(</w:t>
      </w:r>
      <w:r>
        <w:t>Studies in intercultural human rights, Brill 2012).</w:t>
      </w:r>
      <w:r>
        <w:br/>
      </w:r>
    </w:p>
    <w:p w:rsidR="0039373F" w:rsidRDefault="0039373F" w:rsidP="0039373F">
      <w:pPr>
        <w:spacing w:line="240" w:lineRule="auto"/>
        <w:ind w:left="432" w:hanging="432"/>
        <w:jc w:val="left"/>
      </w:pPr>
      <w:r>
        <w:t>Paterson R, 'Heading Home: French Law Enables Return of Maori Heads to New Zealand' (2010) 17(04) International Journal of Cultural Property 643.</w:t>
      </w:r>
      <w:r>
        <w:br/>
      </w:r>
    </w:p>
    <w:p w:rsidR="0039373F" w:rsidRDefault="0039373F" w:rsidP="0039373F">
      <w:pPr>
        <w:spacing w:line="240" w:lineRule="auto"/>
        <w:ind w:left="432" w:hanging="432"/>
        <w:jc w:val="left"/>
      </w:pPr>
      <w:r>
        <w:t xml:space="preserve">Roellinger M, 'The French Experience of Repatration of Human Remains' in Redmond-Cooper, Ruth (ed), </w:t>
      </w:r>
      <w:r w:rsidRPr="0039373F">
        <w:rPr>
          <w:i/>
        </w:rPr>
        <w:t>Heritage, Ancestry and Law: Principles, Policies ad Practices in dealing with Historic Human Remains</w:t>
      </w:r>
      <w:r>
        <w:rPr>
          <w:i/>
        </w:rPr>
        <w:t xml:space="preserve"> </w:t>
      </w:r>
      <w:r w:rsidRPr="0039373F">
        <w:t>(</w:t>
      </w:r>
      <w:r>
        <w:t>Institute of Art and Law 2015).</w:t>
      </w:r>
      <w:r>
        <w:br/>
      </w:r>
    </w:p>
    <w:p w:rsidR="0039373F" w:rsidRPr="00A60BB6" w:rsidRDefault="0039373F" w:rsidP="0039373F">
      <w:pPr>
        <w:spacing w:line="240" w:lineRule="auto"/>
        <w:ind w:left="432" w:hanging="432"/>
        <w:jc w:val="left"/>
        <w:rPr>
          <w:lang w:val="fr-FR"/>
        </w:rPr>
      </w:pPr>
      <w:r w:rsidRPr="00A60BB6">
        <w:rPr>
          <w:lang w:val="fr-FR"/>
        </w:rPr>
        <w:t xml:space="preserve">Van Praët M, 'Saartjie Baartman, Une restitution témoin d'un contexte muséal en évolution' in Blanckaert, Claude (ed), </w:t>
      </w:r>
      <w:r w:rsidRPr="00A60BB6">
        <w:rPr>
          <w:i/>
          <w:lang w:val="fr-FR"/>
        </w:rPr>
        <w:t xml:space="preserve">La Vénus hottentote: Entre Barnum et Muséum </w:t>
      </w:r>
      <w:r w:rsidRPr="00A60BB6">
        <w:rPr>
          <w:lang w:val="fr-FR"/>
        </w:rPr>
        <w:t>(Muséum National d'Histoire Naturelle: Archives, Publications Scientifiques du Muséum National d'Histoire Naturelle 2013).</w:t>
      </w:r>
      <w:r w:rsidRPr="00A60BB6">
        <w:rPr>
          <w:lang w:val="fr-FR"/>
        </w:rPr>
        <w:br/>
      </w:r>
    </w:p>
    <w:p w:rsidR="00623BE0" w:rsidRPr="00A60BB6" w:rsidRDefault="00623BE0" w:rsidP="0039373F">
      <w:pPr>
        <w:spacing w:line="240" w:lineRule="auto"/>
        <w:ind w:left="432" w:hanging="432"/>
        <w:jc w:val="left"/>
        <w:rPr>
          <w:lang w:val="fr-FR"/>
        </w:rPr>
      </w:pPr>
    </w:p>
    <w:sectPr w:rsidR="00623BE0" w:rsidRPr="00A60BB6" w:rsidSect="0033722D">
      <w:footerReference w:type="default" r:id="rId8"/>
      <w:endnotePr>
        <w:numFmt w:val="decimal"/>
      </w:endnotePr>
      <w:pgSz w:w="11906" w:h="16838"/>
      <w:pgMar w:top="1440" w:right="1800" w:bottom="1440" w:left="1800" w:header="708" w:footer="55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84C" w:rsidRDefault="00E4484C">
      <w:r>
        <w:separator/>
      </w:r>
    </w:p>
  </w:endnote>
  <w:endnote w:type="continuationSeparator" w:id="0">
    <w:p w:rsidR="00E4484C" w:rsidRDefault="00E44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187" w:rsidRDefault="00DD7187" w:rsidP="00A21EF1">
    <w:pPr>
      <w:pStyle w:val="Footer"/>
      <w:spacing w:line="240" w:lineRule="auto"/>
      <w:rPr>
        <w:lang w:val="fr-FR"/>
      </w:rPr>
    </w:pPr>
    <w:r>
      <w:rPr>
        <w:lang w:val="fr-FR"/>
      </w:rPr>
      <w:tab/>
      <w:t>-</w:t>
    </w:r>
    <w:r w:rsidRPr="00CA21AB">
      <w:rPr>
        <w:rStyle w:val="PageNumber"/>
        <w:lang w:val="fr-FR"/>
      </w:rPr>
      <w:t xml:space="preserve"> </w:t>
    </w:r>
    <w:r w:rsidR="00B75308" w:rsidRPr="00F6097D">
      <w:rPr>
        <w:rStyle w:val="PageNumber"/>
      </w:rPr>
      <w:fldChar w:fldCharType="begin"/>
    </w:r>
    <w:r w:rsidRPr="00CA21AB">
      <w:rPr>
        <w:rStyle w:val="PageNumber"/>
        <w:lang w:val="fr-FR"/>
      </w:rPr>
      <w:instrText xml:space="preserve"> PAGE </w:instrText>
    </w:r>
    <w:r w:rsidR="00B75308" w:rsidRPr="00F6097D">
      <w:rPr>
        <w:rStyle w:val="PageNumber"/>
      </w:rPr>
      <w:fldChar w:fldCharType="separate"/>
    </w:r>
    <w:r w:rsidR="00B92470">
      <w:rPr>
        <w:rStyle w:val="PageNumber"/>
        <w:noProof/>
        <w:lang w:val="fr-FR"/>
      </w:rPr>
      <w:t>5</w:t>
    </w:r>
    <w:r w:rsidR="00B75308" w:rsidRPr="00F6097D">
      <w:rPr>
        <w:rStyle w:val="PageNumber"/>
      </w:rPr>
      <w:fldChar w:fldCharType="end"/>
    </w:r>
    <w:r w:rsidRPr="00CA21AB">
      <w:rPr>
        <w:rStyle w:val="PageNumber"/>
        <w:lang w:val="fr-FR"/>
      </w:rPr>
      <w:t xml:space="preserve"> -</w:t>
    </w:r>
    <w:r w:rsidRPr="00CA21AB">
      <w:rPr>
        <w:lang w:val="fr-FR"/>
      </w:rPr>
      <w:tab/>
    </w:r>
  </w:p>
  <w:p w:rsidR="00DD7187" w:rsidRPr="00CA21AB" w:rsidRDefault="00DD7187">
    <w:pPr>
      <w:pStyle w:val="Footer"/>
      <w:rPr>
        <w:lang w:val="fr-FR"/>
      </w:rPr>
    </w:pPr>
    <w:r w:rsidRPr="00CA21AB">
      <w:rPr>
        <w:rStyle w:val="PageNumber"/>
        <w:lang w:val="fr-FR"/>
      </w:rPr>
      <w:tab/>
    </w:r>
  </w:p>
  <w:p w:rsidR="00DD7187" w:rsidRPr="00CA21AB" w:rsidRDefault="00DD7187">
    <w:pPr>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84C" w:rsidRDefault="00E4484C">
      <w:r>
        <w:separator/>
      </w:r>
    </w:p>
  </w:footnote>
  <w:footnote w:type="continuationSeparator" w:id="0">
    <w:p w:rsidR="00E4484C" w:rsidRDefault="00E4484C">
      <w:r>
        <w:continuationSeparator/>
      </w:r>
    </w:p>
  </w:footnote>
  <w:footnote w:id="1">
    <w:p w:rsidR="00DD7187" w:rsidRPr="007419D2" w:rsidRDefault="00DD7187" w:rsidP="00596FBC">
      <w:pPr>
        <w:pStyle w:val="FootnoteText"/>
        <w:spacing w:line="240" w:lineRule="auto"/>
      </w:pPr>
      <w:r w:rsidRPr="007419D2">
        <w:rPr>
          <w:rStyle w:val="FootnoteReference"/>
        </w:rPr>
        <w:footnoteRef/>
      </w:r>
      <w:r w:rsidRPr="007419D2">
        <w:t xml:space="preserve"> Repatriation is preferred to return or restitution as it refers to a specific form of restitution, usually used </w:t>
      </w:r>
      <w:r>
        <w:t>for</w:t>
      </w:r>
      <w:r w:rsidRPr="007419D2">
        <w:t xml:space="preserve"> claims by Indigenous Peoples. </w:t>
      </w:r>
      <w:r w:rsidR="00B75308" w:rsidRPr="007419D2">
        <w:fldChar w:fldCharType="begin"/>
      </w:r>
      <w:r w:rsidRPr="007419D2">
        <w:instrText>ADDIN RW.CITE{{1869 Cornu,Marie 2010 ~f}}</w:instrText>
      </w:r>
      <w:r w:rsidR="00B75308" w:rsidRPr="007419D2">
        <w:fldChar w:fldCharType="separate"/>
      </w:r>
      <w:r w:rsidRPr="007419D2">
        <w:rPr>
          <w:bCs/>
        </w:rPr>
        <w:t xml:space="preserve">M. Cornu and M. Renold, </w:t>
      </w:r>
      <w:r w:rsidRPr="007419D2">
        <w:rPr>
          <w:bCs/>
          <w:i/>
        </w:rPr>
        <w:t>New Developments in the Restitution of Cultural Property: Alternative Means of Dispute Resolution</w:t>
      </w:r>
      <w:r w:rsidRPr="007419D2">
        <w:rPr>
          <w:bCs/>
        </w:rPr>
        <w:t xml:space="preserve"> "International Journal of Cultural Property " 2010, Vol. 17, </w:t>
      </w:r>
      <w:r w:rsidR="00B75308" w:rsidRPr="007419D2">
        <w:fldChar w:fldCharType="end"/>
      </w:r>
      <w:r w:rsidRPr="007419D2">
        <w:t>2</w:t>
      </w:r>
    </w:p>
  </w:footnote>
  <w:footnote w:id="2">
    <w:p w:rsidR="00DD7187" w:rsidRPr="007419D2" w:rsidRDefault="00DD7187" w:rsidP="00596FBC">
      <w:pPr>
        <w:pStyle w:val="FootnoteText"/>
        <w:spacing w:line="240" w:lineRule="auto"/>
        <w:jc w:val="left"/>
      </w:pPr>
      <w:r w:rsidRPr="007419D2">
        <w:rPr>
          <w:rStyle w:val="FootnoteReference"/>
        </w:rPr>
        <w:footnoteRef/>
      </w:r>
      <w:r w:rsidRPr="007419D2">
        <w:t xml:space="preserve">  C. T. McKeown, </w:t>
      </w:r>
      <w:r w:rsidRPr="007419D2">
        <w:rPr>
          <w:i/>
        </w:rPr>
        <w:t>Indigenous repatriation, The rise of the global legal movement</w:t>
      </w:r>
      <w:r w:rsidRPr="007419D2">
        <w:t xml:space="preserve"> in: C. Fforde, C. T. McKeown and H. Keeler (eds)</w:t>
      </w:r>
      <w:r w:rsidRPr="007419D2">
        <w:rPr>
          <w:i/>
        </w:rPr>
        <w:t>, The Routledge Companion to Indigenous Repatriation, Return, Reconcile, Renew</w:t>
      </w:r>
      <w:r w:rsidRPr="007419D2">
        <w:t>, Routledge London and New York 2020, 23</w:t>
      </w:r>
    </w:p>
  </w:footnote>
  <w:footnote w:id="3">
    <w:p w:rsidR="00DD7187" w:rsidRPr="007419D2" w:rsidRDefault="00DD7187" w:rsidP="00596FBC">
      <w:pPr>
        <w:pStyle w:val="FootnoteText"/>
        <w:spacing w:line="240" w:lineRule="auto"/>
      </w:pPr>
      <w:r w:rsidRPr="007419D2">
        <w:rPr>
          <w:rStyle w:val="FootnoteReference"/>
        </w:rPr>
        <w:footnoteRef/>
      </w:r>
      <w:r w:rsidRPr="007419D2">
        <w:t xml:space="preserve"> </w:t>
      </w:r>
      <w:r w:rsidR="00B75308" w:rsidRPr="007419D2">
        <w:fldChar w:fldCharType="begin"/>
      </w:r>
      <w:r w:rsidRPr="007419D2">
        <w:instrText>ADDIN RW.CITE{{2962 Bayer,Kurt 2016 ~f; 3523 Harris,Faye 2015 ~f; 1757 NationalHistoryMuseum, 2011 ~f}}</w:instrText>
      </w:r>
      <w:r w:rsidR="00B75308" w:rsidRPr="007419D2">
        <w:fldChar w:fldCharType="separate"/>
      </w:r>
      <w:r w:rsidRPr="007419D2">
        <w:rPr>
          <w:bCs/>
          <w:lang w:val="en-US"/>
        </w:rPr>
        <w:t xml:space="preserve">K. Bayer, </w:t>
      </w:r>
      <w:r w:rsidRPr="007419D2">
        <w:rPr>
          <w:bCs/>
          <w:i/>
          <w:lang w:val="en-US"/>
        </w:rPr>
        <w:t>60 Maori and Moriori heads and skulls repatriated from UK and US</w:t>
      </w:r>
      <w:r w:rsidRPr="007419D2">
        <w:rPr>
          <w:bCs/>
          <w:lang w:val="en-US"/>
        </w:rPr>
        <w:t xml:space="preserve"> "New Zealand Herald "2016 &lt;</w:t>
      </w:r>
      <w:hyperlink r:id="rId1" w:history="1">
        <w:r w:rsidRPr="007419D2">
          <w:rPr>
            <w:rStyle w:val="Hyperlink"/>
            <w:bCs/>
            <w:u w:val="none"/>
            <w:lang w:val="en-US"/>
          </w:rPr>
          <w:t>http://www.nzherald.co</w:t>
        </w:r>
        <w:r w:rsidRPr="007419D2">
          <w:rPr>
            <w:rStyle w:val="Hyperlink"/>
            <w:bCs/>
            <w:i/>
            <w:u w:val="none"/>
            <w:lang w:val="en-US"/>
          </w:rPr>
          <w:t>.nz/nz/news/article.cfm?c_id=1&amp;objectid=11638270</w:t>
        </w:r>
      </w:hyperlink>
      <w:r w:rsidRPr="007419D2">
        <w:rPr>
          <w:bCs/>
          <w:i/>
          <w:lang w:val="en-US"/>
        </w:rPr>
        <w:t xml:space="preserve">&gt; [accessed: 15/06/2020]; F. Harris, </w:t>
      </w:r>
      <w:r w:rsidRPr="00596FBC">
        <w:rPr>
          <w:bCs/>
          <w:lang w:val="en-US"/>
        </w:rPr>
        <w:t>Understanding human remains r</w:t>
      </w:r>
      <w:r w:rsidRPr="007419D2">
        <w:rPr>
          <w:bCs/>
          <w:lang w:val="en-US"/>
        </w:rPr>
        <w:t>epatriation: practice procedures at the British Museum and the Natural History Museum "Museum Management and Curatorship " 2015, Vol. 30, 138; National History Museum, Museum returns remains to Torres Strait Islands () &lt;</w:t>
      </w:r>
      <w:hyperlink r:id="rId2" w:history="1">
        <w:r w:rsidRPr="007419D2">
          <w:rPr>
            <w:rStyle w:val="Hyperlink"/>
            <w:bCs/>
            <w:u w:val="none"/>
            <w:lang w:val="en-US"/>
          </w:rPr>
          <w:t>http://www.nhm.ac.uk/about-us/news/2011/march/museum-returns-remains-to-torres-strait-islands95251.html</w:t>
        </w:r>
      </w:hyperlink>
      <w:r w:rsidRPr="007419D2">
        <w:rPr>
          <w:bCs/>
          <w:lang w:val="en-US"/>
        </w:rPr>
        <w:t>&gt;</w:t>
      </w:r>
      <w:r w:rsidR="00B75308" w:rsidRPr="007419D2">
        <w:fldChar w:fldCharType="end"/>
      </w:r>
    </w:p>
  </w:footnote>
  <w:footnote w:id="4">
    <w:p w:rsidR="00DD7187" w:rsidRPr="007419D2" w:rsidRDefault="00DD7187" w:rsidP="00596FBC">
      <w:pPr>
        <w:pStyle w:val="FootnoteText"/>
        <w:spacing w:line="240" w:lineRule="auto"/>
      </w:pPr>
      <w:r w:rsidRPr="007419D2">
        <w:rPr>
          <w:rStyle w:val="FootnoteReference"/>
        </w:rPr>
        <w:footnoteRef/>
      </w:r>
      <w:r w:rsidRPr="007419D2">
        <w:t xml:space="preserve"> </w:t>
      </w:r>
      <w:r w:rsidR="00B75308" w:rsidRPr="007419D2">
        <w:fldChar w:fldCharType="begin"/>
      </w:r>
      <w:r w:rsidRPr="007419D2">
        <w:instrText>ADDIN RW.CITE{{3781 Hickley,Catherine 2019 ~f}}</w:instrText>
      </w:r>
      <w:r w:rsidR="00B75308" w:rsidRPr="007419D2">
        <w:fldChar w:fldCharType="separate"/>
      </w:r>
      <w:r w:rsidRPr="007419D2">
        <w:rPr>
          <w:lang w:val="en-US"/>
        </w:rPr>
        <w:t xml:space="preserve">C. Hickley, </w:t>
      </w:r>
      <w:r w:rsidRPr="007419D2">
        <w:rPr>
          <w:i/>
          <w:lang w:val="en-US"/>
        </w:rPr>
        <w:t>Germany returns indigenous remains of 45 ancestors to Australia in 'long overdue step'; Saxon government acknowledges “years of disregard for their dignity and importance to their communities of origin”</w:t>
      </w:r>
      <w:r w:rsidRPr="007419D2">
        <w:rPr>
          <w:lang w:val="en-US"/>
        </w:rPr>
        <w:t xml:space="preserve"> "Art Newspaper ", 29 November 2019 &lt;</w:t>
      </w:r>
      <w:hyperlink r:id="rId3" w:history="1">
        <w:r w:rsidRPr="007419D2">
          <w:rPr>
            <w:rStyle w:val="Hyperlink"/>
            <w:u w:val="none"/>
            <w:lang w:val="en-US"/>
          </w:rPr>
          <w:t>https://www.theartnewspaper.com/news/germany-returns-indigenous-remains-of-45-ancestors-to-australia-in-long-overdue-step?</w:t>
        </w:r>
      </w:hyperlink>
      <w:r w:rsidRPr="007419D2">
        <w:rPr>
          <w:lang w:val="en-US"/>
        </w:rPr>
        <w:t>&gt; [accessed: 15/06/2020]</w:t>
      </w:r>
      <w:r w:rsidR="00B75308" w:rsidRPr="007419D2">
        <w:fldChar w:fldCharType="end"/>
      </w:r>
    </w:p>
  </w:footnote>
  <w:footnote w:id="5">
    <w:p w:rsidR="00DD7187" w:rsidRPr="007419D2" w:rsidRDefault="00DD7187" w:rsidP="00596FBC">
      <w:pPr>
        <w:spacing w:line="240" w:lineRule="auto"/>
        <w:rPr>
          <w:sz w:val="20"/>
          <w:szCs w:val="20"/>
        </w:rPr>
      </w:pPr>
      <w:r w:rsidRPr="007419D2">
        <w:rPr>
          <w:rStyle w:val="FootnoteReference"/>
          <w:sz w:val="20"/>
          <w:szCs w:val="20"/>
        </w:rPr>
        <w:footnoteRef/>
      </w:r>
      <w:r w:rsidRPr="007419D2">
        <w:rPr>
          <w:sz w:val="20"/>
          <w:szCs w:val="20"/>
        </w:rPr>
        <w:t xml:space="preserve"> Kohen A, 'Australian ancestral remains in French museums, Pathways to repatriation' in Fforde, Cressida, C. Timothy McKeown and Honor Keeler (eds), </w:t>
      </w:r>
      <w:r w:rsidRPr="007419D2">
        <w:rPr>
          <w:i/>
          <w:sz w:val="20"/>
          <w:szCs w:val="20"/>
        </w:rPr>
        <w:t>The Routledge Companion to Indigenous Repatriation, Return, Reconcile, Renew</w:t>
      </w:r>
      <w:r w:rsidRPr="007419D2">
        <w:rPr>
          <w:sz w:val="20"/>
          <w:szCs w:val="20"/>
        </w:rPr>
        <w:t xml:space="preserve"> (Routledge 2020).</w:t>
      </w:r>
    </w:p>
  </w:footnote>
  <w:footnote w:id="6">
    <w:p w:rsidR="00DD7187" w:rsidRPr="007419D2" w:rsidRDefault="00DD7187" w:rsidP="00596FBC">
      <w:pPr>
        <w:pStyle w:val="FootnoteText"/>
        <w:spacing w:line="240" w:lineRule="auto"/>
      </w:pPr>
      <w:r w:rsidRPr="007419D2">
        <w:rPr>
          <w:rStyle w:val="FootnoteReference"/>
        </w:rPr>
        <w:footnoteRef/>
      </w:r>
      <w:r w:rsidRPr="007419D2">
        <w:t xml:space="preserve"> </w:t>
      </w:r>
      <w:r w:rsidR="00B75308" w:rsidRPr="007419D2">
        <w:fldChar w:fldCharType="begin"/>
      </w:r>
      <w:r w:rsidRPr="007419D2">
        <w:instrText>ADDIN RW.CITE{{3528 ElGuerrab,M'jid 2018 ~f; 3529 Khattabi,Fadila 2018 ~f}}</w:instrText>
      </w:r>
      <w:r w:rsidR="00B75308" w:rsidRPr="007419D2">
        <w:fldChar w:fldCharType="separate"/>
      </w:r>
      <w:r w:rsidRPr="007419D2">
        <w:rPr>
          <w:bCs/>
        </w:rPr>
        <w:t>M'jid El Guerrab, 'Written Question n. 3325 (answered by the Ministry of Culture), 15th session' (2018) 969 &lt;</w:t>
      </w:r>
      <w:hyperlink r:id="rId4" w:history="1">
        <w:r w:rsidRPr="007419D2">
          <w:rPr>
            <w:rStyle w:val="Hyperlink"/>
            <w:bCs/>
            <w:u w:val="none"/>
          </w:rPr>
          <w:t>http://questions.assemblee-nationale.fr/q15/15-3325QE.htm</w:t>
        </w:r>
      </w:hyperlink>
      <w:r w:rsidRPr="007419D2">
        <w:rPr>
          <w:bCs/>
        </w:rPr>
        <w:t>&gt; accessed 04/03/2019 ; Fadila Khattabi, 'Written Question n. 10652 (answered by the Ministry of Foreign Affairs), 15th session ' (2018) 7622 &lt;</w:t>
      </w:r>
      <w:hyperlink r:id="rId5" w:history="1">
        <w:r w:rsidRPr="007419D2">
          <w:rPr>
            <w:rStyle w:val="Hyperlink"/>
            <w:bCs/>
            <w:u w:val="none"/>
          </w:rPr>
          <w:t>http://questions.assemblee-nationale.fr/q15/15-10652QE.htm</w:t>
        </w:r>
      </w:hyperlink>
      <w:r w:rsidRPr="007419D2">
        <w:rPr>
          <w:bCs/>
        </w:rPr>
        <w:t xml:space="preserve">&gt; accessed 04/03/2019 </w:t>
      </w:r>
      <w:r w:rsidR="00B75308" w:rsidRPr="007419D2">
        <w:fldChar w:fldCharType="end"/>
      </w:r>
    </w:p>
  </w:footnote>
  <w:footnote w:id="7">
    <w:p w:rsidR="00DD7187" w:rsidRPr="007419D2" w:rsidRDefault="00DD7187" w:rsidP="00596FBC">
      <w:pPr>
        <w:pStyle w:val="FootnoteText"/>
        <w:spacing w:line="240" w:lineRule="auto"/>
      </w:pPr>
      <w:r w:rsidRPr="007419D2">
        <w:rPr>
          <w:rStyle w:val="FootnoteReference"/>
        </w:rPr>
        <w:footnoteRef/>
      </w:r>
      <w:r w:rsidRPr="007419D2">
        <w:t xml:space="preserve"> </w:t>
      </w:r>
      <w:r w:rsidR="00B75308" w:rsidRPr="007419D2">
        <w:fldChar w:fldCharType="begin"/>
      </w:r>
      <w:r w:rsidRPr="007419D2">
        <w:instrText>ADDIN RW.CITE{{1114 Brown,Michael 2006 ~f/s199}}</w:instrText>
      </w:r>
      <w:r w:rsidR="00B75308" w:rsidRPr="007419D2">
        <w:fldChar w:fldCharType="separate"/>
      </w:r>
      <w:r w:rsidRPr="007419D2">
        <w:rPr>
          <w:rFonts w:eastAsia="Times New Roman"/>
        </w:rPr>
        <w:t xml:space="preserve">M. Brown and M. Bruchac, </w:t>
      </w:r>
      <w:r w:rsidRPr="007419D2">
        <w:rPr>
          <w:rFonts w:eastAsia="Times New Roman"/>
          <w:i/>
        </w:rPr>
        <w:t>NAGRPA from the Middle Distance, Legal Puzzles and Unintended Consequences</w:t>
      </w:r>
      <w:r w:rsidRPr="007419D2">
        <w:rPr>
          <w:rFonts w:eastAsia="Times New Roman"/>
        </w:rPr>
        <w:t xml:space="preserve"> in: J. H. Merryman (ed)</w:t>
      </w:r>
      <w:r w:rsidRPr="007419D2">
        <w:rPr>
          <w:rFonts w:eastAsia="Times New Roman"/>
          <w:i/>
        </w:rPr>
        <w:t>, Imperialism, Art and Restitution,</w:t>
      </w:r>
      <w:r w:rsidRPr="007419D2">
        <w:rPr>
          <w:rFonts w:eastAsia="Times New Roman"/>
        </w:rPr>
        <w:t xml:space="preserve"> Cambridge University Press Cambridge 2006199</w:t>
      </w:r>
      <w:r w:rsidR="00B75308" w:rsidRPr="007419D2">
        <w:fldChar w:fldCharType="end"/>
      </w:r>
      <w:r w:rsidRPr="007419D2">
        <w:t xml:space="preserve"> </w:t>
      </w:r>
    </w:p>
  </w:footnote>
  <w:footnote w:id="8">
    <w:p w:rsidR="00DD7187" w:rsidRPr="007419D2" w:rsidRDefault="00DD7187" w:rsidP="00596FBC">
      <w:pPr>
        <w:pStyle w:val="FootnoteText"/>
        <w:spacing w:line="240" w:lineRule="auto"/>
      </w:pPr>
      <w:r w:rsidRPr="007419D2">
        <w:rPr>
          <w:rStyle w:val="FootnoteReference"/>
        </w:rPr>
        <w:footnoteRef/>
      </w:r>
      <w:r w:rsidRPr="007419D2">
        <w:t xml:space="preserve"> </w:t>
      </w:r>
      <w:r w:rsidR="00B75308" w:rsidRPr="007419D2">
        <w:rPr>
          <w:lang w:val="fr-FR"/>
        </w:rPr>
        <w:fldChar w:fldCharType="begin"/>
      </w:r>
      <w:r w:rsidRPr="007419D2">
        <w:instrText>ADDIN RW.CITE{{3526 Bello,Huguette 2013 ~f}}</w:instrText>
      </w:r>
      <w:r w:rsidR="00B75308" w:rsidRPr="007419D2">
        <w:rPr>
          <w:lang w:val="fr-FR"/>
        </w:rPr>
        <w:fldChar w:fldCharType="separate"/>
      </w:r>
      <w:r w:rsidRPr="007419D2">
        <w:t>Assemblee Nationale, col 10314 &lt;</w:t>
      </w:r>
      <w:hyperlink r:id="rId6" w:history="1">
        <w:r w:rsidRPr="007419D2">
          <w:rPr>
            <w:rStyle w:val="Hyperlink"/>
            <w:u w:val="none"/>
          </w:rPr>
          <w:t>http://questions.assemblee-nationale.fr/q14/14-35855QE.htm</w:t>
        </w:r>
      </w:hyperlink>
      <w:r w:rsidRPr="007419D2">
        <w:t>&gt; accessed 04/03/2019</w:t>
      </w:r>
      <w:r w:rsidR="00B75308" w:rsidRPr="007419D2">
        <w:rPr>
          <w:lang w:val="fr-FR"/>
        </w:rPr>
        <w:fldChar w:fldCharType="end"/>
      </w:r>
      <w:r w:rsidRPr="007419D2">
        <w:t xml:space="preserve"> ADD H. BELLO, written question n.35855 (2013)</w:t>
      </w:r>
    </w:p>
  </w:footnote>
  <w:footnote w:id="9">
    <w:p w:rsidR="00DD7187" w:rsidRPr="007419D2" w:rsidRDefault="00DD7187" w:rsidP="00596FBC">
      <w:pPr>
        <w:pStyle w:val="FootnoteText"/>
        <w:spacing w:line="240" w:lineRule="auto"/>
      </w:pPr>
      <w:r w:rsidRPr="007419D2">
        <w:rPr>
          <w:rStyle w:val="FootnoteReference"/>
        </w:rPr>
        <w:footnoteRef/>
      </w:r>
      <w:r w:rsidRPr="007419D2">
        <w:t xml:space="preserve"> </w:t>
      </w:r>
      <w:r w:rsidR="00B75308" w:rsidRPr="007419D2">
        <w:fldChar w:fldCharType="begin"/>
      </w:r>
      <w:r w:rsidRPr="007419D2">
        <w:instrText>ADDIN RW.CITE{{3412 Sarr,Felwine 2018 ~f}}</w:instrText>
      </w:r>
      <w:r w:rsidR="00B75308" w:rsidRPr="007419D2">
        <w:fldChar w:fldCharType="separate"/>
      </w:r>
      <w:r w:rsidRPr="007419D2">
        <w:rPr>
          <w:bCs/>
          <w:lang w:val="en-US"/>
        </w:rPr>
        <w:t xml:space="preserve">F. Sarr and B. Savoy, </w:t>
      </w:r>
      <w:r w:rsidRPr="007419D2">
        <w:rPr>
          <w:bCs/>
          <w:i/>
          <w:lang w:val="en-US"/>
        </w:rPr>
        <w:t>The Restitution of African Cultural Heritage. Toward a New Relational Ethics</w:t>
      </w:r>
      <w:r w:rsidRPr="007419D2">
        <w:rPr>
          <w:bCs/>
          <w:lang w:val="en-US"/>
        </w:rPr>
        <w:t>,  (2018) &lt;</w:t>
      </w:r>
      <w:hyperlink r:id="rId7" w:history="1">
        <w:r w:rsidRPr="007419D2">
          <w:rPr>
            <w:rStyle w:val="Hyperlink"/>
            <w:bCs/>
            <w:u w:val="none"/>
            <w:lang w:val="en-US"/>
          </w:rPr>
          <w:t>http://restitutionreport2018.com/</w:t>
        </w:r>
      </w:hyperlink>
      <w:r w:rsidRPr="007419D2">
        <w:rPr>
          <w:bCs/>
          <w:lang w:val="en-US"/>
        </w:rPr>
        <w:t>&gt;[accessed: 15/06/2020]</w:t>
      </w:r>
      <w:r w:rsidR="00B75308" w:rsidRPr="007419D2">
        <w:fldChar w:fldCharType="end"/>
      </w:r>
    </w:p>
  </w:footnote>
  <w:footnote w:id="10">
    <w:p w:rsidR="00DD7187" w:rsidRPr="007419D2" w:rsidRDefault="00DD7187" w:rsidP="00596FBC">
      <w:pPr>
        <w:pStyle w:val="FootnoteText"/>
        <w:spacing w:line="240" w:lineRule="auto"/>
      </w:pPr>
      <w:r w:rsidRPr="007419D2">
        <w:rPr>
          <w:rStyle w:val="FootnoteReference"/>
        </w:rPr>
        <w:footnoteRef/>
      </w:r>
      <w:r w:rsidRPr="007419D2">
        <w:t xml:space="preserve"> </w:t>
      </w:r>
      <w:r w:rsidR="00B75308" w:rsidRPr="007419D2">
        <w:rPr>
          <w:lang w:val="fr-FR"/>
        </w:rPr>
        <w:fldChar w:fldCharType="begin"/>
      </w:r>
      <w:r w:rsidRPr="007419D2">
        <w:instrText>ADDIN RW.CITE{{3519 GustafssonReinius,Lotten 2017 ~f; 3522 Rassool,Ciraj 2015 ~f}}</w:instrText>
      </w:r>
      <w:r w:rsidR="00B75308" w:rsidRPr="007419D2">
        <w:rPr>
          <w:lang w:val="fr-FR"/>
        </w:rPr>
        <w:fldChar w:fldCharType="separate"/>
      </w:r>
      <w:r w:rsidRPr="007419D2">
        <w:rPr>
          <w:bCs/>
          <w:lang w:val="en-US"/>
        </w:rPr>
        <w:t xml:space="preserve">L. Gustafsson Reinius, </w:t>
      </w:r>
      <w:r w:rsidRPr="007419D2">
        <w:rPr>
          <w:bCs/>
          <w:i/>
          <w:lang w:val="en-US"/>
        </w:rPr>
        <w:t>The Ritual Labor of Reconciliation: An Autoethnography of a Return of Human Remains.</w:t>
      </w:r>
      <w:r w:rsidRPr="007419D2">
        <w:rPr>
          <w:bCs/>
          <w:lang w:val="en-US"/>
        </w:rPr>
        <w:t xml:space="preserve"> "Museum Worlds " 2017, Vol. 5, 74; C. Rassool, </w:t>
      </w:r>
      <w:r w:rsidRPr="007419D2">
        <w:rPr>
          <w:bCs/>
          <w:i/>
          <w:lang w:val="en-US"/>
        </w:rPr>
        <w:t>Re-storing the Skeletons of Empire: Return, Reburial and Rehumanisation in Southern Africa.</w:t>
      </w:r>
      <w:r w:rsidRPr="007419D2">
        <w:rPr>
          <w:bCs/>
          <w:lang w:val="en-US"/>
        </w:rPr>
        <w:t xml:space="preserve"> "Journal of Southern African Studies " 2015, Vol. 41, 653</w:t>
      </w:r>
      <w:r w:rsidR="00B75308" w:rsidRPr="007419D2">
        <w:rPr>
          <w:lang w:val="fr-FR"/>
        </w:rPr>
        <w:fldChar w:fldCharType="end"/>
      </w:r>
    </w:p>
  </w:footnote>
  <w:footnote w:id="11">
    <w:p w:rsidR="00DD7187" w:rsidRPr="007419D2" w:rsidRDefault="00DD7187" w:rsidP="00596FBC">
      <w:pPr>
        <w:pStyle w:val="FootnoteText"/>
        <w:spacing w:line="240" w:lineRule="auto"/>
      </w:pPr>
      <w:r w:rsidRPr="007419D2">
        <w:rPr>
          <w:rStyle w:val="FootnoteReference"/>
        </w:rPr>
        <w:footnoteRef/>
      </w:r>
      <w:r w:rsidRPr="007419D2">
        <w:t xml:space="preserve"> </w:t>
      </w:r>
      <w:r w:rsidR="00B75308" w:rsidRPr="007419D2">
        <w:rPr>
          <w:lang w:val="fr-FR"/>
        </w:rPr>
        <w:fldChar w:fldCharType="begin"/>
      </w:r>
      <w:r w:rsidRPr="007419D2">
        <w:instrText>ADDIN RW.CITE{{3519 GustafssonReinius,Lotten 2017 ~f}}</w:instrText>
      </w:r>
      <w:r w:rsidR="00B75308" w:rsidRPr="007419D2">
        <w:rPr>
          <w:lang w:val="fr-FR"/>
        </w:rPr>
        <w:fldChar w:fldCharType="separate"/>
      </w:r>
      <w:r w:rsidRPr="007419D2">
        <w:rPr>
          <w:bCs/>
          <w:lang w:val="en-US"/>
        </w:rPr>
        <w:t>L. Gustafsson Reinius, 74</w:t>
      </w:r>
      <w:r w:rsidR="00B75308" w:rsidRPr="007419D2">
        <w:rPr>
          <w:lang w:val="fr-FR"/>
        </w:rPr>
        <w:fldChar w:fldCharType="end"/>
      </w:r>
    </w:p>
  </w:footnote>
  <w:footnote w:id="12">
    <w:p w:rsidR="00DD7187" w:rsidRPr="007419D2" w:rsidRDefault="00DD7187" w:rsidP="00596FBC">
      <w:pPr>
        <w:pStyle w:val="FootnoteText"/>
        <w:spacing w:line="240" w:lineRule="auto"/>
      </w:pPr>
      <w:r w:rsidRPr="007419D2">
        <w:rPr>
          <w:rStyle w:val="FootnoteReference"/>
        </w:rPr>
        <w:footnoteRef/>
      </w:r>
      <w:r w:rsidRPr="007419D2">
        <w:t xml:space="preserve"> </w:t>
      </w:r>
      <w:r w:rsidR="00B75308" w:rsidRPr="007419D2">
        <w:rPr>
          <w:lang w:val="fr-FR"/>
        </w:rPr>
        <w:fldChar w:fldCharType="begin"/>
      </w:r>
      <w:r w:rsidRPr="007419D2">
        <w:instrText>ADDIN RW.CITE{{3560 Krmpotich,Cara 2010 ~f; 3561 Krmpotich,Cara 2011 ~f; 3551 Lambert-Pennington,Katherine 2007 ~f}}</w:instrText>
      </w:r>
      <w:r w:rsidR="00B75308" w:rsidRPr="007419D2">
        <w:rPr>
          <w:lang w:val="fr-FR"/>
        </w:rPr>
        <w:fldChar w:fldCharType="separate"/>
      </w:r>
      <w:r w:rsidRPr="007419D2">
        <w:rPr>
          <w:bCs/>
          <w:lang w:val="en-US"/>
        </w:rPr>
        <w:t xml:space="preserve">C. Krmpotich, </w:t>
      </w:r>
      <w:r w:rsidRPr="007419D2">
        <w:rPr>
          <w:bCs/>
          <w:i/>
          <w:lang w:val="en-US"/>
        </w:rPr>
        <w:t>Remembering and Repatriation: The Production of Kinship, Memory and Respect</w:t>
      </w:r>
      <w:r w:rsidRPr="007419D2">
        <w:rPr>
          <w:bCs/>
          <w:lang w:val="en-US"/>
        </w:rPr>
        <w:t xml:space="preserve"> "Journal of Material Culture " 2010, Vol. 15, 157; C. Krmpotich, </w:t>
      </w:r>
      <w:r w:rsidRPr="007419D2">
        <w:rPr>
          <w:bCs/>
          <w:i/>
          <w:lang w:val="en-US"/>
        </w:rPr>
        <w:t>Repatriation and the generation of material culture</w:t>
      </w:r>
      <w:r w:rsidRPr="007419D2">
        <w:rPr>
          <w:bCs/>
          <w:lang w:val="en-US"/>
        </w:rPr>
        <w:t xml:space="preserve"> "Mortality " 2011, Vol. 16, 145; K. Lambert-Pennington, </w:t>
      </w:r>
      <w:r w:rsidRPr="007419D2">
        <w:rPr>
          <w:bCs/>
          <w:i/>
          <w:lang w:val="en-US"/>
        </w:rPr>
        <w:t>What Remains? Reconciling Repatriation, Aboriginal Culture, Representation and the Past</w:t>
      </w:r>
      <w:r w:rsidRPr="007419D2">
        <w:rPr>
          <w:bCs/>
          <w:lang w:val="en-US"/>
        </w:rPr>
        <w:t xml:space="preserve"> "Oceania " 2007, Vol. 77, 313</w:t>
      </w:r>
      <w:r w:rsidR="00B75308" w:rsidRPr="007419D2">
        <w:rPr>
          <w:lang w:val="fr-FR"/>
        </w:rPr>
        <w:fldChar w:fldCharType="end"/>
      </w:r>
    </w:p>
  </w:footnote>
  <w:footnote w:id="13">
    <w:p w:rsidR="00DD7187" w:rsidRPr="007419D2" w:rsidRDefault="00DD7187" w:rsidP="00596FBC">
      <w:pPr>
        <w:pStyle w:val="FootnoteText"/>
        <w:spacing w:line="240" w:lineRule="auto"/>
      </w:pPr>
      <w:r w:rsidRPr="007419D2">
        <w:rPr>
          <w:rStyle w:val="FootnoteReference"/>
        </w:rPr>
        <w:footnoteRef/>
      </w:r>
      <w:r w:rsidRPr="007419D2">
        <w:t xml:space="preserve"> </w:t>
      </w:r>
      <w:r w:rsidR="00B75308" w:rsidRPr="007419D2">
        <w:fldChar w:fldCharType="begin"/>
      </w:r>
      <w:r w:rsidRPr="007419D2">
        <w:instrText>ADDIN RW.CITE{{3544 Moudileno,Lydie 2009 ~f}}</w:instrText>
      </w:r>
      <w:r w:rsidR="00B75308" w:rsidRPr="007419D2">
        <w:fldChar w:fldCharType="separate"/>
      </w:r>
      <w:r w:rsidRPr="007419D2">
        <w:rPr>
          <w:bCs/>
          <w:lang w:val="en-US"/>
        </w:rPr>
        <w:t xml:space="preserve">L. Moudileno, </w:t>
      </w:r>
      <w:r w:rsidRPr="007419D2">
        <w:rPr>
          <w:bCs/>
          <w:i/>
          <w:lang w:val="en-US"/>
        </w:rPr>
        <w:t>Returning Remains: Saartjie Baartman, or the "Hottentot Venus" as Transnational Postcolonial Icon</w:t>
      </w:r>
      <w:r w:rsidRPr="007419D2">
        <w:rPr>
          <w:bCs/>
          <w:lang w:val="en-US"/>
        </w:rPr>
        <w:t xml:space="preserve"> "Forum for Modern Language Studies " 2009, Vol. 45, 200</w:t>
      </w:r>
      <w:r w:rsidR="00B75308" w:rsidRPr="007419D2">
        <w:fldChar w:fldCharType="end"/>
      </w:r>
    </w:p>
  </w:footnote>
  <w:footnote w:id="14">
    <w:p w:rsidR="00DD7187" w:rsidRPr="007419D2" w:rsidRDefault="00DD7187" w:rsidP="00596FBC">
      <w:pPr>
        <w:pStyle w:val="FootnoteText"/>
        <w:spacing w:line="240" w:lineRule="auto"/>
      </w:pPr>
      <w:r w:rsidRPr="007419D2">
        <w:rPr>
          <w:rStyle w:val="FootnoteReference"/>
        </w:rPr>
        <w:footnoteRef/>
      </w:r>
      <w:r w:rsidRPr="007419D2">
        <w:t xml:space="preserve"> </w:t>
      </w:r>
      <w:r w:rsidR="00B75308" w:rsidRPr="007419D2">
        <w:fldChar w:fldCharType="begin"/>
      </w:r>
      <w:r w:rsidRPr="007419D2">
        <w:instrText>ADDIN RW.CITE{{3513 Lenzerini,Federico 2012 ~f}}</w:instrText>
      </w:r>
      <w:r w:rsidR="00B75308" w:rsidRPr="007419D2">
        <w:fldChar w:fldCharType="separate"/>
      </w:r>
      <w:r w:rsidRPr="007419D2">
        <w:rPr>
          <w:lang w:val="en-US"/>
        </w:rPr>
        <w:t xml:space="preserve">F. Lenzerini, </w:t>
      </w:r>
      <w:r w:rsidRPr="007419D2">
        <w:rPr>
          <w:i/>
          <w:lang w:val="en-US"/>
        </w:rPr>
        <w:t>the Tension between Communities' Cultural Rights and Global Interests: The Case of the Maori Mokomokai</w:t>
      </w:r>
      <w:r w:rsidRPr="007419D2">
        <w:rPr>
          <w:lang w:val="en-US"/>
        </w:rPr>
        <w:t xml:space="preserve"> in: S. Borelli and F. Lenzerini (eds)</w:t>
      </w:r>
      <w:r w:rsidRPr="007419D2">
        <w:rPr>
          <w:i/>
          <w:lang w:val="en-US"/>
        </w:rPr>
        <w:t>, Cultural Heritage, Cultural Rights, Cultural Diversity: New Developments in International Law,</w:t>
      </w:r>
      <w:r w:rsidRPr="007419D2">
        <w:rPr>
          <w:lang w:val="en-US"/>
        </w:rPr>
        <w:t xml:space="preserve"> Brill Nijhoff 2012, </w:t>
      </w:r>
      <w:r w:rsidR="00B75308" w:rsidRPr="007419D2">
        <w:fldChar w:fldCharType="end"/>
      </w:r>
      <w:r w:rsidRPr="007419D2">
        <w:t>174</w:t>
      </w:r>
    </w:p>
  </w:footnote>
  <w:footnote w:id="15">
    <w:p w:rsidR="00DD7187" w:rsidRPr="007419D2" w:rsidRDefault="00DD7187" w:rsidP="00596FBC">
      <w:pPr>
        <w:pStyle w:val="FootnoteText"/>
        <w:spacing w:line="240" w:lineRule="auto"/>
        <w:rPr>
          <w:lang w:val="fr-FR"/>
        </w:rPr>
      </w:pPr>
      <w:r w:rsidRPr="007419D2">
        <w:rPr>
          <w:rStyle w:val="FootnoteReference"/>
        </w:rPr>
        <w:footnoteRef/>
      </w:r>
      <w:r w:rsidRPr="007419D2">
        <w:rPr>
          <w:lang w:val="fr-FR"/>
        </w:rPr>
        <w:t xml:space="preserve"> </w:t>
      </w:r>
      <w:r w:rsidR="00B75308" w:rsidRPr="007419D2">
        <w:fldChar w:fldCharType="begin"/>
      </w:r>
      <w:r w:rsidRPr="007419D2">
        <w:rPr>
          <w:lang w:val="fr-FR"/>
        </w:rPr>
        <w:instrText>ADDIN RW.CITE{{3851 [NoInformation] 2020 ~f}}</w:instrText>
      </w:r>
      <w:r w:rsidR="00B75308" w:rsidRPr="007419D2">
        <w:fldChar w:fldCharType="separate"/>
      </w:r>
      <w:r w:rsidRPr="007419D2">
        <w:rPr>
          <w:bCs/>
          <w:i/>
          <w:lang w:val="fr-FR"/>
        </w:rPr>
        <w:t xml:space="preserve">Comptes rendus de la Commission de la Culture, de l'Education et de la Communication, Mme Catherine Morin-Desailly, présidente - Restitution des biens culturels - Audition de M. Michel Van Praët, professeur émérite du Museum national d'histoire naturelle, membre de la Commission scientifique nationale des collections Audition de M. Michel Van Praët </w:t>
      </w:r>
      <w:r w:rsidRPr="007419D2">
        <w:rPr>
          <w:bCs/>
          <w:lang w:val="fr-FR"/>
        </w:rPr>
        <w:t>(15 janvier, 2020) &lt;</w:t>
      </w:r>
      <w:hyperlink r:id="rId8" w:history="1">
        <w:r w:rsidRPr="007419D2">
          <w:rPr>
            <w:rStyle w:val="Hyperlink"/>
            <w:bCs/>
            <w:u w:val="none"/>
            <w:lang w:val="fr-FR"/>
          </w:rPr>
          <w:t>http://www.senat.fr/compte-rendu-commissions/20200113/cult.html;</w:t>
        </w:r>
      </w:hyperlink>
      <w:r w:rsidRPr="007419D2">
        <w:rPr>
          <w:bCs/>
          <w:lang w:val="fr-FR"/>
        </w:rPr>
        <w:t>&gt;[accessed: 20/02/2020]</w:t>
      </w:r>
      <w:r w:rsidR="00B75308" w:rsidRPr="007419D2">
        <w:fldChar w:fldCharType="end"/>
      </w:r>
    </w:p>
  </w:footnote>
  <w:footnote w:id="16">
    <w:p w:rsidR="00DD7187" w:rsidRPr="007419D2" w:rsidRDefault="00DD7187" w:rsidP="00596FBC">
      <w:pPr>
        <w:pStyle w:val="NormalWeb"/>
        <w:shd w:val="clear" w:color="auto" w:fill="FFFFFF"/>
        <w:spacing w:line="240" w:lineRule="auto"/>
        <w:textAlignment w:val="baseline"/>
        <w:rPr>
          <w:sz w:val="20"/>
          <w:szCs w:val="20"/>
        </w:rPr>
      </w:pPr>
      <w:r w:rsidRPr="007419D2">
        <w:rPr>
          <w:rStyle w:val="FootnoteReference"/>
          <w:sz w:val="20"/>
          <w:szCs w:val="20"/>
        </w:rPr>
        <w:footnoteRef/>
      </w:r>
      <w:r w:rsidRPr="007419D2">
        <w:rPr>
          <w:sz w:val="20"/>
          <w:szCs w:val="20"/>
        </w:rPr>
        <w:t xml:space="preserve"> </w:t>
      </w:r>
      <w:r w:rsidRPr="007419D2">
        <w:rPr>
          <w:rFonts w:eastAsia="Times New Roman"/>
          <w:color w:val="333333"/>
          <w:sz w:val="20"/>
          <w:szCs w:val="20"/>
          <w:lang w:eastAsia="en-GB"/>
        </w:rPr>
        <w:t>Cuno J, </w:t>
      </w:r>
      <w:r w:rsidRPr="007419D2">
        <w:rPr>
          <w:rFonts w:eastAsia="Times New Roman"/>
          <w:i/>
          <w:iCs/>
          <w:color w:val="333333"/>
          <w:sz w:val="20"/>
          <w:szCs w:val="20"/>
          <w:lang w:eastAsia="en-GB"/>
        </w:rPr>
        <w:t>Who owns antiquity?: museums and the battle over our ancient heritage</w:t>
      </w:r>
      <w:r w:rsidRPr="007419D2">
        <w:rPr>
          <w:rFonts w:eastAsia="Times New Roman"/>
          <w:color w:val="333333"/>
          <w:sz w:val="20"/>
          <w:szCs w:val="20"/>
          <w:lang w:eastAsia="en-GB"/>
        </w:rPr>
        <w:t> (Princeton University Press 2008)</w:t>
      </w:r>
    </w:p>
  </w:footnote>
  <w:footnote w:id="17">
    <w:p w:rsidR="00DD7187" w:rsidRPr="007419D2" w:rsidRDefault="00DD7187" w:rsidP="00596FBC">
      <w:pPr>
        <w:pStyle w:val="FootnoteText"/>
        <w:spacing w:line="240" w:lineRule="auto"/>
      </w:pPr>
      <w:r w:rsidRPr="007419D2">
        <w:rPr>
          <w:rStyle w:val="FootnoteReference"/>
        </w:rPr>
        <w:footnoteRef/>
      </w:r>
      <w:r w:rsidRPr="007419D2">
        <w:t xml:space="preserve"> J. Merryman, </w:t>
      </w:r>
      <w:r w:rsidRPr="007419D2">
        <w:rPr>
          <w:i/>
        </w:rPr>
        <w:t>Two Ways of Thinking about Cultural Property</w:t>
      </w:r>
      <w:r w:rsidRPr="007419D2">
        <w:t xml:space="preserve"> “American Journal of International Law” 1986, vol. 80, 831</w:t>
      </w:r>
    </w:p>
  </w:footnote>
  <w:footnote w:id="18">
    <w:p w:rsidR="00DD7187" w:rsidRPr="007419D2" w:rsidRDefault="00DD7187" w:rsidP="00596FBC">
      <w:pPr>
        <w:pStyle w:val="FootnoteText"/>
        <w:spacing w:line="240" w:lineRule="auto"/>
      </w:pPr>
      <w:r w:rsidRPr="007419D2">
        <w:rPr>
          <w:rStyle w:val="FootnoteReference"/>
        </w:rPr>
        <w:footnoteRef/>
      </w:r>
      <w:r w:rsidRPr="007419D2">
        <w:t xml:space="preserve">  T. Jenkins, </w:t>
      </w:r>
      <w:r w:rsidRPr="007419D2">
        <w:rPr>
          <w:i/>
        </w:rPr>
        <w:t>Keeping their Marbles</w:t>
      </w:r>
      <w:r w:rsidRPr="007419D2">
        <w:t xml:space="preserve"> Oxford University Press, Oxford 2016</w:t>
      </w:r>
    </w:p>
  </w:footnote>
  <w:footnote w:id="19">
    <w:p w:rsidR="00DD7187" w:rsidRPr="007419D2" w:rsidRDefault="00DD7187" w:rsidP="00596FBC">
      <w:pPr>
        <w:pStyle w:val="FootnoteText"/>
        <w:spacing w:line="240" w:lineRule="auto"/>
      </w:pPr>
      <w:r w:rsidRPr="007419D2">
        <w:rPr>
          <w:rStyle w:val="FootnoteReference"/>
        </w:rPr>
        <w:footnoteRef/>
      </w:r>
      <w:r w:rsidRPr="007419D2">
        <w:t xml:space="preserve"> </w:t>
      </w:r>
      <w:r w:rsidR="00B75308" w:rsidRPr="007419D2">
        <w:rPr>
          <w:lang w:val="fr-FR"/>
        </w:rPr>
        <w:fldChar w:fldCharType="begin"/>
      </w:r>
      <w:r w:rsidRPr="007419D2">
        <w:instrText>ADDIN RW.CITE{{3513 Lenzerini,Federico 2012 ~f/f, 165, 171}}</w:instrText>
      </w:r>
      <w:r w:rsidR="00B75308" w:rsidRPr="007419D2">
        <w:rPr>
          <w:lang w:val="fr-FR"/>
        </w:rPr>
        <w:fldChar w:fldCharType="separate"/>
      </w:r>
      <w:r w:rsidRPr="007419D2">
        <w:rPr>
          <w:bCs/>
          <w:lang w:val="en-US"/>
        </w:rPr>
        <w:t>F. Lenzerini, p 171</w:t>
      </w:r>
      <w:r w:rsidR="00B75308" w:rsidRPr="007419D2">
        <w:rPr>
          <w:lang w:val="fr-FR"/>
        </w:rPr>
        <w:fldChar w:fldCharType="end"/>
      </w:r>
    </w:p>
  </w:footnote>
  <w:footnote w:id="20">
    <w:p w:rsidR="00DD7187" w:rsidRPr="007419D2" w:rsidRDefault="00DD7187" w:rsidP="00596FBC">
      <w:pPr>
        <w:pStyle w:val="FootnoteText"/>
        <w:spacing w:line="240" w:lineRule="auto"/>
      </w:pPr>
      <w:r w:rsidRPr="007419D2">
        <w:rPr>
          <w:rStyle w:val="FootnoteReference"/>
        </w:rPr>
        <w:footnoteRef/>
      </w:r>
      <w:r w:rsidRPr="007419D2">
        <w:t xml:space="preserve"> International Covenant on Civil and Political Rights (New York, 16 December 1966) 999 UNTS 171</w:t>
      </w:r>
    </w:p>
  </w:footnote>
  <w:footnote w:id="21">
    <w:p w:rsidR="00DD7187" w:rsidRPr="007419D2" w:rsidRDefault="00DD7187" w:rsidP="00596FBC">
      <w:pPr>
        <w:pStyle w:val="FootnoteText"/>
        <w:spacing w:line="240" w:lineRule="auto"/>
      </w:pPr>
      <w:r w:rsidRPr="007419D2">
        <w:rPr>
          <w:rStyle w:val="FootnoteReference"/>
        </w:rPr>
        <w:footnoteRef/>
      </w:r>
      <w:r w:rsidRPr="007419D2">
        <w:t xml:space="preserve"> International Covenant on Economic, Social and Cultural Rights (New York, 16 December 1966) 993 UNTS 3</w:t>
      </w:r>
    </w:p>
  </w:footnote>
  <w:footnote w:id="22">
    <w:p w:rsidR="00DD7187" w:rsidRPr="007419D2" w:rsidRDefault="00DD7187" w:rsidP="00596FBC">
      <w:pPr>
        <w:pStyle w:val="FootnoteText"/>
        <w:spacing w:line="240" w:lineRule="auto"/>
      </w:pPr>
      <w:r w:rsidRPr="007419D2">
        <w:rPr>
          <w:rStyle w:val="FootnoteReference"/>
        </w:rPr>
        <w:footnoteRef/>
      </w:r>
      <w:r w:rsidRPr="007419D2">
        <w:t xml:space="preserve"> https://unesdoc.unesco.org/ark:/48223/pf0000052505</w:t>
      </w:r>
    </w:p>
  </w:footnote>
  <w:footnote w:id="23">
    <w:p w:rsidR="00DD7187" w:rsidRPr="007419D2" w:rsidRDefault="00DD7187" w:rsidP="00596FBC">
      <w:pPr>
        <w:pStyle w:val="FootnoteText"/>
        <w:spacing w:line="240" w:lineRule="auto"/>
      </w:pPr>
      <w:r w:rsidRPr="007419D2">
        <w:rPr>
          <w:rStyle w:val="FootnoteReference"/>
        </w:rPr>
        <w:footnoteRef/>
      </w:r>
      <w:r w:rsidRPr="007419D2">
        <w:t xml:space="preserve"> Convention for the Safeguarding of the Intangible Heritage (Paris, 17 October 2003), 2368 UNTS 3</w:t>
      </w:r>
    </w:p>
  </w:footnote>
  <w:footnote w:id="24">
    <w:p w:rsidR="00DD7187" w:rsidRPr="007419D2" w:rsidRDefault="00DD7187" w:rsidP="00596FBC">
      <w:pPr>
        <w:pStyle w:val="FootnoteText"/>
        <w:spacing w:line="240" w:lineRule="auto"/>
      </w:pPr>
      <w:r w:rsidRPr="007419D2">
        <w:rPr>
          <w:rStyle w:val="FootnoteReference"/>
        </w:rPr>
        <w:footnoteRef/>
      </w:r>
      <w:r w:rsidRPr="007419D2">
        <w:t xml:space="preserve"> Convention on the Protection and Promotion of the Diversity of cultural Expressions (Paris, 20 October 2005), 2440 UNTS 311; </w:t>
      </w:r>
      <w:r w:rsidR="00B75308" w:rsidRPr="007419D2">
        <w:fldChar w:fldCharType="begin"/>
      </w:r>
      <w:r w:rsidRPr="007419D2">
        <w:instrText>ADDIN RW.CITE{{3502 Keeler,Honor 2012 ~f}}</w:instrText>
      </w:r>
      <w:r w:rsidR="00B75308" w:rsidRPr="007419D2">
        <w:fldChar w:fldCharType="separate"/>
      </w:r>
      <w:r w:rsidRPr="007419D2">
        <w:rPr>
          <w:bCs/>
          <w:lang w:val="en-US"/>
        </w:rPr>
        <w:t xml:space="preserve">H. Keeler, </w:t>
      </w:r>
      <w:r w:rsidRPr="007419D2">
        <w:rPr>
          <w:bCs/>
          <w:i/>
          <w:lang w:val="en-US"/>
        </w:rPr>
        <w:t>Indigenous International Repatriation</w:t>
      </w:r>
      <w:r w:rsidRPr="007419D2">
        <w:rPr>
          <w:bCs/>
          <w:lang w:val="en-US"/>
        </w:rPr>
        <w:t xml:space="preserve"> "Arizona State Law Journal " 2012, Vol. 44, 703</w:t>
      </w:r>
      <w:r w:rsidR="00B75308" w:rsidRPr="007419D2">
        <w:fldChar w:fldCharType="end"/>
      </w:r>
    </w:p>
  </w:footnote>
  <w:footnote w:id="25">
    <w:p w:rsidR="00DD7187" w:rsidRPr="007419D2" w:rsidRDefault="00DD7187" w:rsidP="00596FBC">
      <w:pPr>
        <w:pStyle w:val="FootnoteText"/>
        <w:spacing w:line="240" w:lineRule="auto"/>
      </w:pPr>
      <w:r w:rsidRPr="007419D2">
        <w:rPr>
          <w:rStyle w:val="FootnoteReference"/>
        </w:rPr>
        <w:footnoteRef/>
      </w:r>
      <w:r w:rsidRPr="007419D2">
        <w:t xml:space="preserve"> General Comment No. 23: The rights of minorities (Article 27 ICCPR), 8 April 1994, UN doc. CCPR/C/21/Rev.1/Add.5</w:t>
      </w:r>
    </w:p>
  </w:footnote>
  <w:footnote w:id="26">
    <w:p w:rsidR="00DD7187" w:rsidRPr="007419D2" w:rsidRDefault="00DD7187" w:rsidP="00596FBC">
      <w:pPr>
        <w:pStyle w:val="FootnoteText"/>
        <w:spacing w:line="240" w:lineRule="auto"/>
      </w:pPr>
      <w:r w:rsidRPr="007419D2">
        <w:rPr>
          <w:rStyle w:val="FootnoteReference"/>
        </w:rPr>
        <w:footnoteRef/>
      </w:r>
      <w:r w:rsidRPr="007419D2">
        <w:t xml:space="preserve"> General Comment No 11, Indigenous children and their rights under the Convention, UN doc. CRC/C/GC/11, 12 February 2009, para. 18</w:t>
      </w:r>
    </w:p>
  </w:footnote>
  <w:footnote w:id="27">
    <w:p w:rsidR="00DD7187" w:rsidRPr="007419D2" w:rsidRDefault="00DD7187" w:rsidP="00596FBC">
      <w:pPr>
        <w:pStyle w:val="FootnoteText"/>
        <w:spacing w:line="240" w:lineRule="auto"/>
      </w:pPr>
      <w:r w:rsidRPr="007419D2">
        <w:rPr>
          <w:rStyle w:val="FootnoteReference"/>
        </w:rPr>
        <w:footnoteRef/>
      </w:r>
      <w:r w:rsidRPr="007419D2">
        <w:t xml:space="preserve">  General Recommendation No. 23, rights of Indigenous peoples, 18 August 1997, UN Doc. A/52/18 (supp), annex V at 122</w:t>
      </w:r>
    </w:p>
  </w:footnote>
  <w:footnote w:id="28">
    <w:p w:rsidR="00DD7187" w:rsidRPr="007419D2" w:rsidRDefault="00DD7187" w:rsidP="00596FBC">
      <w:pPr>
        <w:pStyle w:val="FootnoteText"/>
        <w:spacing w:line="240" w:lineRule="auto"/>
      </w:pPr>
      <w:r w:rsidRPr="007419D2">
        <w:rPr>
          <w:rStyle w:val="FootnoteReference"/>
        </w:rPr>
        <w:footnoteRef/>
      </w:r>
      <w:r w:rsidRPr="007419D2">
        <w:t xml:space="preserve"> General Comment  No. 21, Right of everyone to take part in cultural life (Article 15, para. 1 (a), International Covenant on Civil and Political Rights) UN doc. E/C.12/GC/21, 21 December 2009, para 16(a).</w:t>
      </w:r>
    </w:p>
  </w:footnote>
  <w:footnote w:id="29">
    <w:p w:rsidR="00DD7187" w:rsidRPr="007419D2" w:rsidRDefault="00DD7187" w:rsidP="00596FBC">
      <w:pPr>
        <w:spacing w:line="240" w:lineRule="auto"/>
        <w:rPr>
          <w:sz w:val="20"/>
          <w:szCs w:val="20"/>
        </w:rPr>
      </w:pPr>
      <w:r w:rsidRPr="007419D2">
        <w:rPr>
          <w:rStyle w:val="FootnoteReference"/>
          <w:sz w:val="20"/>
          <w:szCs w:val="20"/>
        </w:rPr>
        <w:footnoteRef/>
      </w:r>
      <w:r w:rsidRPr="007419D2">
        <w:rPr>
          <w:sz w:val="20"/>
          <w:szCs w:val="20"/>
        </w:rPr>
        <w:t xml:space="preserve"> United Nations Declaration on the Rights of Indigenous Peoples (A/RES/61/295) 13 September 2007</w:t>
      </w:r>
    </w:p>
  </w:footnote>
  <w:footnote w:id="30">
    <w:p w:rsidR="00DD7187" w:rsidRPr="007419D2" w:rsidRDefault="00DD7187" w:rsidP="00596FBC">
      <w:pPr>
        <w:pStyle w:val="FootnoteText"/>
        <w:spacing w:line="240" w:lineRule="auto"/>
      </w:pPr>
      <w:r w:rsidRPr="007419D2">
        <w:rPr>
          <w:rStyle w:val="FootnoteReference"/>
        </w:rPr>
        <w:footnoteRef/>
      </w:r>
      <w:r w:rsidRPr="007419D2">
        <w:t xml:space="preserve"> http://www.worldarchaeologicalcongress.org/site/about_ethi.php ; </w:t>
      </w:r>
      <w:r w:rsidR="00B75308" w:rsidRPr="007419D2">
        <w:fldChar w:fldCharType="begin"/>
      </w:r>
      <w:r w:rsidRPr="007419D2">
        <w:instrText>ADDIN RW.CITE{{1613 Seidemann,RyanM. 2004 ~f/s581}}</w:instrText>
      </w:r>
      <w:r w:rsidR="00B75308" w:rsidRPr="007419D2">
        <w:fldChar w:fldCharType="separate"/>
      </w:r>
      <w:r w:rsidRPr="007419D2">
        <w:rPr>
          <w:rFonts w:eastAsia="Times New Roman"/>
        </w:rPr>
        <w:t xml:space="preserve">R. M. Seidemann, </w:t>
      </w:r>
      <w:r w:rsidRPr="007419D2">
        <w:rPr>
          <w:rFonts w:eastAsia="Times New Roman"/>
          <w:i/>
        </w:rPr>
        <w:t>Bones of Contention: A Comparative Examination of Law Governing Human Remains from Archaeological Contexts in Formerly Colonial Countries</w:t>
      </w:r>
      <w:r w:rsidRPr="007419D2">
        <w:rPr>
          <w:rFonts w:eastAsia="Times New Roman"/>
        </w:rPr>
        <w:t xml:space="preserve"> "Louisiana Law Review " 2004, Vol. 64581</w:t>
      </w:r>
      <w:r w:rsidR="00B75308" w:rsidRPr="007419D2">
        <w:fldChar w:fldCharType="end"/>
      </w:r>
      <w:r w:rsidRPr="007419D2">
        <w:t xml:space="preserve"> </w:t>
      </w:r>
      <w:r w:rsidR="00B75308" w:rsidRPr="007419D2">
        <w:fldChar w:fldCharType="begin"/>
      </w:r>
      <w:r w:rsidRPr="007419D2">
        <w:instrText xml:space="preserve"> ADDIN EN.CITE &lt;EndNote&gt;&lt;Cite&gt;&lt;Author&gt;Seidemann&lt;/Author&gt;&lt;Year&gt;2004&lt;/Year&gt;&lt;RecNum&gt;778&lt;/RecNum&gt;&lt;Pages&gt;581&lt;/Pages&gt;&lt;record&gt;&lt;rec-number&gt;778&lt;/rec-number&gt;&lt;ref-type name="Journal Article"&gt;17&lt;/ref-type&gt;&lt;contributors&gt;&lt;authors&gt;&lt;author&gt;Seidemann, Ryan M.&lt;/author&gt;&lt;/authors&gt;&lt;/contributors&gt;&lt;titles&gt;&lt;title&gt;Bones of Contention: A Comparative Examination of Law Governing Human Remains from Archaeological Contexts in Formerly Colonial Countries&lt;/title&gt;&lt;secondary-title&gt;Louisiana Law Review&lt;/secondary-title&gt;&lt;short-title&gt;Bones of Contention&lt;/short-title&gt;&lt;/titles&gt;&lt;periodical&gt;&lt;full-title&gt;Louisiana Law Review&lt;/full-title&gt;&lt;/periodical&gt;&lt;pages&gt;545-588&lt;/pages&gt;&lt;volume&gt;64&lt;/volume&gt;&lt;number&gt;3&lt;/number&gt;&lt;keywords&gt;&lt;keyword&gt;human remains, USA, NAGPRA&lt;/keyword&gt;&lt;/keywords&gt;&lt;dates&gt;&lt;year&gt;2004&lt;/year&gt;&lt;/dates&gt;&lt;urls&gt;&lt;/urls&gt;&lt;/record&gt;&lt;/Cite&gt;&lt;/EndNote&gt;</w:instrText>
      </w:r>
      <w:r w:rsidR="00B75308" w:rsidRPr="007419D2">
        <w:fldChar w:fldCharType="separate"/>
      </w:r>
      <w:r w:rsidRPr="007419D2">
        <w:t>.</w:t>
      </w:r>
      <w:r w:rsidR="00B75308" w:rsidRPr="007419D2">
        <w:fldChar w:fldCharType="end"/>
      </w:r>
    </w:p>
  </w:footnote>
  <w:footnote w:id="31">
    <w:p w:rsidR="00DD7187" w:rsidRPr="007419D2" w:rsidRDefault="00DD7187" w:rsidP="00596FBC">
      <w:pPr>
        <w:pStyle w:val="FootnoteText"/>
        <w:spacing w:line="240" w:lineRule="auto"/>
      </w:pPr>
      <w:r w:rsidRPr="007419D2">
        <w:rPr>
          <w:rStyle w:val="FootnoteReference"/>
        </w:rPr>
        <w:footnoteRef/>
      </w:r>
      <w:r w:rsidRPr="007419D2">
        <w:t xml:space="preserve"> http://www.worldarchaeologicalcongress.org/site/about_ethi.php (accessed 5 July 2012).</w:t>
      </w:r>
    </w:p>
  </w:footnote>
  <w:footnote w:id="32">
    <w:p w:rsidR="00DD7187" w:rsidRPr="007419D2" w:rsidRDefault="00DD7187" w:rsidP="00596FBC">
      <w:pPr>
        <w:pStyle w:val="FootnoteText"/>
        <w:spacing w:line="240" w:lineRule="auto"/>
      </w:pPr>
      <w:r w:rsidRPr="007419D2">
        <w:rPr>
          <w:rStyle w:val="FootnoteReference"/>
        </w:rPr>
        <w:footnoteRef/>
      </w:r>
      <w:r w:rsidRPr="007419D2">
        <w:t xml:space="preserve"> </w:t>
      </w:r>
      <w:hyperlink r:id="rId9">
        <w:r w:rsidRPr="007419D2">
          <w:rPr>
            <w:rStyle w:val="Hyperlink"/>
          </w:rPr>
          <w:t>https://www.wipo.int/tk/en/databases/creative_heritage/indigenous/link0002.html</w:t>
        </w:r>
      </w:hyperlink>
      <w:r w:rsidRPr="007419D2">
        <w:t xml:space="preserve"> (accessed 5/03/2020). It included representatives of The Nine Tribes of Mataatua in the Bay of Plenty Region of Aotearoa New Zealand, and over 150 delegates from fourteen countries, including indigenous</w:t>
      </w:r>
    </w:p>
    <w:p w:rsidR="00DD7187" w:rsidRPr="007419D2" w:rsidRDefault="00DD7187" w:rsidP="00596FBC">
      <w:pPr>
        <w:pStyle w:val="FootnoteText"/>
        <w:spacing w:line="240" w:lineRule="auto"/>
      </w:pPr>
      <w:r w:rsidRPr="007419D2">
        <w:t>representatives from Ainu (Japan), Australia, Cook Islands, Fiji, India, Panama, Peru, Philippines, Surinam, USA, and Aotearoa.</w:t>
      </w:r>
    </w:p>
  </w:footnote>
  <w:footnote w:id="33">
    <w:p w:rsidR="00DD7187" w:rsidRPr="007419D2" w:rsidRDefault="00DD7187" w:rsidP="0057717A">
      <w:pPr>
        <w:pStyle w:val="FootnoteText"/>
        <w:spacing w:line="240" w:lineRule="auto"/>
        <w:jc w:val="left"/>
      </w:pPr>
      <w:r w:rsidRPr="007419D2">
        <w:rPr>
          <w:rStyle w:val="FootnoteReference"/>
        </w:rPr>
        <w:footnoteRef/>
      </w:r>
      <w:r w:rsidRPr="007419D2">
        <w:t xml:space="preserve"> These cases  are discussed in more detail: </w:t>
      </w:r>
      <w:r w:rsidR="0057717A" w:rsidRPr="0057717A">
        <w:t>A.</w:t>
      </w:r>
      <w:r w:rsidR="0057717A">
        <w:t xml:space="preserve"> Kohen, </w:t>
      </w:r>
      <w:r w:rsidR="0057717A" w:rsidRPr="0057717A">
        <w:rPr>
          <w:i/>
        </w:rPr>
        <w:t>Australian ancestral remains in French museums, Pathways to repatriation</w:t>
      </w:r>
      <w:r w:rsidR="0057717A" w:rsidRPr="0057717A">
        <w:t xml:space="preserve"> in: </w:t>
      </w:r>
      <w:r w:rsidR="0057717A">
        <w:t>C. Fforde, C. T. McKeown and H. Keeler (eds)</w:t>
      </w:r>
      <w:r w:rsidR="0057717A" w:rsidRPr="0057717A">
        <w:rPr>
          <w:i/>
        </w:rPr>
        <w:t xml:space="preserve">, </w:t>
      </w:r>
      <w:r w:rsidR="0057717A">
        <w:rPr>
          <w:i/>
        </w:rPr>
        <w:t xml:space="preserve">The Routledge Companion to Indigenous Repatration, Return, Reconcile, Renew </w:t>
      </w:r>
      <w:r w:rsidR="0057717A" w:rsidRPr="0057717A">
        <w:t xml:space="preserve">, </w:t>
      </w:r>
      <w:r w:rsidR="0057717A">
        <w:t xml:space="preserve">Routledge London and New York 2020 , pp413; F. Lenzerini, </w:t>
      </w:r>
      <w:r w:rsidR="0057717A" w:rsidRPr="0057717A">
        <w:rPr>
          <w:i/>
        </w:rPr>
        <w:t>the Tension between Communities' Cultural Rights and Global Interests: The Case of the Maori Mokomokai</w:t>
      </w:r>
      <w:r w:rsidR="0057717A" w:rsidRPr="0057717A">
        <w:t xml:space="preserve"> in: </w:t>
      </w:r>
      <w:r w:rsidR="0057717A">
        <w:t>S. Borelli and F. Lenzerini (eds)</w:t>
      </w:r>
      <w:r w:rsidR="0057717A" w:rsidRPr="0057717A">
        <w:rPr>
          <w:i/>
        </w:rPr>
        <w:t xml:space="preserve">, </w:t>
      </w:r>
      <w:r w:rsidR="0057717A">
        <w:rPr>
          <w:i/>
        </w:rPr>
        <w:t xml:space="preserve">Cultural Heritage, Cultural Rights, Cultural Diversity: New Developments in International Law </w:t>
      </w:r>
      <w:r w:rsidR="0057717A" w:rsidRPr="0057717A">
        <w:t xml:space="preserve">, </w:t>
      </w:r>
      <w:r w:rsidR="0057717A">
        <w:t xml:space="preserve">Brill Nijhoff 2012 , pp157-177; R. Paterson, , </w:t>
      </w:r>
      <w:r w:rsidR="0057717A" w:rsidRPr="0057717A">
        <w:rPr>
          <w:i/>
        </w:rPr>
        <w:t>Heading Home: French Law Enables Return of Maori Heads to New Zealand</w:t>
      </w:r>
      <w:r w:rsidR="0057717A" w:rsidRPr="0057717A">
        <w:t xml:space="preserve"> "</w:t>
      </w:r>
      <w:r w:rsidR="0057717A">
        <w:t xml:space="preserve">International Journal of Cultural Property " 2010, Vol. 17, 643; M. Roellinger, </w:t>
      </w:r>
      <w:r w:rsidR="0057717A" w:rsidRPr="0057717A">
        <w:rPr>
          <w:i/>
        </w:rPr>
        <w:t>The French Experience of Repatration of Human Remains</w:t>
      </w:r>
      <w:r w:rsidR="0057717A" w:rsidRPr="0057717A">
        <w:t xml:space="preserve"> in: </w:t>
      </w:r>
      <w:r w:rsidR="0057717A">
        <w:t>R. Redmond-Cooper (ed)</w:t>
      </w:r>
      <w:r w:rsidR="0057717A" w:rsidRPr="0057717A">
        <w:rPr>
          <w:i/>
        </w:rPr>
        <w:t xml:space="preserve">, </w:t>
      </w:r>
      <w:r w:rsidR="0057717A">
        <w:rPr>
          <w:i/>
        </w:rPr>
        <w:t xml:space="preserve">Heritage, Ancestry and Law: Principles, Policies ad Practices in dealing with Historic Human Remains </w:t>
      </w:r>
      <w:r w:rsidR="0057717A" w:rsidRPr="0057717A">
        <w:t xml:space="preserve">, </w:t>
      </w:r>
      <w:r w:rsidR="0057717A">
        <w:t xml:space="preserve">Institute of Art and Law 2015 , pp151; M. Van Praët, </w:t>
      </w:r>
      <w:r w:rsidR="0057717A" w:rsidRPr="0057717A">
        <w:rPr>
          <w:i/>
        </w:rPr>
        <w:t>Saartjie Baartman, Une restitution témoin d'un contexte muséal en évolution</w:t>
      </w:r>
      <w:r w:rsidR="0057717A" w:rsidRPr="0057717A">
        <w:t xml:space="preserve"> in: </w:t>
      </w:r>
      <w:r w:rsidR="0057717A">
        <w:t>C. Blanckaert (ed)</w:t>
      </w:r>
      <w:r w:rsidR="0057717A" w:rsidRPr="0057717A">
        <w:rPr>
          <w:i/>
        </w:rPr>
        <w:t xml:space="preserve">, </w:t>
      </w:r>
      <w:r w:rsidR="0057717A">
        <w:rPr>
          <w:i/>
        </w:rPr>
        <w:t xml:space="preserve">La Vénus hottentote: Entre Barnum et Muséum </w:t>
      </w:r>
      <w:r w:rsidR="0057717A" w:rsidRPr="0057717A">
        <w:t xml:space="preserve">, </w:t>
      </w:r>
      <w:r w:rsidR="0057717A">
        <w:t>Publications Scientifiques du Muséum National d'Histoire Naturelle Paris 2013 , pp367-385</w:t>
      </w:r>
    </w:p>
  </w:footnote>
  <w:footnote w:id="34">
    <w:p w:rsidR="00DD7187" w:rsidRPr="007419D2" w:rsidRDefault="00DD7187" w:rsidP="00596FBC">
      <w:pPr>
        <w:pStyle w:val="FootnoteText"/>
        <w:spacing w:line="240" w:lineRule="auto"/>
        <w:rPr>
          <w:lang w:val="fr-FR"/>
        </w:rPr>
      </w:pPr>
      <w:r w:rsidRPr="007419D2">
        <w:rPr>
          <w:rStyle w:val="FootnoteReference"/>
        </w:rPr>
        <w:footnoteRef/>
      </w:r>
      <w:r w:rsidRPr="007419D2">
        <w:rPr>
          <w:lang w:val="fr-FR"/>
        </w:rPr>
        <w:t xml:space="preserve"> </w:t>
      </w:r>
      <w:r w:rsidR="00B75308" w:rsidRPr="007419D2">
        <w:rPr>
          <w:lang w:val="fr-FR"/>
        </w:rPr>
        <w:fldChar w:fldCharType="begin"/>
      </w:r>
      <w:r w:rsidRPr="007419D2">
        <w:rPr>
          <w:lang w:val="fr-FR"/>
        </w:rPr>
        <w:instrText>ADDIN RW.CITE{{3574 [NoInformation] 2002 ~f}}</w:instrText>
      </w:r>
      <w:r w:rsidR="00B75308" w:rsidRPr="007419D2">
        <w:rPr>
          <w:lang w:val="fr-FR"/>
        </w:rPr>
        <w:fldChar w:fldCharType="separate"/>
      </w:r>
      <w:r w:rsidRPr="007419D2">
        <w:rPr>
          <w:bCs/>
          <w:lang w:val="fr-FR"/>
        </w:rPr>
        <w:t>'Session ordinaire de 2001-2002, 142</w:t>
      </w:r>
      <w:r w:rsidRPr="007419D2">
        <w:rPr>
          <w:bCs/>
          <w:vertAlign w:val="superscript"/>
          <w:lang w:val="fr-FR"/>
        </w:rPr>
        <w:t>e</w:t>
      </w:r>
      <w:r w:rsidRPr="007419D2">
        <w:rPr>
          <w:bCs/>
          <w:lang w:val="fr-FR"/>
        </w:rPr>
        <w:t xml:space="preserve"> séance, 2</w:t>
      </w:r>
      <w:r w:rsidRPr="007419D2">
        <w:rPr>
          <w:bCs/>
          <w:vertAlign w:val="superscript"/>
          <w:lang w:val="fr-FR"/>
        </w:rPr>
        <w:t>e</w:t>
      </w:r>
      <w:r w:rsidRPr="007419D2">
        <w:rPr>
          <w:bCs/>
          <w:lang w:val="fr-FR"/>
        </w:rPr>
        <w:t xml:space="preserve"> séance du jeudi 21 février 2002' (JO AN deb. 2002) &lt;</w:t>
      </w:r>
      <w:hyperlink r:id="rId10" w:history="1">
        <w:r w:rsidRPr="007419D2">
          <w:rPr>
            <w:rStyle w:val="Hyperlink"/>
            <w:bCs/>
            <w:u w:val="none"/>
            <w:lang w:val="fr-FR"/>
          </w:rPr>
          <w:t>http://www.assemblee-nationale.fr/11/cri/html/20020142.asp</w:t>
        </w:r>
      </w:hyperlink>
      <w:r w:rsidRPr="007419D2">
        <w:rPr>
          <w:bCs/>
          <w:lang w:val="fr-FR"/>
        </w:rPr>
        <w:t xml:space="preserve">&gt; accessed 29/03/2019 </w:t>
      </w:r>
      <w:r w:rsidR="00B75308" w:rsidRPr="007419D2">
        <w:rPr>
          <w:lang w:val="fr-FR"/>
        </w:rPr>
        <w:fldChar w:fldCharType="end"/>
      </w:r>
      <w:r w:rsidRPr="007419D2">
        <w:rPr>
          <w:lang w:val="fr-FR"/>
        </w:rPr>
        <w:t>, M. Schwatzenberg at 1720.</w:t>
      </w:r>
    </w:p>
  </w:footnote>
  <w:footnote w:id="35">
    <w:p w:rsidR="00DD7187" w:rsidRPr="007419D2" w:rsidRDefault="00DD7187" w:rsidP="00596FBC">
      <w:pPr>
        <w:pStyle w:val="FootnoteText"/>
        <w:spacing w:line="240" w:lineRule="auto"/>
      </w:pPr>
      <w:r w:rsidRPr="007419D2">
        <w:rPr>
          <w:rStyle w:val="FootnoteReference"/>
        </w:rPr>
        <w:footnoteRef/>
      </w:r>
      <w:r w:rsidRPr="007419D2">
        <w:t xml:space="preserve"> </w:t>
      </w:r>
      <w:r w:rsidR="00B75308" w:rsidRPr="007419D2">
        <w:rPr>
          <w:lang w:val="fr-FR"/>
        </w:rPr>
        <w:fldChar w:fldCharType="begin"/>
      </w:r>
      <w:r w:rsidRPr="007419D2">
        <w:instrText>ADDIN RW.CITE{{3549 Upham,Mansell 2007 ~f}}</w:instrText>
      </w:r>
      <w:r w:rsidR="00B75308" w:rsidRPr="007419D2">
        <w:rPr>
          <w:lang w:val="fr-FR"/>
        </w:rPr>
        <w:fldChar w:fldCharType="separate"/>
      </w:r>
      <w:r w:rsidRPr="007419D2">
        <w:rPr>
          <w:bCs/>
          <w:lang w:val="en-US"/>
        </w:rPr>
        <w:t xml:space="preserve">M. Upham, </w:t>
      </w:r>
      <w:r w:rsidRPr="007419D2">
        <w:rPr>
          <w:bCs/>
          <w:i/>
          <w:lang w:val="en-US"/>
        </w:rPr>
        <w:t>From the Venus Sickness to the Hottentot Venus. Saartje Baartman and the three men in her life: Alexander Dunlop, Hendrik Caesar and Jean Riaux</w:t>
      </w:r>
      <w:r w:rsidRPr="007419D2">
        <w:rPr>
          <w:bCs/>
          <w:lang w:val="en-US"/>
        </w:rPr>
        <w:t xml:space="preserve"> "Quarterly Bulletin of the National Library of South Africa " 2007, Vol. 61, 9</w:t>
      </w:r>
      <w:r w:rsidR="00B75308" w:rsidRPr="007419D2">
        <w:rPr>
          <w:lang w:val="fr-FR"/>
        </w:rPr>
        <w:fldChar w:fldCharType="end"/>
      </w:r>
    </w:p>
  </w:footnote>
  <w:footnote w:id="36">
    <w:p w:rsidR="00DD7187" w:rsidRPr="007419D2" w:rsidRDefault="00DD7187" w:rsidP="00596FBC">
      <w:pPr>
        <w:pStyle w:val="FootnoteText"/>
        <w:spacing w:line="240" w:lineRule="auto"/>
        <w:rPr>
          <w:lang w:val="fr-FR"/>
        </w:rPr>
      </w:pPr>
      <w:r w:rsidRPr="007419D2">
        <w:rPr>
          <w:rStyle w:val="FootnoteReference"/>
        </w:rPr>
        <w:footnoteRef/>
      </w:r>
      <w:r w:rsidRPr="007419D2">
        <w:rPr>
          <w:lang w:val="fr-FR"/>
        </w:rPr>
        <w:t xml:space="preserve"> </w:t>
      </w:r>
      <w:r w:rsidR="00B75308" w:rsidRPr="007419D2">
        <w:rPr>
          <w:lang w:val="fr-FR"/>
        </w:rPr>
        <w:fldChar w:fldCharType="begin"/>
      </w:r>
      <w:r w:rsidRPr="007419D2">
        <w:rPr>
          <w:lang w:val="fr-FR"/>
        </w:rPr>
        <w:instrText>ADDIN RW.CITE{{1621 Richert,Philippe 2002 ~f/s10}}</w:instrText>
      </w:r>
      <w:r w:rsidR="00B75308" w:rsidRPr="007419D2">
        <w:rPr>
          <w:lang w:val="fr-FR"/>
        </w:rPr>
        <w:fldChar w:fldCharType="separate"/>
      </w:r>
      <w:r w:rsidRPr="007419D2">
        <w:rPr>
          <w:rFonts w:eastAsia="Times New Roman"/>
          <w:lang w:val="fr-FR"/>
        </w:rPr>
        <w:t xml:space="preserve">P. Richert, </w:t>
      </w:r>
      <w:r w:rsidRPr="007419D2">
        <w:rPr>
          <w:rFonts w:eastAsia="Times New Roman"/>
          <w:i/>
          <w:lang w:val="fr-FR"/>
        </w:rPr>
        <w:t>Rapport 177 sur la Proposition de loi autorisant la restitution par la France de la dépouille mortelle de Saartjie Baartman, dite "Vénus hottentote", à l'Afrique du sud déposé le 23 janvier 2002 Rapport 177</w:t>
      </w:r>
      <w:r w:rsidRPr="007419D2">
        <w:rPr>
          <w:rFonts w:eastAsia="Times New Roman"/>
          <w:lang w:val="fr-FR"/>
        </w:rPr>
        <w:t>Sénat, Commission des affaires culturelles, 2002)10</w:t>
      </w:r>
      <w:r w:rsidR="00B75308" w:rsidRPr="007419D2">
        <w:rPr>
          <w:lang w:val="fr-FR"/>
        </w:rPr>
        <w:fldChar w:fldCharType="end"/>
      </w:r>
      <w:r w:rsidRPr="007419D2">
        <w:rPr>
          <w:lang w:val="fr-FR"/>
        </w:rPr>
        <w:t xml:space="preserve">, 10. </w:t>
      </w:r>
    </w:p>
  </w:footnote>
  <w:footnote w:id="37">
    <w:p w:rsidR="00DD7187" w:rsidRPr="007419D2" w:rsidRDefault="00DD7187" w:rsidP="00596FBC">
      <w:pPr>
        <w:pStyle w:val="FootnoteText"/>
        <w:spacing w:line="240" w:lineRule="auto"/>
        <w:rPr>
          <w:lang w:val="fr-FR"/>
        </w:rPr>
      </w:pPr>
      <w:r w:rsidRPr="007419D2">
        <w:rPr>
          <w:rStyle w:val="FootnoteReference"/>
        </w:rPr>
        <w:footnoteRef/>
      </w:r>
      <w:r w:rsidRPr="007419D2">
        <w:rPr>
          <w:lang w:val="fr-FR"/>
        </w:rPr>
        <w:t xml:space="preserve"> </w:t>
      </w:r>
      <w:r w:rsidR="00B75308" w:rsidRPr="007419D2">
        <w:rPr>
          <w:lang w:val="fr-FR"/>
        </w:rPr>
        <w:fldChar w:fldCharType="begin"/>
      </w:r>
      <w:r w:rsidRPr="007419D2">
        <w:rPr>
          <w:lang w:val="fr-FR"/>
        </w:rPr>
        <w:instrText>ADDIN RW.CITE{{1622 LeGarrec,Jean 2002 ~f/s10}}</w:instrText>
      </w:r>
      <w:r w:rsidR="00B75308" w:rsidRPr="007419D2">
        <w:rPr>
          <w:lang w:val="fr-FR"/>
        </w:rPr>
        <w:fldChar w:fldCharType="separate"/>
      </w:r>
      <w:r w:rsidRPr="007419D2">
        <w:rPr>
          <w:rFonts w:eastAsia="Times New Roman"/>
          <w:lang w:val="fr-FR"/>
        </w:rPr>
        <w:t xml:space="preserve">J. Le Garrec, </w:t>
      </w:r>
      <w:r w:rsidRPr="007419D2">
        <w:rPr>
          <w:rFonts w:eastAsia="Times New Roman"/>
          <w:i/>
          <w:lang w:val="fr-FR"/>
        </w:rPr>
        <w:t>Rapport 3563 sur la proposition de loi adoptée par le Sénat relative à la restitution par la France de la dépouille mortelle de Saartjie Baartman à l'Afrique du Sud Rapport 3563</w:t>
      </w:r>
      <w:r w:rsidRPr="007419D2">
        <w:rPr>
          <w:rFonts w:eastAsia="Times New Roman"/>
          <w:lang w:val="fr-FR"/>
        </w:rPr>
        <w:t>Assemblée Nationale, Commission des affaires culturelles, 2002)10</w:t>
      </w:r>
      <w:r w:rsidR="00B75308" w:rsidRPr="007419D2">
        <w:rPr>
          <w:lang w:val="fr-FR"/>
        </w:rPr>
        <w:fldChar w:fldCharType="end"/>
      </w:r>
      <w:r w:rsidRPr="007419D2">
        <w:rPr>
          <w:lang w:val="fr-FR"/>
        </w:rPr>
        <w:t xml:space="preserve">. </w:t>
      </w:r>
    </w:p>
  </w:footnote>
  <w:footnote w:id="38">
    <w:p w:rsidR="00DD7187" w:rsidRPr="007419D2" w:rsidRDefault="00DD7187" w:rsidP="00596FBC">
      <w:pPr>
        <w:pStyle w:val="FootnoteText"/>
        <w:spacing w:line="240" w:lineRule="auto"/>
      </w:pPr>
      <w:r w:rsidRPr="007419D2">
        <w:rPr>
          <w:rStyle w:val="FootnoteReference"/>
        </w:rPr>
        <w:footnoteRef/>
      </w:r>
      <w:r w:rsidRPr="007419D2">
        <w:t xml:space="preserve"> </w:t>
      </w:r>
      <w:r w:rsidR="00B75308" w:rsidRPr="007419D2">
        <w:fldChar w:fldCharType="begin"/>
      </w:r>
      <w:r w:rsidRPr="007419D2">
        <w:instrText>ADDIN RW.CITE{{1975 Cornu,Marie 2010 ~f~k/s349}}</w:instrText>
      </w:r>
      <w:r w:rsidR="00B75308" w:rsidRPr="007419D2">
        <w:fldChar w:fldCharType="separate"/>
      </w:r>
      <w:r w:rsidRPr="007419D2">
        <w:rPr>
          <w:rFonts w:eastAsia="Times New Roman"/>
        </w:rPr>
        <w:t xml:space="preserve">M. Cornu, </w:t>
      </w:r>
      <w:r w:rsidRPr="007419D2">
        <w:rPr>
          <w:rFonts w:eastAsia="Times New Roman"/>
          <w:i/>
        </w:rPr>
        <w:t>France</w:t>
      </w:r>
      <w:r w:rsidRPr="007419D2">
        <w:rPr>
          <w:rFonts w:eastAsia="Times New Roman"/>
        </w:rPr>
        <w:t xml:space="preserve"> in: T. Kono (ed)</w:t>
      </w:r>
      <w:r w:rsidRPr="007419D2">
        <w:rPr>
          <w:rFonts w:eastAsia="Times New Roman"/>
          <w:i/>
        </w:rPr>
        <w:t>, The Impact of Uniform Laws on the Protection of Cultural Heritage and the Preservation of Cultural Heritage in the 21st Century,</w:t>
      </w:r>
      <w:r w:rsidRPr="007419D2">
        <w:rPr>
          <w:rFonts w:eastAsia="Times New Roman"/>
        </w:rPr>
        <w:t xml:space="preserve"> Martinus Nijhoff Publishers Leiden 2010, 349</w:t>
      </w:r>
      <w:r w:rsidR="00B75308" w:rsidRPr="007419D2">
        <w:fldChar w:fldCharType="end"/>
      </w:r>
    </w:p>
  </w:footnote>
  <w:footnote w:id="39">
    <w:p w:rsidR="00DD7187" w:rsidRPr="007419D2" w:rsidRDefault="00DD7187" w:rsidP="00596FBC">
      <w:pPr>
        <w:pStyle w:val="FootnoteText"/>
        <w:spacing w:line="240" w:lineRule="auto"/>
        <w:rPr>
          <w:lang w:val="fr-FR"/>
        </w:rPr>
      </w:pPr>
      <w:r w:rsidRPr="007419D2">
        <w:rPr>
          <w:rStyle w:val="FootnoteReference"/>
        </w:rPr>
        <w:footnoteRef/>
      </w:r>
      <w:r w:rsidRPr="007419D2">
        <w:rPr>
          <w:lang w:val="fr-FR"/>
        </w:rPr>
        <w:t xml:space="preserve"> Loi 2002-323 relative à la restitution par la France de la dépouille mortelle de Saartjie Baartman à l’Afrique du Sud, </w:t>
      </w:r>
      <w:r w:rsidRPr="007419D2">
        <w:rPr>
          <w:i/>
          <w:lang w:val="fr-FR"/>
        </w:rPr>
        <w:t>Journal Officiel de la République Française</w:t>
      </w:r>
      <w:r w:rsidRPr="007419D2">
        <w:rPr>
          <w:lang w:val="fr-FR"/>
        </w:rPr>
        <w:t xml:space="preserve"> 7 March 2002, 4265</w:t>
      </w:r>
    </w:p>
  </w:footnote>
  <w:footnote w:id="40">
    <w:p w:rsidR="00DD7187" w:rsidRPr="007419D2" w:rsidRDefault="00DD7187" w:rsidP="00596FBC">
      <w:pPr>
        <w:pStyle w:val="FootnoteText"/>
        <w:spacing w:line="240" w:lineRule="auto"/>
      </w:pPr>
      <w:r w:rsidRPr="007419D2">
        <w:rPr>
          <w:rStyle w:val="FootnoteReference"/>
        </w:rPr>
        <w:footnoteRef/>
      </w:r>
      <w:r w:rsidRPr="007419D2">
        <w:t xml:space="preserve"> 'Saartjie Baartman is finally, finally home' (2002)(408) New African 44.</w:t>
      </w:r>
    </w:p>
  </w:footnote>
  <w:footnote w:id="41">
    <w:p w:rsidR="00DD7187" w:rsidRPr="00DD7187" w:rsidRDefault="00DD7187">
      <w:pPr>
        <w:pStyle w:val="FootnoteText"/>
        <w:rPr>
          <w:lang w:val="fr-FR"/>
        </w:rPr>
      </w:pPr>
      <w:r>
        <w:rPr>
          <w:rStyle w:val="FootnoteReference"/>
        </w:rPr>
        <w:footnoteRef/>
      </w:r>
      <w:r w:rsidRPr="00DD7187">
        <w:rPr>
          <w:lang w:val="fr-FR"/>
        </w:rPr>
        <w:t xml:space="preserve"> </w:t>
      </w:r>
      <w:r w:rsidRPr="00DD7187">
        <w:rPr>
          <w:rStyle w:val="ps36"/>
          <w:color w:val="000000"/>
          <w:sz w:val="18"/>
          <w:szCs w:val="18"/>
          <w:lang w:val="fr-FR"/>
        </w:rPr>
        <w:t> </w:t>
      </w:r>
      <w:r w:rsidRPr="00DD7187">
        <w:rPr>
          <w:rFonts w:ascii="Arial" w:hAnsi="Arial" w:cs="Arial"/>
          <w:color w:val="333333"/>
          <w:sz w:val="18"/>
          <w:szCs w:val="18"/>
          <w:shd w:val="clear" w:color="auto" w:fill="FFFFFF"/>
          <w:lang w:val="fr-FR"/>
        </w:rPr>
        <w:t>Session ordinaire de 2001-2002, 142</w:t>
      </w:r>
      <w:r w:rsidRPr="00DD7187">
        <w:rPr>
          <w:rFonts w:ascii="Arial" w:hAnsi="Arial" w:cs="Arial"/>
          <w:color w:val="333333"/>
          <w:shd w:val="clear" w:color="auto" w:fill="FFFFFF"/>
          <w:vertAlign w:val="superscript"/>
          <w:lang w:val="fr-FR"/>
        </w:rPr>
        <w:t>e</w:t>
      </w:r>
      <w:r w:rsidRPr="00DD7187">
        <w:rPr>
          <w:rFonts w:ascii="Arial" w:hAnsi="Arial" w:cs="Arial"/>
          <w:color w:val="333333"/>
          <w:sz w:val="18"/>
          <w:szCs w:val="18"/>
          <w:shd w:val="clear" w:color="auto" w:fill="FFFFFF"/>
          <w:lang w:val="fr-FR"/>
        </w:rPr>
        <w:t>   séance, 2</w:t>
      </w:r>
      <w:r w:rsidRPr="00DD7187">
        <w:rPr>
          <w:rFonts w:ascii="Arial" w:hAnsi="Arial" w:cs="Arial"/>
          <w:color w:val="333333"/>
          <w:shd w:val="clear" w:color="auto" w:fill="FFFFFF"/>
          <w:vertAlign w:val="superscript"/>
          <w:lang w:val="fr-FR"/>
        </w:rPr>
        <w:t>e</w:t>
      </w:r>
      <w:r w:rsidRPr="00DD7187">
        <w:rPr>
          <w:rFonts w:ascii="Arial" w:hAnsi="Arial" w:cs="Arial"/>
          <w:color w:val="333333"/>
          <w:sz w:val="18"/>
          <w:szCs w:val="18"/>
          <w:shd w:val="clear" w:color="auto" w:fill="FFFFFF"/>
          <w:lang w:val="fr-FR"/>
        </w:rPr>
        <w:t>  séance  du  jeudi  21  février  2002'</w:t>
      </w:r>
      <w:r>
        <w:rPr>
          <w:rFonts w:ascii="Arial" w:hAnsi="Arial" w:cs="Arial"/>
          <w:color w:val="333333"/>
          <w:sz w:val="18"/>
          <w:szCs w:val="18"/>
          <w:shd w:val="clear" w:color="auto" w:fill="FFFFFF"/>
          <w:lang w:val="fr-FR"/>
        </w:rPr>
        <w:t>, 1720</w:t>
      </w:r>
      <w:r w:rsidRPr="00DD7187">
        <w:rPr>
          <w:rFonts w:ascii="Arial" w:hAnsi="Arial" w:cs="Arial"/>
          <w:color w:val="333333"/>
          <w:sz w:val="18"/>
          <w:szCs w:val="18"/>
          <w:shd w:val="clear" w:color="auto" w:fill="FFFFFF"/>
          <w:lang w:val="fr-FR"/>
        </w:rPr>
        <w:t xml:space="preserve"> (JO AN deb. 2002) &lt;</w:t>
      </w:r>
      <w:hyperlink r:id="rId11" w:tgtFrame="_blank" w:history="1">
        <w:r w:rsidRPr="00DD7187">
          <w:rPr>
            <w:rStyle w:val="Hyperlink"/>
            <w:rFonts w:ascii="Arial" w:hAnsi="Arial" w:cs="Arial"/>
            <w:color w:val="CE550F"/>
            <w:sz w:val="18"/>
            <w:szCs w:val="18"/>
            <w:bdr w:val="none" w:sz="0" w:space="0" w:color="auto" w:frame="1"/>
            <w:shd w:val="clear" w:color="auto" w:fill="FFFFFF"/>
            <w:lang w:val="fr-FR"/>
          </w:rPr>
          <w:t>http://www.assemblee-nationale.fr/11/cri/html/20020142.asp</w:t>
        </w:r>
      </w:hyperlink>
      <w:r w:rsidRPr="00DD7187">
        <w:rPr>
          <w:rFonts w:ascii="Arial" w:hAnsi="Arial" w:cs="Arial"/>
          <w:color w:val="333333"/>
          <w:sz w:val="18"/>
          <w:szCs w:val="18"/>
          <w:shd w:val="clear" w:color="auto" w:fill="FFFFFF"/>
          <w:lang w:val="fr-FR"/>
        </w:rPr>
        <w:t>&gt; accessed 22/06/2020.</w:t>
      </w:r>
      <w:r>
        <w:rPr>
          <w:rStyle w:val="ps36"/>
          <w:color w:val="000000"/>
          <w:sz w:val="18"/>
          <w:szCs w:val="18"/>
          <w:lang w:val="fr-FR"/>
        </w:rPr>
        <w:t xml:space="preserve"> ‘</w:t>
      </w:r>
      <w:r w:rsidRPr="00DD7187">
        <w:rPr>
          <w:rStyle w:val="ps36"/>
          <w:color w:val="000000"/>
          <w:sz w:val="18"/>
          <w:szCs w:val="18"/>
          <w:lang w:val="fr-FR"/>
        </w:rPr>
        <w:t>Il  s’agit</w:t>
      </w:r>
      <w:r>
        <w:rPr>
          <w:rStyle w:val="ps36"/>
          <w:color w:val="000000"/>
          <w:sz w:val="18"/>
          <w:szCs w:val="18"/>
          <w:lang w:val="fr-FR"/>
        </w:rPr>
        <w:t xml:space="preserve"> </w:t>
      </w:r>
      <w:r w:rsidRPr="00DD7187">
        <w:rPr>
          <w:rStyle w:val="ps37"/>
          <w:color w:val="000000"/>
          <w:sz w:val="18"/>
          <w:szCs w:val="18"/>
          <w:lang w:val="fr-FR"/>
        </w:rPr>
        <w:t>ainsi   de   rendre   justice   à   Saartjie   Baartman,   qui   a   été</w:t>
      </w:r>
      <w:r>
        <w:rPr>
          <w:rStyle w:val="ps37"/>
          <w:color w:val="000000"/>
          <w:sz w:val="18"/>
          <w:szCs w:val="18"/>
          <w:lang w:val="fr-FR"/>
        </w:rPr>
        <w:t xml:space="preserve"> </w:t>
      </w:r>
      <w:r w:rsidRPr="00DD7187">
        <w:rPr>
          <w:rStyle w:val="ps38"/>
          <w:color w:val="000000"/>
          <w:sz w:val="18"/>
          <w:szCs w:val="18"/>
          <w:lang w:val="fr-FR"/>
        </w:rPr>
        <w:t>l’objet, durant et après sa vie, comme africaine et comme</w:t>
      </w:r>
      <w:r>
        <w:rPr>
          <w:rStyle w:val="ps38"/>
          <w:color w:val="000000"/>
          <w:sz w:val="18"/>
          <w:szCs w:val="18"/>
          <w:lang w:val="fr-FR"/>
        </w:rPr>
        <w:t xml:space="preserve"> </w:t>
      </w:r>
      <w:r w:rsidRPr="00DD7187">
        <w:rPr>
          <w:rStyle w:val="ps39"/>
          <w:color w:val="000000"/>
          <w:sz w:val="18"/>
          <w:szCs w:val="18"/>
          <w:lang w:val="fr-FR"/>
        </w:rPr>
        <w:t>femme,  de  tant  d’offenses  procédant  du  colonialisme,  du</w:t>
      </w:r>
      <w:r>
        <w:rPr>
          <w:rStyle w:val="ps39"/>
          <w:color w:val="000000"/>
          <w:sz w:val="18"/>
          <w:szCs w:val="18"/>
          <w:lang w:val="fr-FR"/>
        </w:rPr>
        <w:t xml:space="preserve"> </w:t>
      </w:r>
      <w:r w:rsidRPr="00DD7187">
        <w:rPr>
          <w:rStyle w:val="ps40"/>
          <w:color w:val="000000"/>
          <w:sz w:val="18"/>
          <w:szCs w:val="18"/>
          <w:lang w:val="fr-FR"/>
        </w:rPr>
        <w:t>sexisme  et  du  racisme.</w:t>
      </w:r>
      <w:r>
        <w:rPr>
          <w:rStyle w:val="ps40"/>
          <w:color w:val="000000"/>
          <w:sz w:val="18"/>
          <w:szCs w:val="18"/>
          <w:lang w:val="fr-FR"/>
        </w:rPr>
        <w:t>’</w:t>
      </w:r>
    </w:p>
  </w:footnote>
  <w:footnote w:id="42">
    <w:p w:rsidR="00D627D5" w:rsidRPr="00D627D5" w:rsidRDefault="00D627D5">
      <w:pPr>
        <w:pStyle w:val="FootnoteText"/>
        <w:rPr>
          <w:lang w:val="fr-FR"/>
        </w:rPr>
      </w:pPr>
      <w:r>
        <w:rPr>
          <w:rStyle w:val="FootnoteReference"/>
        </w:rPr>
        <w:footnoteRef/>
      </w:r>
      <w:r w:rsidRPr="00D627D5">
        <w:rPr>
          <w:lang w:val="fr-FR"/>
        </w:rPr>
        <w:t xml:space="preserve"> </w:t>
      </w:r>
      <w:r>
        <w:rPr>
          <w:lang w:val="fr-FR"/>
        </w:rPr>
        <w:t>Ibid, 1721</w:t>
      </w:r>
    </w:p>
  </w:footnote>
  <w:footnote w:id="43">
    <w:p w:rsidR="00DD7187" w:rsidRPr="007419D2" w:rsidRDefault="00DD7187" w:rsidP="00596FBC">
      <w:pPr>
        <w:pStyle w:val="FootnoteText"/>
        <w:spacing w:line="240" w:lineRule="auto"/>
        <w:rPr>
          <w:lang w:val="fr-FR"/>
        </w:rPr>
      </w:pPr>
      <w:r w:rsidRPr="007419D2">
        <w:rPr>
          <w:rStyle w:val="FootnoteReference"/>
        </w:rPr>
        <w:footnoteRef/>
      </w:r>
      <w:r w:rsidRPr="007419D2">
        <w:rPr>
          <w:lang w:val="fr-FR"/>
        </w:rPr>
        <w:t xml:space="preserve"> </w:t>
      </w:r>
      <w:r w:rsidR="00B75308" w:rsidRPr="007419D2">
        <w:fldChar w:fldCharType="begin"/>
      </w:r>
      <w:r w:rsidRPr="007419D2">
        <w:rPr>
          <w:lang w:val="fr-FR"/>
        </w:rPr>
        <w:instrText>ADDIN RW.CITE{{3544 Moudileno,Lydie 2009 ~f}}</w:instrText>
      </w:r>
      <w:r w:rsidR="00B75308" w:rsidRPr="007419D2">
        <w:fldChar w:fldCharType="separate"/>
      </w:r>
      <w:r w:rsidRPr="007419D2">
        <w:rPr>
          <w:bCs/>
          <w:lang w:val="fr-FR"/>
        </w:rPr>
        <w:t>L. Moudileno, 200</w:t>
      </w:r>
      <w:r w:rsidR="00B75308" w:rsidRPr="007419D2">
        <w:fldChar w:fldCharType="end"/>
      </w:r>
      <w:r w:rsidRPr="007419D2">
        <w:rPr>
          <w:lang w:val="fr-FR"/>
        </w:rPr>
        <w:t xml:space="preserve">, 207; </w:t>
      </w:r>
      <w:r w:rsidR="00277D61">
        <w:rPr>
          <w:lang w:val="fr-FR"/>
        </w:rPr>
        <w:t xml:space="preserve">see also </w:t>
      </w:r>
      <w:r w:rsidR="00B75308" w:rsidRPr="007419D2">
        <w:rPr>
          <w:lang w:val="fr-FR"/>
        </w:rPr>
        <w:fldChar w:fldCharType="begin"/>
      </w:r>
      <w:r w:rsidRPr="007419D2">
        <w:rPr>
          <w:lang w:val="fr-FR"/>
        </w:rPr>
        <w:instrText>ADDIN RW.CITE{{3574 [NoInformation] 2002 ~f}}</w:instrText>
      </w:r>
      <w:r w:rsidR="00B75308" w:rsidRPr="007419D2">
        <w:rPr>
          <w:lang w:val="fr-FR"/>
        </w:rPr>
        <w:fldChar w:fldCharType="separate"/>
      </w:r>
      <w:r w:rsidRPr="007419D2">
        <w:rPr>
          <w:bCs/>
          <w:lang w:val="fr-FR"/>
        </w:rPr>
        <w:t>'Session ordinaire de 2001-2002, 142</w:t>
      </w:r>
      <w:r w:rsidRPr="007419D2">
        <w:rPr>
          <w:bCs/>
          <w:vertAlign w:val="superscript"/>
          <w:lang w:val="fr-FR"/>
        </w:rPr>
        <w:t>e</w:t>
      </w:r>
      <w:r w:rsidRPr="007419D2">
        <w:rPr>
          <w:bCs/>
          <w:lang w:val="fr-FR"/>
        </w:rPr>
        <w:t xml:space="preserve"> séance, 2</w:t>
      </w:r>
      <w:r w:rsidRPr="007419D2">
        <w:rPr>
          <w:bCs/>
          <w:vertAlign w:val="superscript"/>
          <w:lang w:val="fr-FR"/>
        </w:rPr>
        <w:t>e</w:t>
      </w:r>
      <w:r w:rsidRPr="007419D2">
        <w:rPr>
          <w:bCs/>
          <w:lang w:val="fr-FR"/>
        </w:rPr>
        <w:t xml:space="preserve"> séance du jeudi 21 février 2002'</w:t>
      </w:r>
      <w:r w:rsidR="00B75308" w:rsidRPr="007419D2">
        <w:rPr>
          <w:lang w:val="fr-FR"/>
        </w:rPr>
        <w:fldChar w:fldCharType="end"/>
      </w:r>
      <w:r w:rsidRPr="007419D2">
        <w:rPr>
          <w:lang w:val="fr-FR"/>
        </w:rPr>
        <w:t>, 1721 ‘</w:t>
      </w:r>
      <w:r w:rsidRPr="00277D61">
        <w:rPr>
          <w:i/>
          <w:lang w:val="fr-FR"/>
        </w:rPr>
        <w:t>Après avoir subi tant d’outrages, Saartjie Baartman va sortir enfin de la nuit de l’esclavage, du colonialisme et du racisme, pour retrouver la dignité de ses origines et la terre de son peuple, pour retrouver la justice et la paix, qui lui ont été si longtemps déniées. La France de 1789, de 1848 et de 1946 salue l’Afrique du Sud, libérée de l’apartheid. En rendant ce dernier hommage à Saartjie Baartman, elle rend hommage à la liberté, à l’égalité et à la fraternité des peuples</w:t>
      </w:r>
      <w:r w:rsidRPr="007419D2">
        <w:rPr>
          <w:lang w:val="fr-FR"/>
        </w:rPr>
        <w:t>.’</w:t>
      </w:r>
    </w:p>
  </w:footnote>
  <w:footnote w:id="44">
    <w:p w:rsidR="00DD7187" w:rsidRPr="007419D2" w:rsidRDefault="00DD7187" w:rsidP="00596FBC">
      <w:pPr>
        <w:pStyle w:val="FootnoteText"/>
        <w:spacing w:line="240" w:lineRule="auto"/>
        <w:rPr>
          <w:lang w:val="fr-FR"/>
        </w:rPr>
      </w:pPr>
      <w:r w:rsidRPr="007419D2">
        <w:rPr>
          <w:rStyle w:val="FootnoteReference"/>
        </w:rPr>
        <w:footnoteRef/>
      </w:r>
      <w:r w:rsidRPr="007419D2">
        <w:rPr>
          <w:lang w:val="fr-FR"/>
        </w:rPr>
        <w:t xml:space="preserve"> </w:t>
      </w:r>
      <w:r w:rsidR="00B75308" w:rsidRPr="007419D2">
        <w:fldChar w:fldCharType="begin"/>
      </w:r>
      <w:r w:rsidRPr="007419D2">
        <w:rPr>
          <w:lang w:val="fr-FR"/>
        </w:rPr>
        <w:instrText>ADDIN RW.CITE{{3522 Rassool,Ciraj 2015 ~f}}</w:instrText>
      </w:r>
      <w:r w:rsidR="00B75308" w:rsidRPr="007419D2">
        <w:fldChar w:fldCharType="separate"/>
      </w:r>
      <w:r w:rsidRPr="007419D2">
        <w:rPr>
          <w:bCs/>
          <w:lang w:val="fr-FR"/>
        </w:rPr>
        <w:t>C. Rassool, 653</w:t>
      </w:r>
      <w:r w:rsidR="00B75308" w:rsidRPr="007419D2">
        <w:fldChar w:fldCharType="end"/>
      </w:r>
      <w:r w:rsidRPr="007419D2">
        <w:rPr>
          <w:lang w:val="fr-FR"/>
        </w:rPr>
        <w:t>, 664</w:t>
      </w:r>
    </w:p>
  </w:footnote>
  <w:footnote w:id="45">
    <w:p w:rsidR="00DD7187" w:rsidRPr="007419D2" w:rsidRDefault="00DD7187" w:rsidP="009433D9">
      <w:pPr>
        <w:pStyle w:val="FootnoteText"/>
        <w:spacing w:line="240" w:lineRule="auto"/>
        <w:rPr>
          <w:lang w:val="fr-FR"/>
        </w:rPr>
      </w:pPr>
      <w:r w:rsidRPr="007419D2">
        <w:rPr>
          <w:rStyle w:val="FootnoteReference"/>
        </w:rPr>
        <w:footnoteRef/>
      </w:r>
      <w:r w:rsidRPr="007419D2">
        <w:rPr>
          <w:lang w:val="fr-FR"/>
        </w:rPr>
        <w:t xml:space="preserve"> </w:t>
      </w:r>
      <w:r w:rsidR="00D627D5">
        <w:rPr>
          <w:lang w:val="fr-FR"/>
        </w:rPr>
        <w:t xml:space="preserve">See discussion below and </w:t>
      </w:r>
      <w:r w:rsidR="00B75308" w:rsidRPr="007419D2">
        <w:rPr>
          <w:lang w:val="fr-FR"/>
        </w:rPr>
        <w:fldChar w:fldCharType="begin"/>
      </w:r>
      <w:r w:rsidRPr="007419D2">
        <w:rPr>
          <w:lang w:val="fr-FR"/>
        </w:rPr>
        <w:instrText>ADDIN RW.CITE{{1268 Rigaud,Jacques 2008 ~f}}</w:instrText>
      </w:r>
      <w:r w:rsidR="00B75308" w:rsidRPr="007419D2">
        <w:rPr>
          <w:lang w:val="fr-FR"/>
        </w:rPr>
        <w:fldChar w:fldCharType="separate"/>
      </w:r>
      <w:r w:rsidRPr="007419D2">
        <w:rPr>
          <w:rFonts w:eastAsia="Times New Roman"/>
          <w:lang w:val="fr-FR"/>
        </w:rPr>
        <w:t xml:space="preserve">J. Rigaud, </w:t>
      </w:r>
      <w:r w:rsidRPr="007419D2">
        <w:rPr>
          <w:rFonts w:eastAsia="Times New Roman"/>
          <w:i/>
          <w:lang w:val="fr-FR"/>
        </w:rPr>
        <w:t>Réflexion sur la possibilité pour les opérateurs publics d'aliéner des oeuvres de leurs collections Réflexion</w:t>
      </w:r>
      <w:r w:rsidR="00F648B6">
        <w:rPr>
          <w:rFonts w:eastAsia="Times New Roman"/>
          <w:i/>
          <w:lang w:val="fr-FR"/>
        </w:rPr>
        <w:t xml:space="preserve"> (</w:t>
      </w:r>
      <w:r w:rsidRPr="007419D2">
        <w:rPr>
          <w:rFonts w:eastAsia="Times New Roman"/>
          <w:lang w:val="fr-FR"/>
        </w:rPr>
        <w:t>Ministère de la Culture, 2008) 51 &lt;</w:t>
      </w:r>
      <w:hyperlink r:id="rId12" w:history="1">
        <w:r w:rsidRPr="007419D2">
          <w:rPr>
            <w:rStyle w:val="Hyperlink"/>
            <w:rFonts w:eastAsia="Times New Roman"/>
            <w:u w:val="none"/>
            <w:lang w:val="fr-FR"/>
          </w:rPr>
          <w:t>http://lesrapports.ladocumentationfrancaise.fr/BRP/084000071/0000.pdf</w:t>
        </w:r>
      </w:hyperlink>
      <w:r w:rsidRPr="007419D2">
        <w:rPr>
          <w:rFonts w:eastAsia="Times New Roman"/>
          <w:lang w:val="fr-FR"/>
        </w:rPr>
        <w:t>&gt;[accessed: 17/05/2019]</w:t>
      </w:r>
      <w:r w:rsidR="00B75308" w:rsidRPr="007419D2">
        <w:rPr>
          <w:lang w:val="fr-FR"/>
        </w:rPr>
        <w:fldChar w:fldCharType="end"/>
      </w:r>
      <w:r w:rsidRPr="007419D2">
        <w:rPr>
          <w:rFonts w:eastAsia="Times New Roman"/>
          <w:lang w:val="fr-FR"/>
        </w:rPr>
        <w:t>.</w:t>
      </w:r>
      <w:r w:rsidRPr="007419D2">
        <w:rPr>
          <w:lang w:val="fr-FR"/>
        </w:rPr>
        <w:t xml:space="preserve"> </w:t>
      </w:r>
    </w:p>
  </w:footnote>
  <w:footnote w:id="46">
    <w:p w:rsidR="00DD7187" w:rsidRPr="007419D2" w:rsidRDefault="00DD7187" w:rsidP="00596FBC">
      <w:pPr>
        <w:pStyle w:val="FootnoteText"/>
        <w:spacing w:line="240" w:lineRule="auto"/>
        <w:rPr>
          <w:lang w:val="fr-FR"/>
        </w:rPr>
      </w:pPr>
      <w:r w:rsidRPr="007419D2">
        <w:rPr>
          <w:rStyle w:val="FootnoteReference"/>
        </w:rPr>
        <w:footnoteRef/>
      </w:r>
      <w:r w:rsidRPr="007419D2">
        <w:rPr>
          <w:lang w:val="fr-FR"/>
        </w:rPr>
        <w:t xml:space="preserve"> </w:t>
      </w:r>
      <w:r w:rsidR="00B75308" w:rsidRPr="007419D2">
        <w:fldChar w:fldCharType="begin"/>
      </w:r>
      <w:r w:rsidRPr="007419D2">
        <w:rPr>
          <w:lang w:val="fr-FR"/>
        </w:rPr>
        <w:instrText>ADDIN RW.CITE{{3832 Rivet,Paul 1930 ~f}}</w:instrText>
      </w:r>
      <w:r w:rsidR="00B75308" w:rsidRPr="007419D2">
        <w:fldChar w:fldCharType="separate"/>
      </w:r>
      <w:r w:rsidRPr="007419D2">
        <w:rPr>
          <w:bCs/>
          <w:lang w:val="fr-FR"/>
        </w:rPr>
        <w:t xml:space="preserve">P. Rivet, </w:t>
      </w:r>
      <w:r w:rsidRPr="007419D2">
        <w:rPr>
          <w:bCs/>
          <w:i/>
          <w:lang w:val="fr-FR"/>
        </w:rPr>
        <w:t>Les derniers Charruas</w:t>
      </w:r>
      <w:r w:rsidRPr="007419D2">
        <w:rPr>
          <w:bCs/>
          <w:lang w:val="fr-FR"/>
        </w:rPr>
        <w:t xml:space="preserve"> "Revistade de la Sociedad «Amigos de la Arqueologia» " 1930, 5</w:t>
      </w:r>
      <w:r w:rsidR="00B75308" w:rsidRPr="007419D2">
        <w:fldChar w:fldCharType="end"/>
      </w:r>
    </w:p>
  </w:footnote>
  <w:footnote w:id="47">
    <w:p w:rsidR="00DD7187" w:rsidRPr="007419D2" w:rsidRDefault="00DD7187" w:rsidP="00596FBC">
      <w:pPr>
        <w:pStyle w:val="FootnoteText"/>
        <w:spacing w:line="240" w:lineRule="auto"/>
        <w:rPr>
          <w:lang w:val="fr-FR"/>
        </w:rPr>
      </w:pPr>
      <w:r w:rsidRPr="007419D2">
        <w:rPr>
          <w:rStyle w:val="FootnoteReference"/>
        </w:rPr>
        <w:footnoteRef/>
      </w:r>
      <w:r w:rsidRPr="007419D2">
        <w:rPr>
          <w:lang w:val="fr-FR"/>
        </w:rPr>
        <w:t xml:space="preserve"> </w:t>
      </w:r>
      <w:r w:rsidR="00B75308" w:rsidRPr="007419D2">
        <w:fldChar w:fldCharType="begin"/>
      </w:r>
      <w:r w:rsidRPr="007419D2">
        <w:rPr>
          <w:lang w:val="fr-FR"/>
        </w:rPr>
        <w:instrText>ADDIN RW.CITE{{3700 VanPraët,Michel 2013 ~f}}</w:instrText>
      </w:r>
      <w:r w:rsidR="00B75308" w:rsidRPr="007419D2">
        <w:fldChar w:fldCharType="separate"/>
      </w:r>
      <w:r w:rsidRPr="007419D2">
        <w:rPr>
          <w:bCs/>
          <w:lang w:val="fr-FR"/>
        </w:rPr>
        <w:t xml:space="preserve">M. Van Praët, </w:t>
      </w:r>
      <w:r w:rsidRPr="007419D2">
        <w:rPr>
          <w:bCs/>
          <w:i/>
          <w:lang w:val="fr-FR"/>
        </w:rPr>
        <w:t>Saartjie Baartman, Une restitution témoin d'un contexte muséal en évolution</w:t>
      </w:r>
      <w:r w:rsidRPr="007419D2">
        <w:rPr>
          <w:bCs/>
          <w:lang w:val="fr-FR"/>
        </w:rPr>
        <w:t xml:space="preserve"> in: C. Blanckaert (ed)</w:t>
      </w:r>
      <w:r w:rsidRPr="007419D2">
        <w:rPr>
          <w:bCs/>
          <w:i/>
          <w:lang w:val="fr-FR"/>
        </w:rPr>
        <w:t>, La Vénus hottentote: Entre Barnum et Muséum,</w:t>
      </w:r>
      <w:r w:rsidRPr="007419D2">
        <w:rPr>
          <w:bCs/>
          <w:lang w:val="fr-FR"/>
        </w:rPr>
        <w:t xml:space="preserve"> Publications Scientifiques du Muséum National d'Histoire Naturelle Paris 2013, pp367-385</w:t>
      </w:r>
      <w:r w:rsidR="00B75308" w:rsidRPr="007419D2">
        <w:fldChar w:fldCharType="end"/>
      </w:r>
    </w:p>
  </w:footnote>
  <w:footnote w:id="48">
    <w:p w:rsidR="00F648B6" w:rsidRPr="00F648B6" w:rsidRDefault="00F648B6">
      <w:pPr>
        <w:pStyle w:val="FootnoteText"/>
        <w:rPr>
          <w:lang w:val="fr-FR"/>
        </w:rPr>
      </w:pPr>
      <w:r>
        <w:rPr>
          <w:rStyle w:val="FootnoteReference"/>
        </w:rPr>
        <w:footnoteRef/>
      </w:r>
      <w:r w:rsidRPr="00F648B6">
        <w:rPr>
          <w:lang w:val="fr-FR"/>
        </w:rPr>
        <w:t xml:space="preserve"> </w:t>
      </w:r>
      <w:r w:rsidRPr="00F648B6">
        <w:rPr>
          <w:rFonts w:ascii="Arial" w:hAnsi="Arial" w:cs="Arial"/>
          <w:color w:val="333333"/>
          <w:sz w:val="18"/>
          <w:szCs w:val="18"/>
          <w:shd w:val="clear" w:color="auto" w:fill="FFFFFF"/>
          <w:lang w:val="fr-FR"/>
        </w:rPr>
        <w:t>Philippe Richert, </w:t>
      </w:r>
      <w:r w:rsidRPr="00F648B6">
        <w:rPr>
          <w:rFonts w:ascii="Arial" w:hAnsi="Arial" w:cs="Arial"/>
          <w:i/>
          <w:iCs/>
          <w:color w:val="333333"/>
          <w:sz w:val="18"/>
          <w:szCs w:val="18"/>
          <w:shd w:val="clear" w:color="auto" w:fill="FFFFFF"/>
          <w:lang w:val="fr-FR"/>
        </w:rPr>
        <w:t>La gestion des collections des musées </w:t>
      </w:r>
      <w:r w:rsidRPr="00F648B6">
        <w:rPr>
          <w:rFonts w:ascii="Arial" w:hAnsi="Arial" w:cs="Arial"/>
          <w:color w:val="333333"/>
          <w:sz w:val="18"/>
          <w:szCs w:val="18"/>
          <w:shd w:val="clear" w:color="auto" w:fill="FFFFFF"/>
          <w:lang w:val="fr-FR"/>
        </w:rPr>
        <w:t xml:space="preserve">(Commission des affaires culturelles </w:t>
      </w:r>
      <w:r>
        <w:rPr>
          <w:rFonts w:ascii="Arial" w:hAnsi="Arial" w:cs="Arial"/>
          <w:color w:val="333333"/>
          <w:sz w:val="18"/>
          <w:szCs w:val="18"/>
          <w:shd w:val="clear" w:color="auto" w:fill="FFFFFF"/>
          <w:lang w:val="fr-FR"/>
        </w:rPr>
        <w:t>(</w:t>
      </w:r>
      <w:r w:rsidRPr="00F648B6">
        <w:rPr>
          <w:rFonts w:ascii="Arial" w:hAnsi="Arial" w:cs="Arial"/>
          <w:color w:val="333333"/>
          <w:sz w:val="18"/>
          <w:szCs w:val="18"/>
          <w:shd w:val="clear" w:color="auto" w:fill="FFFFFF"/>
          <w:lang w:val="fr-FR"/>
        </w:rPr>
        <w:t xml:space="preserve">2003) </w:t>
      </w:r>
      <w:hyperlink r:id="rId13" w:history="1">
        <w:r w:rsidRPr="00F648B6">
          <w:rPr>
            <w:rStyle w:val="Hyperlink"/>
            <w:lang w:val="fr-FR"/>
          </w:rPr>
          <w:t>https://www.senat.fr/rap/r02-379/r02-379_mono.html</w:t>
        </w:r>
      </w:hyperlink>
      <w:r w:rsidRPr="00F648B6">
        <w:rPr>
          <w:lang w:val="fr-FR"/>
        </w:rPr>
        <w:t xml:space="preserve"> accessed 22/06/2020</w:t>
      </w:r>
    </w:p>
  </w:footnote>
  <w:footnote w:id="49">
    <w:p w:rsidR="00DD7187" w:rsidRDefault="00DD7187" w:rsidP="00596FBC">
      <w:pPr>
        <w:pStyle w:val="FootnoteText"/>
        <w:spacing w:line="240" w:lineRule="auto"/>
      </w:pPr>
      <w:r>
        <w:rPr>
          <w:rStyle w:val="FootnoteReference"/>
        </w:rPr>
        <w:footnoteRef/>
      </w:r>
      <w:r>
        <w:t xml:space="preserve"> </w:t>
      </w:r>
      <w:r w:rsidR="00B645B0" w:rsidRPr="00B645B0">
        <w:t>Jean S, 'The French Acquisition of Toi Moko from Aotearoa/New Zealand in the Nineteenth Century' in Fforde, Cressida, C. Timothy McKeown and Honor Keeler (eds), The Routledge Companion to Indigenous Repatr</w:t>
      </w:r>
      <w:r w:rsidR="00B645B0">
        <w:t>i</w:t>
      </w:r>
      <w:r w:rsidR="00B645B0" w:rsidRPr="00B645B0">
        <w:t>ation, Return, Reconcile, Renew (Routledge 2020)</w:t>
      </w:r>
    </w:p>
  </w:footnote>
  <w:footnote w:id="50">
    <w:p w:rsidR="00DD7187" w:rsidRPr="007419D2" w:rsidRDefault="00DD7187" w:rsidP="00596FBC">
      <w:pPr>
        <w:pStyle w:val="FootnoteText"/>
        <w:spacing w:line="240" w:lineRule="auto"/>
      </w:pPr>
      <w:r w:rsidRPr="007419D2">
        <w:rPr>
          <w:rStyle w:val="FootnoteReference"/>
        </w:rPr>
        <w:footnoteRef/>
      </w:r>
      <w:r w:rsidRPr="007419D2">
        <w:t xml:space="preserve"> http://www.tepapa.govt.nz/AboutUs/Repatriation/Pages/overview.aspx (accessed 5 July 2012).</w:t>
      </w:r>
    </w:p>
  </w:footnote>
  <w:footnote w:id="51">
    <w:p w:rsidR="00DD7187" w:rsidRPr="007419D2" w:rsidRDefault="00DD7187" w:rsidP="00596FBC">
      <w:pPr>
        <w:pStyle w:val="FootnoteText"/>
        <w:spacing w:line="240" w:lineRule="auto"/>
        <w:rPr>
          <w:lang w:val="fr-FR"/>
        </w:rPr>
      </w:pPr>
      <w:r w:rsidRPr="007419D2">
        <w:rPr>
          <w:rStyle w:val="FootnoteReference"/>
        </w:rPr>
        <w:footnoteRef/>
      </w:r>
      <w:r w:rsidRPr="007419D2">
        <w:rPr>
          <w:lang w:val="fr-FR"/>
        </w:rPr>
        <w:t xml:space="preserve"> </w:t>
      </w:r>
      <w:r w:rsidR="00B75308" w:rsidRPr="007419D2">
        <w:rPr>
          <w:lang w:val="fr-FR"/>
        </w:rPr>
        <w:fldChar w:fldCharType="begin"/>
      </w:r>
      <w:r w:rsidRPr="007419D2">
        <w:rPr>
          <w:lang w:val="fr-FR"/>
        </w:rPr>
        <w:instrText>ADDIN RW.CITE{{1760 MorinDesailly,Catherine 2011 ~f}}</w:instrText>
      </w:r>
      <w:r w:rsidR="00B75308" w:rsidRPr="007419D2">
        <w:rPr>
          <w:lang w:val="fr-FR"/>
        </w:rPr>
        <w:fldChar w:fldCharType="separate"/>
      </w:r>
      <w:r w:rsidRPr="007419D2">
        <w:rPr>
          <w:lang w:val="fr-FR"/>
        </w:rPr>
        <w:t>Catherine Morin Desailly, Restitution de la tête maorie de Rouen "Enfin l'épilogue heureux d'une formidable aventure humaine" (Communiqué de presse 27/04/2011)</w:t>
      </w:r>
      <w:r w:rsidR="00B75308" w:rsidRPr="007419D2">
        <w:rPr>
          <w:lang w:val="fr-FR"/>
        </w:rPr>
        <w:fldChar w:fldCharType="end"/>
      </w:r>
      <w:r w:rsidRPr="007419D2">
        <w:rPr>
          <w:rFonts w:eastAsia="Times New Roman"/>
          <w:lang w:val="fr-FR"/>
        </w:rPr>
        <w:t>.</w:t>
      </w:r>
    </w:p>
  </w:footnote>
  <w:footnote w:id="52">
    <w:p w:rsidR="00DD7187" w:rsidRPr="007419D2" w:rsidRDefault="00DD7187" w:rsidP="00596FBC">
      <w:pPr>
        <w:pStyle w:val="FootnoteText"/>
        <w:spacing w:line="240" w:lineRule="auto"/>
        <w:rPr>
          <w:lang w:val="fr-FR"/>
        </w:rPr>
      </w:pPr>
      <w:r w:rsidRPr="007419D2">
        <w:rPr>
          <w:rStyle w:val="FootnoteReference"/>
        </w:rPr>
        <w:footnoteRef/>
      </w:r>
      <w:r w:rsidRPr="007419D2">
        <w:rPr>
          <w:lang w:val="fr-FR"/>
        </w:rPr>
        <w:t xml:space="preserve"> </w:t>
      </w:r>
      <w:r w:rsidR="00B75308" w:rsidRPr="007419D2">
        <w:rPr>
          <w:lang w:val="fr-FR"/>
        </w:rPr>
        <w:fldChar w:fldCharType="begin"/>
      </w:r>
      <w:r w:rsidRPr="007419D2">
        <w:rPr>
          <w:lang w:val="fr-FR"/>
        </w:rPr>
        <w:instrText>ADDIN RW.CITE{{1618 Richert,Philippe 2009 ~f/s11}}</w:instrText>
      </w:r>
      <w:r w:rsidR="00B75308" w:rsidRPr="007419D2">
        <w:rPr>
          <w:lang w:val="fr-FR"/>
        </w:rPr>
        <w:fldChar w:fldCharType="separate"/>
      </w:r>
      <w:r w:rsidRPr="007419D2">
        <w:rPr>
          <w:rFonts w:eastAsia="Times New Roman"/>
          <w:lang w:val="fr-FR"/>
        </w:rPr>
        <w:t xml:space="preserve">P. Richert, </w:t>
      </w:r>
      <w:r w:rsidRPr="007419D2">
        <w:rPr>
          <w:rFonts w:eastAsia="Times New Roman"/>
          <w:i/>
          <w:lang w:val="fr-FR"/>
        </w:rPr>
        <w:t>Rapport 482 sur la Proposition de loi visant à autoriser la restitution par la France des têtes maories, séance 23 juin 2009 (session 2008-2009) Rapport 482</w:t>
      </w:r>
      <w:r w:rsidRPr="007419D2">
        <w:rPr>
          <w:rFonts w:eastAsia="Times New Roman"/>
          <w:lang w:val="fr-FR"/>
        </w:rPr>
        <w:t>Sénat, Commission des affaires culturelles, 2009)11</w:t>
      </w:r>
      <w:r w:rsidR="00B75308" w:rsidRPr="007419D2">
        <w:rPr>
          <w:lang w:val="fr-FR"/>
        </w:rPr>
        <w:fldChar w:fldCharType="end"/>
      </w:r>
      <w:r w:rsidRPr="007419D2">
        <w:rPr>
          <w:lang w:val="fr-FR"/>
        </w:rPr>
        <w:t xml:space="preserve"> </w:t>
      </w:r>
    </w:p>
  </w:footnote>
  <w:footnote w:id="53">
    <w:p w:rsidR="00DD7187" w:rsidRPr="007419D2" w:rsidRDefault="00DD7187" w:rsidP="00596FBC">
      <w:pPr>
        <w:pStyle w:val="FootnoteText"/>
        <w:spacing w:line="240" w:lineRule="auto"/>
      </w:pPr>
      <w:r w:rsidRPr="007419D2">
        <w:rPr>
          <w:rStyle w:val="FootnoteReference"/>
        </w:rPr>
        <w:footnoteRef/>
      </w:r>
      <w:r w:rsidRPr="007419D2">
        <w:t xml:space="preserve"> Administrative Tribunal Rouen, 27 December 2007: </w:t>
      </w:r>
      <w:r w:rsidRPr="007419D2">
        <w:rPr>
          <w:i/>
        </w:rPr>
        <w:t>Dalloz</w:t>
      </w:r>
      <w:r w:rsidRPr="007419D2">
        <w:t xml:space="preserve"> (2008) panorama 1444 ; for a translation see </w:t>
      </w:r>
      <w:r w:rsidR="00B75308" w:rsidRPr="007419D2">
        <w:rPr>
          <w:lang w:val="fr-FR"/>
        </w:rPr>
        <w:fldChar w:fldCharType="begin"/>
      </w:r>
      <w:r w:rsidRPr="007419D2">
        <w:instrText>ADDIN RW.CITE{{1644 Paterson,Robert 2008 ~f}}</w:instrText>
      </w:r>
      <w:r w:rsidR="00B75308" w:rsidRPr="007419D2">
        <w:rPr>
          <w:lang w:val="fr-FR"/>
        </w:rPr>
        <w:fldChar w:fldCharType="separate"/>
      </w:r>
      <w:r w:rsidRPr="007419D2">
        <w:rPr>
          <w:rFonts w:eastAsia="Times New Roman"/>
        </w:rPr>
        <w:t xml:space="preserve">R. Paterson, </w:t>
      </w:r>
      <w:r w:rsidRPr="007419D2">
        <w:rPr>
          <w:rFonts w:eastAsia="Times New Roman"/>
          <w:i/>
        </w:rPr>
        <w:t>Administrative Tribunal of Rouen, Decision n° 702737, December 27, 2007 (Maori Head Case)</w:t>
      </w:r>
      <w:r w:rsidRPr="007419D2">
        <w:rPr>
          <w:rFonts w:eastAsia="Times New Roman"/>
        </w:rPr>
        <w:t xml:space="preserve"> "International Journal of Cultural Property " 2008, Vol. 15, 223</w:t>
      </w:r>
      <w:r w:rsidR="00B75308" w:rsidRPr="007419D2">
        <w:rPr>
          <w:lang w:val="fr-FR"/>
        </w:rPr>
        <w:fldChar w:fldCharType="end"/>
      </w:r>
      <w:r w:rsidRPr="007419D2">
        <w:t xml:space="preserve">. </w:t>
      </w:r>
      <w:r w:rsidR="00B75308" w:rsidRPr="007419D2">
        <w:fldChar w:fldCharType="begin"/>
      </w:r>
      <w:r w:rsidRPr="007419D2">
        <w:instrText xml:space="preserve"> ADDIN EN.CITE &lt;EndNote&gt;&lt;Cite&gt;&lt;Author&gt;Paterson&lt;/Author&gt;&lt;Year&gt;2008&lt;/Year&gt;&lt;RecNum&gt;811&lt;/RecNum&gt;&lt;record&gt;&lt;rec-number&gt;811&lt;/rec-number&gt;&lt;ref-type name="Journal Article"&gt;17&lt;/ref-type&gt;&lt;contributors&gt;&lt;authors&gt;&lt;author&gt;Paterson, Robert&lt;/author&gt;&lt;/authors&gt;&lt;/contributors&gt;&lt;titles&gt;&lt;title&gt;Administrative Tribunal of Rouen, Decision n° 702737, December 27, 2007 (Maori Head Case)&lt;/title&gt;&lt;secondary-title&gt;International Journal of Cultural Property&lt;/secondary-title&gt;&lt;short-title&gt;Administrative Tribunal of Rouen&lt;/short-title&gt;&lt;/titles&gt;&lt;periodical&gt;&lt;full-title&gt;International Journal of Cultural Property&lt;/full-title&gt;&lt;abbr-1&gt;IJCP&lt;/abbr-1&gt;&lt;/periodical&gt;&lt;pages&gt;223-226&lt;/pages&gt;&lt;volume&gt;15&lt;/volume&gt;&lt;keywords&gt;&lt;keyword&gt;human remains, france, maori&lt;/keyword&gt;&lt;/keywords&gt;&lt;dates&gt;&lt;year&gt;2008&lt;/year&gt;&lt;/dates&gt;&lt;urls&gt;&lt;/urls&gt;&lt;/record&gt;&lt;/Cite&gt;&lt;/EndNote&gt;</w:instrText>
      </w:r>
      <w:r w:rsidR="00B75308" w:rsidRPr="007419D2">
        <w:fldChar w:fldCharType="end"/>
      </w:r>
    </w:p>
  </w:footnote>
  <w:footnote w:id="54">
    <w:p w:rsidR="00DD7187" w:rsidRPr="007419D2" w:rsidRDefault="00DD7187" w:rsidP="00596FBC">
      <w:pPr>
        <w:pStyle w:val="FootnoteText"/>
        <w:spacing w:line="240" w:lineRule="auto"/>
      </w:pPr>
      <w:r w:rsidRPr="007419D2">
        <w:rPr>
          <w:rStyle w:val="FootnoteReference"/>
        </w:rPr>
        <w:footnoteRef/>
      </w:r>
      <w:r w:rsidRPr="007419D2">
        <w:rPr>
          <w:lang w:val="fr-FR"/>
        </w:rPr>
        <w:t xml:space="preserve"> Adminisrative Court of Appeal Douai, 24 July 2008: </w:t>
      </w:r>
      <w:r w:rsidRPr="007419D2">
        <w:rPr>
          <w:i/>
          <w:lang w:val="fr-FR"/>
        </w:rPr>
        <w:t>Actualité Juridique de Droit Administratif</w:t>
      </w:r>
      <w:r w:rsidRPr="007419D2">
        <w:rPr>
          <w:lang w:val="fr-FR"/>
        </w:rPr>
        <w:t xml:space="preserve"> (2008) 1896. ADD saujot </w:t>
      </w:r>
      <w:r w:rsidR="00B75308" w:rsidRPr="007419D2">
        <w:fldChar w:fldCharType="begin"/>
      </w:r>
      <w:r w:rsidRPr="007419D2">
        <w:rPr>
          <w:lang w:val="fr-FR"/>
        </w:rPr>
        <w:instrText>ADDIN RW.CITE{{3509 Saujot,Colette 2008 ~f}}</w:instrText>
      </w:r>
      <w:r w:rsidR="00B75308" w:rsidRPr="007419D2">
        <w:fldChar w:fldCharType="separate"/>
      </w:r>
      <w:r w:rsidRPr="007419D2">
        <w:rPr>
          <w:bCs/>
          <w:lang w:val="fr-FR"/>
        </w:rPr>
        <w:t xml:space="preserve">C. Saujot, </w:t>
      </w:r>
      <w:r w:rsidRPr="007419D2">
        <w:rPr>
          <w:bCs/>
          <w:i/>
          <w:lang w:val="fr-FR"/>
        </w:rPr>
        <w:t xml:space="preserve">Inaliénabilité reconnue aux collections muséales : le recours à la procédure de déclassement doit être respectée; Commentaire CAA Douai, plén., 24 juill. </w:t>
      </w:r>
      <w:r w:rsidRPr="007419D2">
        <w:rPr>
          <w:bCs/>
          <w:i/>
        </w:rPr>
        <w:t>2008</w:t>
      </w:r>
      <w:r w:rsidRPr="007419D2">
        <w:rPr>
          <w:bCs/>
        </w:rPr>
        <w:t xml:space="preserve"> "JCP " 2008, II 10181</w:t>
      </w:r>
      <w:r w:rsidR="00B75308" w:rsidRPr="007419D2">
        <w:fldChar w:fldCharType="end"/>
      </w:r>
      <w:r w:rsidRPr="007419D2">
        <w:t>.</w:t>
      </w:r>
    </w:p>
    <w:p w:rsidR="00DD7187" w:rsidRPr="007419D2" w:rsidRDefault="00DD7187" w:rsidP="00596FBC">
      <w:pPr>
        <w:pStyle w:val="FootnoteText"/>
        <w:spacing w:line="240" w:lineRule="auto"/>
      </w:pPr>
      <w:r w:rsidRPr="007419D2">
        <w:t xml:space="preserve">Generally, on the case of the Mokomokai, see: </w:t>
      </w:r>
      <w:r w:rsidR="00B75308" w:rsidRPr="007419D2">
        <w:fldChar w:fldCharType="begin"/>
      </w:r>
      <w:r w:rsidRPr="007419D2">
        <w:instrText>ADDIN RW.CITE{{3566 Lenzerini,Federico 2016 ~f; 3513 Lenzerini,Federico 2012 ~f; 3466 Breske,Ashleigh 2018 ~f}}</w:instrText>
      </w:r>
      <w:r w:rsidR="00B75308" w:rsidRPr="007419D2">
        <w:fldChar w:fldCharType="separate"/>
      </w:r>
      <w:r w:rsidRPr="007419D2">
        <w:rPr>
          <w:bCs/>
          <w:lang w:val="en-US"/>
        </w:rPr>
        <w:t xml:space="preserve">A. Breske, </w:t>
      </w:r>
      <w:r w:rsidRPr="007419D2">
        <w:rPr>
          <w:bCs/>
          <w:i/>
          <w:lang w:val="en-US"/>
        </w:rPr>
        <w:t>Politics of Repatriation: Formalizing Indigenous Repatriation Policy</w:t>
      </w:r>
      <w:r w:rsidRPr="007419D2">
        <w:rPr>
          <w:bCs/>
          <w:lang w:val="en-US"/>
        </w:rPr>
        <w:t xml:space="preserve"> "International Journal of Cultural Property " 2018, Vol. 25, 347; F. Lenzerini, pp157-177; F. Lenzerini, </w:t>
      </w:r>
      <w:r w:rsidRPr="007419D2">
        <w:rPr>
          <w:bCs/>
          <w:i/>
          <w:lang w:val="en-US"/>
        </w:rPr>
        <w:t>Cultural Identity, Human Rights, and Repatriation of Cultural Heritage of Indigenous Peoples.</w:t>
      </w:r>
      <w:r w:rsidRPr="007419D2">
        <w:rPr>
          <w:bCs/>
          <w:lang w:val="en-US"/>
        </w:rPr>
        <w:t xml:space="preserve"> </w:t>
      </w:r>
      <w:r w:rsidRPr="007419D2">
        <w:rPr>
          <w:bCs/>
        </w:rPr>
        <w:t>"The Brown Journal of World Affairs " 2016, Vol. 23, 127</w:t>
      </w:r>
      <w:r w:rsidR="00B75308" w:rsidRPr="007419D2">
        <w:fldChar w:fldCharType="end"/>
      </w:r>
    </w:p>
  </w:footnote>
  <w:footnote w:id="55">
    <w:p w:rsidR="00DD7187" w:rsidRPr="007419D2" w:rsidRDefault="00DD7187" w:rsidP="00596FBC">
      <w:pPr>
        <w:pStyle w:val="FootnoteText"/>
        <w:spacing w:line="240" w:lineRule="auto"/>
        <w:rPr>
          <w:lang w:val="fr-FR"/>
        </w:rPr>
      </w:pPr>
      <w:r w:rsidRPr="007419D2">
        <w:rPr>
          <w:rStyle w:val="FootnoteReference"/>
        </w:rPr>
        <w:footnoteRef/>
      </w:r>
      <w:r w:rsidRPr="007419D2">
        <w:t xml:space="preserve"> The expression ‘accredited museum’ is used to describe museums that have been labelled </w:t>
      </w:r>
      <w:r w:rsidRPr="007419D2">
        <w:rPr>
          <w:i/>
        </w:rPr>
        <w:t xml:space="preserve">Musée de France. </w:t>
      </w:r>
      <w:r w:rsidRPr="007419D2">
        <w:t>Those museums can be public, private (but not for profit), national or local but fulfil the same criteria of quality regarding the display of the collection and its management.</w:t>
      </w:r>
      <w:r w:rsidRPr="007419D2">
        <w:rPr>
          <w:rStyle w:val="PageNumber"/>
        </w:rPr>
        <w:t xml:space="preserve"> T</w:t>
      </w:r>
      <w:r w:rsidRPr="007419D2">
        <w:t xml:space="preserve">he management of the collection falls within the ambit of the Cultural Heritage Code, however, rules for private not for profit museums are less stringent than for public museums. </w:t>
      </w:r>
      <w:r w:rsidR="00B75308" w:rsidRPr="007419D2">
        <w:fldChar w:fldCharType="begin"/>
      </w:r>
      <w:r w:rsidRPr="007419D2">
        <w:instrText>ADDIN RW.CITE{{918 Cornu,Marie 2006 ~f/s279}}</w:instrText>
      </w:r>
      <w:r w:rsidR="00B75308" w:rsidRPr="007419D2">
        <w:fldChar w:fldCharType="separate"/>
      </w:r>
      <w:r w:rsidRPr="007419D2">
        <w:rPr>
          <w:rFonts w:eastAsia="Times New Roman"/>
          <w:lang w:val="fr-FR"/>
        </w:rPr>
        <w:t xml:space="preserve">M. Cornu and Nathalie Mallet-Poujol, </w:t>
      </w:r>
      <w:r w:rsidRPr="007419D2">
        <w:rPr>
          <w:rFonts w:eastAsia="Times New Roman"/>
          <w:i/>
          <w:lang w:val="fr-FR"/>
        </w:rPr>
        <w:t>Droit, œuvres d'art et musées, protection et valorisation des collections</w:t>
      </w:r>
      <w:r w:rsidRPr="007419D2">
        <w:rPr>
          <w:rFonts w:eastAsia="Times New Roman"/>
          <w:lang w:val="fr-FR"/>
        </w:rPr>
        <w:t xml:space="preserve"> 2nd edn, CNRS éditions, Paris 2006279</w:t>
      </w:r>
      <w:r w:rsidR="00B75308" w:rsidRPr="007419D2">
        <w:fldChar w:fldCharType="end"/>
      </w:r>
      <w:r w:rsidRPr="007419D2">
        <w:rPr>
          <w:rFonts w:eastAsia="Times New Roman"/>
          <w:lang w:val="fr-FR"/>
        </w:rPr>
        <w:t>.</w:t>
      </w:r>
      <w:r w:rsidRPr="007419D2">
        <w:rPr>
          <w:lang w:val="fr-FR"/>
        </w:rPr>
        <w:t xml:space="preserve"> </w:t>
      </w:r>
    </w:p>
  </w:footnote>
  <w:footnote w:id="56">
    <w:p w:rsidR="00DD7187" w:rsidRPr="007419D2" w:rsidRDefault="00DD7187" w:rsidP="00596FBC">
      <w:pPr>
        <w:pStyle w:val="FootnoteText"/>
        <w:spacing w:line="240" w:lineRule="auto"/>
        <w:rPr>
          <w:lang w:val="fr-FR"/>
        </w:rPr>
      </w:pPr>
      <w:r w:rsidRPr="007419D2">
        <w:rPr>
          <w:rStyle w:val="FootnoteReference"/>
        </w:rPr>
        <w:footnoteRef/>
      </w:r>
      <w:r w:rsidRPr="007419D2">
        <w:rPr>
          <w:lang w:val="fr-FR"/>
        </w:rPr>
        <w:t xml:space="preserve"> Loi 2010-501 visant à autoriser la restitution par la France des têtes maories à la Nouvelle-Zélande et relative à la gestion des collections. </w:t>
      </w:r>
      <w:r w:rsidRPr="007419D2">
        <w:rPr>
          <w:i/>
          <w:lang w:val="fr-FR"/>
        </w:rPr>
        <w:t>Journal Officiel de la République Française</w:t>
      </w:r>
      <w:r w:rsidRPr="007419D2">
        <w:rPr>
          <w:lang w:val="fr-FR"/>
        </w:rPr>
        <w:t xml:space="preserve"> 19 May 2010, 9210</w:t>
      </w:r>
      <w:r w:rsidRPr="007419D2">
        <w:rPr>
          <w:rStyle w:val="PageNumber"/>
          <w:lang w:val="fr-FR"/>
        </w:rPr>
        <w:t xml:space="preserve">. </w:t>
      </w:r>
    </w:p>
  </w:footnote>
  <w:footnote w:id="57">
    <w:p w:rsidR="00DD7187" w:rsidRPr="00A60BB6" w:rsidRDefault="00DD7187" w:rsidP="00596FBC">
      <w:pPr>
        <w:pStyle w:val="FootnoteText"/>
        <w:spacing w:line="240" w:lineRule="auto"/>
        <w:rPr>
          <w:lang w:val="fr-FR"/>
        </w:rPr>
      </w:pPr>
      <w:r w:rsidRPr="007419D2">
        <w:rPr>
          <w:rStyle w:val="FootnoteReference"/>
        </w:rPr>
        <w:footnoteRef/>
      </w:r>
      <w:r w:rsidRPr="00A60BB6">
        <w:rPr>
          <w:lang w:val="fr-FR"/>
        </w:rPr>
        <w:t xml:space="preserve"> </w:t>
      </w:r>
      <w:r w:rsidR="00B75308" w:rsidRPr="007419D2">
        <w:rPr>
          <w:lang w:val="fr-FR"/>
        </w:rPr>
        <w:fldChar w:fldCharType="begin"/>
      </w:r>
      <w:r w:rsidRPr="00A60BB6">
        <w:rPr>
          <w:lang w:val="fr-FR"/>
        </w:rPr>
        <w:instrText>ADDIN RW.CITE{{3579 [NoInformation] [No Information] ~f}}</w:instrText>
      </w:r>
      <w:r w:rsidR="00B75308" w:rsidRPr="007419D2">
        <w:rPr>
          <w:lang w:val="fr-FR"/>
        </w:rPr>
        <w:fldChar w:fldCharType="separate"/>
      </w:r>
      <w:r w:rsidRPr="00A60BB6">
        <w:rPr>
          <w:bCs/>
          <w:lang w:val="fr-FR"/>
        </w:rPr>
        <w:t>'Museum of New Zealand, Te Papa Tongarewa, International repatriation ' &lt;</w:t>
      </w:r>
      <w:hyperlink r:id="rId14" w:history="1">
        <w:r w:rsidRPr="00A60BB6">
          <w:rPr>
            <w:rStyle w:val="Hyperlink"/>
            <w:bCs/>
            <w:u w:val="none"/>
            <w:lang w:val="fr-FR"/>
          </w:rPr>
          <w:t>https://www.tepapa.govt.nz/international-repatriation</w:t>
        </w:r>
      </w:hyperlink>
      <w:r w:rsidRPr="00A60BB6">
        <w:rPr>
          <w:bCs/>
          <w:lang w:val="fr-FR"/>
        </w:rPr>
        <w:t>&gt; accessed 08/04/2019</w:t>
      </w:r>
      <w:r w:rsidR="00B75308" w:rsidRPr="007419D2">
        <w:rPr>
          <w:lang w:val="fr-FR"/>
        </w:rPr>
        <w:fldChar w:fldCharType="end"/>
      </w:r>
    </w:p>
  </w:footnote>
  <w:footnote w:id="58">
    <w:p w:rsidR="00DD7187" w:rsidRPr="007419D2" w:rsidRDefault="00DD7187" w:rsidP="00596FBC">
      <w:pPr>
        <w:pStyle w:val="FootnoteText"/>
        <w:spacing w:line="240" w:lineRule="auto"/>
        <w:rPr>
          <w:lang w:val="fr-FR"/>
        </w:rPr>
      </w:pPr>
      <w:r w:rsidRPr="007419D2">
        <w:rPr>
          <w:rStyle w:val="FootnoteReference"/>
        </w:rPr>
        <w:footnoteRef/>
      </w:r>
      <w:r w:rsidRPr="007419D2">
        <w:rPr>
          <w:lang w:val="fr-FR"/>
        </w:rPr>
        <w:t xml:space="preserve"> </w:t>
      </w:r>
      <w:r w:rsidR="00B75308" w:rsidRPr="007419D2">
        <w:rPr>
          <w:lang w:val="fr-FR"/>
        </w:rPr>
        <w:fldChar w:fldCharType="begin"/>
      </w:r>
      <w:r w:rsidRPr="007419D2">
        <w:rPr>
          <w:lang w:val="fr-FR"/>
        </w:rPr>
        <w:instrText>ADDIN RW.CITE{{1626 [NoInformation] 2010 ~f}}</w:instrText>
      </w:r>
      <w:r w:rsidR="00B75308" w:rsidRPr="007419D2">
        <w:rPr>
          <w:lang w:val="fr-FR"/>
        </w:rPr>
        <w:fldChar w:fldCharType="separate"/>
      </w:r>
      <w:r w:rsidRPr="007419D2">
        <w:rPr>
          <w:i/>
          <w:iCs/>
          <w:lang w:val="fr-FR"/>
        </w:rPr>
        <w:t xml:space="preserve">Débat, session ordinaire de 2009-2010, Première séance du mardi 4 mail 2010 </w:t>
      </w:r>
      <w:r w:rsidRPr="007419D2">
        <w:rPr>
          <w:iCs/>
          <w:lang w:val="fr-FR"/>
        </w:rPr>
        <w:t>Assemblée Nationale, 2010) &lt;</w:t>
      </w:r>
      <w:hyperlink r:id="rId15" w:history="1">
        <w:r w:rsidRPr="007419D2">
          <w:rPr>
            <w:rStyle w:val="Hyperlink"/>
            <w:iCs/>
            <w:u w:val="none"/>
            <w:lang w:val="fr-FR"/>
          </w:rPr>
          <w:t>http://www.assemblee-nationale.fr/13/pdf/cri/2009-2010/20100176.pdf</w:t>
        </w:r>
      </w:hyperlink>
      <w:r w:rsidRPr="007419D2">
        <w:rPr>
          <w:iCs/>
          <w:lang w:val="fr-FR"/>
        </w:rPr>
        <w:t>&gt;</w:t>
      </w:r>
      <w:r w:rsidR="00B75308" w:rsidRPr="007419D2">
        <w:rPr>
          <w:lang w:val="fr-FR"/>
        </w:rPr>
        <w:fldChar w:fldCharType="end"/>
      </w:r>
      <w:r w:rsidRPr="007419D2">
        <w:rPr>
          <w:lang w:val="fr-FR"/>
        </w:rPr>
        <w:t>, 2712.</w:t>
      </w:r>
    </w:p>
  </w:footnote>
  <w:footnote w:id="59">
    <w:p w:rsidR="00DD7187" w:rsidRPr="007419D2" w:rsidRDefault="00DD7187" w:rsidP="00596FBC">
      <w:pPr>
        <w:pStyle w:val="FootnoteText"/>
        <w:spacing w:line="240" w:lineRule="auto"/>
      </w:pPr>
      <w:r w:rsidRPr="007419D2">
        <w:rPr>
          <w:rStyle w:val="FootnoteReference"/>
        </w:rPr>
        <w:footnoteRef/>
      </w:r>
      <w:r w:rsidRPr="007419D2">
        <w:t xml:space="preserve"> </w:t>
      </w:r>
      <w:r w:rsidR="00B75308" w:rsidRPr="007419D2">
        <w:rPr>
          <w:lang w:val="fr-FR"/>
        </w:rPr>
        <w:fldChar w:fldCharType="begin"/>
      </w:r>
      <w:r w:rsidRPr="007419D2">
        <w:instrText>ADDIN RW.CITE{{1624 [NoInformation] 2010 ~f}}</w:instrText>
      </w:r>
      <w:r w:rsidR="00B75308" w:rsidRPr="007419D2">
        <w:rPr>
          <w:lang w:val="fr-FR"/>
        </w:rPr>
        <w:fldChar w:fldCharType="separate"/>
      </w:r>
      <w:r w:rsidRPr="007419D2">
        <w:t>Restitution des têtes Maories Deb., vol JO AN déb.30 avril 2010, col p 2586 &lt;</w:t>
      </w:r>
      <w:hyperlink r:id="rId16" w:history="1">
        <w:r w:rsidRPr="007419D2">
          <w:rPr>
            <w:rStyle w:val="Hyperlink"/>
            <w:u w:val="none"/>
          </w:rPr>
          <w:t>http://www.assemblee-nationale.fr/13/pdf/cri/2009-2010/20100172.pdf</w:t>
        </w:r>
      </w:hyperlink>
      <w:r w:rsidRPr="007419D2">
        <w:t>&gt; accessed 11/07/2019</w:t>
      </w:r>
      <w:r w:rsidR="00B75308" w:rsidRPr="007419D2">
        <w:rPr>
          <w:lang w:val="fr-FR"/>
        </w:rPr>
        <w:fldChar w:fldCharType="end"/>
      </w:r>
      <w:r w:rsidRPr="007419D2">
        <w:t>, Mrs Tabarot, at 2590</w:t>
      </w:r>
    </w:p>
  </w:footnote>
  <w:footnote w:id="60">
    <w:p w:rsidR="00DD7187" w:rsidRPr="007419D2" w:rsidRDefault="00DD7187" w:rsidP="00596FBC">
      <w:pPr>
        <w:pStyle w:val="FootnoteText"/>
        <w:spacing w:line="240" w:lineRule="auto"/>
      </w:pPr>
      <w:r w:rsidRPr="007419D2">
        <w:rPr>
          <w:rStyle w:val="FootnoteReference"/>
        </w:rPr>
        <w:footnoteRef/>
      </w:r>
      <w:r w:rsidRPr="007419D2">
        <w:t xml:space="preserve"> </w:t>
      </w:r>
      <w:r w:rsidR="00B75308" w:rsidRPr="007419D2">
        <w:rPr>
          <w:lang w:val="fr-FR"/>
        </w:rPr>
        <w:fldChar w:fldCharType="begin"/>
      </w:r>
      <w:r w:rsidRPr="007419D2">
        <w:instrText>ADDIN RW.CITE{{1624 [NoInformation] 2010 ~f}}</w:instrText>
      </w:r>
      <w:r w:rsidR="00B75308" w:rsidRPr="007419D2">
        <w:rPr>
          <w:lang w:val="fr-FR"/>
        </w:rPr>
        <w:fldChar w:fldCharType="separate"/>
      </w:r>
      <w:r w:rsidRPr="007419D2">
        <w:t>Ibidem</w:t>
      </w:r>
      <w:r w:rsidR="00B75308" w:rsidRPr="007419D2">
        <w:rPr>
          <w:lang w:val="fr-FR"/>
        </w:rPr>
        <w:fldChar w:fldCharType="end"/>
      </w:r>
      <w:r w:rsidRPr="007419D2">
        <w:t>, Mr Folliot at 2591</w:t>
      </w:r>
    </w:p>
  </w:footnote>
  <w:footnote w:id="61">
    <w:p w:rsidR="00DD7187" w:rsidRPr="007419D2" w:rsidRDefault="00DD7187" w:rsidP="00596FBC">
      <w:pPr>
        <w:pStyle w:val="FootnoteText"/>
        <w:spacing w:line="240" w:lineRule="auto"/>
        <w:rPr>
          <w:lang w:val="fr-FR"/>
        </w:rPr>
      </w:pPr>
      <w:r w:rsidRPr="007419D2">
        <w:rPr>
          <w:rStyle w:val="FootnoteReference"/>
        </w:rPr>
        <w:footnoteRef/>
      </w:r>
      <w:r w:rsidRPr="007419D2">
        <w:rPr>
          <w:lang w:val="fr-FR"/>
        </w:rPr>
        <w:t xml:space="preserve"> </w:t>
      </w:r>
      <w:r w:rsidR="00B75308" w:rsidRPr="007419D2">
        <w:rPr>
          <w:lang w:val="fr-FR"/>
        </w:rPr>
        <w:fldChar w:fldCharType="begin"/>
      </w:r>
      <w:r w:rsidRPr="007419D2">
        <w:rPr>
          <w:lang w:val="fr-FR"/>
        </w:rPr>
        <w:instrText>ADDIN RW.CITE{{1627 [NoInformation] 2009 ~f}}</w:instrText>
      </w:r>
      <w:r w:rsidR="00B75308" w:rsidRPr="007419D2">
        <w:rPr>
          <w:lang w:val="fr-FR"/>
        </w:rPr>
        <w:fldChar w:fldCharType="separate"/>
      </w:r>
      <w:r w:rsidRPr="007419D2">
        <w:rPr>
          <w:lang w:val="fr-FR"/>
        </w:rPr>
        <w:t>Restitution par la France des têtes maories Deb., vol JO Senat 30 June, col 6414 &lt;</w:t>
      </w:r>
      <w:hyperlink r:id="rId17" w:history="1">
        <w:r w:rsidRPr="007419D2">
          <w:rPr>
            <w:rStyle w:val="Hyperlink"/>
            <w:u w:val="none"/>
            <w:lang w:val="fr-FR"/>
          </w:rPr>
          <w:t>http://www.senat.fr/seances/s200906/s20090629/s20090629.pdf</w:t>
        </w:r>
      </w:hyperlink>
      <w:r w:rsidRPr="007419D2">
        <w:rPr>
          <w:lang w:val="fr-FR"/>
        </w:rPr>
        <w:t>&gt; accessed 11/07/2019</w:t>
      </w:r>
      <w:r w:rsidR="00B75308" w:rsidRPr="007419D2">
        <w:rPr>
          <w:lang w:val="fr-FR"/>
        </w:rPr>
        <w:fldChar w:fldCharType="end"/>
      </w:r>
      <w:r w:rsidRPr="007419D2">
        <w:rPr>
          <w:lang w:val="fr-FR"/>
        </w:rPr>
        <w:t>, M. Duvernois at 6427</w:t>
      </w:r>
    </w:p>
  </w:footnote>
  <w:footnote w:id="62">
    <w:p w:rsidR="00DD7187" w:rsidRPr="007419D2" w:rsidRDefault="00DD7187" w:rsidP="00596FBC">
      <w:pPr>
        <w:pStyle w:val="FootnoteText"/>
        <w:spacing w:line="240" w:lineRule="auto"/>
        <w:rPr>
          <w:lang w:val="fr-FR"/>
        </w:rPr>
      </w:pPr>
      <w:r w:rsidRPr="007419D2">
        <w:rPr>
          <w:rStyle w:val="FootnoteReference"/>
        </w:rPr>
        <w:footnoteRef/>
      </w:r>
      <w:r w:rsidRPr="007419D2">
        <w:rPr>
          <w:lang w:val="fr-FR"/>
        </w:rPr>
        <w:t xml:space="preserve"> </w:t>
      </w:r>
      <w:r w:rsidR="00B75308" w:rsidRPr="007419D2">
        <w:rPr>
          <w:lang w:val="fr-FR"/>
        </w:rPr>
        <w:fldChar w:fldCharType="begin"/>
      </w:r>
      <w:r w:rsidRPr="007419D2">
        <w:rPr>
          <w:lang w:val="fr-FR"/>
        </w:rPr>
        <w:instrText>ADDIN RW.CITE{{1624 [NoInformation] 2010 ~f}}</w:instrText>
      </w:r>
      <w:r w:rsidR="00B75308" w:rsidRPr="007419D2">
        <w:rPr>
          <w:lang w:val="fr-FR"/>
        </w:rPr>
        <w:fldChar w:fldCharType="separate"/>
      </w:r>
      <w:r w:rsidRPr="007419D2">
        <w:rPr>
          <w:lang w:val="fr-FR"/>
        </w:rPr>
        <w:t>col p 2586</w:t>
      </w:r>
      <w:r w:rsidR="00B75308" w:rsidRPr="007419D2">
        <w:rPr>
          <w:lang w:val="fr-FR"/>
        </w:rPr>
        <w:fldChar w:fldCharType="end"/>
      </w:r>
      <w:r w:rsidRPr="007419D2">
        <w:rPr>
          <w:lang w:val="fr-FR"/>
        </w:rPr>
        <w:t>, Mrs Bello at 2594.</w:t>
      </w:r>
      <w:r w:rsidRPr="007419D2">
        <w:rPr>
          <w:i/>
          <w:iCs/>
          <w:lang w:val="fr-FR"/>
        </w:rPr>
        <w:t>Journal Officiel Assemblée Nationale débat</w:t>
      </w:r>
      <w:r w:rsidRPr="007419D2">
        <w:rPr>
          <w:lang w:val="fr-FR"/>
        </w:rPr>
        <w:t xml:space="preserve"> 30 April 2010, 2595.</w:t>
      </w:r>
    </w:p>
  </w:footnote>
  <w:footnote w:id="63">
    <w:p w:rsidR="00DD7187" w:rsidRPr="007419D2" w:rsidRDefault="00DD7187" w:rsidP="00596FBC">
      <w:pPr>
        <w:pStyle w:val="FootnoteText"/>
        <w:spacing w:line="240" w:lineRule="auto"/>
        <w:rPr>
          <w:lang w:val="fr-FR"/>
        </w:rPr>
      </w:pPr>
      <w:r w:rsidRPr="007419D2">
        <w:rPr>
          <w:rStyle w:val="FootnoteReference"/>
        </w:rPr>
        <w:footnoteRef/>
      </w:r>
      <w:r w:rsidRPr="007419D2">
        <w:rPr>
          <w:lang w:val="fr-FR"/>
        </w:rPr>
        <w:t xml:space="preserve"> </w:t>
      </w:r>
      <w:r w:rsidR="00B75308" w:rsidRPr="007419D2">
        <w:fldChar w:fldCharType="begin"/>
      </w:r>
      <w:r w:rsidRPr="007419D2">
        <w:rPr>
          <w:lang w:val="fr-FR"/>
        </w:rPr>
        <w:instrText>ADDIN RW.CITE{{3616 Richert,Philippe 2003 ~f}}</w:instrText>
      </w:r>
      <w:r w:rsidR="00B75308" w:rsidRPr="007419D2">
        <w:fldChar w:fldCharType="separate"/>
      </w:r>
      <w:r w:rsidRPr="007419D2">
        <w:rPr>
          <w:lang w:val="fr-FR"/>
        </w:rPr>
        <w:t xml:space="preserve">P. Richert, </w:t>
      </w:r>
      <w:r w:rsidRPr="007419D2">
        <w:rPr>
          <w:i/>
          <w:lang w:val="fr-FR"/>
        </w:rPr>
        <w:t xml:space="preserve">La gestion des collections des musées </w:t>
      </w:r>
      <w:r w:rsidRPr="007419D2">
        <w:rPr>
          <w:lang w:val="fr-FR"/>
        </w:rPr>
        <w:t>Commission des affaires culturelles 03/07, 2003379) &lt;</w:t>
      </w:r>
      <w:hyperlink r:id="rId18" w:history="1">
        <w:r w:rsidRPr="007419D2">
          <w:rPr>
            <w:rStyle w:val="Hyperlink"/>
            <w:u w:val="none"/>
            <w:lang w:val="fr-FR"/>
          </w:rPr>
          <w:t>https://www.senat.fr/rap/r02-379/r02-3794.html</w:t>
        </w:r>
      </w:hyperlink>
      <w:r w:rsidRPr="007419D2">
        <w:rPr>
          <w:lang w:val="fr-FR"/>
        </w:rPr>
        <w:t>&gt;[accessed: 09/05/2019]</w:t>
      </w:r>
      <w:r w:rsidR="00B75308" w:rsidRPr="007419D2">
        <w:fldChar w:fldCharType="end"/>
      </w:r>
      <w:r w:rsidRPr="007419D2">
        <w:rPr>
          <w:lang w:val="fr-FR"/>
        </w:rPr>
        <w:t>, at ‘3 Vers une typologie ? a) Une nouvelle génération de réserves’.</w:t>
      </w:r>
    </w:p>
  </w:footnote>
  <w:footnote w:id="64">
    <w:p w:rsidR="00DD7187" w:rsidRPr="007419D2" w:rsidRDefault="00DD7187" w:rsidP="00596FBC">
      <w:pPr>
        <w:pStyle w:val="FootnoteText"/>
        <w:spacing w:line="240" w:lineRule="auto"/>
        <w:rPr>
          <w:lang w:val="fr-FR"/>
        </w:rPr>
      </w:pPr>
      <w:r w:rsidRPr="007419D2">
        <w:rPr>
          <w:rStyle w:val="FootnoteReference"/>
        </w:rPr>
        <w:footnoteRef/>
      </w:r>
      <w:r w:rsidRPr="007419D2">
        <w:rPr>
          <w:lang w:val="fr-FR"/>
        </w:rPr>
        <w:t xml:space="preserve"> </w:t>
      </w:r>
      <w:r w:rsidR="00B75308" w:rsidRPr="007419D2">
        <w:rPr>
          <w:lang w:val="fr-FR"/>
        </w:rPr>
        <w:fldChar w:fldCharType="begin"/>
      </w:r>
      <w:r w:rsidRPr="007419D2">
        <w:rPr>
          <w:lang w:val="fr-FR"/>
        </w:rPr>
        <w:instrText>ADDIN RW.CITE{{3844 [NoInformation] 2020 ~f}}</w:instrText>
      </w:r>
      <w:r w:rsidR="00B75308" w:rsidRPr="007419D2">
        <w:rPr>
          <w:lang w:val="fr-FR"/>
        </w:rPr>
        <w:fldChar w:fldCharType="separate"/>
      </w:r>
      <w:r w:rsidRPr="007419D2">
        <w:rPr>
          <w:bCs/>
          <w:i/>
          <w:lang w:val="fr-FR"/>
        </w:rPr>
        <w:t>Mme Catherine Morin-Desailly, présidente - Restitution des oeuvres d'art - Audition de M. Stéphane Martin, ancien président de l'établissement public du musée du Quai Branly - Jacques Chirac Audition de M. Stéphane Martin</w:t>
      </w:r>
      <w:r w:rsidRPr="007419D2">
        <w:rPr>
          <w:bCs/>
          <w:lang w:val="fr-FR"/>
        </w:rPr>
        <w:t>19 February, 2020) &lt;</w:t>
      </w:r>
      <w:hyperlink r:id="rId19" w:history="1">
        <w:r w:rsidRPr="007419D2">
          <w:rPr>
            <w:rStyle w:val="Hyperlink"/>
            <w:bCs/>
            <w:u w:val="none"/>
            <w:lang w:val="fr-FR"/>
          </w:rPr>
          <w:t>http://www.senat.fr/compte-rendu-commissions/20200217/cult.html</w:t>
        </w:r>
      </w:hyperlink>
      <w:r w:rsidRPr="007419D2">
        <w:rPr>
          <w:bCs/>
          <w:lang w:val="fr-FR"/>
        </w:rPr>
        <w:t>&gt;[accessed: 02/03/2020]</w:t>
      </w:r>
      <w:r w:rsidR="00B75308" w:rsidRPr="007419D2">
        <w:rPr>
          <w:lang w:val="fr-FR"/>
        </w:rPr>
        <w:fldChar w:fldCharType="end"/>
      </w:r>
    </w:p>
  </w:footnote>
  <w:footnote w:id="65">
    <w:p w:rsidR="00DD7187" w:rsidRPr="007419D2" w:rsidRDefault="00DD7187" w:rsidP="00596FBC">
      <w:pPr>
        <w:pStyle w:val="FootnoteText"/>
        <w:spacing w:line="240" w:lineRule="auto"/>
        <w:rPr>
          <w:lang w:val="fr-FR"/>
        </w:rPr>
      </w:pPr>
      <w:r w:rsidRPr="007419D2">
        <w:rPr>
          <w:rStyle w:val="FootnoteReference"/>
        </w:rPr>
        <w:footnoteRef/>
      </w:r>
      <w:r w:rsidRPr="007419D2">
        <w:rPr>
          <w:lang w:val="fr-FR"/>
        </w:rPr>
        <w:t xml:space="preserve"> Restes humains dans collections publiques p 11</w:t>
      </w:r>
    </w:p>
  </w:footnote>
  <w:footnote w:id="66">
    <w:p w:rsidR="00DD7187" w:rsidRPr="007419D2" w:rsidRDefault="00DD7187" w:rsidP="00596FBC">
      <w:pPr>
        <w:pStyle w:val="FootnoteText"/>
        <w:spacing w:line="240" w:lineRule="auto"/>
      </w:pPr>
      <w:r w:rsidRPr="007419D2">
        <w:rPr>
          <w:rStyle w:val="FootnoteReference"/>
        </w:rPr>
        <w:footnoteRef/>
      </w:r>
      <w:r w:rsidRPr="007419D2">
        <w:rPr>
          <w:lang w:val="fr-FR"/>
        </w:rPr>
        <w:t xml:space="preserve"> Section 16-1 Civil code : ‘Le corps humain (…) ne (peut) faire l’objet d’un droit patrimonial’. </w:t>
      </w:r>
      <w:r w:rsidRPr="007419D2">
        <w:t>‘The human body can not be subjected to ownership rights’. Author</w:t>
      </w:r>
      <w:r w:rsidR="00B645B0">
        <w:t>’s</w:t>
      </w:r>
      <w:r w:rsidRPr="007419D2">
        <w:t xml:space="preserve"> translation</w:t>
      </w:r>
    </w:p>
  </w:footnote>
  <w:footnote w:id="67">
    <w:p w:rsidR="00DD7187" w:rsidRPr="007419D2" w:rsidRDefault="00DD7187" w:rsidP="00596FBC">
      <w:pPr>
        <w:pStyle w:val="FootnoteText"/>
        <w:spacing w:line="240" w:lineRule="auto"/>
      </w:pPr>
      <w:r w:rsidRPr="007419D2">
        <w:rPr>
          <w:rStyle w:val="FootnoteReference"/>
        </w:rPr>
        <w:footnoteRef/>
      </w:r>
      <w:r w:rsidRPr="007419D2">
        <w:t xml:space="preserve"> Cour Cassation (First civil chamber) 23 February 1972 (</w:t>
      </w:r>
      <w:r w:rsidRPr="007419D2">
        <w:rPr>
          <w:color w:val="000000"/>
          <w:shd w:val="clear" w:color="auto" w:fill="FFFFFF"/>
        </w:rPr>
        <w:t>70-12490)</w:t>
      </w:r>
      <w:r w:rsidRPr="007419D2">
        <w:rPr>
          <w:b/>
          <w:bCs/>
          <w:color w:val="000000"/>
          <w:shd w:val="clear" w:color="auto" w:fill="FFFFFF"/>
        </w:rPr>
        <w:t>: </w:t>
      </w:r>
      <w:r w:rsidRPr="007419D2">
        <w:rPr>
          <w:color w:val="000000"/>
          <w:shd w:val="clear" w:color="auto" w:fill="FFFFFF"/>
        </w:rPr>
        <w:t xml:space="preserve">Bulletin civ. 1 n. 61 p. 54 </w:t>
      </w:r>
    </w:p>
  </w:footnote>
  <w:footnote w:id="68">
    <w:p w:rsidR="00DD7187" w:rsidRPr="007419D2" w:rsidRDefault="00DD7187" w:rsidP="00596FBC">
      <w:pPr>
        <w:pStyle w:val="FootnoteText"/>
        <w:spacing w:line="240" w:lineRule="auto"/>
      </w:pPr>
      <w:r w:rsidRPr="007419D2">
        <w:rPr>
          <w:rStyle w:val="FootnoteReference"/>
        </w:rPr>
        <w:footnoteRef/>
      </w:r>
      <w:r w:rsidRPr="007419D2">
        <w:t xml:space="preserve"> Section 16-1-1 of the Civil code reads ‘The respect due to the human body does not stop with death. Human remains, including ashes when the corpse was cremated, must be dealt with respect, dignity and decency’.</w:t>
      </w:r>
    </w:p>
  </w:footnote>
  <w:footnote w:id="69">
    <w:p w:rsidR="00DD7187" w:rsidRPr="007419D2" w:rsidRDefault="00DD7187" w:rsidP="00596FBC">
      <w:pPr>
        <w:pStyle w:val="FootnoteText"/>
        <w:spacing w:line="240" w:lineRule="auto"/>
      </w:pPr>
      <w:r w:rsidRPr="007419D2">
        <w:rPr>
          <w:rStyle w:val="FootnoteReference"/>
        </w:rPr>
        <w:footnoteRef/>
      </w:r>
      <w:r w:rsidRPr="007419D2">
        <w:t xml:space="preserve"> &lt;http://www.ourbodytheuniversewithin.com&gt;</w:t>
      </w:r>
    </w:p>
    <w:p w:rsidR="00DD7187" w:rsidRPr="007419D2" w:rsidRDefault="00DD7187" w:rsidP="00596FBC">
      <w:pPr>
        <w:pStyle w:val="FootnoteText"/>
        <w:spacing w:line="240" w:lineRule="auto"/>
      </w:pPr>
      <w:r w:rsidRPr="007419D2">
        <w:t xml:space="preserve">The bodies are preserved by ‘polymer impregnation’ or ‘plastination’ which is a process that replaces the body’s water and fat with reactive plastics. </w:t>
      </w:r>
    </w:p>
  </w:footnote>
  <w:footnote w:id="70">
    <w:p w:rsidR="00DD7187" w:rsidRPr="007419D2" w:rsidRDefault="00DD7187" w:rsidP="00596FBC">
      <w:pPr>
        <w:pStyle w:val="FootnoteText"/>
        <w:spacing w:line="240" w:lineRule="auto"/>
      </w:pPr>
      <w:r w:rsidRPr="007419D2">
        <w:rPr>
          <w:rStyle w:val="FootnoteReference"/>
        </w:rPr>
        <w:footnoteRef/>
      </w:r>
      <w:r w:rsidRPr="007419D2">
        <w:t xml:space="preserve"> </w:t>
      </w:r>
      <w:r w:rsidR="00B75308" w:rsidRPr="007419D2">
        <w:rPr>
          <w:lang w:val="fr-FR"/>
        </w:rPr>
        <w:fldChar w:fldCharType="begin"/>
      </w:r>
      <w:r w:rsidRPr="007419D2">
        <w:instrText>ADDIN RW.CITE{{3515 Frerking,Christopher 2017 ~f}}</w:instrText>
      </w:r>
      <w:r w:rsidR="00B75308" w:rsidRPr="007419D2">
        <w:rPr>
          <w:lang w:val="fr-FR"/>
        </w:rPr>
        <w:fldChar w:fldCharType="separate"/>
      </w:r>
      <w:r w:rsidRPr="007419D2">
        <w:rPr>
          <w:bCs/>
          <w:lang w:val="en-US"/>
        </w:rPr>
        <w:t xml:space="preserve">C. Frerking and H. Gill-Frerking, </w:t>
      </w:r>
      <w:r w:rsidRPr="007419D2">
        <w:rPr>
          <w:bCs/>
          <w:i/>
          <w:lang w:val="en-US"/>
        </w:rPr>
        <w:t>Human Remains as Heritage: Categorisation, Legislation and Protection</w:t>
      </w:r>
      <w:r w:rsidRPr="007419D2">
        <w:rPr>
          <w:bCs/>
          <w:lang w:val="en-US"/>
        </w:rPr>
        <w:t xml:space="preserve"> "AAL " 2017, Vol. 22, 49</w:t>
      </w:r>
      <w:r w:rsidR="00B75308" w:rsidRPr="007419D2">
        <w:rPr>
          <w:lang w:val="fr-FR"/>
        </w:rPr>
        <w:fldChar w:fldCharType="end"/>
      </w:r>
    </w:p>
  </w:footnote>
  <w:footnote w:id="71">
    <w:p w:rsidR="00DD7187" w:rsidRPr="007419D2" w:rsidRDefault="00DD7187" w:rsidP="00596FBC">
      <w:pPr>
        <w:pStyle w:val="FootnoteText"/>
        <w:spacing w:line="240" w:lineRule="auto"/>
        <w:rPr>
          <w:lang w:val="fr-FR"/>
        </w:rPr>
      </w:pPr>
      <w:r w:rsidRPr="007419D2">
        <w:rPr>
          <w:rStyle w:val="FootnoteReference"/>
        </w:rPr>
        <w:footnoteRef/>
      </w:r>
      <w:r w:rsidRPr="007419D2">
        <w:rPr>
          <w:lang w:val="fr-FR"/>
        </w:rPr>
        <w:t xml:space="preserve"> </w:t>
      </w:r>
      <w:r w:rsidR="00B75308" w:rsidRPr="007419D2">
        <w:rPr>
          <w:lang w:val="fr-FR"/>
        </w:rPr>
        <w:fldChar w:fldCharType="begin"/>
      </w:r>
      <w:r w:rsidRPr="007419D2">
        <w:rPr>
          <w:lang w:val="fr-FR"/>
        </w:rPr>
        <w:instrText xml:space="preserve"> ADDIN EN.CITE &lt;EndNote&gt;&lt;Cite&gt;&lt;Author&gt;Loiseau&lt;/Author&gt;&lt;Year&gt;2009&lt;/Year&gt;&lt;RecNum&gt;786&lt;/RecNum&gt;&lt;record&gt;&lt;rec-number&gt;786&lt;/rec-number&gt;&lt;ref-type name="Journal Article"&gt;17&lt;/ref-type&gt;&lt;contributors&gt;&lt;authors&gt;&lt;author&gt;Loiseau, Grégoire&lt;/author&gt;&lt;/authors&gt;&lt;/contributors&gt;&lt;titles&gt;&lt;title&gt;Des cadavres mais des hommesnote sous CA Paris 30 avril 2009&lt;/title&gt;&lt;secondary-title&gt;JCP&lt;/secondary-title&gt;&lt;/titles&gt;&lt;periodical&gt;&lt;full-title&gt;Semaine Juridique&lt;/full-title&gt;&lt;abbr-1&gt;JCP&lt;/abbr-1&gt;&lt;/periodical&gt;&lt;number&gt;n° 25 15 juin 2009, 12&lt;/number&gt;&lt;keywords&gt;&lt;keyword&gt;human remains, france&lt;/keyword&gt;&lt;/keywords&gt;&lt;dates&gt;&lt;year&gt;2009&lt;/year&gt;&lt;/dates&gt;&lt;urls&gt;&lt;/urls&gt;&lt;/record&gt;&lt;/Cite&gt;&lt;/EndNote&gt;</w:instrText>
      </w:r>
      <w:r w:rsidR="00B75308" w:rsidRPr="007419D2">
        <w:rPr>
          <w:lang w:val="fr-FR"/>
        </w:rPr>
        <w:fldChar w:fldCharType="separate"/>
      </w:r>
      <w:r w:rsidRPr="007419D2">
        <w:rPr>
          <w:lang w:val="fr-FR"/>
        </w:rPr>
        <w:t xml:space="preserve">Grégoire Loiseau, 'Des cadavres mais des hommesnote sous CA Paris 30 avril 2009' (2009) (n° 25 15 juin 2009, 12) </w:t>
      </w:r>
      <w:r w:rsidRPr="007419D2">
        <w:rPr>
          <w:i/>
          <w:lang w:val="fr-FR"/>
        </w:rPr>
        <w:t>JCP</w:t>
      </w:r>
      <w:r w:rsidRPr="007419D2">
        <w:rPr>
          <w:lang w:val="fr-FR"/>
        </w:rPr>
        <w:t>.</w:t>
      </w:r>
      <w:r w:rsidR="00B75308" w:rsidRPr="007419D2">
        <w:rPr>
          <w:lang w:val="fr-FR"/>
        </w:rPr>
        <w:fldChar w:fldCharType="end"/>
      </w:r>
    </w:p>
  </w:footnote>
  <w:footnote w:id="72">
    <w:p w:rsidR="00DD7187" w:rsidRPr="007419D2" w:rsidRDefault="00DD7187" w:rsidP="00596FBC">
      <w:pPr>
        <w:pStyle w:val="FootnoteText"/>
        <w:spacing w:line="240" w:lineRule="auto"/>
        <w:rPr>
          <w:lang w:val="fr-FR"/>
        </w:rPr>
      </w:pPr>
      <w:r w:rsidRPr="007419D2">
        <w:rPr>
          <w:rStyle w:val="FootnoteReference"/>
        </w:rPr>
        <w:footnoteRef/>
      </w:r>
      <w:r w:rsidRPr="007419D2">
        <w:rPr>
          <w:lang w:val="fr-FR"/>
        </w:rPr>
        <w:t xml:space="preserve">  X. Perrot, </w:t>
      </w:r>
      <w:r w:rsidRPr="007419D2">
        <w:rPr>
          <w:i/>
          <w:lang w:val="fr-FR"/>
        </w:rPr>
        <w:t>Le refus de l'oubli ; patrimoine culturel et résistance mémorielle</w:t>
      </w:r>
      <w:r w:rsidRPr="007419D2">
        <w:rPr>
          <w:lang w:val="fr-FR"/>
        </w:rPr>
        <w:t xml:space="preserve"> in: V. Negri and I. Schulte-Tenckhoff (eds)</w:t>
      </w:r>
      <w:r w:rsidRPr="007419D2">
        <w:rPr>
          <w:i/>
          <w:lang w:val="fr-FR"/>
        </w:rPr>
        <w:t>, Normer l'oubli</w:t>
      </w:r>
      <w:r w:rsidRPr="007419D2">
        <w:rPr>
          <w:lang w:val="fr-FR"/>
        </w:rPr>
        <w:t>, IRJS Editions 2018, 153</w:t>
      </w:r>
    </w:p>
  </w:footnote>
  <w:footnote w:id="73">
    <w:p w:rsidR="00DD7187" w:rsidRPr="007419D2" w:rsidRDefault="00DD7187" w:rsidP="00596FBC">
      <w:pPr>
        <w:pStyle w:val="FootnoteText"/>
        <w:spacing w:line="240" w:lineRule="auto"/>
      </w:pPr>
      <w:r w:rsidRPr="007419D2">
        <w:rPr>
          <w:rStyle w:val="FootnoteReference"/>
        </w:rPr>
        <w:footnoteRef/>
      </w:r>
      <w:r w:rsidRPr="007419D2">
        <w:t xml:space="preserve"> The merits of specific aspects of different theories of posthumous ‘rights’ have been widely discussed. To revisit this debate is beyond the scope of this paper. </w:t>
      </w:r>
      <w:r w:rsidR="00B75308" w:rsidRPr="007419D2">
        <w:fldChar w:fldCharType="begin"/>
      </w:r>
      <w:r w:rsidRPr="007419D2">
        <w:instrText xml:space="preserve"> ADDIN EN.CITE &lt;EndNote&gt;&lt;Cite&gt;&lt;Author&gt;Sperling&lt;/Author&gt;&lt;Year&gt;2008&lt;/Year&gt;&lt;RecNum&gt;796&lt;/RecNum&gt;&lt;record&gt;&lt;rec-number&gt;796&lt;/rec-number&gt;&lt;ref-type name="Book"&gt;6&lt;/ref-type&gt;&lt;contributors&gt;&lt;authors&gt;&lt;author&gt;Sperling, Daniel&lt;/author&gt;&lt;/authors&gt;&lt;/contributors&gt;&lt;titles&gt;&lt;title&gt;Posthumous Interests, Legal and Ethical Perspectives&lt;/title&gt;&lt;secondary-title&gt;Law, Medicine and Ethics&lt;/secondary-title&gt;&lt;/titles&gt;&lt;keywords&gt;&lt;keyword&gt;human remains, UK&lt;/keyword&gt;&lt;/keywords&gt;&lt;dates&gt;&lt;year&gt;2008&lt;/year&gt;&lt;/dates&gt;&lt;pub-location&gt;Cambridge&lt;/pub-location&gt;&lt;publisher&gt;Cambridge University Press&lt;/publisher&gt;&lt;urls&gt;&lt;/urls&gt;&lt;/record&gt;&lt;/Cite&gt;&lt;/EndNote&gt;</w:instrText>
      </w:r>
      <w:r w:rsidR="00B75308" w:rsidRPr="007419D2">
        <w:fldChar w:fldCharType="separate"/>
      </w:r>
      <w:r w:rsidRPr="007419D2">
        <w:t xml:space="preserve">Daniel Sperling, </w:t>
      </w:r>
      <w:r w:rsidRPr="007419D2">
        <w:rPr>
          <w:i/>
          <w:iCs/>
        </w:rPr>
        <w:t>Posthumous Interests, Legal and Ethical Perspectives</w:t>
      </w:r>
      <w:r w:rsidRPr="007419D2">
        <w:t xml:space="preserve"> (Law, Medicine and Ethics, Cambridge University Press, Cambridge 2008).</w:t>
      </w:r>
      <w:r w:rsidR="00B75308" w:rsidRPr="007419D2">
        <w:fldChar w:fldCharType="end"/>
      </w:r>
    </w:p>
  </w:footnote>
  <w:footnote w:id="74">
    <w:p w:rsidR="00DD7187" w:rsidRPr="007419D2" w:rsidRDefault="00DD7187" w:rsidP="00596FBC">
      <w:pPr>
        <w:pStyle w:val="FootnoteText"/>
        <w:spacing w:line="240" w:lineRule="auto"/>
        <w:rPr>
          <w:lang w:val="en-US"/>
        </w:rPr>
      </w:pPr>
      <w:r w:rsidRPr="007419D2">
        <w:rPr>
          <w:rStyle w:val="FootnoteReference"/>
        </w:rPr>
        <w:footnoteRef/>
      </w:r>
      <w:r w:rsidRPr="007419D2">
        <w:t xml:space="preserve"> </w:t>
      </w:r>
      <w:r w:rsidR="00B75308" w:rsidRPr="007419D2">
        <w:fldChar w:fldCharType="begin"/>
      </w:r>
      <w:r w:rsidRPr="007419D2">
        <w:instrText>ADDIN RW.CITE{{3543 White,Luise 1997 ~f; 3848 Huffer,Damien 2018 ~f; 3552 Huffer,Damien 2014 ~f}}</w:instrText>
      </w:r>
      <w:r w:rsidR="00B75308" w:rsidRPr="007419D2">
        <w:fldChar w:fldCharType="separate"/>
      </w:r>
      <w:r w:rsidRPr="007419D2">
        <w:rPr>
          <w:lang w:val="en-US"/>
        </w:rPr>
        <w:t xml:space="preserve">D. Huffer and D. Chappell, </w:t>
      </w:r>
      <w:r w:rsidRPr="007419D2">
        <w:rPr>
          <w:i/>
          <w:lang w:val="en-US"/>
        </w:rPr>
        <w:t>The mainly nameless and faceless dead: an exploratory study of the illicit traffic in archaeological and ethnographic human remains</w:t>
      </w:r>
      <w:r w:rsidRPr="007419D2">
        <w:rPr>
          <w:lang w:val="en-US"/>
        </w:rPr>
        <w:t xml:space="preserve"> "Crime, law and social change " 2014, Vol. 62, 131; D. Huffer and S. Graham, </w:t>
      </w:r>
      <w:r w:rsidRPr="007419D2">
        <w:rPr>
          <w:i/>
          <w:lang w:val="en-US"/>
        </w:rPr>
        <w:t>Fleshing Out the Bones: Studying the Human Remains Trade with Tensorflow and Inception</w:t>
      </w:r>
      <w:r w:rsidRPr="007419D2">
        <w:rPr>
          <w:lang w:val="en-US"/>
        </w:rPr>
        <w:t xml:space="preserve"> "Journal of Computer Applications in Archaeology " 2018, Vol. 1, 55; L. White, </w:t>
      </w:r>
      <w:r w:rsidRPr="007419D2">
        <w:rPr>
          <w:i/>
          <w:lang w:val="en-US"/>
        </w:rPr>
        <w:t>The traffic in heads: bodies, borders and the articulation of regional histories</w:t>
      </w:r>
      <w:r w:rsidRPr="007419D2">
        <w:rPr>
          <w:lang w:val="en-US"/>
        </w:rPr>
        <w:t xml:space="preserve"> "Journal of Southern African Studies " 1997, Vol. 23, 325</w:t>
      </w:r>
      <w:r w:rsidR="00B75308" w:rsidRPr="007419D2">
        <w:fldChar w:fldCharType="end"/>
      </w:r>
    </w:p>
  </w:footnote>
  <w:footnote w:id="75">
    <w:p w:rsidR="00DD7187" w:rsidRPr="007419D2" w:rsidRDefault="00DD7187" w:rsidP="00596FBC">
      <w:pPr>
        <w:pStyle w:val="FootnoteText"/>
        <w:spacing w:line="240" w:lineRule="auto"/>
        <w:jc w:val="left"/>
      </w:pPr>
      <w:r w:rsidRPr="007419D2">
        <w:rPr>
          <w:rStyle w:val="FootnoteReference"/>
        </w:rPr>
        <w:footnoteRef/>
      </w:r>
      <w:r w:rsidRPr="007419D2">
        <w:t xml:space="preserve">  S. Vigneron, </w:t>
      </w:r>
      <w:r w:rsidRPr="007419D2">
        <w:rPr>
          <w:i/>
        </w:rPr>
        <w:t>The holy thorn reliquary and cultural heritage</w:t>
      </w:r>
      <w:r w:rsidRPr="007419D2">
        <w:t xml:space="preserve"> "NILQ " 2017, Vol. 68, 329</w:t>
      </w:r>
    </w:p>
  </w:footnote>
  <w:footnote w:id="76">
    <w:p w:rsidR="00DD7187" w:rsidRPr="007419D2" w:rsidRDefault="00DD7187" w:rsidP="00596FBC">
      <w:pPr>
        <w:pStyle w:val="FootnoteText"/>
        <w:spacing w:line="240" w:lineRule="auto"/>
        <w:rPr>
          <w:lang w:val="fr-FR"/>
        </w:rPr>
      </w:pPr>
      <w:r w:rsidRPr="007419D2">
        <w:rPr>
          <w:rStyle w:val="FootnoteReference"/>
        </w:rPr>
        <w:footnoteRef/>
      </w:r>
      <w:r w:rsidRPr="007419D2">
        <w:rPr>
          <w:lang w:val="fr-FR"/>
        </w:rPr>
        <w:t xml:space="preserve"> </w:t>
      </w:r>
      <w:r w:rsidRPr="007419D2">
        <w:rPr>
          <w:i/>
          <w:iCs/>
          <w:lang w:val="fr-FR"/>
        </w:rPr>
        <w:t>Journal Officiel Assemblée Nationale débat</w:t>
      </w:r>
      <w:r w:rsidRPr="007419D2">
        <w:rPr>
          <w:lang w:val="fr-FR"/>
        </w:rPr>
        <w:t xml:space="preserve"> 30 April 2010, 2595.</w:t>
      </w:r>
    </w:p>
  </w:footnote>
  <w:footnote w:id="77">
    <w:p w:rsidR="00DD7187" w:rsidRPr="007419D2" w:rsidRDefault="00DD7187" w:rsidP="00596FBC">
      <w:pPr>
        <w:pStyle w:val="FootnoteText"/>
        <w:spacing w:line="240" w:lineRule="auto"/>
        <w:rPr>
          <w:lang w:val="fr-FR"/>
        </w:rPr>
      </w:pPr>
      <w:r w:rsidRPr="007419D2">
        <w:rPr>
          <w:rStyle w:val="FootnoteReference"/>
        </w:rPr>
        <w:footnoteRef/>
      </w:r>
      <w:r w:rsidRPr="007419D2">
        <w:rPr>
          <w:lang w:val="fr-FR"/>
        </w:rPr>
        <w:t xml:space="preserve"> </w:t>
      </w:r>
      <w:r w:rsidR="00B75308" w:rsidRPr="007419D2">
        <w:rPr>
          <w:lang w:val="fr-FR"/>
        </w:rPr>
        <w:fldChar w:fldCharType="begin"/>
      </w:r>
      <w:r w:rsidRPr="007419D2">
        <w:rPr>
          <w:lang w:val="fr-FR"/>
        </w:rPr>
        <w:instrText>ADDIN RW.CITE{{1624 [NoInformation] 2010 ~f}}</w:instrText>
      </w:r>
      <w:r w:rsidR="00B75308" w:rsidRPr="007419D2">
        <w:rPr>
          <w:lang w:val="fr-FR"/>
        </w:rPr>
        <w:fldChar w:fldCharType="separate"/>
      </w:r>
      <w:r w:rsidRPr="007419D2">
        <w:rPr>
          <w:lang w:val="fr-FR"/>
        </w:rPr>
        <w:t>, col p 2586</w:t>
      </w:r>
      <w:r w:rsidR="00B75308" w:rsidRPr="007419D2">
        <w:rPr>
          <w:lang w:val="fr-FR"/>
        </w:rPr>
        <w:fldChar w:fldCharType="end"/>
      </w:r>
      <w:r w:rsidRPr="007419D2">
        <w:rPr>
          <w:lang w:val="fr-FR"/>
        </w:rPr>
        <w:t>, Mrs Bello at 2594.</w:t>
      </w:r>
      <w:r w:rsidRPr="007419D2">
        <w:rPr>
          <w:i/>
          <w:iCs/>
          <w:lang w:val="fr-FR"/>
        </w:rPr>
        <w:t>Journal Officiel Assemblée Nationale débat</w:t>
      </w:r>
      <w:r w:rsidRPr="007419D2">
        <w:rPr>
          <w:lang w:val="fr-FR"/>
        </w:rPr>
        <w:t xml:space="preserve"> 30 April 2010, 2595.</w:t>
      </w:r>
    </w:p>
  </w:footnote>
  <w:footnote w:id="78">
    <w:p w:rsidR="00DD7187" w:rsidRPr="007419D2" w:rsidRDefault="00DD7187" w:rsidP="00596FBC">
      <w:pPr>
        <w:spacing w:line="240" w:lineRule="auto"/>
        <w:rPr>
          <w:sz w:val="20"/>
          <w:szCs w:val="20"/>
          <w:lang w:val="fr-FR"/>
        </w:rPr>
      </w:pPr>
      <w:r w:rsidRPr="007419D2">
        <w:rPr>
          <w:rStyle w:val="FootnoteReference"/>
          <w:sz w:val="20"/>
          <w:szCs w:val="20"/>
        </w:rPr>
        <w:footnoteRef/>
      </w:r>
      <w:r w:rsidRPr="007419D2">
        <w:rPr>
          <w:sz w:val="20"/>
          <w:szCs w:val="20"/>
          <w:lang w:val="fr-FR"/>
        </w:rPr>
        <w:t xml:space="preserve"> 'Le premier ministre s'engage à restituer au peuple kanak le crâne d'un chef de la rébellion de 1878' Le Monde (31 July 2013).</w:t>
      </w:r>
    </w:p>
  </w:footnote>
  <w:footnote w:id="79">
    <w:p w:rsidR="00DD7187" w:rsidRPr="007419D2" w:rsidRDefault="00DD7187" w:rsidP="00596FBC">
      <w:pPr>
        <w:pStyle w:val="FootnoteText"/>
        <w:spacing w:line="240" w:lineRule="auto"/>
        <w:rPr>
          <w:lang w:val="fr-FR"/>
        </w:rPr>
      </w:pPr>
      <w:r w:rsidRPr="007419D2">
        <w:rPr>
          <w:rStyle w:val="FootnoteReference"/>
        </w:rPr>
        <w:footnoteRef/>
      </w:r>
      <w:r w:rsidRPr="007419D2">
        <w:rPr>
          <w:lang w:val="fr-FR"/>
        </w:rPr>
        <w:t xml:space="preserve"> </w:t>
      </w:r>
      <w:r w:rsidR="00B75308" w:rsidRPr="007419D2">
        <w:rPr>
          <w:lang w:val="fr-FR"/>
        </w:rPr>
        <w:fldChar w:fldCharType="begin"/>
      </w:r>
      <w:r w:rsidRPr="007419D2">
        <w:rPr>
          <w:lang w:val="fr-FR"/>
        </w:rPr>
        <w:instrText>ADDIN RW.CITE{{3572 Groupedetravailsurlaproblematiquedesresteshumainsdanslescollectionspubliques 2019 ~f}}</w:instrText>
      </w:r>
      <w:r w:rsidR="00B75308" w:rsidRPr="007419D2">
        <w:rPr>
          <w:lang w:val="fr-FR"/>
        </w:rPr>
        <w:fldChar w:fldCharType="separate"/>
      </w:r>
      <w:r w:rsidRPr="007419D2">
        <w:rPr>
          <w:lang w:val="fr-FR"/>
        </w:rPr>
        <w:t xml:space="preserve">Groupe de travail sur la problématique des restes humains dans les collections publiques, </w:t>
      </w:r>
      <w:r w:rsidRPr="007419D2">
        <w:rPr>
          <w:i/>
          <w:lang w:val="fr-FR"/>
        </w:rPr>
        <w:t>Les restes humains dans les collections publiques</w:t>
      </w:r>
      <w:r w:rsidRPr="007419D2">
        <w:rPr>
          <w:lang w:val="fr-FR"/>
        </w:rPr>
        <w:t>OCIM, Dijon 2019</w:t>
      </w:r>
      <w:r w:rsidR="00B75308" w:rsidRPr="007419D2">
        <w:rPr>
          <w:lang w:val="fr-FR"/>
        </w:rPr>
        <w:fldChar w:fldCharType="end"/>
      </w:r>
      <w:r w:rsidRPr="007419D2">
        <w:rPr>
          <w:lang w:val="fr-FR"/>
        </w:rPr>
        <w:t>p 7 ;</w:t>
      </w:r>
      <w:r w:rsidRPr="007419D2">
        <w:rPr>
          <w:rFonts w:eastAsia="Times New Roman"/>
          <w:lang w:val="fr-FR"/>
        </w:rPr>
        <w:t xml:space="preserve"> ;Pascal Blanchard and Didier Daeninckx. 'Un chef revient parmi les siens' </w:t>
      </w:r>
      <w:r w:rsidRPr="007419D2">
        <w:rPr>
          <w:rFonts w:eastAsia="Times New Roman"/>
          <w:i/>
          <w:iCs/>
          <w:lang w:val="fr-FR"/>
        </w:rPr>
        <w:t xml:space="preserve">Le Monde </w:t>
      </w:r>
      <w:r w:rsidRPr="007419D2">
        <w:rPr>
          <w:rFonts w:eastAsia="Times New Roman"/>
          <w:lang w:val="fr-FR"/>
        </w:rPr>
        <w:t>(10 August 2013)</w:t>
      </w:r>
    </w:p>
  </w:footnote>
  <w:footnote w:id="80">
    <w:p w:rsidR="00DD7187" w:rsidRPr="007419D2" w:rsidRDefault="00DD7187" w:rsidP="00596FBC">
      <w:pPr>
        <w:pStyle w:val="FootnoteText"/>
        <w:spacing w:line="240" w:lineRule="auto"/>
        <w:rPr>
          <w:lang w:val="fr-FR"/>
        </w:rPr>
      </w:pPr>
      <w:r w:rsidRPr="007419D2">
        <w:rPr>
          <w:rStyle w:val="FootnoteReference"/>
        </w:rPr>
        <w:footnoteRef/>
      </w:r>
      <w:r w:rsidRPr="007419D2">
        <w:rPr>
          <w:lang w:val="fr-FR"/>
        </w:rPr>
        <w:t xml:space="preserve"> For public ownership laws, see the Code Générale de la Propriété des Personnes Publique and section L2112-1 for movables.</w:t>
      </w:r>
    </w:p>
  </w:footnote>
  <w:footnote w:id="81">
    <w:p w:rsidR="00DD7187" w:rsidRPr="007419D2" w:rsidRDefault="00DD7187" w:rsidP="00596FBC">
      <w:pPr>
        <w:pStyle w:val="FootnoteText"/>
        <w:spacing w:line="240" w:lineRule="auto"/>
      </w:pPr>
      <w:r w:rsidRPr="007419D2">
        <w:rPr>
          <w:rStyle w:val="FootnoteReference"/>
        </w:rPr>
        <w:footnoteRef/>
      </w:r>
      <w:r w:rsidRPr="007419D2">
        <w:rPr>
          <w:lang w:val="fr-FR"/>
        </w:rPr>
        <w:t xml:space="preserve"> </w:t>
      </w:r>
      <w:r w:rsidRPr="007419D2">
        <w:rPr>
          <w:i/>
          <w:lang w:val="fr-FR"/>
        </w:rPr>
        <w:t>Journal Officiel Assemblée Nationale débat</w:t>
      </w:r>
      <w:r w:rsidRPr="007419D2">
        <w:rPr>
          <w:lang w:val="fr-FR"/>
        </w:rPr>
        <w:t xml:space="preserve"> 21 February 2002, 1719. </w:t>
      </w:r>
      <w:r w:rsidRPr="007419D2">
        <w:t>Section 16-1-1 of the Civil Code had not yet been enacted.</w:t>
      </w:r>
    </w:p>
  </w:footnote>
  <w:footnote w:id="82">
    <w:p w:rsidR="00DD7187" w:rsidRPr="007419D2" w:rsidRDefault="00DD7187" w:rsidP="00596FBC">
      <w:pPr>
        <w:pStyle w:val="FootnoteText"/>
        <w:spacing w:line="240" w:lineRule="auto"/>
        <w:rPr>
          <w:lang w:val="fr-FR"/>
        </w:rPr>
      </w:pPr>
      <w:r w:rsidRPr="007419D2">
        <w:rPr>
          <w:rStyle w:val="FootnoteReference"/>
        </w:rPr>
        <w:footnoteRef/>
      </w:r>
      <w:r w:rsidRPr="007419D2">
        <w:rPr>
          <w:lang w:val="fr-FR"/>
        </w:rPr>
        <w:t xml:space="preserve"> Tribunal and CA decision</w:t>
      </w:r>
    </w:p>
  </w:footnote>
  <w:footnote w:id="83">
    <w:p w:rsidR="00DD7187" w:rsidRPr="007419D2" w:rsidRDefault="00DD7187" w:rsidP="00596FBC">
      <w:pPr>
        <w:pStyle w:val="FootnoteText"/>
        <w:spacing w:line="240" w:lineRule="auto"/>
        <w:rPr>
          <w:lang w:val="fr-FR"/>
        </w:rPr>
      </w:pPr>
      <w:r w:rsidRPr="007419D2">
        <w:rPr>
          <w:rStyle w:val="FootnoteReference"/>
        </w:rPr>
        <w:footnoteRef/>
      </w:r>
      <w:r w:rsidRPr="007419D2">
        <w:rPr>
          <w:lang w:val="fr-FR"/>
        </w:rPr>
        <w:t xml:space="preserve"> Section 3111-1 Public Bodies’ Property Code states : ‘Les biens des personnes publiques mentionnées à l'article L. 1, qui relèvent du domaine public, sont inaliénables et imprescriptibles’. See also, </w:t>
      </w:r>
      <w:r w:rsidR="00B75308" w:rsidRPr="007419D2">
        <w:rPr>
          <w:lang w:val="fr-FR"/>
        </w:rPr>
        <w:fldChar w:fldCharType="begin"/>
      </w:r>
      <w:r w:rsidRPr="007419D2">
        <w:rPr>
          <w:lang w:val="fr-FR"/>
        </w:rPr>
        <w:instrText>ADDIN RW.CITE{{1268 Rigaud,Jacques 2008 ~f}}</w:instrText>
      </w:r>
      <w:r w:rsidR="00B75308" w:rsidRPr="007419D2">
        <w:rPr>
          <w:lang w:val="fr-FR"/>
        </w:rPr>
        <w:fldChar w:fldCharType="separate"/>
      </w:r>
      <w:r w:rsidRPr="007419D2">
        <w:rPr>
          <w:rFonts w:eastAsia="Times New Roman"/>
          <w:lang w:val="fr-FR"/>
        </w:rPr>
        <w:t xml:space="preserve">J. Rigaud, </w:t>
      </w:r>
      <w:r w:rsidRPr="007419D2">
        <w:rPr>
          <w:rFonts w:eastAsia="Times New Roman"/>
          <w:i/>
          <w:lang w:val="fr-FR"/>
        </w:rPr>
        <w:t>Réflexion sur la possibilité pour les opérateurs publics d'aliéner des oeuvres de leurs collections Réflexion</w:t>
      </w:r>
      <w:r w:rsidRPr="007419D2">
        <w:rPr>
          <w:rFonts w:eastAsia="Times New Roman"/>
          <w:lang w:val="fr-FR"/>
        </w:rPr>
        <w:t>Ministère de la Culture, 2008) 51 &lt;</w:t>
      </w:r>
      <w:hyperlink r:id="rId20" w:history="1">
        <w:r w:rsidRPr="007419D2">
          <w:rPr>
            <w:rStyle w:val="Hyperlink"/>
            <w:rFonts w:eastAsia="Times New Roman"/>
            <w:u w:val="none"/>
            <w:lang w:val="fr-FR"/>
          </w:rPr>
          <w:t>http://lesrapports.ladocumentationfrancaise.fr/BRP/084000071/0000.pdf</w:t>
        </w:r>
      </w:hyperlink>
      <w:r w:rsidRPr="007419D2">
        <w:rPr>
          <w:rFonts w:eastAsia="Times New Roman"/>
          <w:lang w:val="fr-FR"/>
        </w:rPr>
        <w:t>&gt;[accessed: 17/05/2019]</w:t>
      </w:r>
      <w:r w:rsidR="00B75308" w:rsidRPr="007419D2">
        <w:rPr>
          <w:lang w:val="fr-FR"/>
        </w:rPr>
        <w:fldChar w:fldCharType="end"/>
      </w:r>
      <w:r w:rsidRPr="007419D2">
        <w:rPr>
          <w:rFonts w:eastAsia="Times New Roman"/>
          <w:lang w:val="fr-FR"/>
        </w:rPr>
        <w:t>.</w:t>
      </w:r>
      <w:r w:rsidRPr="007419D2">
        <w:rPr>
          <w:lang w:val="fr-FR"/>
        </w:rPr>
        <w:t xml:space="preserve"> </w:t>
      </w:r>
    </w:p>
  </w:footnote>
  <w:footnote w:id="84">
    <w:p w:rsidR="00DD7187" w:rsidRPr="007419D2" w:rsidRDefault="00DD7187" w:rsidP="00596FBC">
      <w:pPr>
        <w:pStyle w:val="FootnoteText"/>
        <w:spacing w:line="240" w:lineRule="auto"/>
        <w:rPr>
          <w:lang w:val="fr-FR"/>
        </w:rPr>
      </w:pPr>
      <w:r w:rsidRPr="007419D2">
        <w:rPr>
          <w:rStyle w:val="FootnoteReference"/>
        </w:rPr>
        <w:footnoteRef/>
      </w:r>
      <w:r w:rsidRPr="007419D2">
        <w:rPr>
          <w:lang w:val="fr-FR"/>
        </w:rPr>
        <w:t xml:space="preserve"> Section 2141-1 Public Bodies’ Property Code. The French expression is ‘</w:t>
      </w:r>
      <w:r w:rsidRPr="007419D2">
        <w:rPr>
          <w:i/>
          <w:lang w:val="fr-FR"/>
        </w:rPr>
        <w:t>règle du parallélisme des formes’.</w:t>
      </w:r>
    </w:p>
  </w:footnote>
  <w:footnote w:id="85">
    <w:p w:rsidR="00DD7187" w:rsidRPr="007419D2" w:rsidRDefault="00DD7187" w:rsidP="00596FBC">
      <w:pPr>
        <w:pStyle w:val="FootnoteText"/>
        <w:spacing w:line="240" w:lineRule="auto"/>
        <w:rPr>
          <w:lang w:val="fr-FR"/>
        </w:rPr>
      </w:pPr>
      <w:r w:rsidRPr="007419D2">
        <w:rPr>
          <w:rStyle w:val="FootnoteReference"/>
        </w:rPr>
        <w:footnoteRef/>
      </w:r>
      <w:r w:rsidRPr="007419D2">
        <w:rPr>
          <w:lang w:val="fr-FR"/>
        </w:rPr>
        <w:t xml:space="preserve"> </w:t>
      </w:r>
      <w:r w:rsidR="00B75308" w:rsidRPr="007419D2">
        <w:fldChar w:fldCharType="begin"/>
      </w:r>
      <w:r w:rsidRPr="007419D2">
        <w:rPr>
          <w:lang w:val="fr-FR"/>
        </w:rPr>
        <w:instrText>ADDIN RW.CITE{{3700 VanPraët,Michel 2013 ~f}}</w:instrText>
      </w:r>
      <w:r w:rsidR="00B75308" w:rsidRPr="007419D2">
        <w:fldChar w:fldCharType="separate"/>
      </w:r>
      <w:r w:rsidRPr="007419D2">
        <w:rPr>
          <w:bCs/>
          <w:lang w:val="fr-FR"/>
        </w:rPr>
        <w:t>M. Van Praët, pp367-385</w:t>
      </w:r>
      <w:r w:rsidR="00B75308" w:rsidRPr="007419D2">
        <w:fldChar w:fldCharType="end"/>
      </w:r>
    </w:p>
  </w:footnote>
  <w:footnote w:id="86">
    <w:p w:rsidR="00DD7187" w:rsidRPr="007419D2" w:rsidRDefault="00DD7187" w:rsidP="00596FBC">
      <w:pPr>
        <w:pStyle w:val="FootnoteText"/>
        <w:spacing w:line="240" w:lineRule="auto"/>
        <w:rPr>
          <w:lang w:val="fr-FR"/>
        </w:rPr>
      </w:pPr>
      <w:r w:rsidRPr="007419D2">
        <w:rPr>
          <w:rStyle w:val="FootnoteReference"/>
        </w:rPr>
        <w:footnoteRef/>
      </w:r>
      <w:r w:rsidRPr="007419D2">
        <w:rPr>
          <w:lang w:val="fr-FR"/>
        </w:rPr>
        <w:t xml:space="preserve"> </w:t>
      </w:r>
      <w:r w:rsidR="00B75308" w:rsidRPr="007419D2">
        <w:fldChar w:fldCharType="begin"/>
      </w:r>
      <w:r w:rsidRPr="007419D2">
        <w:rPr>
          <w:lang w:val="fr-FR"/>
        </w:rPr>
        <w:instrText>ADDIN RW.CITE{{1268 Rigaud,Jacques 2008 ~f}}</w:instrText>
      </w:r>
      <w:r w:rsidR="00B75308" w:rsidRPr="007419D2">
        <w:fldChar w:fldCharType="separate"/>
      </w:r>
      <w:r w:rsidRPr="007419D2">
        <w:rPr>
          <w:bCs/>
          <w:lang w:val="fr-FR"/>
        </w:rPr>
        <w:t>J. Rigaud, 51</w:t>
      </w:r>
      <w:r w:rsidR="00B75308" w:rsidRPr="007419D2">
        <w:fldChar w:fldCharType="end"/>
      </w:r>
    </w:p>
  </w:footnote>
  <w:footnote w:id="87">
    <w:p w:rsidR="00DD7187" w:rsidRPr="007419D2" w:rsidRDefault="00DD7187" w:rsidP="00596FBC">
      <w:pPr>
        <w:spacing w:line="240" w:lineRule="auto"/>
        <w:rPr>
          <w:sz w:val="20"/>
          <w:szCs w:val="20"/>
        </w:rPr>
      </w:pPr>
      <w:r w:rsidRPr="007419D2">
        <w:rPr>
          <w:rStyle w:val="FootnoteReference"/>
          <w:sz w:val="20"/>
          <w:szCs w:val="20"/>
        </w:rPr>
        <w:footnoteRef/>
      </w:r>
      <w:r w:rsidRPr="007419D2">
        <w:rPr>
          <w:sz w:val="20"/>
          <w:szCs w:val="20"/>
        </w:rPr>
        <w:t xml:space="preserve"> There are different commissions depending on the type and size of the museum and price of the object. For example, if the value of the object is less than a fixed threshold, the Louvre’s director needs the approval of an in-house commission: section 4-1 decree 92-1338, 22 december 1992 creating the Louvre museum. For more details, see </w:t>
      </w:r>
      <w:r w:rsidR="00B75308" w:rsidRPr="007419D2">
        <w:rPr>
          <w:sz w:val="20"/>
          <w:szCs w:val="20"/>
        </w:rPr>
        <w:fldChar w:fldCharType="begin"/>
      </w:r>
      <w:r w:rsidRPr="007419D2">
        <w:rPr>
          <w:sz w:val="20"/>
          <w:szCs w:val="20"/>
        </w:rPr>
        <w:instrText>ADDIN RW.CITE{{918 Cornu,Marie 2006 ~f/s164}}</w:instrText>
      </w:r>
      <w:r w:rsidR="00B75308" w:rsidRPr="007419D2">
        <w:rPr>
          <w:sz w:val="20"/>
          <w:szCs w:val="20"/>
        </w:rPr>
        <w:fldChar w:fldCharType="separate"/>
      </w:r>
      <w:r w:rsidRPr="007419D2">
        <w:rPr>
          <w:rFonts w:eastAsia="Times New Roman"/>
          <w:sz w:val="20"/>
          <w:szCs w:val="20"/>
        </w:rPr>
        <w:t>M. Cornu and Nathalie Mallet-Poujol, 164</w:t>
      </w:r>
      <w:r w:rsidR="00B75308" w:rsidRPr="007419D2">
        <w:rPr>
          <w:sz w:val="20"/>
          <w:szCs w:val="20"/>
        </w:rPr>
        <w:fldChar w:fldCharType="end"/>
      </w:r>
      <w:r w:rsidRPr="007419D2">
        <w:rPr>
          <w:rFonts w:eastAsia="Times New Roman"/>
          <w:sz w:val="20"/>
          <w:szCs w:val="20"/>
        </w:rPr>
        <w:t>.</w:t>
      </w:r>
    </w:p>
  </w:footnote>
  <w:footnote w:id="88">
    <w:p w:rsidR="00DD7187" w:rsidRPr="007419D2" w:rsidRDefault="00DD7187" w:rsidP="00596FBC">
      <w:pPr>
        <w:pStyle w:val="FootnoteText"/>
        <w:spacing w:line="240" w:lineRule="auto"/>
        <w:rPr>
          <w:lang w:val="fr-FR"/>
        </w:rPr>
      </w:pPr>
      <w:r w:rsidRPr="007419D2">
        <w:rPr>
          <w:rStyle w:val="FootnoteReference"/>
        </w:rPr>
        <w:footnoteRef/>
      </w:r>
      <w:r w:rsidRPr="007419D2">
        <w:rPr>
          <w:lang w:val="fr-FR"/>
        </w:rPr>
        <w:t xml:space="preserve"> </w:t>
      </w:r>
      <w:r w:rsidR="00B75308" w:rsidRPr="007419D2">
        <w:rPr>
          <w:lang w:val="fr-FR"/>
        </w:rPr>
        <w:fldChar w:fldCharType="begin"/>
      </w:r>
      <w:r w:rsidRPr="007419D2">
        <w:rPr>
          <w:lang w:val="fr-FR"/>
        </w:rPr>
        <w:instrText>ADDIN RW.CITE{{1623 LeMoal,Colette 2010 ~f/s31; 1618 Richert,Philippe 2009 ~f/s39}}</w:instrText>
      </w:r>
      <w:r w:rsidR="00B75308" w:rsidRPr="007419D2">
        <w:rPr>
          <w:lang w:val="fr-FR"/>
        </w:rPr>
        <w:fldChar w:fldCharType="separate"/>
      </w:r>
      <w:r w:rsidRPr="007419D2">
        <w:rPr>
          <w:rFonts w:eastAsia="Times New Roman"/>
          <w:lang w:val="fr-FR"/>
        </w:rPr>
        <w:t xml:space="preserve">C. Le Moal, </w:t>
      </w:r>
      <w:r w:rsidRPr="007419D2">
        <w:rPr>
          <w:rFonts w:eastAsia="Times New Roman"/>
          <w:i/>
          <w:lang w:val="fr-FR"/>
        </w:rPr>
        <w:t>Rapport 2447 sur la proposition de loi adoptée par le Sénat visant à autoriser la restitution par la France des têtes maories à la Nouvelle-Zélande et relative à la gestion des collections Rapport 2447</w:t>
      </w:r>
      <w:r w:rsidRPr="007419D2">
        <w:rPr>
          <w:rFonts w:eastAsia="Times New Roman"/>
          <w:lang w:val="fr-FR"/>
        </w:rPr>
        <w:t>Assemblée Nationale, Commission des affaires culturelles, 2010)31; P. Richert, 39</w:t>
      </w:r>
      <w:r w:rsidR="00B75308" w:rsidRPr="007419D2">
        <w:rPr>
          <w:lang w:val="fr-FR"/>
        </w:rPr>
        <w:fldChar w:fldCharType="end"/>
      </w:r>
    </w:p>
  </w:footnote>
  <w:footnote w:id="89">
    <w:p w:rsidR="00DD7187" w:rsidRPr="007419D2" w:rsidRDefault="00DD7187" w:rsidP="00596FBC">
      <w:pPr>
        <w:pStyle w:val="FootnoteText"/>
        <w:spacing w:line="240" w:lineRule="auto"/>
        <w:rPr>
          <w:lang w:val="fr-FR"/>
        </w:rPr>
      </w:pPr>
      <w:r w:rsidRPr="007419D2">
        <w:rPr>
          <w:rStyle w:val="FootnoteReference"/>
        </w:rPr>
        <w:footnoteRef/>
      </w:r>
      <w:r w:rsidRPr="007419D2">
        <w:rPr>
          <w:lang w:val="fr-FR"/>
        </w:rPr>
        <w:t xml:space="preserve"> </w:t>
      </w:r>
      <w:r w:rsidRPr="007419D2">
        <w:rPr>
          <w:bCs/>
          <w:i/>
          <w:lang w:val="fr-FR"/>
        </w:rPr>
        <w:t xml:space="preserve">Audition de M. Stéphane Martin </w:t>
      </w:r>
      <w:r w:rsidRPr="007419D2">
        <w:rPr>
          <w:bCs/>
          <w:lang w:val="fr-FR"/>
        </w:rPr>
        <w:t>(19 February 2020) &lt;</w:t>
      </w:r>
      <w:r w:rsidRPr="007419D2">
        <w:rPr>
          <w:rStyle w:val="Hyperlink"/>
          <w:bCs/>
          <w:u w:val="none"/>
          <w:lang w:val="fr-FR"/>
        </w:rPr>
        <w:t>http://www.senat.fr/compte-rendu-commissions/20200217/cult.html</w:t>
      </w:r>
      <w:r w:rsidRPr="007419D2">
        <w:rPr>
          <w:bCs/>
          <w:lang w:val="fr-FR"/>
        </w:rPr>
        <w:t>&gt;[accessed: 02/03/2020]</w:t>
      </w:r>
      <w:r w:rsidR="00B75308" w:rsidRPr="007419D2">
        <w:rPr>
          <w:lang w:val="fr-FR"/>
        </w:rPr>
        <w:fldChar w:fldCharType="begin"/>
      </w:r>
      <w:r w:rsidRPr="007419D2">
        <w:rPr>
          <w:lang w:val="fr-FR"/>
        </w:rPr>
        <w:instrText>ADDIN RW.CITE{{3844 [NoInformation] 2020 ~f}}</w:instrText>
      </w:r>
      <w:r w:rsidR="00B75308" w:rsidRPr="007419D2">
        <w:rPr>
          <w:lang w:val="fr-FR"/>
        </w:rPr>
        <w:fldChar w:fldCharType="end"/>
      </w:r>
    </w:p>
  </w:footnote>
  <w:footnote w:id="90">
    <w:p w:rsidR="00DD7187" w:rsidRPr="007419D2" w:rsidRDefault="00DD7187" w:rsidP="00596FBC">
      <w:pPr>
        <w:pStyle w:val="FootnoteText"/>
        <w:spacing w:line="240" w:lineRule="auto"/>
        <w:rPr>
          <w:lang w:val="fr-FR"/>
        </w:rPr>
      </w:pPr>
      <w:r w:rsidRPr="007419D2">
        <w:rPr>
          <w:rStyle w:val="FootnoteReference"/>
        </w:rPr>
        <w:footnoteRef/>
      </w:r>
      <w:r w:rsidRPr="007419D2">
        <w:rPr>
          <w:lang w:val="fr-FR"/>
        </w:rPr>
        <w:t xml:space="preserve"> </w:t>
      </w:r>
      <w:r w:rsidR="00B75308" w:rsidRPr="007419D2">
        <w:rPr>
          <w:lang w:val="fr-FR"/>
        </w:rPr>
        <w:fldChar w:fldCharType="begin"/>
      </w:r>
      <w:r w:rsidRPr="007419D2">
        <w:rPr>
          <w:lang w:val="fr-FR"/>
        </w:rPr>
        <w:instrText>ADDIN RW.CITE{{3506 [NoInformation] 2015 ~f}}</w:instrText>
      </w:r>
      <w:r w:rsidR="00B75308" w:rsidRPr="007419D2">
        <w:rPr>
          <w:lang w:val="fr-FR"/>
        </w:rPr>
        <w:fldChar w:fldCharType="separate"/>
      </w:r>
      <w:r w:rsidRPr="007419D2">
        <w:rPr>
          <w:i/>
          <w:iCs/>
          <w:lang w:val="fr-FR"/>
        </w:rPr>
        <w:t xml:space="preserve">Rapport au Parlement de la Commission scientifique nationale des collections (CSNC); Annexes 1re partie du rapport au Parlement de la Commission scientifique nationale des collections </w:t>
      </w:r>
      <w:r w:rsidRPr="007419D2">
        <w:rPr>
          <w:iCs/>
          <w:lang w:val="fr-FR"/>
        </w:rPr>
        <w:t>11/02/2015, 2015)</w:t>
      </w:r>
      <w:r w:rsidR="00B75308" w:rsidRPr="007419D2">
        <w:rPr>
          <w:lang w:val="fr-FR"/>
        </w:rPr>
        <w:fldChar w:fldCharType="end"/>
      </w:r>
      <w:r w:rsidRPr="007419D2">
        <w:rPr>
          <w:lang w:val="fr-FR"/>
        </w:rPr>
        <w:t>, 20</w:t>
      </w:r>
    </w:p>
  </w:footnote>
  <w:footnote w:id="91">
    <w:p w:rsidR="00DD7187" w:rsidRPr="007419D2" w:rsidRDefault="00DD7187" w:rsidP="00596FBC">
      <w:pPr>
        <w:pStyle w:val="FootnoteText"/>
        <w:spacing w:line="240" w:lineRule="auto"/>
        <w:rPr>
          <w:lang w:val="fr-FR"/>
        </w:rPr>
      </w:pPr>
      <w:r w:rsidRPr="007419D2">
        <w:rPr>
          <w:rStyle w:val="FootnoteReference"/>
        </w:rPr>
        <w:footnoteRef/>
      </w:r>
      <w:r w:rsidRPr="007419D2">
        <w:rPr>
          <w:lang w:val="fr-FR"/>
        </w:rPr>
        <w:t xml:space="preserve"> </w:t>
      </w:r>
      <w:r w:rsidR="00B75308" w:rsidRPr="007419D2">
        <w:fldChar w:fldCharType="begin"/>
      </w:r>
      <w:r w:rsidRPr="007419D2">
        <w:rPr>
          <w:lang w:val="fr-FR"/>
        </w:rPr>
        <w:instrText>ADDIN RW.CITE{{3506 [NoInformation] 2015 ~f; 3572 Groupedetravailsurlaproblématiquedesresteshumainsdanslescollectionspubliques 2019 ~f}}</w:instrText>
      </w:r>
      <w:r w:rsidR="00B75308" w:rsidRPr="007419D2">
        <w:fldChar w:fldCharType="separate"/>
      </w:r>
      <w:r w:rsidRPr="007419D2">
        <w:rPr>
          <w:lang w:val="fr-FR"/>
        </w:rPr>
        <w:t xml:space="preserve">Ibidem; Groupe de travail sur la problématique des restes humains dans les collections publiques, </w:t>
      </w:r>
      <w:r w:rsidR="00B75308" w:rsidRPr="007419D2">
        <w:fldChar w:fldCharType="end"/>
      </w:r>
    </w:p>
  </w:footnote>
  <w:footnote w:id="92">
    <w:p w:rsidR="00DD7187" w:rsidRPr="007419D2" w:rsidRDefault="00DD7187" w:rsidP="00596FBC">
      <w:pPr>
        <w:pStyle w:val="FootnoteText"/>
        <w:spacing w:line="240" w:lineRule="auto"/>
        <w:rPr>
          <w:lang w:val="fr-FR"/>
        </w:rPr>
      </w:pPr>
      <w:r w:rsidRPr="007419D2">
        <w:rPr>
          <w:rStyle w:val="FootnoteReference"/>
        </w:rPr>
        <w:footnoteRef/>
      </w:r>
      <w:r w:rsidRPr="007419D2">
        <w:rPr>
          <w:lang w:val="fr-FR"/>
        </w:rPr>
        <w:t xml:space="preserve"> </w:t>
      </w:r>
      <w:r w:rsidRPr="007419D2">
        <w:rPr>
          <w:i/>
          <w:iCs/>
          <w:lang w:val="fr-FR"/>
        </w:rPr>
        <w:t xml:space="preserve">Commission de la Culture, de l'Education et de la Communication, Mme Catherine Morin-Desailly, présidente - Restitution des biens culturels - Audition de M. Jacques Sallois, ancien president de la Commission scientifique nationale des collections </w:t>
      </w:r>
      <w:r w:rsidRPr="007419D2">
        <w:rPr>
          <w:iCs/>
          <w:lang w:val="fr-FR"/>
        </w:rPr>
        <w:t>(15 janvier 2020) &lt;</w:t>
      </w:r>
      <w:r w:rsidRPr="007419D2">
        <w:rPr>
          <w:rStyle w:val="Hyperlink"/>
          <w:iCs/>
          <w:u w:val="none"/>
          <w:lang w:val="fr-FR"/>
        </w:rPr>
        <w:t>http://www.senat.fr/compte-rendu-commissions/20200113/cult.html</w:t>
      </w:r>
      <w:r w:rsidRPr="007419D2">
        <w:rPr>
          <w:iCs/>
          <w:lang w:val="fr-FR"/>
        </w:rPr>
        <w:t xml:space="preserve">&gt;[accessed: 20/02/2020 ; </w:t>
      </w:r>
      <w:r w:rsidRPr="007419D2">
        <w:rPr>
          <w:bCs/>
          <w:i/>
          <w:lang w:val="fr-FR"/>
        </w:rPr>
        <w:t xml:space="preserve">Audition de M. Stéphane Martin, </w:t>
      </w:r>
      <w:r w:rsidRPr="007419D2">
        <w:rPr>
          <w:bCs/>
          <w:lang w:val="fr-FR"/>
        </w:rPr>
        <w:t xml:space="preserve">(19 February 2020) </w:t>
      </w:r>
      <w:r w:rsidR="00B75308" w:rsidRPr="007419D2">
        <w:rPr>
          <w:lang w:val="fr-FR"/>
        </w:rPr>
        <w:fldChar w:fldCharType="begin"/>
      </w:r>
      <w:r w:rsidRPr="007419D2">
        <w:rPr>
          <w:lang w:val="fr-FR"/>
        </w:rPr>
        <w:instrText>ADDIN RW.CITE{{3844 [NoInformation] 2020 ~f}}</w:instrText>
      </w:r>
      <w:r w:rsidR="00B75308" w:rsidRPr="007419D2">
        <w:rPr>
          <w:lang w:val="fr-FR"/>
        </w:rPr>
        <w:fldChar w:fldCharType="end"/>
      </w:r>
    </w:p>
  </w:footnote>
  <w:footnote w:id="93">
    <w:p w:rsidR="00DD7187" w:rsidRPr="007419D2" w:rsidRDefault="00DD7187" w:rsidP="00596FBC">
      <w:pPr>
        <w:pStyle w:val="FootnoteText"/>
        <w:spacing w:line="240" w:lineRule="auto"/>
        <w:rPr>
          <w:lang w:val="fr-FR"/>
        </w:rPr>
      </w:pPr>
      <w:r w:rsidRPr="007419D2">
        <w:rPr>
          <w:rStyle w:val="FootnoteReference"/>
        </w:rPr>
        <w:footnoteRef/>
      </w:r>
      <w:r w:rsidRPr="007419D2">
        <w:rPr>
          <w:lang w:val="fr-FR"/>
        </w:rPr>
        <w:t xml:space="preserve"> </w:t>
      </w:r>
      <w:r w:rsidR="00B75308" w:rsidRPr="007419D2">
        <w:fldChar w:fldCharType="begin"/>
      </w:r>
      <w:r w:rsidRPr="007419D2">
        <w:rPr>
          <w:lang w:val="fr-FR"/>
        </w:rPr>
        <w:instrText>ADDIN RW.CITE{{3853 [NoInformation] 2015 ~f}}</w:instrText>
      </w:r>
      <w:r w:rsidR="00B75308" w:rsidRPr="007419D2">
        <w:fldChar w:fldCharType="separate"/>
      </w:r>
      <w:r w:rsidRPr="007419D2">
        <w:rPr>
          <w:bCs/>
          <w:i/>
          <w:lang w:val="fr-FR"/>
        </w:rPr>
        <w:t>Comptes rendus de la Commission de la Culture, de l'Education et de la Communication, Mme Catherine Morin-Desailly, présidente - Audition de M. Jacques Sallois, president de la Commission scientifique nationale des collections sur le rapport de cette commission au Parlement Audition de M. Jacques Sallois, president de la CSNC</w:t>
      </w:r>
      <w:r w:rsidRPr="007419D2">
        <w:rPr>
          <w:bCs/>
          <w:lang w:val="fr-FR"/>
        </w:rPr>
        <w:t>18 mars, 2015) &lt;</w:t>
      </w:r>
      <w:hyperlink r:id="rId21" w:anchor="toc3" w:history="1">
        <w:r w:rsidRPr="007419D2">
          <w:rPr>
            <w:rStyle w:val="Hyperlink"/>
            <w:bCs/>
            <w:u w:val="none"/>
            <w:lang w:val="fr-FR"/>
          </w:rPr>
          <w:t>http://www.senat.fr/compte-rendu-commissions/20150316/cult.html#toc3</w:t>
        </w:r>
      </w:hyperlink>
      <w:r w:rsidRPr="007419D2">
        <w:rPr>
          <w:bCs/>
          <w:lang w:val="fr-FR"/>
        </w:rPr>
        <w:t>&gt;[accessed: 13/03/2020]</w:t>
      </w:r>
      <w:r w:rsidR="00B75308" w:rsidRPr="007419D2">
        <w:fldChar w:fldCharType="end"/>
      </w:r>
    </w:p>
  </w:footnote>
  <w:footnote w:id="94">
    <w:p w:rsidR="00DD7187" w:rsidRPr="007419D2" w:rsidRDefault="00DD7187" w:rsidP="00596FBC">
      <w:pPr>
        <w:pStyle w:val="FootnoteText"/>
        <w:spacing w:line="240" w:lineRule="auto"/>
        <w:rPr>
          <w:lang w:val="fr-FR"/>
        </w:rPr>
      </w:pPr>
      <w:r w:rsidRPr="007419D2">
        <w:rPr>
          <w:rStyle w:val="FootnoteReference"/>
        </w:rPr>
        <w:footnoteRef/>
      </w:r>
      <w:r w:rsidRPr="007419D2">
        <w:rPr>
          <w:lang w:val="fr-FR"/>
        </w:rPr>
        <w:t xml:space="preserve"> </w:t>
      </w:r>
      <w:r w:rsidR="00B75308" w:rsidRPr="007419D2">
        <w:rPr>
          <w:lang w:val="fr-FR"/>
        </w:rPr>
        <w:fldChar w:fldCharType="begin"/>
      </w:r>
      <w:r w:rsidRPr="007419D2">
        <w:rPr>
          <w:lang w:val="fr-FR"/>
        </w:rPr>
        <w:instrText>ADDIN RW.CITE{{3854 [NoInformation] 2019 ~f}}</w:instrText>
      </w:r>
      <w:r w:rsidR="00B75308" w:rsidRPr="007419D2">
        <w:rPr>
          <w:lang w:val="fr-FR"/>
        </w:rPr>
        <w:fldChar w:fldCharType="separate"/>
      </w:r>
      <w:r w:rsidRPr="007419D2">
        <w:rPr>
          <w:bCs/>
          <w:i/>
          <w:lang w:val="fr-FR"/>
        </w:rPr>
        <w:t xml:space="preserve">Comptes rendus de la Commission de la Culture, de l'Education et de la Communication, Mme Catherine Morin-Desailly, présidente - Organismes extra-parlementaires - Communications </w:t>
      </w:r>
      <w:r w:rsidRPr="007419D2">
        <w:rPr>
          <w:bCs/>
          <w:lang w:val="fr-FR"/>
        </w:rPr>
        <w:t>4 December, 2019) &lt;</w:t>
      </w:r>
      <w:hyperlink r:id="rId22" w:history="1">
        <w:r w:rsidRPr="007419D2">
          <w:rPr>
            <w:rStyle w:val="Hyperlink"/>
            <w:bCs/>
            <w:u w:val="none"/>
            <w:lang w:val="fr-FR"/>
          </w:rPr>
          <w:t>http://www.senat.fr/compte-rendu-commissions/20191202/cult.html</w:t>
        </w:r>
      </w:hyperlink>
      <w:r w:rsidRPr="007419D2">
        <w:rPr>
          <w:bCs/>
          <w:lang w:val="fr-FR"/>
        </w:rPr>
        <w:t>&gt;[accessed: 20/02/2020]</w:t>
      </w:r>
      <w:r w:rsidR="00B75308" w:rsidRPr="007419D2">
        <w:rPr>
          <w:lang w:val="fr-FR"/>
        </w:rPr>
        <w:fldChar w:fldCharType="end"/>
      </w:r>
    </w:p>
  </w:footnote>
  <w:footnote w:id="95">
    <w:p w:rsidR="00DD7187" w:rsidRPr="007419D2" w:rsidRDefault="00DD7187" w:rsidP="00596FBC">
      <w:pPr>
        <w:pStyle w:val="FootnoteText"/>
        <w:spacing w:line="240" w:lineRule="auto"/>
        <w:rPr>
          <w:lang w:val="fr-FR"/>
        </w:rPr>
      </w:pPr>
      <w:r w:rsidRPr="007419D2">
        <w:rPr>
          <w:rStyle w:val="FootnoteReference"/>
        </w:rPr>
        <w:footnoteRef/>
      </w:r>
      <w:r w:rsidRPr="007419D2">
        <w:rPr>
          <w:lang w:val="fr-FR"/>
        </w:rPr>
        <w:t xml:space="preserve"> Projet de loi d'accélération et de simplification de l'action publique (article 10), </w:t>
      </w:r>
      <w:hyperlink r:id="rId23" w:history="1">
        <w:r w:rsidRPr="007419D2">
          <w:rPr>
            <w:rStyle w:val="Hyperlink"/>
            <w:lang w:val="fr-FR"/>
          </w:rPr>
          <w:t>http://www.senat.fr/rap/l19-358/l19-3581.pdf</w:t>
        </w:r>
      </w:hyperlink>
    </w:p>
  </w:footnote>
  <w:footnote w:id="96">
    <w:p w:rsidR="00DD7187" w:rsidRPr="007419D2" w:rsidRDefault="00DD7187" w:rsidP="00596FBC">
      <w:pPr>
        <w:pStyle w:val="FootnoteText"/>
        <w:spacing w:line="240" w:lineRule="auto"/>
        <w:rPr>
          <w:lang w:val="fr-FR"/>
        </w:rPr>
      </w:pPr>
      <w:r w:rsidRPr="007419D2">
        <w:rPr>
          <w:rStyle w:val="FootnoteReference"/>
        </w:rPr>
        <w:footnoteRef/>
      </w:r>
      <w:r w:rsidRPr="007419D2">
        <w:rPr>
          <w:lang w:val="fr-FR"/>
        </w:rPr>
        <w:t xml:space="preserve"> Rapport n° 358 (2019-2020) de Mme Patricia MORHET-RICHAUD, fait au nom de la commission spéciale, déposé le 26 février 2020, 49-52, </w:t>
      </w:r>
      <w:hyperlink r:id="rId24" w:history="1">
        <w:r w:rsidRPr="007419D2">
          <w:rPr>
            <w:rStyle w:val="Hyperlink"/>
            <w:lang w:val="fr-FR"/>
          </w:rPr>
          <w:t>http://www.senat.fr/rap/l19-358/l19-3581.pdf</w:t>
        </w:r>
      </w:hyperlink>
    </w:p>
  </w:footnote>
  <w:footnote w:id="97">
    <w:p w:rsidR="00DD7187" w:rsidRPr="007419D2" w:rsidRDefault="00DD7187" w:rsidP="00596FBC">
      <w:pPr>
        <w:pStyle w:val="FootnoteText"/>
        <w:spacing w:line="240" w:lineRule="auto"/>
        <w:rPr>
          <w:lang w:val="fr-FR"/>
        </w:rPr>
      </w:pPr>
      <w:r w:rsidRPr="007419D2">
        <w:rPr>
          <w:rStyle w:val="FootnoteReference"/>
        </w:rPr>
        <w:footnoteRef/>
      </w:r>
      <w:r w:rsidRPr="007419D2">
        <w:rPr>
          <w:lang w:val="fr-FR"/>
        </w:rPr>
        <w:t xml:space="preserve"> </w:t>
      </w:r>
      <w:r w:rsidR="00B75308" w:rsidRPr="007419D2">
        <w:rPr>
          <w:lang w:val="fr-FR"/>
        </w:rPr>
        <w:fldChar w:fldCharType="begin"/>
      </w:r>
      <w:r w:rsidRPr="007419D2">
        <w:rPr>
          <w:lang w:val="fr-FR"/>
        </w:rPr>
        <w:instrText>ADDIN RW.CITE{{3851 [NoInformation] 2020 ~f}}</w:instrText>
      </w:r>
      <w:r w:rsidR="00B75308" w:rsidRPr="007419D2">
        <w:rPr>
          <w:lang w:val="fr-FR"/>
        </w:rPr>
        <w:fldChar w:fldCharType="separate"/>
      </w:r>
      <w:r w:rsidRPr="007419D2">
        <w:rPr>
          <w:bCs/>
          <w:i/>
          <w:lang w:val="fr-FR"/>
        </w:rPr>
        <w:t>Ibidem</w:t>
      </w:r>
      <w:r w:rsidR="00B75308" w:rsidRPr="007419D2">
        <w:rPr>
          <w:lang w:val="fr-FR"/>
        </w:rPr>
        <w:fldChar w:fldCharType="end"/>
      </w:r>
    </w:p>
  </w:footnote>
  <w:footnote w:id="98">
    <w:p w:rsidR="00DD7187" w:rsidRPr="007419D2" w:rsidRDefault="00DD7187" w:rsidP="00596FBC">
      <w:pPr>
        <w:pStyle w:val="FootnoteText"/>
        <w:spacing w:line="240" w:lineRule="auto"/>
        <w:rPr>
          <w:lang w:val="fr-FR"/>
        </w:rPr>
      </w:pPr>
      <w:r w:rsidRPr="007419D2">
        <w:rPr>
          <w:rStyle w:val="FootnoteReference"/>
        </w:rPr>
        <w:footnoteRef/>
      </w:r>
      <w:r w:rsidRPr="007419D2">
        <w:rPr>
          <w:lang w:val="fr-FR"/>
        </w:rPr>
        <w:t xml:space="preserve"> </w:t>
      </w:r>
      <w:r w:rsidR="00B75308" w:rsidRPr="007419D2">
        <w:rPr>
          <w:lang w:val="fr-FR"/>
        </w:rPr>
        <w:fldChar w:fldCharType="begin"/>
      </w:r>
      <w:r w:rsidRPr="007419D2">
        <w:rPr>
          <w:lang w:val="fr-FR"/>
        </w:rPr>
        <w:instrText>ADDIN RW.CITE{{3854 [NoInformation] 2019 ~f}}</w:instrText>
      </w:r>
      <w:r w:rsidR="00B75308" w:rsidRPr="007419D2">
        <w:rPr>
          <w:lang w:val="fr-FR"/>
        </w:rPr>
        <w:fldChar w:fldCharType="separate"/>
      </w:r>
      <w:r w:rsidRPr="007419D2">
        <w:rPr>
          <w:bCs/>
          <w:i/>
          <w:lang w:val="fr-FR"/>
        </w:rPr>
        <w:t>Ibidem</w:t>
      </w:r>
      <w:r w:rsidR="00B75308" w:rsidRPr="007419D2">
        <w:rPr>
          <w:lang w:val="fr-FR"/>
        </w:rPr>
        <w:fldChar w:fldCharType="end"/>
      </w:r>
    </w:p>
  </w:footnote>
  <w:footnote w:id="99">
    <w:p w:rsidR="00DD7187" w:rsidRPr="007419D2" w:rsidRDefault="00DD7187" w:rsidP="00596FBC">
      <w:pPr>
        <w:pStyle w:val="FootnoteText"/>
        <w:spacing w:line="240" w:lineRule="auto"/>
        <w:rPr>
          <w:lang w:val="fr-FR"/>
        </w:rPr>
      </w:pPr>
      <w:r w:rsidRPr="007419D2">
        <w:rPr>
          <w:rStyle w:val="FootnoteReference"/>
        </w:rPr>
        <w:footnoteRef/>
      </w:r>
      <w:r w:rsidRPr="007419D2">
        <w:rPr>
          <w:lang w:val="fr-FR"/>
        </w:rPr>
        <w:t xml:space="preserve"> </w:t>
      </w:r>
      <w:r w:rsidRPr="007419D2">
        <w:rPr>
          <w:i/>
          <w:iCs/>
          <w:lang w:val="fr-FR"/>
        </w:rPr>
        <w:t xml:space="preserve">Audition de M. Jacques Sallois </w:t>
      </w:r>
      <w:r w:rsidRPr="007419D2">
        <w:rPr>
          <w:iCs/>
          <w:lang w:val="fr-FR"/>
        </w:rPr>
        <w:t>(15 janvier 2020)</w:t>
      </w:r>
      <w:r w:rsidR="00B75308" w:rsidRPr="007419D2">
        <w:rPr>
          <w:lang w:val="fr-FR"/>
        </w:rPr>
        <w:fldChar w:fldCharType="begin"/>
      </w:r>
      <w:r w:rsidRPr="007419D2">
        <w:rPr>
          <w:lang w:val="fr-FR"/>
        </w:rPr>
        <w:instrText>ADDIN RW.CITE{{3835 [NoInformation] 2020 ~f}}</w:instrText>
      </w:r>
      <w:r w:rsidR="00B75308" w:rsidRPr="007419D2">
        <w:rPr>
          <w:lang w:val="fr-FR"/>
        </w:rPr>
        <w:fldChar w:fldCharType="end"/>
      </w:r>
    </w:p>
  </w:footnote>
  <w:footnote w:id="100">
    <w:p w:rsidR="00DD7187" w:rsidRPr="007419D2" w:rsidRDefault="00DD7187" w:rsidP="00596FBC">
      <w:pPr>
        <w:pStyle w:val="FootnoteText"/>
        <w:spacing w:line="240" w:lineRule="auto"/>
        <w:rPr>
          <w:lang w:val="fr-FR"/>
        </w:rPr>
      </w:pPr>
      <w:r w:rsidRPr="007419D2">
        <w:rPr>
          <w:rStyle w:val="FootnoteReference"/>
        </w:rPr>
        <w:footnoteRef/>
      </w:r>
      <w:r w:rsidRPr="007419D2">
        <w:rPr>
          <w:lang w:val="fr-FR"/>
        </w:rPr>
        <w:t xml:space="preserve"> </w:t>
      </w:r>
      <w:r w:rsidR="00B75308" w:rsidRPr="007419D2">
        <w:rPr>
          <w:lang w:val="fr-FR"/>
        </w:rPr>
        <w:fldChar w:fldCharType="begin"/>
      </w:r>
      <w:r w:rsidRPr="007419D2">
        <w:rPr>
          <w:lang w:val="fr-FR"/>
        </w:rPr>
        <w:instrText>ADDIN RW.CITE{{3835 [NoInformation] 2020 ~f}}</w:instrText>
      </w:r>
      <w:r w:rsidR="00B75308" w:rsidRPr="007419D2">
        <w:rPr>
          <w:lang w:val="fr-FR"/>
        </w:rPr>
        <w:fldChar w:fldCharType="separate"/>
      </w:r>
      <w:r w:rsidRPr="007419D2">
        <w:rPr>
          <w:i/>
          <w:iCs/>
          <w:lang w:val="fr-FR"/>
        </w:rPr>
        <w:t>Comptes rendus de la Commission de la Culture, de l'Education et de la Communication, Mme Catherine Morin-Desailly, présidente - Restitution des biens culturels - Audition de M. Jacques Sallois, ancien president de la Commission scientifique nationale des collections Audition de M. Jacques Sallois</w:t>
      </w:r>
      <w:r w:rsidRPr="007419D2">
        <w:rPr>
          <w:iCs/>
          <w:lang w:val="fr-FR"/>
        </w:rPr>
        <w:t>15 janvier, 2020) &lt;</w:t>
      </w:r>
      <w:hyperlink r:id="rId25" w:history="1">
        <w:r w:rsidRPr="007419D2">
          <w:rPr>
            <w:rStyle w:val="Hyperlink"/>
            <w:iCs/>
            <w:u w:val="none"/>
            <w:lang w:val="fr-FR"/>
          </w:rPr>
          <w:t>http://www.senat.fr/compte-rendu-commissions/20200113/cult.html</w:t>
        </w:r>
      </w:hyperlink>
      <w:r w:rsidRPr="007419D2">
        <w:rPr>
          <w:iCs/>
          <w:lang w:val="fr-FR"/>
        </w:rPr>
        <w:t>&gt;[accessed: 20/02/2020]</w:t>
      </w:r>
      <w:r w:rsidR="00B75308" w:rsidRPr="007419D2">
        <w:rPr>
          <w:lang w:val="fr-FR"/>
        </w:rPr>
        <w:fldChar w:fldCharType="end"/>
      </w:r>
    </w:p>
  </w:footnote>
  <w:footnote w:id="101">
    <w:p w:rsidR="00DD7187" w:rsidRPr="007419D2" w:rsidRDefault="00DD7187" w:rsidP="00596FBC">
      <w:pPr>
        <w:pStyle w:val="FootnoteText"/>
        <w:spacing w:line="240" w:lineRule="auto"/>
        <w:rPr>
          <w:lang w:val="fr-FR"/>
        </w:rPr>
      </w:pPr>
      <w:r w:rsidRPr="007419D2">
        <w:rPr>
          <w:rStyle w:val="FootnoteReference"/>
        </w:rPr>
        <w:footnoteRef/>
      </w:r>
      <w:r w:rsidRPr="007419D2">
        <w:rPr>
          <w:lang w:val="fr-FR"/>
        </w:rPr>
        <w:t xml:space="preserve"> </w:t>
      </w:r>
      <w:r w:rsidR="00B75308" w:rsidRPr="007419D2">
        <w:rPr>
          <w:lang w:val="fr-FR"/>
        </w:rPr>
        <w:fldChar w:fldCharType="begin"/>
      </w:r>
      <w:r w:rsidRPr="007419D2">
        <w:rPr>
          <w:lang w:val="fr-FR"/>
        </w:rPr>
        <w:instrText>ADDIN RW.CITE{{3850 Lazaro,Thierry 2016 ~f; 3835 [NoInformation] 2020 ~f}}</w:instrText>
      </w:r>
      <w:r w:rsidR="00B75308" w:rsidRPr="007419D2">
        <w:rPr>
          <w:lang w:val="fr-FR"/>
        </w:rPr>
        <w:fldChar w:fldCharType="separate"/>
      </w:r>
      <w:r w:rsidRPr="007419D2">
        <w:rPr>
          <w:bCs/>
          <w:lang w:val="fr-FR"/>
        </w:rPr>
        <w:t>Assemblée Nationale, vol Question N° 83570, col Réponse publiée au JO le : 24/05/2016 page : 4476 &lt;</w:t>
      </w:r>
      <w:hyperlink r:id="rId26" w:history="1">
        <w:r w:rsidRPr="007419D2">
          <w:rPr>
            <w:rStyle w:val="Hyperlink"/>
            <w:bCs/>
            <w:u w:val="none"/>
            <w:lang w:val="fr-FR"/>
          </w:rPr>
          <w:t>http://questions.assemblee-nationale.fr/q14/14-83570QE.htm</w:t>
        </w:r>
      </w:hyperlink>
      <w:r w:rsidRPr="007419D2">
        <w:rPr>
          <w:bCs/>
          <w:lang w:val="fr-FR"/>
        </w:rPr>
        <w:t>&gt; accessed 09/03/2020</w:t>
      </w:r>
      <w:r w:rsidR="00B75308" w:rsidRPr="007419D2">
        <w:rPr>
          <w:lang w:val="fr-FR"/>
        </w:rPr>
        <w:fldChar w:fldCharType="end"/>
      </w:r>
    </w:p>
  </w:footnote>
  <w:footnote w:id="102">
    <w:p w:rsidR="00DD7187" w:rsidRPr="007419D2" w:rsidRDefault="00DD7187" w:rsidP="00596FBC">
      <w:pPr>
        <w:pStyle w:val="FootnoteText"/>
        <w:spacing w:line="240" w:lineRule="auto"/>
        <w:rPr>
          <w:lang w:val="fr-FR"/>
        </w:rPr>
      </w:pPr>
      <w:r w:rsidRPr="007419D2">
        <w:rPr>
          <w:rStyle w:val="FootnoteReference"/>
        </w:rPr>
        <w:footnoteRef/>
      </w:r>
      <w:r w:rsidRPr="007419D2">
        <w:rPr>
          <w:lang w:val="fr-FR"/>
        </w:rPr>
        <w:t xml:space="preserve"> </w:t>
      </w:r>
      <w:r w:rsidR="00B75308" w:rsidRPr="007419D2">
        <w:rPr>
          <w:lang w:val="fr-FR"/>
        </w:rPr>
        <w:fldChar w:fldCharType="begin"/>
      </w:r>
      <w:r w:rsidRPr="007419D2">
        <w:rPr>
          <w:lang w:val="fr-FR"/>
        </w:rPr>
        <w:instrText>ADDIN RW.CITE{{3506 [NoInformation] 2015 ~f}}</w:instrText>
      </w:r>
      <w:r w:rsidR="00B75308" w:rsidRPr="007419D2">
        <w:rPr>
          <w:lang w:val="fr-FR"/>
        </w:rPr>
        <w:fldChar w:fldCharType="end"/>
      </w:r>
      <w:r w:rsidRPr="007419D2">
        <w:rPr>
          <w:lang w:val="fr-FR"/>
        </w:rPr>
        <w:t xml:space="preserve"> </w:t>
      </w:r>
      <w:r w:rsidRPr="007419D2">
        <w:rPr>
          <w:i/>
          <w:iCs/>
          <w:lang w:val="fr-FR"/>
        </w:rPr>
        <w:t xml:space="preserve">Rapport au Parlement de la CSNC </w:t>
      </w:r>
      <w:r w:rsidRPr="007419D2">
        <w:rPr>
          <w:iCs/>
          <w:lang w:val="fr-FR"/>
        </w:rPr>
        <w:t>(2015)</w:t>
      </w:r>
      <w:r w:rsidRPr="007419D2">
        <w:rPr>
          <w:lang w:val="fr-FR"/>
        </w:rPr>
        <w:t>, 22</w:t>
      </w:r>
    </w:p>
  </w:footnote>
  <w:footnote w:id="103">
    <w:p w:rsidR="00DD7187" w:rsidRPr="007419D2" w:rsidRDefault="00DD7187" w:rsidP="00596FBC">
      <w:pPr>
        <w:pStyle w:val="FootnoteText"/>
        <w:spacing w:line="240" w:lineRule="auto"/>
        <w:rPr>
          <w:lang w:val="fr-FR"/>
        </w:rPr>
      </w:pPr>
      <w:r w:rsidRPr="007419D2">
        <w:rPr>
          <w:rStyle w:val="FootnoteReference"/>
        </w:rPr>
        <w:footnoteRef/>
      </w:r>
      <w:r w:rsidRPr="007419D2">
        <w:rPr>
          <w:lang w:val="fr-FR"/>
        </w:rPr>
        <w:t xml:space="preserve"> </w:t>
      </w:r>
      <w:r w:rsidR="00B75308" w:rsidRPr="007419D2">
        <w:fldChar w:fldCharType="begin"/>
      </w:r>
      <w:r w:rsidRPr="007419D2">
        <w:rPr>
          <w:lang w:val="fr-FR"/>
        </w:rPr>
        <w:instrText>ADDIN RW.CITE{{1268 Rigaud,Jacques 2008 ~f/s30}}</w:instrText>
      </w:r>
      <w:r w:rsidR="00B75308" w:rsidRPr="007419D2">
        <w:fldChar w:fldCharType="separate"/>
      </w:r>
      <w:r w:rsidRPr="007419D2">
        <w:rPr>
          <w:rFonts w:eastAsia="Times New Roman"/>
          <w:lang w:val="fr-FR"/>
        </w:rPr>
        <w:t>J. Rigaud, 30</w:t>
      </w:r>
      <w:r w:rsidR="00B75308" w:rsidRPr="007419D2">
        <w:fldChar w:fldCharType="end"/>
      </w:r>
      <w:r w:rsidRPr="007419D2">
        <w:rPr>
          <w:lang w:val="fr-FR"/>
        </w:rPr>
        <w:t xml:space="preserve"> </w:t>
      </w:r>
    </w:p>
  </w:footnote>
  <w:footnote w:id="104">
    <w:p w:rsidR="00DD7187" w:rsidRPr="007419D2" w:rsidRDefault="00DD7187" w:rsidP="00596FBC">
      <w:pPr>
        <w:pStyle w:val="FootnoteText"/>
        <w:spacing w:line="240" w:lineRule="auto"/>
        <w:rPr>
          <w:lang w:val="fr-FR"/>
        </w:rPr>
      </w:pPr>
      <w:r w:rsidRPr="007419D2">
        <w:rPr>
          <w:rStyle w:val="FootnoteReference"/>
        </w:rPr>
        <w:footnoteRef/>
      </w:r>
      <w:r w:rsidRPr="007419D2">
        <w:rPr>
          <w:lang w:val="fr-FR"/>
        </w:rPr>
        <w:t xml:space="preserve"> </w:t>
      </w:r>
      <w:r w:rsidRPr="007419D2">
        <w:rPr>
          <w:i/>
          <w:lang w:val="fr-FR"/>
        </w:rPr>
        <w:t>Journal Officiel Assemblée Nationale débat</w:t>
      </w:r>
      <w:r w:rsidRPr="007419D2">
        <w:rPr>
          <w:lang w:val="fr-FR"/>
        </w:rPr>
        <w:t xml:space="preserve"> 30 April 2010, 2594</w:t>
      </w:r>
    </w:p>
  </w:footnote>
  <w:footnote w:id="105">
    <w:p w:rsidR="00DD7187" w:rsidRPr="007419D2" w:rsidRDefault="00DD7187" w:rsidP="00596FBC">
      <w:pPr>
        <w:pStyle w:val="FootnoteText"/>
        <w:spacing w:line="240" w:lineRule="auto"/>
      </w:pPr>
      <w:r w:rsidRPr="007419D2">
        <w:rPr>
          <w:rStyle w:val="FootnoteReference"/>
        </w:rPr>
        <w:footnoteRef/>
      </w:r>
      <w:r w:rsidRPr="007419D2">
        <w:t xml:space="preserve"> </w:t>
      </w:r>
      <w:r w:rsidR="00B75308" w:rsidRPr="007419D2">
        <w:fldChar w:fldCharType="begin"/>
      </w:r>
      <w:r w:rsidRPr="007419D2">
        <w:instrText>ADDIN RW.CITE{{1611 Seidemann,RyanM. 2009 ~f/o; 1616 Tsosie,Rebecca 1999 ~f/o}}</w:instrText>
      </w:r>
      <w:r w:rsidR="00B75308" w:rsidRPr="007419D2">
        <w:fldChar w:fldCharType="separate"/>
      </w:r>
      <w:r w:rsidRPr="007419D2">
        <w:rPr>
          <w:bCs/>
        </w:rPr>
        <w:t xml:space="preserve">R. M. Seidemann, </w:t>
      </w:r>
      <w:r w:rsidRPr="007419D2">
        <w:rPr>
          <w:bCs/>
          <w:i/>
        </w:rPr>
        <w:t>Altered Meanings: The Department of the Interior's Rewriting of the Native American Graves Protection and Repatriation Act to Regulate Culturally Unidentifiable Human Remains</w:t>
      </w:r>
      <w:r w:rsidRPr="007419D2">
        <w:rPr>
          <w:bCs/>
        </w:rPr>
        <w:t xml:space="preserve"> "Temple Journal of Science, Technology &amp; Environmental Law " 2009, Vol. 28, 1; R. Tsosie, </w:t>
      </w:r>
      <w:r w:rsidRPr="007419D2">
        <w:rPr>
          <w:bCs/>
          <w:i/>
        </w:rPr>
        <w:t>Privileging Claims to the Past: Ancient Human Remains and Contemporary Cultural Values</w:t>
      </w:r>
      <w:r w:rsidRPr="007419D2">
        <w:rPr>
          <w:bCs/>
        </w:rPr>
        <w:t xml:space="preserve"> "Arizona State Law Journal " 1999, Vol. 31, 583</w:t>
      </w:r>
      <w:r w:rsidR="00B75308" w:rsidRPr="007419D2">
        <w:fldChar w:fldCharType="end"/>
      </w:r>
    </w:p>
  </w:footnote>
  <w:footnote w:id="106">
    <w:p w:rsidR="00DD7187" w:rsidRPr="007419D2" w:rsidRDefault="00DD7187" w:rsidP="00596FBC">
      <w:pPr>
        <w:pStyle w:val="FootnoteText"/>
        <w:spacing w:line="240" w:lineRule="auto"/>
      </w:pPr>
      <w:r w:rsidRPr="007419D2">
        <w:rPr>
          <w:rStyle w:val="FootnoteReference"/>
        </w:rPr>
        <w:footnoteRef/>
      </w:r>
      <w:r w:rsidRPr="007419D2">
        <w:t xml:space="preserve"> </w:t>
      </w:r>
      <w:r w:rsidR="00B75308" w:rsidRPr="007419D2">
        <w:fldChar w:fldCharType="begin"/>
      </w:r>
      <w:r w:rsidRPr="007419D2">
        <w:instrText>ADDIN RW.CITE{{3513 Lenzerini,Federico 2012 ~f}}</w:instrText>
      </w:r>
      <w:r w:rsidR="00B75308" w:rsidRPr="007419D2">
        <w:fldChar w:fldCharType="separate"/>
      </w:r>
      <w:r w:rsidRPr="007419D2">
        <w:rPr>
          <w:bCs/>
        </w:rPr>
        <w:t>F. Lenzerini, pp157-177</w:t>
      </w:r>
      <w:r w:rsidR="00B75308" w:rsidRPr="007419D2">
        <w:fldChar w:fldCharType="end"/>
      </w:r>
    </w:p>
  </w:footnote>
  <w:footnote w:id="107">
    <w:p w:rsidR="00DD7187" w:rsidRPr="007419D2" w:rsidRDefault="00DD7187" w:rsidP="00596FBC">
      <w:pPr>
        <w:pStyle w:val="FootnoteText"/>
        <w:spacing w:line="240" w:lineRule="auto"/>
      </w:pPr>
      <w:r w:rsidRPr="007419D2">
        <w:rPr>
          <w:rStyle w:val="FootnoteReference"/>
        </w:rPr>
        <w:footnoteRef/>
      </w:r>
      <w:r w:rsidRPr="007419D2">
        <w:t xml:space="preserve"> </w:t>
      </w:r>
      <w:r w:rsidR="00B75308" w:rsidRPr="007419D2">
        <w:fldChar w:fldCharType="begin"/>
      </w:r>
      <w:r w:rsidRPr="007419D2">
        <w:instrText>ADDIN RW.CITE{{3288 Overholtzer,Lisa 2018 ~f/o; 3562 Pfeiffer,Susan 2014 ~f/o; 1611 Seidemann,RyanM. 2009 ~f/o/f, 45}}</w:instrText>
      </w:r>
      <w:r w:rsidR="00B75308" w:rsidRPr="007419D2">
        <w:fldChar w:fldCharType="separate"/>
      </w:r>
      <w:r w:rsidRPr="007419D2">
        <w:rPr>
          <w:bCs/>
          <w:lang w:val="en-US"/>
        </w:rPr>
        <w:t xml:space="preserve">L. Overholtzer and J. R. Argueta, </w:t>
      </w:r>
      <w:r w:rsidRPr="007419D2">
        <w:rPr>
          <w:bCs/>
          <w:i/>
          <w:lang w:val="en-US"/>
        </w:rPr>
        <w:t>Letting skeletons out of the closet: the ethics of displaying ancient Mexican human remains</w:t>
      </w:r>
      <w:r w:rsidRPr="007419D2">
        <w:rPr>
          <w:bCs/>
          <w:lang w:val="en-US"/>
        </w:rPr>
        <w:t xml:space="preserve"> "International Journal of Heritage Studies " 2018, Vol. 24, 508; S. Pfeiffer and L. Lesage, </w:t>
      </w:r>
      <w:r w:rsidRPr="007419D2">
        <w:rPr>
          <w:bCs/>
          <w:i/>
          <w:lang w:val="en-US"/>
        </w:rPr>
        <w:t>The Repatriation of Wendat Ancestors, 2013</w:t>
      </w:r>
      <w:r w:rsidRPr="007419D2">
        <w:rPr>
          <w:bCs/>
          <w:lang w:val="en-US"/>
        </w:rPr>
        <w:t xml:space="preserve"> "Canadian Journal of Archaeology " 2014, Vol. 38, 5; R. M. Seidemann, 1, 45</w:t>
      </w:r>
      <w:r w:rsidR="00B75308" w:rsidRPr="007419D2">
        <w:fldChar w:fldCharType="end"/>
      </w:r>
    </w:p>
  </w:footnote>
  <w:footnote w:id="108">
    <w:p w:rsidR="00DD7187" w:rsidRPr="007419D2" w:rsidRDefault="00DD7187" w:rsidP="00596FBC">
      <w:pPr>
        <w:pStyle w:val="FootnoteText"/>
        <w:spacing w:line="240" w:lineRule="auto"/>
        <w:rPr>
          <w:lang w:val="fr-FR"/>
        </w:rPr>
      </w:pPr>
      <w:r w:rsidRPr="007419D2">
        <w:rPr>
          <w:rStyle w:val="FootnoteReference"/>
        </w:rPr>
        <w:footnoteRef/>
      </w:r>
      <w:r w:rsidRPr="007419D2">
        <w:rPr>
          <w:lang w:val="fr-FR"/>
        </w:rPr>
        <w:t xml:space="preserve"> </w:t>
      </w:r>
      <w:r w:rsidRPr="007419D2">
        <w:rPr>
          <w:bCs/>
          <w:i/>
          <w:lang w:val="fr-FR"/>
        </w:rPr>
        <w:t xml:space="preserve">Audition de M. Michel Van Praët </w:t>
      </w:r>
      <w:r w:rsidRPr="007419D2">
        <w:rPr>
          <w:bCs/>
          <w:lang w:val="fr-FR"/>
        </w:rPr>
        <w:t>(15 janvier, 2020)</w:t>
      </w:r>
      <w:r w:rsidR="00B75308" w:rsidRPr="007419D2">
        <w:fldChar w:fldCharType="begin"/>
      </w:r>
      <w:r w:rsidRPr="007419D2">
        <w:rPr>
          <w:lang w:val="fr-FR"/>
        </w:rPr>
        <w:instrText>ADDIN RW.CITE{{3851 [NoInformation] 2020 ~f}}</w:instrText>
      </w:r>
      <w:r w:rsidR="00B75308" w:rsidRPr="007419D2">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74A66"/>
    <w:multiLevelType w:val="hybridMultilevel"/>
    <w:tmpl w:val="D12AE2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F62AC1"/>
    <w:multiLevelType w:val="hybridMultilevel"/>
    <w:tmpl w:val="D44845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4D54B9"/>
    <w:multiLevelType w:val="hybridMultilevel"/>
    <w:tmpl w:val="0584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9E59D1"/>
    <w:multiLevelType w:val="hybridMultilevel"/>
    <w:tmpl w:val="01C077C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D22F48"/>
    <w:multiLevelType w:val="hybridMultilevel"/>
    <w:tmpl w:val="C6C4FE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E01A16"/>
    <w:multiLevelType w:val="multilevel"/>
    <w:tmpl w:val="497C9538"/>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DBA5554"/>
    <w:multiLevelType w:val="hybridMultilevel"/>
    <w:tmpl w:val="497C9538"/>
    <w:lvl w:ilvl="0" w:tplc="D41A8008">
      <w:start w:val="1"/>
      <w:numFmt w:val="decimal"/>
      <w:lvlText w:val="(%1)"/>
      <w:lvlJc w:val="left"/>
      <w:pPr>
        <w:tabs>
          <w:tab w:val="num" w:pos="735"/>
        </w:tabs>
        <w:ind w:left="735" w:hanging="37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51B6083"/>
    <w:multiLevelType w:val="hybridMultilevel"/>
    <w:tmpl w:val="7D2690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931D39"/>
    <w:multiLevelType w:val="hybridMultilevel"/>
    <w:tmpl w:val="8AB6D3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D72BAE"/>
    <w:multiLevelType w:val="multilevel"/>
    <w:tmpl w:val="FB0C95DE"/>
    <w:lvl w:ilvl="0">
      <w:start w:val="1"/>
      <w:numFmt w:val="lowerLetter"/>
      <w:lvlText w:val="%1)"/>
      <w:lvlJc w:val="left"/>
      <w:pPr>
        <w:tabs>
          <w:tab w:val="num" w:pos="792"/>
        </w:tabs>
        <w:ind w:left="79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10" w15:restartNumberingAfterBreak="0">
    <w:nsid w:val="25CC2E45"/>
    <w:multiLevelType w:val="hybridMultilevel"/>
    <w:tmpl w:val="B1489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2405E6"/>
    <w:multiLevelType w:val="hybridMultilevel"/>
    <w:tmpl w:val="7D2690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9B484E"/>
    <w:multiLevelType w:val="hybridMultilevel"/>
    <w:tmpl w:val="4C6EAF1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E897DD8"/>
    <w:multiLevelType w:val="multilevel"/>
    <w:tmpl w:val="1B341FBE"/>
    <w:lvl w:ilvl="0">
      <w:start w:val="1"/>
      <w:numFmt w:val="decimal"/>
      <w:lvlText w:val="%1."/>
      <w:lvlJc w:val="left"/>
      <w:pPr>
        <w:tabs>
          <w:tab w:val="num" w:pos="792"/>
        </w:tabs>
        <w:ind w:left="79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14" w15:restartNumberingAfterBreak="0">
    <w:nsid w:val="3139086B"/>
    <w:multiLevelType w:val="hybridMultilevel"/>
    <w:tmpl w:val="345AD64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37A0269"/>
    <w:multiLevelType w:val="hybridMultilevel"/>
    <w:tmpl w:val="49BC0A1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6D972C6"/>
    <w:multiLevelType w:val="hybridMultilevel"/>
    <w:tmpl w:val="67D83C5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9D72D92"/>
    <w:multiLevelType w:val="hybridMultilevel"/>
    <w:tmpl w:val="CE00739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A4C30AA"/>
    <w:multiLevelType w:val="hybridMultilevel"/>
    <w:tmpl w:val="530C59E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CBD4D8A"/>
    <w:multiLevelType w:val="hybridMultilevel"/>
    <w:tmpl w:val="BE0EC1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BB4769"/>
    <w:multiLevelType w:val="hybridMultilevel"/>
    <w:tmpl w:val="54A21F5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BF41208"/>
    <w:multiLevelType w:val="multilevel"/>
    <w:tmpl w:val="A084515C"/>
    <w:lvl w:ilvl="0">
      <w:start w:val="1"/>
      <w:numFmt w:val="none"/>
      <w:lvlText w:val=""/>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0727DB9"/>
    <w:multiLevelType w:val="hybridMultilevel"/>
    <w:tmpl w:val="F484FCF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14454A7"/>
    <w:multiLevelType w:val="hybridMultilevel"/>
    <w:tmpl w:val="9E0CC4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1E7CBB"/>
    <w:multiLevelType w:val="multilevel"/>
    <w:tmpl w:val="E41ED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2474A5"/>
    <w:multiLevelType w:val="hybridMultilevel"/>
    <w:tmpl w:val="EBCA400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7A645D3"/>
    <w:multiLevelType w:val="hybridMultilevel"/>
    <w:tmpl w:val="C46270D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84F285D"/>
    <w:multiLevelType w:val="hybridMultilevel"/>
    <w:tmpl w:val="49D61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C416C3"/>
    <w:multiLevelType w:val="hybridMultilevel"/>
    <w:tmpl w:val="BF46602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FA63DE3"/>
    <w:multiLevelType w:val="hybridMultilevel"/>
    <w:tmpl w:val="E56280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0B54EF"/>
    <w:multiLevelType w:val="hybridMultilevel"/>
    <w:tmpl w:val="2844122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32139BA"/>
    <w:multiLevelType w:val="multilevel"/>
    <w:tmpl w:val="7A72CE60"/>
    <w:lvl w:ilvl="0">
      <w:start w:val="1"/>
      <w:numFmt w:val="none"/>
      <w:lvlText w:val=""/>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4124D63"/>
    <w:multiLevelType w:val="hybridMultilevel"/>
    <w:tmpl w:val="233E82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4A26B46"/>
    <w:multiLevelType w:val="hybridMultilevel"/>
    <w:tmpl w:val="3FDEB57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B003CC4"/>
    <w:multiLevelType w:val="hybridMultilevel"/>
    <w:tmpl w:val="FB0C95DE"/>
    <w:lvl w:ilvl="0" w:tplc="08090017">
      <w:start w:val="1"/>
      <w:numFmt w:val="lowerLetter"/>
      <w:lvlText w:val="%1)"/>
      <w:lvlJc w:val="left"/>
      <w:pPr>
        <w:tabs>
          <w:tab w:val="num" w:pos="792"/>
        </w:tabs>
        <w:ind w:left="792" w:hanging="360"/>
      </w:pPr>
    </w:lvl>
    <w:lvl w:ilvl="1" w:tplc="08090019">
      <w:start w:val="1"/>
      <w:numFmt w:val="lowerLetter"/>
      <w:lvlText w:val="%2."/>
      <w:lvlJc w:val="left"/>
      <w:pPr>
        <w:tabs>
          <w:tab w:val="num" w:pos="1512"/>
        </w:tabs>
        <w:ind w:left="1512" w:hanging="360"/>
      </w:pPr>
    </w:lvl>
    <w:lvl w:ilvl="2" w:tplc="0809001B" w:tentative="1">
      <w:start w:val="1"/>
      <w:numFmt w:val="lowerRoman"/>
      <w:lvlText w:val="%3."/>
      <w:lvlJc w:val="right"/>
      <w:pPr>
        <w:tabs>
          <w:tab w:val="num" w:pos="2232"/>
        </w:tabs>
        <w:ind w:left="2232" w:hanging="180"/>
      </w:pPr>
    </w:lvl>
    <w:lvl w:ilvl="3" w:tplc="0809000F" w:tentative="1">
      <w:start w:val="1"/>
      <w:numFmt w:val="decimal"/>
      <w:lvlText w:val="%4."/>
      <w:lvlJc w:val="left"/>
      <w:pPr>
        <w:tabs>
          <w:tab w:val="num" w:pos="2952"/>
        </w:tabs>
        <w:ind w:left="2952" w:hanging="360"/>
      </w:pPr>
    </w:lvl>
    <w:lvl w:ilvl="4" w:tplc="08090019" w:tentative="1">
      <w:start w:val="1"/>
      <w:numFmt w:val="lowerLetter"/>
      <w:lvlText w:val="%5."/>
      <w:lvlJc w:val="left"/>
      <w:pPr>
        <w:tabs>
          <w:tab w:val="num" w:pos="3672"/>
        </w:tabs>
        <w:ind w:left="3672" w:hanging="360"/>
      </w:pPr>
    </w:lvl>
    <w:lvl w:ilvl="5" w:tplc="0809001B" w:tentative="1">
      <w:start w:val="1"/>
      <w:numFmt w:val="lowerRoman"/>
      <w:lvlText w:val="%6."/>
      <w:lvlJc w:val="right"/>
      <w:pPr>
        <w:tabs>
          <w:tab w:val="num" w:pos="4392"/>
        </w:tabs>
        <w:ind w:left="4392" w:hanging="180"/>
      </w:pPr>
    </w:lvl>
    <w:lvl w:ilvl="6" w:tplc="0809000F" w:tentative="1">
      <w:start w:val="1"/>
      <w:numFmt w:val="decimal"/>
      <w:lvlText w:val="%7."/>
      <w:lvlJc w:val="left"/>
      <w:pPr>
        <w:tabs>
          <w:tab w:val="num" w:pos="5112"/>
        </w:tabs>
        <w:ind w:left="5112" w:hanging="360"/>
      </w:pPr>
    </w:lvl>
    <w:lvl w:ilvl="7" w:tplc="08090019" w:tentative="1">
      <w:start w:val="1"/>
      <w:numFmt w:val="lowerLetter"/>
      <w:lvlText w:val="%8."/>
      <w:lvlJc w:val="left"/>
      <w:pPr>
        <w:tabs>
          <w:tab w:val="num" w:pos="5832"/>
        </w:tabs>
        <w:ind w:left="5832" w:hanging="360"/>
      </w:pPr>
    </w:lvl>
    <w:lvl w:ilvl="8" w:tplc="0809001B" w:tentative="1">
      <w:start w:val="1"/>
      <w:numFmt w:val="lowerRoman"/>
      <w:lvlText w:val="%9."/>
      <w:lvlJc w:val="right"/>
      <w:pPr>
        <w:tabs>
          <w:tab w:val="num" w:pos="6552"/>
        </w:tabs>
        <w:ind w:left="6552" w:hanging="180"/>
      </w:pPr>
    </w:lvl>
  </w:abstractNum>
  <w:abstractNum w:abstractNumId="35" w15:restartNumberingAfterBreak="0">
    <w:nsid w:val="6B585BB9"/>
    <w:multiLevelType w:val="hybridMultilevel"/>
    <w:tmpl w:val="171012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1286863"/>
    <w:multiLevelType w:val="hybridMultilevel"/>
    <w:tmpl w:val="FC9C795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8F07F3"/>
    <w:multiLevelType w:val="hybridMultilevel"/>
    <w:tmpl w:val="FEE09FB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77827CDC"/>
    <w:multiLevelType w:val="hybridMultilevel"/>
    <w:tmpl w:val="EBCA400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79BB4B54"/>
    <w:multiLevelType w:val="hybridMultilevel"/>
    <w:tmpl w:val="697639B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C8E37AF"/>
    <w:multiLevelType w:val="hybridMultilevel"/>
    <w:tmpl w:val="D42C5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F8B5BC8"/>
    <w:multiLevelType w:val="multilevel"/>
    <w:tmpl w:val="9D0A2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4"/>
  </w:num>
  <w:num w:numId="2">
    <w:abstractNumId w:val="27"/>
  </w:num>
  <w:num w:numId="3">
    <w:abstractNumId w:val="13"/>
  </w:num>
  <w:num w:numId="4">
    <w:abstractNumId w:val="9"/>
  </w:num>
  <w:num w:numId="5">
    <w:abstractNumId w:val="31"/>
  </w:num>
  <w:num w:numId="6">
    <w:abstractNumId w:val="21"/>
  </w:num>
  <w:num w:numId="7">
    <w:abstractNumId w:val="25"/>
  </w:num>
  <w:num w:numId="8">
    <w:abstractNumId w:val="23"/>
  </w:num>
  <w:num w:numId="9">
    <w:abstractNumId w:val="6"/>
  </w:num>
  <w:num w:numId="10">
    <w:abstractNumId w:val="5"/>
  </w:num>
  <w:num w:numId="11">
    <w:abstractNumId w:val="32"/>
  </w:num>
  <w:num w:numId="12">
    <w:abstractNumId w:val="4"/>
  </w:num>
  <w:num w:numId="13">
    <w:abstractNumId w:val="1"/>
  </w:num>
  <w:num w:numId="14">
    <w:abstractNumId w:val="0"/>
  </w:num>
  <w:num w:numId="15">
    <w:abstractNumId w:val="8"/>
  </w:num>
  <w:num w:numId="16">
    <w:abstractNumId w:val="29"/>
  </w:num>
  <w:num w:numId="17">
    <w:abstractNumId w:val="40"/>
  </w:num>
  <w:num w:numId="18">
    <w:abstractNumId w:val="35"/>
  </w:num>
  <w:num w:numId="19">
    <w:abstractNumId w:val="10"/>
  </w:num>
  <w:num w:numId="20">
    <w:abstractNumId w:val="39"/>
  </w:num>
  <w:num w:numId="21">
    <w:abstractNumId w:val="20"/>
  </w:num>
  <w:num w:numId="22">
    <w:abstractNumId w:val="37"/>
  </w:num>
  <w:num w:numId="23">
    <w:abstractNumId w:val="19"/>
  </w:num>
  <w:num w:numId="24">
    <w:abstractNumId w:val="16"/>
  </w:num>
  <w:num w:numId="25">
    <w:abstractNumId w:val="7"/>
  </w:num>
  <w:num w:numId="26">
    <w:abstractNumId w:val="12"/>
  </w:num>
  <w:num w:numId="27">
    <w:abstractNumId w:val="15"/>
  </w:num>
  <w:num w:numId="28">
    <w:abstractNumId w:val="28"/>
  </w:num>
  <w:num w:numId="29">
    <w:abstractNumId w:val="26"/>
  </w:num>
  <w:num w:numId="30">
    <w:abstractNumId w:val="18"/>
  </w:num>
  <w:num w:numId="31">
    <w:abstractNumId w:val="3"/>
  </w:num>
  <w:num w:numId="32">
    <w:abstractNumId w:val="22"/>
  </w:num>
  <w:num w:numId="33">
    <w:abstractNumId w:val="33"/>
  </w:num>
  <w:num w:numId="34">
    <w:abstractNumId w:val="14"/>
  </w:num>
  <w:num w:numId="35">
    <w:abstractNumId w:val="30"/>
  </w:num>
  <w:num w:numId="36">
    <w:abstractNumId w:val="17"/>
  </w:num>
  <w:num w:numId="37">
    <w:abstractNumId w:val="11"/>
  </w:num>
  <w:num w:numId="38">
    <w:abstractNumId w:val="41"/>
  </w:num>
  <w:num w:numId="39">
    <w:abstractNumId w:val="24"/>
  </w:num>
  <w:num w:numId="40">
    <w:abstractNumId w:val="2"/>
  </w:num>
  <w:num w:numId="41">
    <w:abstractNumId w:val="38"/>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ENInstantFormat&gt;"/>
    <w:docVar w:name="EN.Layout" w:val="&lt;ENLayout&gt;&lt;Style&gt;Kent LAw_IJCP&lt;/Style&gt;&lt;LeftDelim&gt;{&lt;/LeftDelim&gt;&lt;RightDelim&gt;}&lt;/RightDelim&gt;&lt;FontName&gt;Times New Roman&lt;/FontName&gt;&lt;FontSize&gt;10&lt;/FontSize&gt;&lt;ReflistTitle&gt;Bibliography&lt;/ReflistTitle&gt;&lt;StartingRefnum&gt;1&lt;/StartingRefnum&gt;&lt;FirstLineIndent&gt;0&lt;/FirstLineIndent&gt;&lt;HangingIndent&gt;720&lt;/HangingIndent&gt;&lt;LineSpacing&gt;0&lt;/LineSpacing&gt;&lt;SpaceAfter&gt;0&lt;/SpaceAfter&gt;&lt;/ENLayout&gt;"/>
    <w:docVar w:name="EN.Libraries" w:val="&lt;ENLibraries&gt;&lt;Libraries&gt;&lt;item&gt;library_general.enl&lt;/item&gt;&lt;/Libraries&gt;&lt;/ENLibraries&gt;"/>
  </w:docVars>
  <w:rsids>
    <w:rsidRoot w:val="00E548A9"/>
    <w:rsid w:val="000012EA"/>
    <w:rsid w:val="00002135"/>
    <w:rsid w:val="000024FA"/>
    <w:rsid w:val="00003A8E"/>
    <w:rsid w:val="00004766"/>
    <w:rsid w:val="0001084F"/>
    <w:rsid w:val="00012A2B"/>
    <w:rsid w:val="0001426F"/>
    <w:rsid w:val="0001591E"/>
    <w:rsid w:val="00016150"/>
    <w:rsid w:val="000201FA"/>
    <w:rsid w:val="00020A56"/>
    <w:rsid w:val="00020B9E"/>
    <w:rsid w:val="00020E01"/>
    <w:rsid w:val="000228C6"/>
    <w:rsid w:val="000233FB"/>
    <w:rsid w:val="00025D1D"/>
    <w:rsid w:val="00025F89"/>
    <w:rsid w:val="00025FCF"/>
    <w:rsid w:val="0002633F"/>
    <w:rsid w:val="00026F73"/>
    <w:rsid w:val="000271A7"/>
    <w:rsid w:val="00027821"/>
    <w:rsid w:val="00027B51"/>
    <w:rsid w:val="00027E94"/>
    <w:rsid w:val="00030B3A"/>
    <w:rsid w:val="00030EC5"/>
    <w:rsid w:val="0003261B"/>
    <w:rsid w:val="0003529C"/>
    <w:rsid w:val="00043AC0"/>
    <w:rsid w:val="00047878"/>
    <w:rsid w:val="000508D1"/>
    <w:rsid w:val="00054191"/>
    <w:rsid w:val="00055A67"/>
    <w:rsid w:val="00060819"/>
    <w:rsid w:val="0006126D"/>
    <w:rsid w:val="00061656"/>
    <w:rsid w:val="00062C20"/>
    <w:rsid w:val="00063D73"/>
    <w:rsid w:val="00063DEA"/>
    <w:rsid w:val="00066432"/>
    <w:rsid w:val="00066D2D"/>
    <w:rsid w:val="00067B28"/>
    <w:rsid w:val="00067F51"/>
    <w:rsid w:val="0007267C"/>
    <w:rsid w:val="0007370F"/>
    <w:rsid w:val="00077912"/>
    <w:rsid w:val="00080295"/>
    <w:rsid w:val="00081121"/>
    <w:rsid w:val="000817CC"/>
    <w:rsid w:val="00082366"/>
    <w:rsid w:val="00082E5B"/>
    <w:rsid w:val="00083447"/>
    <w:rsid w:val="00084935"/>
    <w:rsid w:val="00085447"/>
    <w:rsid w:val="0008551D"/>
    <w:rsid w:val="00086149"/>
    <w:rsid w:val="00091085"/>
    <w:rsid w:val="000941C8"/>
    <w:rsid w:val="00096560"/>
    <w:rsid w:val="00096DDD"/>
    <w:rsid w:val="00097D9B"/>
    <w:rsid w:val="000A23BC"/>
    <w:rsid w:val="000A2A43"/>
    <w:rsid w:val="000A2A46"/>
    <w:rsid w:val="000A32C3"/>
    <w:rsid w:val="000A346B"/>
    <w:rsid w:val="000A4297"/>
    <w:rsid w:val="000A4DBA"/>
    <w:rsid w:val="000A5F1B"/>
    <w:rsid w:val="000A64D3"/>
    <w:rsid w:val="000B13B9"/>
    <w:rsid w:val="000B1A1E"/>
    <w:rsid w:val="000B2424"/>
    <w:rsid w:val="000B2916"/>
    <w:rsid w:val="000B2C8F"/>
    <w:rsid w:val="000B2D91"/>
    <w:rsid w:val="000B324E"/>
    <w:rsid w:val="000B46E7"/>
    <w:rsid w:val="000B511C"/>
    <w:rsid w:val="000B5785"/>
    <w:rsid w:val="000B5794"/>
    <w:rsid w:val="000B637F"/>
    <w:rsid w:val="000B78E5"/>
    <w:rsid w:val="000C09FB"/>
    <w:rsid w:val="000C17D1"/>
    <w:rsid w:val="000C3E87"/>
    <w:rsid w:val="000C4AFC"/>
    <w:rsid w:val="000C4D88"/>
    <w:rsid w:val="000C5D8A"/>
    <w:rsid w:val="000D011F"/>
    <w:rsid w:val="000D1217"/>
    <w:rsid w:val="000D2DF8"/>
    <w:rsid w:val="000D4C7D"/>
    <w:rsid w:val="000D4C84"/>
    <w:rsid w:val="000D4E33"/>
    <w:rsid w:val="000D59BC"/>
    <w:rsid w:val="000D7A35"/>
    <w:rsid w:val="000D7C62"/>
    <w:rsid w:val="000E0091"/>
    <w:rsid w:val="000E0558"/>
    <w:rsid w:val="000E072C"/>
    <w:rsid w:val="000E0F9B"/>
    <w:rsid w:val="000E1353"/>
    <w:rsid w:val="000E1CA4"/>
    <w:rsid w:val="000E2EEA"/>
    <w:rsid w:val="000E3874"/>
    <w:rsid w:val="000E423F"/>
    <w:rsid w:val="000E52B6"/>
    <w:rsid w:val="000E560A"/>
    <w:rsid w:val="000E6A0F"/>
    <w:rsid w:val="000E6AE1"/>
    <w:rsid w:val="000E75FC"/>
    <w:rsid w:val="000E773C"/>
    <w:rsid w:val="000E7F4E"/>
    <w:rsid w:val="000F0BC1"/>
    <w:rsid w:val="000F4153"/>
    <w:rsid w:val="000F439A"/>
    <w:rsid w:val="000F69D4"/>
    <w:rsid w:val="000F6DD3"/>
    <w:rsid w:val="000F71B6"/>
    <w:rsid w:val="00101447"/>
    <w:rsid w:val="00102316"/>
    <w:rsid w:val="00103F5C"/>
    <w:rsid w:val="00105B6D"/>
    <w:rsid w:val="00107903"/>
    <w:rsid w:val="00107F98"/>
    <w:rsid w:val="00110B76"/>
    <w:rsid w:val="00111278"/>
    <w:rsid w:val="0011169B"/>
    <w:rsid w:val="001119D7"/>
    <w:rsid w:val="001120FF"/>
    <w:rsid w:val="00117086"/>
    <w:rsid w:val="00117BD4"/>
    <w:rsid w:val="001217F7"/>
    <w:rsid w:val="001234F3"/>
    <w:rsid w:val="00123AB2"/>
    <w:rsid w:val="00126467"/>
    <w:rsid w:val="00126DBD"/>
    <w:rsid w:val="0013044B"/>
    <w:rsid w:val="001305AB"/>
    <w:rsid w:val="00130820"/>
    <w:rsid w:val="0013145D"/>
    <w:rsid w:val="0013362D"/>
    <w:rsid w:val="00133932"/>
    <w:rsid w:val="001344B8"/>
    <w:rsid w:val="00136222"/>
    <w:rsid w:val="00137129"/>
    <w:rsid w:val="00137B4B"/>
    <w:rsid w:val="001421FE"/>
    <w:rsid w:val="0014544B"/>
    <w:rsid w:val="0015118D"/>
    <w:rsid w:val="00154863"/>
    <w:rsid w:val="00155314"/>
    <w:rsid w:val="00156577"/>
    <w:rsid w:val="00157B89"/>
    <w:rsid w:val="00160234"/>
    <w:rsid w:val="0016138D"/>
    <w:rsid w:val="001625BA"/>
    <w:rsid w:val="00162879"/>
    <w:rsid w:val="00162A1F"/>
    <w:rsid w:val="00164EBB"/>
    <w:rsid w:val="001660D0"/>
    <w:rsid w:val="00166F16"/>
    <w:rsid w:val="00167F9F"/>
    <w:rsid w:val="0017404C"/>
    <w:rsid w:val="00182B8A"/>
    <w:rsid w:val="001836AD"/>
    <w:rsid w:val="00183D10"/>
    <w:rsid w:val="00184567"/>
    <w:rsid w:val="00185BB2"/>
    <w:rsid w:val="001860E6"/>
    <w:rsid w:val="00187DC5"/>
    <w:rsid w:val="00190690"/>
    <w:rsid w:val="0019238E"/>
    <w:rsid w:val="001941FF"/>
    <w:rsid w:val="00194BEF"/>
    <w:rsid w:val="00195C67"/>
    <w:rsid w:val="00196611"/>
    <w:rsid w:val="00196EE4"/>
    <w:rsid w:val="001A009A"/>
    <w:rsid w:val="001A0464"/>
    <w:rsid w:val="001A0886"/>
    <w:rsid w:val="001A0964"/>
    <w:rsid w:val="001A09D7"/>
    <w:rsid w:val="001A27A9"/>
    <w:rsid w:val="001A365B"/>
    <w:rsid w:val="001A4411"/>
    <w:rsid w:val="001A5B61"/>
    <w:rsid w:val="001A6610"/>
    <w:rsid w:val="001A7257"/>
    <w:rsid w:val="001B278C"/>
    <w:rsid w:val="001B2841"/>
    <w:rsid w:val="001B57AF"/>
    <w:rsid w:val="001B5F7D"/>
    <w:rsid w:val="001B60B9"/>
    <w:rsid w:val="001B6D7F"/>
    <w:rsid w:val="001B711B"/>
    <w:rsid w:val="001C3D86"/>
    <w:rsid w:val="001C43E1"/>
    <w:rsid w:val="001C4495"/>
    <w:rsid w:val="001C4750"/>
    <w:rsid w:val="001C57BA"/>
    <w:rsid w:val="001C6282"/>
    <w:rsid w:val="001C6D10"/>
    <w:rsid w:val="001C7844"/>
    <w:rsid w:val="001D0798"/>
    <w:rsid w:val="001D2307"/>
    <w:rsid w:val="001D2C9C"/>
    <w:rsid w:val="001D2E23"/>
    <w:rsid w:val="001D59B0"/>
    <w:rsid w:val="001E0469"/>
    <w:rsid w:val="001E094B"/>
    <w:rsid w:val="001E0E25"/>
    <w:rsid w:val="001E25E1"/>
    <w:rsid w:val="001E33C5"/>
    <w:rsid w:val="001E351E"/>
    <w:rsid w:val="001E3ED0"/>
    <w:rsid w:val="001E4B36"/>
    <w:rsid w:val="001E60F0"/>
    <w:rsid w:val="001F0765"/>
    <w:rsid w:val="001F096D"/>
    <w:rsid w:val="001F1BCC"/>
    <w:rsid w:val="001F3DC6"/>
    <w:rsid w:val="001F47F3"/>
    <w:rsid w:val="001F570E"/>
    <w:rsid w:val="00200317"/>
    <w:rsid w:val="0020091D"/>
    <w:rsid w:val="0020153F"/>
    <w:rsid w:val="00201D86"/>
    <w:rsid w:val="00202AF3"/>
    <w:rsid w:val="00202F99"/>
    <w:rsid w:val="00204451"/>
    <w:rsid w:val="00205151"/>
    <w:rsid w:val="002059EE"/>
    <w:rsid w:val="0020665B"/>
    <w:rsid w:val="00210FBB"/>
    <w:rsid w:val="00220199"/>
    <w:rsid w:val="00220D28"/>
    <w:rsid w:val="00220D30"/>
    <w:rsid w:val="0022180A"/>
    <w:rsid w:val="0022339A"/>
    <w:rsid w:val="00223DDF"/>
    <w:rsid w:val="002240B5"/>
    <w:rsid w:val="002264A1"/>
    <w:rsid w:val="00227649"/>
    <w:rsid w:val="00230705"/>
    <w:rsid w:val="00230AE0"/>
    <w:rsid w:val="00231270"/>
    <w:rsid w:val="002315B4"/>
    <w:rsid w:val="002325D8"/>
    <w:rsid w:val="00232BBA"/>
    <w:rsid w:val="00234989"/>
    <w:rsid w:val="00234C3E"/>
    <w:rsid w:val="00234C45"/>
    <w:rsid w:val="00235ADD"/>
    <w:rsid w:val="002363F2"/>
    <w:rsid w:val="00236581"/>
    <w:rsid w:val="00236975"/>
    <w:rsid w:val="00240745"/>
    <w:rsid w:val="002409D7"/>
    <w:rsid w:val="00240C3E"/>
    <w:rsid w:val="00242356"/>
    <w:rsid w:val="00242891"/>
    <w:rsid w:val="00242A7D"/>
    <w:rsid w:val="002430D0"/>
    <w:rsid w:val="00244BBC"/>
    <w:rsid w:val="00246A33"/>
    <w:rsid w:val="0025019B"/>
    <w:rsid w:val="00251BB4"/>
    <w:rsid w:val="00253742"/>
    <w:rsid w:val="00253E8C"/>
    <w:rsid w:val="00254B35"/>
    <w:rsid w:val="0025632E"/>
    <w:rsid w:val="00256AAF"/>
    <w:rsid w:val="002575DE"/>
    <w:rsid w:val="00261AAD"/>
    <w:rsid w:val="00262C8B"/>
    <w:rsid w:val="002634E5"/>
    <w:rsid w:val="00266BE7"/>
    <w:rsid w:val="002675FC"/>
    <w:rsid w:val="00267679"/>
    <w:rsid w:val="00267A18"/>
    <w:rsid w:val="00272C2E"/>
    <w:rsid w:val="00273D3B"/>
    <w:rsid w:val="00274A11"/>
    <w:rsid w:val="0027574C"/>
    <w:rsid w:val="002778B6"/>
    <w:rsid w:val="00277D61"/>
    <w:rsid w:val="00280598"/>
    <w:rsid w:val="002826F9"/>
    <w:rsid w:val="0028317D"/>
    <w:rsid w:val="002831B0"/>
    <w:rsid w:val="002832FF"/>
    <w:rsid w:val="00283745"/>
    <w:rsid w:val="00283B16"/>
    <w:rsid w:val="00284311"/>
    <w:rsid w:val="00285CF2"/>
    <w:rsid w:val="00285D47"/>
    <w:rsid w:val="0028751F"/>
    <w:rsid w:val="00287870"/>
    <w:rsid w:val="00287E37"/>
    <w:rsid w:val="002918CD"/>
    <w:rsid w:val="002919BD"/>
    <w:rsid w:val="00292703"/>
    <w:rsid w:val="00292EB2"/>
    <w:rsid w:val="0029355D"/>
    <w:rsid w:val="00295010"/>
    <w:rsid w:val="00295718"/>
    <w:rsid w:val="00295EE2"/>
    <w:rsid w:val="00297B48"/>
    <w:rsid w:val="002A094E"/>
    <w:rsid w:val="002A19CD"/>
    <w:rsid w:val="002A2062"/>
    <w:rsid w:val="002A2715"/>
    <w:rsid w:val="002A54DE"/>
    <w:rsid w:val="002A5FD5"/>
    <w:rsid w:val="002A66A2"/>
    <w:rsid w:val="002B0E4E"/>
    <w:rsid w:val="002B2012"/>
    <w:rsid w:val="002B28DD"/>
    <w:rsid w:val="002B3439"/>
    <w:rsid w:val="002B4632"/>
    <w:rsid w:val="002B719C"/>
    <w:rsid w:val="002B7C38"/>
    <w:rsid w:val="002B7EEE"/>
    <w:rsid w:val="002C3267"/>
    <w:rsid w:val="002C37F8"/>
    <w:rsid w:val="002C3B1A"/>
    <w:rsid w:val="002C3F70"/>
    <w:rsid w:val="002C4BB0"/>
    <w:rsid w:val="002C57D9"/>
    <w:rsid w:val="002C5AD7"/>
    <w:rsid w:val="002C5EBA"/>
    <w:rsid w:val="002C796C"/>
    <w:rsid w:val="002C7F77"/>
    <w:rsid w:val="002D0C21"/>
    <w:rsid w:val="002D3125"/>
    <w:rsid w:val="002D3968"/>
    <w:rsid w:val="002D3D45"/>
    <w:rsid w:val="002D4C00"/>
    <w:rsid w:val="002D4E22"/>
    <w:rsid w:val="002D607A"/>
    <w:rsid w:val="002D60BA"/>
    <w:rsid w:val="002D6548"/>
    <w:rsid w:val="002D6943"/>
    <w:rsid w:val="002D76D7"/>
    <w:rsid w:val="002E0176"/>
    <w:rsid w:val="002E0424"/>
    <w:rsid w:val="002E1191"/>
    <w:rsid w:val="002E1443"/>
    <w:rsid w:val="002E1975"/>
    <w:rsid w:val="002E2AE4"/>
    <w:rsid w:val="002E43A9"/>
    <w:rsid w:val="002E4676"/>
    <w:rsid w:val="002E4F7E"/>
    <w:rsid w:val="002F0900"/>
    <w:rsid w:val="002F1F4C"/>
    <w:rsid w:val="002F235D"/>
    <w:rsid w:val="002F661D"/>
    <w:rsid w:val="002F7F46"/>
    <w:rsid w:val="0030114A"/>
    <w:rsid w:val="00301B96"/>
    <w:rsid w:val="003028F2"/>
    <w:rsid w:val="00302F33"/>
    <w:rsid w:val="00307263"/>
    <w:rsid w:val="003072ED"/>
    <w:rsid w:val="0030766C"/>
    <w:rsid w:val="00310A77"/>
    <w:rsid w:val="00311C2A"/>
    <w:rsid w:val="003126F4"/>
    <w:rsid w:val="00312810"/>
    <w:rsid w:val="0031381F"/>
    <w:rsid w:val="00314C3D"/>
    <w:rsid w:val="003158F4"/>
    <w:rsid w:val="00316366"/>
    <w:rsid w:val="00317173"/>
    <w:rsid w:val="00317B3A"/>
    <w:rsid w:val="00320B9A"/>
    <w:rsid w:val="00320E9C"/>
    <w:rsid w:val="00322BBE"/>
    <w:rsid w:val="003267A1"/>
    <w:rsid w:val="00326A9A"/>
    <w:rsid w:val="00327D41"/>
    <w:rsid w:val="00331869"/>
    <w:rsid w:val="003337B4"/>
    <w:rsid w:val="0033722D"/>
    <w:rsid w:val="00344985"/>
    <w:rsid w:val="00347E3B"/>
    <w:rsid w:val="00350F75"/>
    <w:rsid w:val="0035468B"/>
    <w:rsid w:val="003552D9"/>
    <w:rsid w:val="00355571"/>
    <w:rsid w:val="00355FA9"/>
    <w:rsid w:val="00355FF9"/>
    <w:rsid w:val="0035622F"/>
    <w:rsid w:val="003615B5"/>
    <w:rsid w:val="00362D30"/>
    <w:rsid w:val="00365ADA"/>
    <w:rsid w:val="00373D91"/>
    <w:rsid w:val="00375280"/>
    <w:rsid w:val="003756D3"/>
    <w:rsid w:val="00375AA2"/>
    <w:rsid w:val="003803BC"/>
    <w:rsid w:val="003804AD"/>
    <w:rsid w:val="00380757"/>
    <w:rsid w:val="003807B9"/>
    <w:rsid w:val="00382597"/>
    <w:rsid w:val="003832F8"/>
    <w:rsid w:val="00383455"/>
    <w:rsid w:val="0038387D"/>
    <w:rsid w:val="00383CB3"/>
    <w:rsid w:val="003843EC"/>
    <w:rsid w:val="0038578E"/>
    <w:rsid w:val="003866D1"/>
    <w:rsid w:val="00386742"/>
    <w:rsid w:val="00386CF4"/>
    <w:rsid w:val="0039182F"/>
    <w:rsid w:val="0039373F"/>
    <w:rsid w:val="00393A1B"/>
    <w:rsid w:val="003946A8"/>
    <w:rsid w:val="00396648"/>
    <w:rsid w:val="003A1154"/>
    <w:rsid w:val="003A1428"/>
    <w:rsid w:val="003A1FBB"/>
    <w:rsid w:val="003A3077"/>
    <w:rsid w:val="003A4C70"/>
    <w:rsid w:val="003A55CD"/>
    <w:rsid w:val="003A5C18"/>
    <w:rsid w:val="003B15AE"/>
    <w:rsid w:val="003B221C"/>
    <w:rsid w:val="003B31B8"/>
    <w:rsid w:val="003C1422"/>
    <w:rsid w:val="003C2016"/>
    <w:rsid w:val="003C2503"/>
    <w:rsid w:val="003C2BEF"/>
    <w:rsid w:val="003C3AE8"/>
    <w:rsid w:val="003C578E"/>
    <w:rsid w:val="003C5CCF"/>
    <w:rsid w:val="003C7DD5"/>
    <w:rsid w:val="003D231C"/>
    <w:rsid w:val="003D3782"/>
    <w:rsid w:val="003D3E73"/>
    <w:rsid w:val="003D53F9"/>
    <w:rsid w:val="003D5B41"/>
    <w:rsid w:val="003D6B29"/>
    <w:rsid w:val="003D79BC"/>
    <w:rsid w:val="003D7D3F"/>
    <w:rsid w:val="003E0CAF"/>
    <w:rsid w:val="003E22E9"/>
    <w:rsid w:val="003E2CE0"/>
    <w:rsid w:val="003E3BAB"/>
    <w:rsid w:val="003E3BC0"/>
    <w:rsid w:val="003E43A7"/>
    <w:rsid w:val="003E4C75"/>
    <w:rsid w:val="003E6221"/>
    <w:rsid w:val="003E6AD9"/>
    <w:rsid w:val="003E749A"/>
    <w:rsid w:val="003E7EF6"/>
    <w:rsid w:val="003F0125"/>
    <w:rsid w:val="003F0E12"/>
    <w:rsid w:val="003F273A"/>
    <w:rsid w:val="003F639F"/>
    <w:rsid w:val="003F6489"/>
    <w:rsid w:val="00401390"/>
    <w:rsid w:val="004016C7"/>
    <w:rsid w:val="00404726"/>
    <w:rsid w:val="00406D4B"/>
    <w:rsid w:val="00407FA0"/>
    <w:rsid w:val="004104E7"/>
    <w:rsid w:val="00411EA4"/>
    <w:rsid w:val="0041575E"/>
    <w:rsid w:val="00417025"/>
    <w:rsid w:val="00417D35"/>
    <w:rsid w:val="00420C18"/>
    <w:rsid w:val="00421B7C"/>
    <w:rsid w:val="004237EE"/>
    <w:rsid w:val="00425260"/>
    <w:rsid w:val="00425473"/>
    <w:rsid w:val="0042652E"/>
    <w:rsid w:val="004319F6"/>
    <w:rsid w:val="00431ACF"/>
    <w:rsid w:val="00432662"/>
    <w:rsid w:val="0043393F"/>
    <w:rsid w:val="004352DC"/>
    <w:rsid w:val="00435E0B"/>
    <w:rsid w:val="00436919"/>
    <w:rsid w:val="00440575"/>
    <w:rsid w:val="00441A89"/>
    <w:rsid w:val="00443672"/>
    <w:rsid w:val="00445872"/>
    <w:rsid w:val="00447965"/>
    <w:rsid w:val="0045017F"/>
    <w:rsid w:val="00452199"/>
    <w:rsid w:val="00452862"/>
    <w:rsid w:val="00452CDF"/>
    <w:rsid w:val="004540C7"/>
    <w:rsid w:val="004543D4"/>
    <w:rsid w:val="00454EDB"/>
    <w:rsid w:val="00457288"/>
    <w:rsid w:val="00457465"/>
    <w:rsid w:val="0046012B"/>
    <w:rsid w:val="00461AF6"/>
    <w:rsid w:val="004622B1"/>
    <w:rsid w:val="00462B3F"/>
    <w:rsid w:val="00462CBA"/>
    <w:rsid w:val="00462EBD"/>
    <w:rsid w:val="00464897"/>
    <w:rsid w:val="004648A1"/>
    <w:rsid w:val="00466438"/>
    <w:rsid w:val="0046714B"/>
    <w:rsid w:val="00467DFC"/>
    <w:rsid w:val="0047227C"/>
    <w:rsid w:val="00474070"/>
    <w:rsid w:val="004748CA"/>
    <w:rsid w:val="00475FEB"/>
    <w:rsid w:val="004829B7"/>
    <w:rsid w:val="00482A19"/>
    <w:rsid w:val="00483D09"/>
    <w:rsid w:val="00483ED9"/>
    <w:rsid w:val="0048696C"/>
    <w:rsid w:val="00486A0B"/>
    <w:rsid w:val="00487309"/>
    <w:rsid w:val="00487921"/>
    <w:rsid w:val="00490021"/>
    <w:rsid w:val="00490133"/>
    <w:rsid w:val="0049138F"/>
    <w:rsid w:val="004923EA"/>
    <w:rsid w:val="00492F31"/>
    <w:rsid w:val="0049397D"/>
    <w:rsid w:val="00494A68"/>
    <w:rsid w:val="00495293"/>
    <w:rsid w:val="0049643E"/>
    <w:rsid w:val="0049725E"/>
    <w:rsid w:val="004A06E9"/>
    <w:rsid w:val="004A1DA7"/>
    <w:rsid w:val="004A2B40"/>
    <w:rsid w:val="004A2EC0"/>
    <w:rsid w:val="004A32A0"/>
    <w:rsid w:val="004A45E0"/>
    <w:rsid w:val="004A7173"/>
    <w:rsid w:val="004B0B36"/>
    <w:rsid w:val="004B183C"/>
    <w:rsid w:val="004B38B8"/>
    <w:rsid w:val="004C0F74"/>
    <w:rsid w:val="004C1262"/>
    <w:rsid w:val="004C3F00"/>
    <w:rsid w:val="004C5422"/>
    <w:rsid w:val="004C5834"/>
    <w:rsid w:val="004C60E4"/>
    <w:rsid w:val="004C624C"/>
    <w:rsid w:val="004D0352"/>
    <w:rsid w:val="004D055B"/>
    <w:rsid w:val="004D060B"/>
    <w:rsid w:val="004D0D60"/>
    <w:rsid w:val="004D0FAC"/>
    <w:rsid w:val="004D3D38"/>
    <w:rsid w:val="004D5D84"/>
    <w:rsid w:val="004E378B"/>
    <w:rsid w:val="004F153F"/>
    <w:rsid w:val="004F16CA"/>
    <w:rsid w:val="004F25F9"/>
    <w:rsid w:val="004F3146"/>
    <w:rsid w:val="004F36F8"/>
    <w:rsid w:val="004F378C"/>
    <w:rsid w:val="004F5337"/>
    <w:rsid w:val="004F6F6D"/>
    <w:rsid w:val="00500346"/>
    <w:rsid w:val="005030CA"/>
    <w:rsid w:val="00503C8A"/>
    <w:rsid w:val="00503F0E"/>
    <w:rsid w:val="00504872"/>
    <w:rsid w:val="00504D73"/>
    <w:rsid w:val="005052D9"/>
    <w:rsid w:val="00511DA6"/>
    <w:rsid w:val="005129BF"/>
    <w:rsid w:val="00512E7B"/>
    <w:rsid w:val="00513E04"/>
    <w:rsid w:val="005154E0"/>
    <w:rsid w:val="005210B6"/>
    <w:rsid w:val="00521FAA"/>
    <w:rsid w:val="00522503"/>
    <w:rsid w:val="00523300"/>
    <w:rsid w:val="00524132"/>
    <w:rsid w:val="0052489D"/>
    <w:rsid w:val="005248D6"/>
    <w:rsid w:val="005307EE"/>
    <w:rsid w:val="005325D8"/>
    <w:rsid w:val="00533EEB"/>
    <w:rsid w:val="0053475F"/>
    <w:rsid w:val="00535AB0"/>
    <w:rsid w:val="0054132D"/>
    <w:rsid w:val="0054205C"/>
    <w:rsid w:val="00542E86"/>
    <w:rsid w:val="00543A03"/>
    <w:rsid w:val="00544109"/>
    <w:rsid w:val="005450CD"/>
    <w:rsid w:val="005452E7"/>
    <w:rsid w:val="005453AB"/>
    <w:rsid w:val="00546229"/>
    <w:rsid w:val="005477B0"/>
    <w:rsid w:val="00550891"/>
    <w:rsid w:val="00551484"/>
    <w:rsid w:val="00553983"/>
    <w:rsid w:val="0055554C"/>
    <w:rsid w:val="005560C7"/>
    <w:rsid w:val="005571A1"/>
    <w:rsid w:val="0056237F"/>
    <w:rsid w:val="00564893"/>
    <w:rsid w:val="00564BF6"/>
    <w:rsid w:val="00564FF0"/>
    <w:rsid w:val="00566671"/>
    <w:rsid w:val="0056726D"/>
    <w:rsid w:val="00571AB8"/>
    <w:rsid w:val="00573893"/>
    <w:rsid w:val="005755FB"/>
    <w:rsid w:val="005757B2"/>
    <w:rsid w:val="00576B49"/>
    <w:rsid w:val="00576CD1"/>
    <w:rsid w:val="0057717A"/>
    <w:rsid w:val="00577A12"/>
    <w:rsid w:val="00581A87"/>
    <w:rsid w:val="00587033"/>
    <w:rsid w:val="005914CF"/>
    <w:rsid w:val="005914E7"/>
    <w:rsid w:val="00592664"/>
    <w:rsid w:val="0059286D"/>
    <w:rsid w:val="00593E15"/>
    <w:rsid w:val="00593EB9"/>
    <w:rsid w:val="00596E99"/>
    <w:rsid w:val="00596FBC"/>
    <w:rsid w:val="005A01F7"/>
    <w:rsid w:val="005A1193"/>
    <w:rsid w:val="005A1711"/>
    <w:rsid w:val="005A19F7"/>
    <w:rsid w:val="005A1BD0"/>
    <w:rsid w:val="005B1059"/>
    <w:rsid w:val="005B1250"/>
    <w:rsid w:val="005B2C62"/>
    <w:rsid w:val="005B31C0"/>
    <w:rsid w:val="005B5C3A"/>
    <w:rsid w:val="005B5EDA"/>
    <w:rsid w:val="005B7F63"/>
    <w:rsid w:val="005C031F"/>
    <w:rsid w:val="005C0813"/>
    <w:rsid w:val="005C10A6"/>
    <w:rsid w:val="005C1AA0"/>
    <w:rsid w:val="005C3D11"/>
    <w:rsid w:val="005C43A1"/>
    <w:rsid w:val="005C5004"/>
    <w:rsid w:val="005C5674"/>
    <w:rsid w:val="005C64EE"/>
    <w:rsid w:val="005C68F6"/>
    <w:rsid w:val="005C739B"/>
    <w:rsid w:val="005C7887"/>
    <w:rsid w:val="005D02DE"/>
    <w:rsid w:val="005D2103"/>
    <w:rsid w:val="005D27FC"/>
    <w:rsid w:val="005D2B7B"/>
    <w:rsid w:val="005D3BE5"/>
    <w:rsid w:val="005D48CF"/>
    <w:rsid w:val="005D6346"/>
    <w:rsid w:val="005D644C"/>
    <w:rsid w:val="005D676E"/>
    <w:rsid w:val="005D745E"/>
    <w:rsid w:val="005D7EDC"/>
    <w:rsid w:val="005E26E2"/>
    <w:rsid w:val="005E2A17"/>
    <w:rsid w:val="005E4E04"/>
    <w:rsid w:val="005E500C"/>
    <w:rsid w:val="005E5059"/>
    <w:rsid w:val="005E51C1"/>
    <w:rsid w:val="005E5A19"/>
    <w:rsid w:val="005E70FA"/>
    <w:rsid w:val="005F1F8F"/>
    <w:rsid w:val="005F3D5A"/>
    <w:rsid w:val="005F5F5D"/>
    <w:rsid w:val="005F6449"/>
    <w:rsid w:val="005F7D91"/>
    <w:rsid w:val="00601D5E"/>
    <w:rsid w:val="006033DF"/>
    <w:rsid w:val="006040A1"/>
    <w:rsid w:val="00604BAD"/>
    <w:rsid w:val="00607338"/>
    <w:rsid w:val="00607BA5"/>
    <w:rsid w:val="006156C7"/>
    <w:rsid w:val="00617510"/>
    <w:rsid w:val="006200BC"/>
    <w:rsid w:val="0062032C"/>
    <w:rsid w:val="00620ACE"/>
    <w:rsid w:val="00621D4E"/>
    <w:rsid w:val="00623B56"/>
    <w:rsid w:val="00623BE0"/>
    <w:rsid w:val="006244E6"/>
    <w:rsid w:val="00624930"/>
    <w:rsid w:val="00624E2E"/>
    <w:rsid w:val="00626100"/>
    <w:rsid w:val="00626502"/>
    <w:rsid w:val="0062728A"/>
    <w:rsid w:val="00631D91"/>
    <w:rsid w:val="0063273B"/>
    <w:rsid w:val="00632A0F"/>
    <w:rsid w:val="00632A5B"/>
    <w:rsid w:val="00633435"/>
    <w:rsid w:val="00633748"/>
    <w:rsid w:val="00634EC0"/>
    <w:rsid w:val="006351F1"/>
    <w:rsid w:val="0063703F"/>
    <w:rsid w:val="00645F38"/>
    <w:rsid w:val="00646226"/>
    <w:rsid w:val="00646D6E"/>
    <w:rsid w:val="006504C3"/>
    <w:rsid w:val="00650530"/>
    <w:rsid w:val="006505BD"/>
    <w:rsid w:val="00650C80"/>
    <w:rsid w:val="006511D1"/>
    <w:rsid w:val="006515D1"/>
    <w:rsid w:val="00653C6F"/>
    <w:rsid w:val="00653F19"/>
    <w:rsid w:val="00655872"/>
    <w:rsid w:val="0065594A"/>
    <w:rsid w:val="00655D89"/>
    <w:rsid w:val="0065641D"/>
    <w:rsid w:val="006574E3"/>
    <w:rsid w:val="00660AE6"/>
    <w:rsid w:val="00660E1A"/>
    <w:rsid w:val="006619AF"/>
    <w:rsid w:val="00661D2A"/>
    <w:rsid w:val="00662082"/>
    <w:rsid w:val="00664DE2"/>
    <w:rsid w:val="00665150"/>
    <w:rsid w:val="006678E4"/>
    <w:rsid w:val="006702E9"/>
    <w:rsid w:val="00670584"/>
    <w:rsid w:val="00671A98"/>
    <w:rsid w:val="00672EA0"/>
    <w:rsid w:val="00676385"/>
    <w:rsid w:val="00677989"/>
    <w:rsid w:val="00681DE8"/>
    <w:rsid w:val="0068418D"/>
    <w:rsid w:val="00684192"/>
    <w:rsid w:val="00685AF3"/>
    <w:rsid w:val="00686799"/>
    <w:rsid w:val="00686D84"/>
    <w:rsid w:val="00687945"/>
    <w:rsid w:val="00690248"/>
    <w:rsid w:val="006906B4"/>
    <w:rsid w:val="00690DAE"/>
    <w:rsid w:val="0069176F"/>
    <w:rsid w:val="00691821"/>
    <w:rsid w:val="0069252D"/>
    <w:rsid w:val="00692722"/>
    <w:rsid w:val="006928A6"/>
    <w:rsid w:val="006934EA"/>
    <w:rsid w:val="00695B02"/>
    <w:rsid w:val="006A01D4"/>
    <w:rsid w:val="006A1A15"/>
    <w:rsid w:val="006A1A1B"/>
    <w:rsid w:val="006A3D29"/>
    <w:rsid w:val="006A482A"/>
    <w:rsid w:val="006A543C"/>
    <w:rsid w:val="006A7E3F"/>
    <w:rsid w:val="006B0BFE"/>
    <w:rsid w:val="006B480D"/>
    <w:rsid w:val="006B4888"/>
    <w:rsid w:val="006B52FD"/>
    <w:rsid w:val="006C265F"/>
    <w:rsid w:val="006C2FCB"/>
    <w:rsid w:val="006C5080"/>
    <w:rsid w:val="006C5858"/>
    <w:rsid w:val="006C6052"/>
    <w:rsid w:val="006C7D73"/>
    <w:rsid w:val="006D00FE"/>
    <w:rsid w:val="006D0E1D"/>
    <w:rsid w:val="006D4BA8"/>
    <w:rsid w:val="006D732C"/>
    <w:rsid w:val="006D7517"/>
    <w:rsid w:val="006D7924"/>
    <w:rsid w:val="006D7A1D"/>
    <w:rsid w:val="006E0713"/>
    <w:rsid w:val="006E0993"/>
    <w:rsid w:val="006E4168"/>
    <w:rsid w:val="006E5349"/>
    <w:rsid w:val="006F009B"/>
    <w:rsid w:val="006F1D0D"/>
    <w:rsid w:val="006F3518"/>
    <w:rsid w:val="006F46F0"/>
    <w:rsid w:val="006F6182"/>
    <w:rsid w:val="006F77BB"/>
    <w:rsid w:val="00700864"/>
    <w:rsid w:val="00701D0A"/>
    <w:rsid w:val="00702A5A"/>
    <w:rsid w:val="00703146"/>
    <w:rsid w:val="007037A4"/>
    <w:rsid w:val="0070391B"/>
    <w:rsid w:val="00703D8A"/>
    <w:rsid w:val="007046E5"/>
    <w:rsid w:val="00705570"/>
    <w:rsid w:val="0070713D"/>
    <w:rsid w:val="0071341B"/>
    <w:rsid w:val="00713DB9"/>
    <w:rsid w:val="0072126F"/>
    <w:rsid w:val="00721A20"/>
    <w:rsid w:val="007227E0"/>
    <w:rsid w:val="00723014"/>
    <w:rsid w:val="007234F4"/>
    <w:rsid w:val="0072439E"/>
    <w:rsid w:val="00725227"/>
    <w:rsid w:val="00725507"/>
    <w:rsid w:val="00726202"/>
    <w:rsid w:val="00726E52"/>
    <w:rsid w:val="0072745D"/>
    <w:rsid w:val="00727DAF"/>
    <w:rsid w:val="00732380"/>
    <w:rsid w:val="007327E4"/>
    <w:rsid w:val="00733A7A"/>
    <w:rsid w:val="00736C50"/>
    <w:rsid w:val="00736F97"/>
    <w:rsid w:val="00737281"/>
    <w:rsid w:val="007409CE"/>
    <w:rsid w:val="00740A0A"/>
    <w:rsid w:val="007412D4"/>
    <w:rsid w:val="007419D2"/>
    <w:rsid w:val="00741B8D"/>
    <w:rsid w:val="00741BDD"/>
    <w:rsid w:val="00741F84"/>
    <w:rsid w:val="00742311"/>
    <w:rsid w:val="00746200"/>
    <w:rsid w:val="00746AE5"/>
    <w:rsid w:val="0074719D"/>
    <w:rsid w:val="0074722E"/>
    <w:rsid w:val="00750032"/>
    <w:rsid w:val="00753206"/>
    <w:rsid w:val="00755AC9"/>
    <w:rsid w:val="00756CB3"/>
    <w:rsid w:val="00762437"/>
    <w:rsid w:val="00762636"/>
    <w:rsid w:val="00762C21"/>
    <w:rsid w:val="00764825"/>
    <w:rsid w:val="007659DF"/>
    <w:rsid w:val="00765A25"/>
    <w:rsid w:val="007660FE"/>
    <w:rsid w:val="00766DF2"/>
    <w:rsid w:val="007702C4"/>
    <w:rsid w:val="007702D1"/>
    <w:rsid w:val="00770BE8"/>
    <w:rsid w:val="00771863"/>
    <w:rsid w:val="00771B5F"/>
    <w:rsid w:val="0077470A"/>
    <w:rsid w:val="007750B4"/>
    <w:rsid w:val="007751D3"/>
    <w:rsid w:val="00776BC8"/>
    <w:rsid w:val="00780BE5"/>
    <w:rsid w:val="007830F5"/>
    <w:rsid w:val="00783703"/>
    <w:rsid w:val="00783ECB"/>
    <w:rsid w:val="00786876"/>
    <w:rsid w:val="007901DA"/>
    <w:rsid w:val="00793AAC"/>
    <w:rsid w:val="00795D93"/>
    <w:rsid w:val="00796963"/>
    <w:rsid w:val="007A05C3"/>
    <w:rsid w:val="007A0F35"/>
    <w:rsid w:val="007A288D"/>
    <w:rsid w:val="007A2A55"/>
    <w:rsid w:val="007A4733"/>
    <w:rsid w:val="007A5196"/>
    <w:rsid w:val="007A6CDB"/>
    <w:rsid w:val="007B01BF"/>
    <w:rsid w:val="007B0B5B"/>
    <w:rsid w:val="007B0C90"/>
    <w:rsid w:val="007B122E"/>
    <w:rsid w:val="007B1544"/>
    <w:rsid w:val="007B2455"/>
    <w:rsid w:val="007B3357"/>
    <w:rsid w:val="007B3FD6"/>
    <w:rsid w:val="007B767D"/>
    <w:rsid w:val="007B79D9"/>
    <w:rsid w:val="007C0F7D"/>
    <w:rsid w:val="007C1AF9"/>
    <w:rsid w:val="007C2CBC"/>
    <w:rsid w:val="007C42AE"/>
    <w:rsid w:val="007D082F"/>
    <w:rsid w:val="007D095D"/>
    <w:rsid w:val="007D2E31"/>
    <w:rsid w:val="007D555F"/>
    <w:rsid w:val="007D6039"/>
    <w:rsid w:val="007D60FF"/>
    <w:rsid w:val="007D6350"/>
    <w:rsid w:val="007D7C96"/>
    <w:rsid w:val="007D7CF1"/>
    <w:rsid w:val="007E0FC1"/>
    <w:rsid w:val="007E12D6"/>
    <w:rsid w:val="007E1989"/>
    <w:rsid w:val="007E2BB6"/>
    <w:rsid w:val="007E2E2A"/>
    <w:rsid w:val="007E4B50"/>
    <w:rsid w:val="007E616B"/>
    <w:rsid w:val="007E680D"/>
    <w:rsid w:val="007F5532"/>
    <w:rsid w:val="007F5C40"/>
    <w:rsid w:val="007F6344"/>
    <w:rsid w:val="007F6466"/>
    <w:rsid w:val="00800AB5"/>
    <w:rsid w:val="00800CB8"/>
    <w:rsid w:val="00801F80"/>
    <w:rsid w:val="00804244"/>
    <w:rsid w:val="00804A72"/>
    <w:rsid w:val="00804CB0"/>
    <w:rsid w:val="00807EE5"/>
    <w:rsid w:val="00811292"/>
    <w:rsid w:val="00811727"/>
    <w:rsid w:val="00811CC3"/>
    <w:rsid w:val="00811FF2"/>
    <w:rsid w:val="0081582D"/>
    <w:rsid w:val="00820D47"/>
    <w:rsid w:val="008210AC"/>
    <w:rsid w:val="00822AEE"/>
    <w:rsid w:val="008230C9"/>
    <w:rsid w:val="008230EC"/>
    <w:rsid w:val="008269DB"/>
    <w:rsid w:val="00831231"/>
    <w:rsid w:val="00833AFE"/>
    <w:rsid w:val="00835835"/>
    <w:rsid w:val="008364BB"/>
    <w:rsid w:val="0083668B"/>
    <w:rsid w:val="0083714E"/>
    <w:rsid w:val="00837B3B"/>
    <w:rsid w:val="00840BB3"/>
    <w:rsid w:val="00841CF5"/>
    <w:rsid w:val="008446A9"/>
    <w:rsid w:val="00850697"/>
    <w:rsid w:val="008522B2"/>
    <w:rsid w:val="00855325"/>
    <w:rsid w:val="008556EB"/>
    <w:rsid w:val="0085786F"/>
    <w:rsid w:val="008601D9"/>
    <w:rsid w:val="00863856"/>
    <w:rsid w:val="00864403"/>
    <w:rsid w:val="0086467B"/>
    <w:rsid w:val="00865112"/>
    <w:rsid w:val="0086543E"/>
    <w:rsid w:val="00865A41"/>
    <w:rsid w:val="00865E33"/>
    <w:rsid w:val="00866067"/>
    <w:rsid w:val="00870A94"/>
    <w:rsid w:val="00870AA5"/>
    <w:rsid w:val="00871B5A"/>
    <w:rsid w:val="00871DED"/>
    <w:rsid w:val="008723EB"/>
    <w:rsid w:val="00872520"/>
    <w:rsid w:val="00874C44"/>
    <w:rsid w:val="00875FB1"/>
    <w:rsid w:val="008776A2"/>
    <w:rsid w:val="00877AC3"/>
    <w:rsid w:val="00881E16"/>
    <w:rsid w:val="0088290C"/>
    <w:rsid w:val="00884AAC"/>
    <w:rsid w:val="008857ED"/>
    <w:rsid w:val="00890715"/>
    <w:rsid w:val="0089072D"/>
    <w:rsid w:val="00890D7A"/>
    <w:rsid w:val="00892DC6"/>
    <w:rsid w:val="00892EA8"/>
    <w:rsid w:val="00892F27"/>
    <w:rsid w:val="00894C96"/>
    <w:rsid w:val="008956B0"/>
    <w:rsid w:val="00896DBF"/>
    <w:rsid w:val="00897835"/>
    <w:rsid w:val="00897B23"/>
    <w:rsid w:val="008A1BC2"/>
    <w:rsid w:val="008A1FDE"/>
    <w:rsid w:val="008A2D46"/>
    <w:rsid w:val="008A6137"/>
    <w:rsid w:val="008A7B57"/>
    <w:rsid w:val="008B0842"/>
    <w:rsid w:val="008B222C"/>
    <w:rsid w:val="008B301F"/>
    <w:rsid w:val="008B4042"/>
    <w:rsid w:val="008B50D2"/>
    <w:rsid w:val="008B59DE"/>
    <w:rsid w:val="008B63DE"/>
    <w:rsid w:val="008B688A"/>
    <w:rsid w:val="008B697B"/>
    <w:rsid w:val="008B6CF6"/>
    <w:rsid w:val="008C1040"/>
    <w:rsid w:val="008C30A7"/>
    <w:rsid w:val="008C4887"/>
    <w:rsid w:val="008C563F"/>
    <w:rsid w:val="008D201C"/>
    <w:rsid w:val="008D3407"/>
    <w:rsid w:val="008D6572"/>
    <w:rsid w:val="008D6B17"/>
    <w:rsid w:val="008D6B9F"/>
    <w:rsid w:val="008D7A69"/>
    <w:rsid w:val="008E0D08"/>
    <w:rsid w:val="008E0E72"/>
    <w:rsid w:val="008E4177"/>
    <w:rsid w:val="008E4443"/>
    <w:rsid w:val="008E4BA8"/>
    <w:rsid w:val="008E4F0D"/>
    <w:rsid w:val="008E5071"/>
    <w:rsid w:val="008E6E24"/>
    <w:rsid w:val="008E7961"/>
    <w:rsid w:val="008F01F7"/>
    <w:rsid w:val="008F0915"/>
    <w:rsid w:val="008F0B39"/>
    <w:rsid w:val="008F3116"/>
    <w:rsid w:val="008F409F"/>
    <w:rsid w:val="008F414B"/>
    <w:rsid w:val="008F4A11"/>
    <w:rsid w:val="008F6375"/>
    <w:rsid w:val="008F795A"/>
    <w:rsid w:val="009010F3"/>
    <w:rsid w:val="00903138"/>
    <w:rsid w:val="009056B3"/>
    <w:rsid w:val="00905A41"/>
    <w:rsid w:val="00906DD1"/>
    <w:rsid w:val="0091021A"/>
    <w:rsid w:val="0091211D"/>
    <w:rsid w:val="009126C6"/>
    <w:rsid w:val="0091300F"/>
    <w:rsid w:val="0091483B"/>
    <w:rsid w:val="00916DC9"/>
    <w:rsid w:val="009242F5"/>
    <w:rsid w:val="00926158"/>
    <w:rsid w:val="009269D5"/>
    <w:rsid w:val="00930C92"/>
    <w:rsid w:val="00931372"/>
    <w:rsid w:val="00931FD4"/>
    <w:rsid w:val="00932D5E"/>
    <w:rsid w:val="0093438E"/>
    <w:rsid w:val="00935CEE"/>
    <w:rsid w:val="00936782"/>
    <w:rsid w:val="0093704A"/>
    <w:rsid w:val="00937CB5"/>
    <w:rsid w:val="00937E88"/>
    <w:rsid w:val="00941F5C"/>
    <w:rsid w:val="0094270F"/>
    <w:rsid w:val="009433D9"/>
    <w:rsid w:val="00943441"/>
    <w:rsid w:val="009435FC"/>
    <w:rsid w:val="00943C1E"/>
    <w:rsid w:val="00944B82"/>
    <w:rsid w:val="00945F44"/>
    <w:rsid w:val="00946172"/>
    <w:rsid w:val="00950B16"/>
    <w:rsid w:val="009511C5"/>
    <w:rsid w:val="009524EF"/>
    <w:rsid w:val="009529E8"/>
    <w:rsid w:val="00953520"/>
    <w:rsid w:val="0095371D"/>
    <w:rsid w:val="00954B31"/>
    <w:rsid w:val="0095797E"/>
    <w:rsid w:val="00960404"/>
    <w:rsid w:val="009605A1"/>
    <w:rsid w:val="00962288"/>
    <w:rsid w:val="00963F9F"/>
    <w:rsid w:val="0096429B"/>
    <w:rsid w:val="00964534"/>
    <w:rsid w:val="00965516"/>
    <w:rsid w:val="00966658"/>
    <w:rsid w:val="00970342"/>
    <w:rsid w:val="00971BC7"/>
    <w:rsid w:val="00971BCA"/>
    <w:rsid w:val="00972014"/>
    <w:rsid w:val="00972398"/>
    <w:rsid w:val="00972F34"/>
    <w:rsid w:val="009734FF"/>
    <w:rsid w:val="0097398C"/>
    <w:rsid w:val="00975E28"/>
    <w:rsid w:val="0097619A"/>
    <w:rsid w:val="00976B2E"/>
    <w:rsid w:val="0098002F"/>
    <w:rsid w:val="009828F3"/>
    <w:rsid w:val="009832EF"/>
    <w:rsid w:val="0098393B"/>
    <w:rsid w:val="009903EE"/>
    <w:rsid w:val="009936FF"/>
    <w:rsid w:val="00993708"/>
    <w:rsid w:val="00995F58"/>
    <w:rsid w:val="0099606C"/>
    <w:rsid w:val="009A1923"/>
    <w:rsid w:val="009A36AF"/>
    <w:rsid w:val="009A3B82"/>
    <w:rsid w:val="009A5DA4"/>
    <w:rsid w:val="009A6029"/>
    <w:rsid w:val="009A6F70"/>
    <w:rsid w:val="009A76CD"/>
    <w:rsid w:val="009B0A68"/>
    <w:rsid w:val="009B1874"/>
    <w:rsid w:val="009B1C45"/>
    <w:rsid w:val="009B3A88"/>
    <w:rsid w:val="009B3D39"/>
    <w:rsid w:val="009B5BD1"/>
    <w:rsid w:val="009C0428"/>
    <w:rsid w:val="009C1C30"/>
    <w:rsid w:val="009C22CF"/>
    <w:rsid w:val="009C24D6"/>
    <w:rsid w:val="009C2B40"/>
    <w:rsid w:val="009C2D4A"/>
    <w:rsid w:val="009C665D"/>
    <w:rsid w:val="009C73B3"/>
    <w:rsid w:val="009D048D"/>
    <w:rsid w:val="009D07D5"/>
    <w:rsid w:val="009D4B3D"/>
    <w:rsid w:val="009D5A40"/>
    <w:rsid w:val="009D6E9F"/>
    <w:rsid w:val="009E1137"/>
    <w:rsid w:val="009E14F0"/>
    <w:rsid w:val="009E2D9C"/>
    <w:rsid w:val="009E2F91"/>
    <w:rsid w:val="009E3925"/>
    <w:rsid w:val="009E3A2F"/>
    <w:rsid w:val="009E3F39"/>
    <w:rsid w:val="009E6592"/>
    <w:rsid w:val="009F02E9"/>
    <w:rsid w:val="009F0FAF"/>
    <w:rsid w:val="009F1239"/>
    <w:rsid w:val="009F1250"/>
    <w:rsid w:val="009F222E"/>
    <w:rsid w:val="009F3DDC"/>
    <w:rsid w:val="009F4A9D"/>
    <w:rsid w:val="009F7952"/>
    <w:rsid w:val="00A00143"/>
    <w:rsid w:val="00A01D91"/>
    <w:rsid w:val="00A0281F"/>
    <w:rsid w:val="00A04925"/>
    <w:rsid w:val="00A049D5"/>
    <w:rsid w:val="00A04BE7"/>
    <w:rsid w:val="00A0685C"/>
    <w:rsid w:val="00A07269"/>
    <w:rsid w:val="00A1135B"/>
    <w:rsid w:val="00A14C28"/>
    <w:rsid w:val="00A21EF1"/>
    <w:rsid w:val="00A23AC8"/>
    <w:rsid w:val="00A26C22"/>
    <w:rsid w:val="00A31523"/>
    <w:rsid w:val="00A3208A"/>
    <w:rsid w:val="00A322FA"/>
    <w:rsid w:val="00A337C7"/>
    <w:rsid w:val="00A35111"/>
    <w:rsid w:val="00A35CAE"/>
    <w:rsid w:val="00A40D10"/>
    <w:rsid w:val="00A41D3C"/>
    <w:rsid w:val="00A473C7"/>
    <w:rsid w:val="00A50437"/>
    <w:rsid w:val="00A504C8"/>
    <w:rsid w:val="00A5160E"/>
    <w:rsid w:val="00A5451B"/>
    <w:rsid w:val="00A56A90"/>
    <w:rsid w:val="00A57136"/>
    <w:rsid w:val="00A60BB6"/>
    <w:rsid w:val="00A62F43"/>
    <w:rsid w:val="00A6315F"/>
    <w:rsid w:val="00A631FC"/>
    <w:rsid w:val="00A64159"/>
    <w:rsid w:val="00A64C83"/>
    <w:rsid w:val="00A668C7"/>
    <w:rsid w:val="00A66965"/>
    <w:rsid w:val="00A66985"/>
    <w:rsid w:val="00A71EC8"/>
    <w:rsid w:val="00A73C22"/>
    <w:rsid w:val="00A75843"/>
    <w:rsid w:val="00A75E18"/>
    <w:rsid w:val="00A76E91"/>
    <w:rsid w:val="00A818D9"/>
    <w:rsid w:val="00A81D1B"/>
    <w:rsid w:val="00A82E21"/>
    <w:rsid w:val="00A83126"/>
    <w:rsid w:val="00A90289"/>
    <w:rsid w:val="00A939BA"/>
    <w:rsid w:val="00A9512D"/>
    <w:rsid w:val="00AA318E"/>
    <w:rsid w:val="00AA3549"/>
    <w:rsid w:val="00AA36F9"/>
    <w:rsid w:val="00AA4327"/>
    <w:rsid w:val="00AA4875"/>
    <w:rsid w:val="00AA4F1E"/>
    <w:rsid w:val="00AA5093"/>
    <w:rsid w:val="00AB2D08"/>
    <w:rsid w:val="00AB5788"/>
    <w:rsid w:val="00AB62E7"/>
    <w:rsid w:val="00AB719C"/>
    <w:rsid w:val="00AC1E45"/>
    <w:rsid w:val="00AC2890"/>
    <w:rsid w:val="00AC5B53"/>
    <w:rsid w:val="00AC604F"/>
    <w:rsid w:val="00AC7B8F"/>
    <w:rsid w:val="00AD0DDC"/>
    <w:rsid w:val="00AD25D2"/>
    <w:rsid w:val="00AD2E50"/>
    <w:rsid w:val="00AD3F15"/>
    <w:rsid w:val="00AD75F6"/>
    <w:rsid w:val="00AE2319"/>
    <w:rsid w:val="00AE242A"/>
    <w:rsid w:val="00AE2F8B"/>
    <w:rsid w:val="00AE3D99"/>
    <w:rsid w:val="00AE5C0D"/>
    <w:rsid w:val="00AE60C7"/>
    <w:rsid w:val="00AF0957"/>
    <w:rsid w:val="00AF0A10"/>
    <w:rsid w:val="00AF47F1"/>
    <w:rsid w:val="00AF4B94"/>
    <w:rsid w:val="00AF5818"/>
    <w:rsid w:val="00AF6B70"/>
    <w:rsid w:val="00AF6C87"/>
    <w:rsid w:val="00AF7629"/>
    <w:rsid w:val="00AF7ABE"/>
    <w:rsid w:val="00B00B86"/>
    <w:rsid w:val="00B018DB"/>
    <w:rsid w:val="00B01C0D"/>
    <w:rsid w:val="00B021D7"/>
    <w:rsid w:val="00B03EFC"/>
    <w:rsid w:val="00B04DAC"/>
    <w:rsid w:val="00B05378"/>
    <w:rsid w:val="00B053B0"/>
    <w:rsid w:val="00B06079"/>
    <w:rsid w:val="00B0717A"/>
    <w:rsid w:val="00B1006D"/>
    <w:rsid w:val="00B105C8"/>
    <w:rsid w:val="00B109DD"/>
    <w:rsid w:val="00B11DB2"/>
    <w:rsid w:val="00B12ED3"/>
    <w:rsid w:val="00B13017"/>
    <w:rsid w:val="00B1343C"/>
    <w:rsid w:val="00B200BE"/>
    <w:rsid w:val="00B202BF"/>
    <w:rsid w:val="00B20C87"/>
    <w:rsid w:val="00B20D1B"/>
    <w:rsid w:val="00B210A4"/>
    <w:rsid w:val="00B215C6"/>
    <w:rsid w:val="00B22BF3"/>
    <w:rsid w:val="00B232F4"/>
    <w:rsid w:val="00B24BAC"/>
    <w:rsid w:val="00B266DA"/>
    <w:rsid w:val="00B26703"/>
    <w:rsid w:val="00B27907"/>
    <w:rsid w:val="00B30C18"/>
    <w:rsid w:val="00B30F8A"/>
    <w:rsid w:val="00B314E0"/>
    <w:rsid w:val="00B3197D"/>
    <w:rsid w:val="00B3361B"/>
    <w:rsid w:val="00B34549"/>
    <w:rsid w:val="00B3472A"/>
    <w:rsid w:val="00B3541E"/>
    <w:rsid w:val="00B3559F"/>
    <w:rsid w:val="00B36E81"/>
    <w:rsid w:val="00B404BE"/>
    <w:rsid w:val="00B40749"/>
    <w:rsid w:val="00B41975"/>
    <w:rsid w:val="00B43338"/>
    <w:rsid w:val="00B45874"/>
    <w:rsid w:val="00B45C69"/>
    <w:rsid w:val="00B46734"/>
    <w:rsid w:val="00B5001F"/>
    <w:rsid w:val="00B523D5"/>
    <w:rsid w:val="00B54062"/>
    <w:rsid w:val="00B54F7B"/>
    <w:rsid w:val="00B55D63"/>
    <w:rsid w:val="00B56A82"/>
    <w:rsid w:val="00B57316"/>
    <w:rsid w:val="00B609FF"/>
    <w:rsid w:val="00B62DAA"/>
    <w:rsid w:val="00B64097"/>
    <w:rsid w:val="00B645B0"/>
    <w:rsid w:val="00B6585B"/>
    <w:rsid w:val="00B6591B"/>
    <w:rsid w:val="00B67469"/>
    <w:rsid w:val="00B67492"/>
    <w:rsid w:val="00B70CC9"/>
    <w:rsid w:val="00B7169F"/>
    <w:rsid w:val="00B746A6"/>
    <w:rsid w:val="00B75308"/>
    <w:rsid w:val="00B7685B"/>
    <w:rsid w:val="00B7791F"/>
    <w:rsid w:val="00B80618"/>
    <w:rsid w:val="00B816D5"/>
    <w:rsid w:val="00B81B61"/>
    <w:rsid w:val="00B823F9"/>
    <w:rsid w:val="00B825AA"/>
    <w:rsid w:val="00B82D48"/>
    <w:rsid w:val="00B830D4"/>
    <w:rsid w:val="00B83EC9"/>
    <w:rsid w:val="00B84563"/>
    <w:rsid w:val="00B854C5"/>
    <w:rsid w:val="00B85FEE"/>
    <w:rsid w:val="00B87E90"/>
    <w:rsid w:val="00B9055F"/>
    <w:rsid w:val="00B91AA9"/>
    <w:rsid w:val="00B92470"/>
    <w:rsid w:val="00B93BDF"/>
    <w:rsid w:val="00B956DB"/>
    <w:rsid w:val="00B95C4E"/>
    <w:rsid w:val="00B97A31"/>
    <w:rsid w:val="00BA3892"/>
    <w:rsid w:val="00BA3C8B"/>
    <w:rsid w:val="00BA4F9D"/>
    <w:rsid w:val="00BA6239"/>
    <w:rsid w:val="00BA6366"/>
    <w:rsid w:val="00BA66D4"/>
    <w:rsid w:val="00BB006A"/>
    <w:rsid w:val="00BB098B"/>
    <w:rsid w:val="00BB1AAC"/>
    <w:rsid w:val="00BB1D71"/>
    <w:rsid w:val="00BB2A11"/>
    <w:rsid w:val="00BB33FB"/>
    <w:rsid w:val="00BB349D"/>
    <w:rsid w:val="00BB546F"/>
    <w:rsid w:val="00BB5C69"/>
    <w:rsid w:val="00BB6017"/>
    <w:rsid w:val="00BB6977"/>
    <w:rsid w:val="00BB70EF"/>
    <w:rsid w:val="00BB7DBC"/>
    <w:rsid w:val="00BB7F39"/>
    <w:rsid w:val="00BC00E0"/>
    <w:rsid w:val="00BC0D56"/>
    <w:rsid w:val="00BC1F20"/>
    <w:rsid w:val="00BC223A"/>
    <w:rsid w:val="00BC353D"/>
    <w:rsid w:val="00BC3711"/>
    <w:rsid w:val="00BC37F6"/>
    <w:rsid w:val="00BC3F6E"/>
    <w:rsid w:val="00BC46E3"/>
    <w:rsid w:val="00BC4A7E"/>
    <w:rsid w:val="00BC54CC"/>
    <w:rsid w:val="00BC7CE3"/>
    <w:rsid w:val="00BC7DAE"/>
    <w:rsid w:val="00BD07F5"/>
    <w:rsid w:val="00BD0A0A"/>
    <w:rsid w:val="00BD2C90"/>
    <w:rsid w:val="00BD3006"/>
    <w:rsid w:val="00BD4FB4"/>
    <w:rsid w:val="00BD52DC"/>
    <w:rsid w:val="00BD61B2"/>
    <w:rsid w:val="00BD63FB"/>
    <w:rsid w:val="00BD6CB4"/>
    <w:rsid w:val="00BE0F1C"/>
    <w:rsid w:val="00BE11B6"/>
    <w:rsid w:val="00BE1F29"/>
    <w:rsid w:val="00BE27AC"/>
    <w:rsid w:val="00BE2985"/>
    <w:rsid w:val="00BE3AE6"/>
    <w:rsid w:val="00BE70ED"/>
    <w:rsid w:val="00BE7FA1"/>
    <w:rsid w:val="00BF118F"/>
    <w:rsid w:val="00BF2C38"/>
    <w:rsid w:val="00BF34D9"/>
    <w:rsid w:val="00BF367E"/>
    <w:rsid w:val="00BF36BB"/>
    <w:rsid w:val="00BF5E96"/>
    <w:rsid w:val="00BF633A"/>
    <w:rsid w:val="00BF6351"/>
    <w:rsid w:val="00BF753F"/>
    <w:rsid w:val="00BF7EFB"/>
    <w:rsid w:val="00C02EB6"/>
    <w:rsid w:val="00C05560"/>
    <w:rsid w:val="00C05E0A"/>
    <w:rsid w:val="00C1083E"/>
    <w:rsid w:val="00C1236E"/>
    <w:rsid w:val="00C139B6"/>
    <w:rsid w:val="00C14ABA"/>
    <w:rsid w:val="00C15D68"/>
    <w:rsid w:val="00C166C8"/>
    <w:rsid w:val="00C171C1"/>
    <w:rsid w:val="00C20922"/>
    <w:rsid w:val="00C20CD5"/>
    <w:rsid w:val="00C21176"/>
    <w:rsid w:val="00C267E0"/>
    <w:rsid w:val="00C30B7E"/>
    <w:rsid w:val="00C3171C"/>
    <w:rsid w:val="00C322F9"/>
    <w:rsid w:val="00C3341C"/>
    <w:rsid w:val="00C345BB"/>
    <w:rsid w:val="00C3480E"/>
    <w:rsid w:val="00C34DB2"/>
    <w:rsid w:val="00C35F0F"/>
    <w:rsid w:val="00C40B31"/>
    <w:rsid w:val="00C40E61"/>
    <w:rsid w:val="00C42102"/>
    <w:rsid w:val="00C425C1"/>
    <w:rsid w:val="00C42647"/>
    <w:rsid w:val="00C42A3A"/>
    <w:rsid w:val="00C43116"/>
    <w:rsid w:val="00C434E2"/>
    <w:rsid w:val="00C449A9"/>
    <w:rsid w:val="00C44A00"/>
    <w:rsid w:val="00C459B7"/>
    <w:rsid w:val="00C45AAE"/>
    <w:rsid w:val="00C46EC0"/>
    <w:rsid w:val="00C477F5"/>
    <w:rsid w:val="00C51112"/>
    <w:rsid w:val="00C51C2F"/>
    <w:rsid w:val="00C52719"/>
    <w:rsid w:val="00C541E0"/>
    <w:rsid w:val="00C559C6"/>
    <w:rsid w:val="00C57136"/>
    <w:rsid w:val="00C601C1"/>
    <w:rsid w:val="00C625C0"/>
    <w:rsid w:val="00C6311C"/>
    <w:rsid w:val="00C65630"/>
    <w:rsid w:val="00C660EF"/>
    <w:rsid w:val="00C66D14"/>
    <w:rsid w:val="00C6764E"/>
    <w:rsid w:val="00C70269"/>
    <w:rsid w:val="00C71E97"/>
    <w:rsid w:val="00C724D0"/>
    <w:rsid w:val="00C731D4"/>
    <w:rsid w:val="00C73566"/>
    <w:rsid w:val="00C73E31"/>
    <w:rsid w:val="00C74BAC"/>
    <w:rsid w:val="00C75225"/>
    <w:rsid w:val="00C75A36"/>
    <w:rsid w:val="00C75ECA"/>
    <w:rsid w:val="00C760CE"/>
    <w:rsid w:val="00C822B7"/>
    <w:rsid w:val="00C82318"/>
    <w:rsid w:val="00C82F0A"/>
    <w:rsid w:val="00C82FA5"/>
    <w:rsid w:val="00C83079"/>
    <w:rsid w:val="00C840C2"/>
    <w:rsid w:val="00C8432E"/>
    <w:rsid w:val="00C84545"/>
    <w:rsid w:val="00C86D54"/>
    <w:rsid w:val="00C909CC"/>
    <w:rsid w:val="00C9195A"/>
    <w:rsid w:val="00C91BCE"/>
    <w:rsid w:val="00C921A6"/>
    <w:rsid w:val="00C92D24"/>
    <w:rsid w:val="00C93750"/>
    <w:rsid w:val="00C94CB9"/>
    <w:rsid w:val="00C94CD6"/>
    <w:rsid w:val="00C9754F"/>
    <w:rsid w:val="00CA21AB"/>
    <w:rsid w:val="00CA242E"/>
    <w:rsid w:val="00CA356D"/>
    <w:rsid w:val="00CA3C78"/>
    <w:rsid w:val="00CA3C88"/>
    <w:rsid w:val="00CA4813"/>
    <w:rsid w:val="00CA5895"/>
    <w:rsid w:val="00CA6002"/>
    <w:rsid w:val="00CA6119"/>
    <w:rsid w:val="00CA667B"/>
    <w:rsid w:val="00CA68CA"/>
    <w:rsid w:val="00CA7D11"/>
    <w:rsid w:val="00CB269A"/>
    <w:rsid w:val="00CB3046"/>
    <w:rsid w:val="00CB423D"/>
    <w:rsid w:val="00CB4D70"/>
    <w:rsid w:val="00CB5A81"/>
    <w:rsid w:val="00CC0E46"/>
    <w:rsid w:val="00CC1F63"/>
    <w:rsid w:val="00CC219B"/>
    <w:rsid w:val="00CC2955"/>
    <w:rsid w:val="00CC306A"/>
    <w:rsid w:val="00CC59C3"/>
    <w:rsid w:val="00CC6A66"/>
    <w:rsid w:val="00CC724F"/>
    <w:rsid w:val="00CC72BB"/>
    <w:rsid w:val="00CD0B15"/>
    <w:rsid w:val="00CD10A2"/>
    <w:rsid w:val="00CD214D"/>
    <w:rsid w:val="00CD2399"/>
    <w:rsid w:val="00CD347F"/>
    <w:rsid w:val="00CD5736"/>
    <w:rsid w:val="00CD6671"/>
    <w:rsid w:val="00CD6BED"/>
    <w:rsid w:val="00CD7F43"/>
    <w:rsid w:val="00CE181F"/>
    <w:rsid w:val="00CE1F56"/>
    <w:rsid w:val="00CE2060"/>
    <w:rsid w:val="00CE2AE4"/>
    <w:rsid w:val="00CE383A"/>
    <w:rsid w:val="00CE7148"/>
    <w:rsid w:val="00CE731C"/>
    <w:rsid w:val="00CE7C4B"/>
    <w:rsid w:val="00CF02B4"/>
    <w:rsid w:val="00CF0AB6"/>
    <w:rsid w:val="00CF0E0D"/>
    <w:rsid w:val="00CF1A98"/>
    <w:rsid w:val="00CF488D"/>
    <w:rsid w:val="00CF4C40"/>
    <w:rsid w:val="00CF760C"/>
    <w:rsid w:val="00D022FB"/>
    <w:rsid w:val="00D03A9E"/>
    <w:rsid w:val="00D07709"/>
    <w:rsid w:val="00D1064B"/>
    <w:rsid w:val="00D12853"/>
    <w:rsid w:val="00D12C05"/>
    <w:rsid w:val="00D140B1"/>
    <w:rsid w:val="00D14B56"/>
    <w:rsid w:val="00D16CDA"/>
    <w:rsid w:val="00D20953"/>
    <w:rsid w:val="00D230E8"/>
    <w:rsid w:val="00D2377C"/>
    <w:rsid w:val="00D24557"/>
    <w:rsid w:val="00D24677"/>
    <w:rsid w:val="00D24C08"/>
    <w:rsid w:val="00D25CA0"/>
    <w:rsid w:val="00D308E9"/>
    <w:rsid w:val="00D31344"/>
    <w:rsid w:val="00D32367"/>
    <w:rsid w:val="00D3327A"/>
    <w:rsid w:val="00D33BD0"/>
    <w:rsid w:val="00D35D48"/>
    <w:rsid w:val="00D4161C"/>
    <w:rsid w:val="00D41814"/>
    <w:rsid w:val="00D4275B"/>
    <w:rsid w:val="00D43F18"/>
    <w:rsid w:val="00D44CE6"/>
    <w:rsid w:val="00D45332"/>
    <w:rsid w:val="00D45AE7"/>
    <w:rsid w:val="00D45B12"/>
    <w:rsid w:val="00D45BD4"/>
    <w:rsid w:val="00D46984"/>
    <w:rsid w:val="00D47BB3"/>
    <w:rsid w:val="00D50094"/>
    <w:rsid w:val="00D5019F"/>
    <w:rsid w:val="00D50F3C"/>
    <w:rsid w:val="00D53E31"/>
    <w:rsid w:val="00D54223"/>
    <w:rsid w:val="00D5620E"/>
    <w:rsid w:val="00D5668F"/>
    <w:rsid w:val="00D566E1"/>
    <w:rsid w:val="00D56CD7"/>
    <w:rsid w:val="00D57AEF"/>
    <w:rsid w:val="00D60DCB"/>
    <w:rsid w:val="00D61AB9"/>
    <w:rsid w:val="00D61DF3"/>
    <w:rsid w:val="00D627D5"/>
    <w:rsid w:val="00D645A3"/>
    <w:rsid w:val="00D6497F"/>
    <w:rsid w:val="00D6577A"/>
    <w:rsid w:val="00D65934"/>
    <w:rsid w:val="00D67366"/>
    <w:rsid w:val="00D722EA"/>
    <w:rsid w:val="00D72976"/>
    <w:rsid w:val="00D72B4E"/>
    <w:rsid w:val="00D73283"/>
    <w:rsid w:val="00D7387B"/>
    <w:rsid w:val="00D73CDA"/>
    <w:rsid w:val="00D74E7A"/>
    <w:rsid w:val="00D75DBB"/>
    <w:rsid w:val="00D81113"/>
    <w:rsid w:val="00D816FA"/>
    <w:rsid w:val="00D81D08"/>
    <w:rsid w:val="00D82FCB"/>
    <w:rsid w:val="00D85118"/>
    <w:rsid w:val="00D858FF"/>
    <w:rsid w:val="00D86F5F"/>
    <w:rsid w:val="00D8728D"/>
    <w:rsid w:val="00D90B15"/>
    <w:rsid w:val="00D9145B"/>
    <w:rsid w:val="00D91461"/>
    <w:rsid w:val="00D919E6"/>
    <w:rsid w:val="00D923F5"/>
    <w:rsid w:val="00D9355D"/>
    <w:rsid w:val="00D93DE3"/>
    <w:rsid w:val="00D93FA5"/>
    <w:rsid w:val="00D95EAC"/>
    <w:rsid w:val="00DA23F6"/>
    <w:rsid w:val="00DA28C1"/>
    <w:rsid w:val="00DA2ADF"/>
    <w:rsid w:val="00DA36E6"/>
    <w:rsid w:val="00DA45F2"/>
    <w:rsid w:val="00DA4CA6"/>
    <w:rsid w:val="00DA7C46"/>
    <w:rsid w:val="00DB027A"/>
    <w:rsid w:val="00DB0297"/>
    <w:rsid w:val="00DB0719"/>
    <w:rsid w:val="00DB20A2"/>
    <w:rsid w:val="00DB35D8"/>
    <w:rsid w:val="00DB40B8"/>
    <w:rsid w:val="00DB4791"/>
    <w:rsid w:val="00DB6DCE"/>
    <w:rsid w:val="00DB786A"/>
    <w:rsid w:val="00DC05F4"/>
    <w:rsid w:val="00DC2D96"/>
    <w:rsid w:val="00DC4109"/>
    <w:rsid w:val="00DD6712"/>
    <w:rsid w:val="00DD6C7F"/>
    <w:rsid w:val="00DD7187"/>
    <w:rsid w:val="00DE12D2"/>
    <w:rsid w:val="00DE158C"/>
    <w:rsid w:val="00DE2082"/>
    <w:rsid w:val="00DE209A"/>
    <w:rsid w:val="00DE2B99"/>
    <w:rsid w:val="00DE53FA"/>
    <w:rsid w:val="00DE6508"/>
    <w:rsid w:val="00DF03EF"/>
    <w:rsid w:val="00DF05CE"/>
    <w:rsid w:val="00DF1F64"/>
    <w:rsid w:val="00E009F7"/>
    <w:rsid w:val="00E00BE8"/>
    <w:rsid w:val="00E01477"/>
    <w:rsid w:val="00E01C94"/>
    <w:rsid w:val="00E01CE5"/>
    <w:rsid w:val="00E03320"/>
    <w:rsid w:val="00E04172"/>
    <w:rsid w:val="00E05DCD"/>
    <w:rsid w:val="00E06967"/>
    <w:rsid w:val="00E10201"/>
    <w:rsid w:val="00E10AAB"/>
    <w:rsid w:val="00E10EE3"/>
    <w:rsid w:val="00E17872"/>
    <w:rsid w:val="00E2016E"/>
    <w:rsid w:val="00E240BD"/>
    <w:rsid w:val="00E255A5"/>
    <w:rsid w:val="00E274D4"/>
    <w:rsid w:val="00E27F29"/>
    <w:rsid w:val="00E31B77"/>
    <w:rsid w:val="00E32363"/>
    <w:rsid w:val="00E32B7D"/>
    <w:rsid w:val="00E369F4"/>
    <w:rsid w:val="00E41254"/>
    <w:rsid w:val="00E42824"/>
    <w:rsid w:val="00E4484C"/>
    <w:rsid w:val="00E45D7A"/>
    <w:rsid w:val="00E46284"/>
    <w:rsid w:val="00E4794E"/>
    <w:rsid w:val="00E47B41"/>
    <w:rsid w:val="00E5125C"/>
    <w:rsid w:val="00E516AB"/>
    <w:rsid w:val="00E520ED"/>
    <w:rsid w:val="00E548A9"/>
    <w:rsid w:val="00E54AEA"/>
    <w:rsid w:val="00E54C4F"/>
    <w:rsid w:val="00E55263"/>
    <w:rsid w:val="00E5568A"/>
    <w:rsid w:val="00E5584F"/>
    <w:rsid w:val="00E558C6"/>
    <w:rsid w:val="00E55B17"/>
    <w:rsid w:val="00E611F4"/>
    <w:rsid w:val="00E62E45"/>
    <w:rsid w:val="00E64D39"/>
    <w:rsid w:val="00E6540E"/>
    <w:rsid w:val="00E67451"/>
    <w:rsid w:val="00E67722"/>
    <w:rsid w:val="00E70024"/>
    <w:rsid w:val="00E70511"/>
    <w:rsid w:val="00E70CBC"/>
    <w:rsid w:val="00E70CD6"/>
    <w:rsid w:val="00E70D0F"/>
    <w:rsid w:val="00E70EF9"/>
    <w:rsid w:val="00E714DA"/>
    <w:rsid w:val="00E71D96"/>
    <w:rsid w:val="00E72BBD"/>
    <w:rsid w:val="00E743EF"/>
    <w:rsid w:val="00E76E9C"/>
    <w:rsid w:val="00E779E4"/>
    <w:rsid w:val="00E77F3F"/>
    <w:rsid w:val="00E81424"/>
    <w:rsid w:val="00E81ADA"/>
    <w:rsid w:val="00E82323"/>
    <w:rsid w:val="00E8372A"/>
    <w:rsid w:val="00E856FD"/>
    <w:rsid w:val="00E8617B"/>
    <w:rsid w:val="00E90822"/>
    <w:rsid w:val="00E9653A"/>
    <w:rsid w:val="00E96F1B"/>
    <w:rsid w:val="00E976B7"/>
    <w:rsid w:val="00EA0355"/>
    <w:rsid w:val="00EA0D34"/>
    <w:rsid w:val="00EA0F5C"/>
    <w:rsid w:val="00EA2D1F"/>
    <w:rsid w:val="00EA50E8"/>
    <w:rsid w:val="00EA63E5"/>
    <w:rsid w:val="00EB2095"/>
    <w:rsid w:val="00EB2E8D"/>
    <w:rsid w:val="00EB48F4"/>
    <w:rsid w:val="00EB5485"/>
    <w:rsid w:val="00EC0B25"/>
    <w:rsid w:val="00EC12F6"/>
    <w:rsid w:val="00EC450A"/>
    <w:rsid w:val="00ED14EF"/>
    <w:rsid w:val="00ED2C0A"/>
    <w:rsid w:val="00ED3777"/>
    <w:rsid w:val="00ED6128"/>
    <w:rsid w:val="00EE01DF"/>
    <w:rsid w:val="00EE0520"/>
    <w:rsid w:val="00EE2F4C"/>
    <w:rsid w:val="00EE3498"/>
    <w:rsid w:val="00EE4C1E"/>
    <w:rsid w:val="00EE500E"/>
    <w:rsid w:val="00EF0B1F"/>
    <w:rsid w:val="00EF2C2B"/>
    <w:rsid w:val="00EF2D8F"/>
    <w:rsid w:val="00EF4145"/>
    <w:rsid w:val="00EF43B0"/>
    <w:rsid w:val="00EF4702"/>
    <w:rsid w:val="00EF5EF5"/>
    <w:rsid w:val="00F02F90"/>
    <w:rsid w:val="00F04664"/>
    <w:rsid w:val="00F05068"/>
    <w:rsid w:val="00F0616E"/>
    <w:rsid w:val="00F06836"/>
    <w:rsid w:val="00F06DD2"/>
    <w:rsid w:val="00F100B9"/>
    <w:rsid w:val="00F10579"/>
    <w:rsid w:val="00F111F3"/>
    <w:rsid w:val="00F11E1A"/>
    <w:rsid w:val="00F11FF7"/>
    <w:rsid w:val="00F13804"/>
    <w:rsid w:val="00F14F3C"/>
    <w:rsid w:val="00F16A8F"/>
    <w:rsid w:val="00F16C1D"/>
    <w:rsid w:val="00F16D91"/>
    <w:rsid w:val="00F2079E"/>
    <w:rsid w:val="00F21294"/>
    <w:rsid w:val="00F220A2"/>
    <w:rsid w:val="00F232D2"/>
    <w:rsid w:val="00F2459A"/>
    <w:rsid w:val="00F2551F"/>
    <w:rsid w:val="00F30DED"/>
    <w:rsid w:val="00F34E56"/>
    <w:rsid w:val="00F40049"/>
    <w:rsid w:val="00F40CF1"/>
    <w:rsid w:val="00F42EB1"/>
    <w:rsid w:val="00F434A2"/>
    <w:rsid w:val="00F45246"/>
    <w:rsid w:val="00F458A0"/>
    <w:rsid w:val="00F45C6D"/>
    <w:rsid w:val="00F5074A"/>
    <w:rsid w:val="00F52709"/>
    <w:rsid w:val="00F53882"/>
    <w:rsid w:val="00F568D0"/>
    <w:rsid w:val="00F56C03"/>
    <w:rsid w:val="00F57706"/>
    <w:rsid w:val="00F6097A"/>
    <w:rsid w:val="00F6097D"/>
    <w:rsid w:val="00F61150"/>
    <w:rsid w:val="00F63680"/>
    <w:rsid w:val="00F63C58"/>
    <w:rsid w:val="00F648B6"/>
    <w:rsid w:val="00F64E8E"/>
    <w:rsid w:val="00F66288"/>
    <w:rsid w:val="00F66CE0"/>
    <w:rsid w:val="00F67B07"/>
    <w:rsid w:val="00F67E01"/>
    <w:rsid w:val="00F72C50"/>
    <w:rsid w:val="00F754F4"/>
    <w:rsid w:val="00F817C3"/>
    <w:rsid w:val="00F841F6"/>
    <w:rsid w:val="00F84C8E"/>
    <w:rsid w:val="00F85A84"/>
    <w:rsid w:val="00F86384"/>
    <w:rsid w:val="00F90780"/>
    <w:rsid w:val="00F90F83"/>
    <w:rsid w:val="00F91090"/>
    <w:rsid w:val="00F92140"/>
    <w:rsid w:val="00F92844"/>
    <w:rsid w:val="00F92859"/>
    <w:rsid w:val="00F941F0"/>
    <w:rsid w:val="00F94578"/>
    <w:rsid w:val="00F9542E"/>
    <w:rsid w:val="00F95480"/>
    <w:rsid w:val="00F96C6E"/>
    <w:rsid w:val="00FA0457"/>
    <w:rsid w:val="00FA2653"/>
    <w:rsid w:val="00FA3760"/>
    <w:rsid w:val="00FA5322"/>
    <w:rsid w:val="00FA544C"/>
    <w:rsid w:val="00FA7010"/>
    <w:rsid w:val="00FB0DA0"/>
    <w:rsid w:val="00FB1132"/>
    <w:rsid w:val="00FB22F1"/>
    <w:rsid w:val="00FB27BB"/>
    <w:rsid w:val="00FB5CEA"/>
    <w:rsid w:val="00FB6FB2"/>
    <w:rsid w:val="00FB7F8D"/>
    <w:rsid w:val="00FC43C5"/>
    <w:rsid w:val="00FC4756"/>
    <w:rsid w:val="00FC4B71"/>
    <w:rsid w:val="00FC659A"/>
    <w:rsid w:val="00FC7F06"/>
    <w:rsid w:val="00FD04B7"/>
    <w:rsid w:val="00FD1C6B"/>
    <w:rsid w:val="00FD1E51"/>
    <w:rsid w:val="00FD2537"/>
    <w:rsid w:val="00FD420C"/>
    <w:rsid w:val="00FD4212"/>
    <w:rsid w:val="00FD51BD"/>
    <w:rsid w:val="00FE1733"/>
    <w:rsid w:val="00FE230F"/>
    <w:rsid w:val="00FE5144"/>
    <w:rsid w:val="00FF1D5C"/>
    <w:rsid w:val="00FF2DE2"/>
    <w:rsid w:val="00FF4187"/>
    <w:rsid w:val="00FF5699"/>
    <w:rsid w:val="00FF7C0D"/>
    <w:rsid w:val="08FC9826"/>
    <w:rsid w:val="710DF024"/>
    <w:rsid w:val="71772AF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0A4EBF0-CBAB-47C4-9275-A397946D1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pPr>
        <w:spacing w:line="360"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CDA"/>
    <w:rPr>
      <w:sz w:val="24"/>
      <w:szCs w:val="24"/>
      <w:lang w:eastAsia="ja-JP"/>
    </w:rPr>
  </w:style>
  <w:style w:type="paragraph" w:styleId="Heading1">
    <w:name w:val="heading 1"/>
    <w:basedOn w:val="Normal"/>
    <w:next w:val="Normal"/>
    <w:qFormat/>
    <w:rsid w:val="00E548A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B335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C7F77"/>
    <w:pPr>
      <w:keepNext/>
      <w:spacing w:before="240" w:after="60"/>
      <w:outlineLvl w:val="2"/>
    </w:pPr>
    <w:rPr>
      <w:rFonts w:ascii="Arial" w:hAnsi="Arial" w:cs="Arial"/>
      <w:b/>
      <w:bCs/>
      <w:sz w:val="26"/>
      <w:szCs w:val="26"/>
    </w:rPr>
  </w:style>
  <w:style w:type="paragraph" w:styleId="Heading4">
    <w:name w:val="heading 4"/>
    <w:basedOn w:val="Normal"/>
    <w:next w:val="Normal"/>
    <w:qFormat/>
    <w:rsid w:val="00C559C6"/>
    <w:pPr>
      <w:keepNext/>
      <w:spacing w:before="240" w:after="60"/>
      <w:outlineLvl w:val="3"/>
    </w:pPr>
    <w:rPr>
      <w:b/>
      <w:bCs/>
      <w:sz w:val="28"/>
      <w:szCs w:val="28"/>
    </w:rPr>
  </w:style>
  <w:style w:type="paragraph" w:styleId="Heading5">
    <w:name w:val="heading 5"/>
    <w:basedOn w:val="Normal"/>
    <w:next w:val="Normal"/>
    <w:qFormat/>
    <w:rsid w:val="00C559C6"/>
    <w:pPr>
      <w:spacing w:before="240" w:after="60"/>
      <w:outlineLvl w:val="4"/>
    </w:pPr>
    <w:rPr>
      <w:b/>
      <w:bCs/>
      <w:i/>
      <w:iCs/>
      <w:sz w:val="26"/>
      <w:szCs w:val="26"/>
    </w:rPr>
  </w:style>
  <w:style w:type="paragraph" w:styleId="Heading6">
    <w:name w:val="heading 6"/>
    <w:basedOn w:val="Normal"/>
    <w:next w:val="Normal"/>
    <w:qFormat/>
    <w:rsid w:val="00C559C6"/>
    <w:pPr>
      <w:spacing w:before="240" w:after="60"/>
      <w:outlineLvl w:val="5"/>
    </w:pPr>
    <w:rPr>
      <w:b/>
      <w:bCs/>
      <w:sz w:val="22"/>
      <w:szCs w:val="22"/>
    </w:rPr>
  </w:style>
  <w:style w:type="paragraph" w:styleId="Heading8">
    <w:name w:val="heading 8"/>
    <w:basedOn w:val="Normal"/>
    <w:next w:val="Normal"/>
    <w:qFormat/>
    <w:rsid w:val="00C559C6"/>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9D4B3D"/>
    <w:rPr>
      <w:sz w:val="20"/>
      <w:szCs w:val="20"/>
    </w:rPr>
  </w:style>
  <w:style w:type="character" w:styleId="FootnoteReference">
    <w:name w:val="footnote reference"/>
    <w:rsid w:val="009D4B3D"/>
    <w:rPr>
      <w:vertAlign w:val="superscript"/>
    </w:rPr>
  </w:style>
  <w:style w:type="paragraph" w:styleId="Header">
    <w:name w:val="header"/>
    <w:basedOn w:val="Normal"/>
    <w:rsid w:val="00F6097D"/>
    <w:pPr>
      <w:tabs>
        <w:tab w:val="center" w:pos="4153"/>
        <w:tab w:val="right" w:pos="8306"/>
      </w:tabs>
    </w:pPr>
  </w:style>
  <w:style w:type="paragraph" w:styleId="Footer">
    <w:name w:val="footer"/>
    <w:basedOn w:val="Normal"/>
    <w:rsid w:val="00F6097D"/>
    <w:pPr>
      <w:tabs>
        <w:tab w:val="center" w:pos="4153"/>
        <w:tab w:val="right" w:pos="8306"/>
      </w:tabs>
    </w:pPr>
  </w:style>
  <w:style w:type="character" w:styleId="PageNumber">
    <w:name w:val="page number"/>
    <w:basedOn w:val="DefaultParagraphFont"/>
    <w:rsid w:val="00F6097D"/>
  </w:style>
  <w:style w:type="character" w:styleId="CommentReference">
    <w:name w:val="annotation reference"/>
    <w:semiHidden/>
    <w:rsid w:val="00AA3549"/>
    <w:rPr>
      <w:sz w:val="16"/>
      <w:szCs w:val="16"/>
    </w:rPr>
  </w:style>
  <w:style w:type="paragraph" w:styleId="CommentText">
    <w:name w:val="annotation text"/>
    <w:basedOn w:val="Normal"/>
    <w:semiHidden/>
    <w:rsid w:val="00AA3549"/>
    <w:rPr>
      <w:sz w:val="20"/>
      <w:szCs w:val="20"/>
    </w:rPr>
  </w:style>
  <w:style w:type="paragraph" w:styleId="CommentSubject">
    <w:name w:val="annotation subject"/>
    <w:basedOn w:val="CommentText"/>
    <w:next w:val="CommentText"/>
    <w:semiHidden/>
    <w:rsid w:val="00AA3549"/>
    <w:rPr>
      <w:b/>
      <w:bCs/>
    </w:rPr>
  </w:style>
  <w:style w:type="paragraph" w:styleId="BalloonText">
    <w:name w:val="Balloon Text"/>
    <w:basedOn w:val="Normal"/>
    <w:semiHidden/>
    <w:rsid w:val="00AA3549"/>
    <w:rPr>
      <w:rFonts w:ascii="Tahoma" w:hAnsi="Tahoma" w:cs="Tahoma"/>
      <w:sz w:val="16"/>
      <w:szCs w:val="16"/>
    </w:rPr>
  </w:style>
  <w:style w:type="paragraph" w:customStyle="1" w:styleId="StyleJustifiedLinespacing15lines">
    <w:name w:val="Style Justified Line spacing:  1.5 lines"/>
    <w:basedOn w:val="Normal"/>
    <w:rsid w:val="005C68F6"/>
    <w:rPr>
      <w:szCs w:val="20"/>
    </w:rPr>
  </w:style>
  <w:style w:type="character" w:styleId="Hyperlink">
    <w:name w:val="Hyperlink"/>
    <w:uiPriority w:val="99"/>
    <w:rsid w:val="005030CA"/>
    <w:rPr>
      <w:color w:val="0000FF"/>
      <w:u w:val="single"/>
    </w:rPr>
  </w:style>
  <w:style w:type="paragraph" w:styleId="TOC1">
    <w:name w:val="toc 1"/>
    <w:basedOn w:val="Normal"/>
    <w:next w:val="Normal"/>
    <w:autoRedefine/>
    <w:uiPriority w:val="39"/>
    <w:rsid w:val="00C21176"/>
  </w:style>
  <w:style w:type="paragraph" w:styleId="TOC2">
    <w:name w:val="toc 2"/>
    <w:basedOn w:val="Normal"/>
    <w:next w:val="Normal"/>
    <w:autoRedefine/>
    <w:uiPriority w:val="39"/>
    <w:rsid w:val="00C21176"/>
    <w:pPr>
      <w:ind w:left="240"/>
    </w:pPr>
  </w:style>
  <w:style w:type="paragraph" w:styleId="TOC3">
    <w:name w:val="toc 3"/>
    <w:basedOn w:val="Normal"/>
    <w:next w:val="Normal"/>
    <w:autoRedefine/>
    <w:uiPriority w:val="39"/>
    <w:rsid w:val="00C21176"/>
    <w:pPr>
      <w:ind w:left="480"/>
    </w:pPr>
  </w:style>
  <w:style w:type="paragraph" w:styleId="EndnoteText">
    <w:name w:val="endnote text"/>
    <w:basedOn w:val="Normal"/>
    <w:semiHidden/>
    <w:rsid w:val="00137129"/>
    <w:rPr>
      <w:sz w:val="20"/>
      <w:szCs w:val="20"/>
    </w:rPr>
  </w:style>
  <w:style w:type="character" w:styleId="EndnoteReference">
    <w:name w:val="endnote reference"/>
    <w:semiHidden/>
    <w:rsid w:val="00137129"/>
    <w:rPr>
      <w:vertAlign w:val="superscript"/>
    </w:rPr>
  </w:style>
  <w:style w:type="character" w:styleId="FollowedHyperlink">
    <w:name w:val="FollowedHyperlink"/>
    <w:rsid w:val="005914E7"/>
    <w:rPr>
      <w:color w:val="800080"/>
      <w:u w:val="single"/>
    </w:rPr>
  </w:style>
  <w:style w:type="character" w:customStyle="1" w:styleId="FootnoteTextChar">
    <w:name w:val="Footnote Text Char"/>
    <w:link w:val="FootnoteText"/>
    <w:semiHidden/>
    <w:rsid w:val="00D50F3C"/>
    <w:rPr>
      <w:lang w:eastAsia="ja-JP"/>
    </w:rPr>
  </w:style>
  <w:style w:type="paragraph" w:styleId="TOC4">
    <w:name w:val="toc 4"/>
    <w:basedOn w:val="Normal"/>
    <w:next w:val="Normal"/>
    <w:autoRedefine/>
    <w:uiPriority w:val="39"/>
    <w:rsid w:val="00D75DBB"/>
    <w:pPr>
      <w:ind w:left="720"/>
    </w:pPr>
  </w:style>
  <w:style w:type="paragraph" w:styleId="NormalWeb">
    <w:name w:val="Normal (Web)"/>
    <w:basedOn w:val="Normal"/>
    <w:uiPriority w:val="99"/>
    <w:rsid w:val="008E4177"/>
  </w:style>
  <w:style w:type="paragraph" w:styleId="ListParagraph">
    <w:name w:val="List Paragraph"/>
    <w:basedOn w:val="Normal"/>
    <w:uiPriority w:val="34"/>
    <w:qFormat/>
    <w:rsid w:val="00D919E6"/>
    <w:pPr>
      <w:ind w:left="720"/>
      <w:contextualSpacing/>
    </w:pPr>
  </w:style>
  <w:style w:type="paragraph" w:styleId="Revision">
    <w:name w:val="Revision"/>
    <w:hidden/>
    <w:uiPriority w:val="99"/>
    <w:semiHidden/>
    <w:rsid w:val="00490133"/>
    <w:rPr>
      <w:sz w:val="24"/>
      <w:szCs w:val="24"/>
      <w:lang w:eastAsia="ja-JP"/>
    </w:rPr>
  </w:style>
  <w:style w:type="paragraph" w:styleId="Title">
    <w:name w:val="Title"/>
    <w:basedOn w:val="Normal"/>
    <w:next w:val="Normal"/>
    <w:link w:val="TitleChar"/>
    <w:qFormat/>
    <w:rsid w:val="00C46EC0"/>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46EC0"/>
    <w:rPr>
      <w:rFonts w:asciiTheme="majorHAnsi" w:eastAsiaTheme="majorEastAsia" w:hAnsiTheme="majorHAnsi" w:cstheme="majorBidi"/>
      <w:spacing w:val="-10"/>
      <w:kern w:val="28"/>
      <w:sz w:val="56"/>
      <w:szCs w:val="56"/>
      <w:lang w:eastAsia="ja-JP"/>
    </w:rPr>
  </w:style>
  <w:style w:type="paragraph" w:customStyle="1" w:styleId="texte">
    <w:name w:val="texte"/>
    <w:basedOn w:val="Normal"/>
    <w:rsid w:val="007D095D"/>
    <w:pPr>
      <w:spacing w:before="100" w:beforeAutospacing="1" w:after="100" w:afterAutospacing="1" w:line="240" w:lineRule="auto"/>
      <w:jc w:val="left"/>
    </w:pPr>
    <w:rPr>
      <w:rFonts w:eastAsia="Times New Roman"/>
      <w:lang w:eastAsia="en-GB"/>
    </w:rPr>
  </w:style>
  <w:style w:type="character" w:customStyle="1" w:styleId="num">
    <w:name w:val="num"/>
    <w:basedOn w:val="DefaultParagraphFont"/>
    <w:rsid w:val="007D095D"/>
  </w:style>
  <w:style w:type="character" w:styleId="Emphasis">
    <w:name w:val="Emphasis"/>
    <w:basedOn w:val="DefaultParagraphFont"/>
    <w:uiPriority w:val="20"/>
    <w:qFormat/>
    <w:rsid w:val="007D095D"/>
    <w:rPr>
      <w:i/>
      <w:iCs/>
    </w:rPr>
  </w:style>
  <w:style w:type="paragraph" w:customStyle="1" w:styleId="citation">
    <w:name w:val="citation"/>
    <w:basedOn w:val="Normal"/>
    <w:rsid w:val="007D095D"/>
    <w:pPr>
      <w:spacing w:before="100" w:beforeAutospacing="1" w:after="100" w:afterAutospacing="1" w:line="240" w:lineRule="auto"/>
      <w:jc w:val="left"/>
    </w:pPr>
    <w:rPr>
      <w:rFonts w:eastAsia="Times New Roman"/>
      <w:lang w:eastAsia="en-GB"/>
    </w:rPr>
  </w:style>
  <w:style w:type="character" w:customStyle="1" w:styleId="paranumber">
    <w:name w:val="paranumber"/>
    <w:basedOn w:val="DefaultParagraphFont"/>
    <w:rsid w:val="007D095D"/>
  </w:style>
  <w:style w:type="character" w:customStyle="1" w:styleId="ps36">
    <w:name w:val="ps36"/>
    <w:basedOn w:val="DefaultParagraphFont"/>
    <w:rsid w:val="00DD7187"/>
  </w:style>
  <w:style w:type="character" w:customStyle="1" w:styleId="ps37">
    <w:name w:val="ps37"/>
    <w:basedOn w:val="DefaultParagraphFont"/>
    <w:rsid w:val="00DD7187"/>
  </w:style>
  <w:style w:type="character" w:customStyle="1" w:styleId="ps38">
    <w:name w:val="ps38"/>
    <w:basedOn w:val="DefaultParagraphFont"/>
    <w:rsid w:val="00DD7187"/>
  </w:style>
  <w:style w:type="character" w:customStyle="1" w:styleId="ps39">
    <w:name w:val="ps39"/>
    <w:basedOn w:val="DefaultParagraphFont"/>
    <w:rsid w:val="00DD7187"/>
  </w:style>
  <w:style w:type="character" w:customStyle="1" w:styleId="ps40">
    <w:name w:val="ps40"/>
    <w:basedOn w:val="DefaultParagraphFont"/>
    <w:rsid w:val="00DD7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3629">
      <w:bodyDiv w:val="1"/>
      <w:marLeft w:val="0"/>
      <w:marRight w:val="0"/>
      <w:marTop w:val="0"/>
      <w:marBottom w:val="0"/>
      <w:divBdr>
        <w:top w:val="none" w:sz="0" w:space="0" w:color="auto"/>
        <w:left w:val="none" w:sz="0" w:space="0" w:color="auto"/>
        <w:bottom w:val="none" w:sz="0" w:space="0" w:color="auto"/>
        <w:right w:val="none" w:sz="0" w:space="0" w:color="auto"/>
      </w:divBdr>
    </w:div>
    <w:div w:id="7486701">
      <w:bodyDiv w:val="1"/>
      <w:marLeft w:val="0"/>
      <w:marRight w:val="0"/>
      <w:marTop w:val="0"/>
      <w:marBottom w:val="0"/>
      <w:divBdr>
        <w:top w:val="none" w:sz="0" w:space="0" w:color="auto"/>
        <w:left w:val="none" w:sz="0" w:space="0" w:color="auto"/>
        <w:bottom w:val="none" w:sz="0" w:space="0" w:color="auto"/>
        <w:right w:val="none" w:sz="0" w:space="0" w:color="auto"/>
      </w:divBdr>
    </w:div>
    <w:div w:id="14235160">
      <w:bodyDiv w:val="1"/>
      <w:marLeft w:val="0"/>
      <w:marRight w:val="0"/>
      <w:marTop w:val="0"/>
      <w:marBottom w:val="0"/>
      <w:divBdr>
        <w:top w:val="none" w:sz="0" w:space="0" w:color="auto"/>
        <w:left w:val="none" w:sz="0" w:space="0" w:color="auto"/>
        <w:bottom w:val="none" w:sz="0" w:space="0" w:color="auto"/>
        <w:right w:val="none" w:sz="0" w:space="0" w:color="auto"/>
      </w:divBdr>
    </w:div>
    <w:div w:id="17854807">
      <w:bodyDiv w:val="1"/>
      <w:marLeft w:val="0"/>
      <w:marRight w:val="0"/>
      <w:marTop w:val="0"/>
      <w:marBottom w:val="0"/>
      <w:divBdr>
        <w:top w:val="none" w:sz="0" w:space="0" w:color="auto"/>
        <w:left w:val="none" w:sz="0" w:space="0" w:color="auto"/>
        <w:bottom w:val="none" w:sz="0" w:space="0" w:color="auto"/>
        <w:right w:val="none" w:sz="0" w:space="0" w:color="auto"/>
      </w:divBdr>
    </w:div>
    <w:div w:id="19938723">
      <w:bodyDiv w:val="1"/>
      <w:marLeft w:val="0"/>
      <w:marRight w:val="0"/>
      <w:marTop w:val="0"/>
      <w:marBottom w:val="0"/>
      <w:divBdr>
        <w:top w:val="none" w:sz="0" w:space="0" w:color="auto"/>
        <w:left w:val="none" w:sz="0" w:space="0" w:color="auto"/>
        <w:bottom w:val="none" w:sz="0" w:space="0" w:color="auto"/>
        <w:right w:val="none" w:sz="0" w:space="0" w:color="auto"/>
      </w:divBdr>
    </w:div>
    <w:div w:id="25568034">
      <w:bodyDiv w:val="1"/>
      <w:marLeft w:val="0"/>
      <w:marRight w:val="0"/>
      <w:marTop w:val="0"/>
      <w:marBottom w:val="0"/>
      <w:divBdr>
        <w:top w:val="none" w:sz="0" w:space="0" w:color="auto"/>
        <w:left w:val="none" w:sz="0" w:space="0" w:color="auto"/>
        <w:bottom w:val="none" w:sz="0" w:space="0" w:color="auto"/>
        <w:right w:val="none" w:sz="0" w:space="0" w:color="auto"/>
      </w:divBdr>
    </w:div>
    <w:div w:id="27687480">
      <w:bodyDiv w:val="1"/>
      <w:marLeft w:val="0"/>
      <w:marRight w:val="0"/>
      <w:marTop w:val="0"/>
      <w:marBottom w:val="0"/>
      <w:divBdr>
        <w:top w:val="none" w:sz="0" w:space="0" w:color="auto"/>
        <w:left w:val="none" w:sz="0" w:space="0" w:color="auto"/>
        <w:bottom w:val="none" w:sz="0" w:space="0" w:color="auto"/>
        <w:right w:val="none" w:sz="0" w:space="0" w:color="auto"/>
      </w:divBdr>
    </w:div>
    <w:div w:id="36636114">
      <w:bodyDiv w:val="1"/>
      <w:marLeft w:val="0"/>
      <w:marRight w:val="0"/>
      <w:marTop w:val="0"/>
      <w:marBottom w:val="0"/>
      <w:divBdr>
        <w:top w:val="none" w:sz="0" w:space="0" w:color="auto"/>
        <w:left w:val="none" w:sz="0" w:space="0" w:color="auto"/>
        <w:bottom w:val="none" w:sz="0" w:space="0" w:color="auto"/>
        <w:right w:val="none" w:sz="0" w:space="0" w:color="auto"/>
      </w:divBdr>
    </w:div>
    <w:div w:id="41174839">
      <w:bodyDiv w:val="1"/>
      <w:marLeft w:val="0"/>
      <w:marRight w:val="0"/>
      <w:marTop w:val="0"/>
      <w:marBottom w:val="0"/>
      <w:divBdr>
        <w:top w:val="none" w:sz="0" w:space="0" w:color="auto"/>
        <w:left w:val="none" w:sz="0" w:space="0" w:color="auto"/>
        <w:bottom w:val="none" w:sz="0" w:space="0" w:color="auto"/>
        <w:right w:val="none" w:sz="0" w:space="0" w:color="auto"/>
      </w:divBdr>
      <w:divsChild>
        <w:div w:id="758217433">
          <w:marLeft w:val="0"/>
          <w:marRight w:val="0"/>
          <w:marTop w:val="0"/>
          <w:marBottom w:val="0"/>
          <w:divBdr>
            <w:top w:val="none" w:sz="0" w:space="0" w:color="auto"/>
            <w:left w:val="none" w:sz="0" w:space="0" w:color="auto"/>
            <w:bottom w:val="none" w:sz="0" w:space="0" w:color="auto"/>
            <w:right w:val="none" w:sz="0" w:space="0" w:color="auto"/>
          </w:divBdr>
          <w:divsChild>
            <w:div w:id="25719827">
              <w:marLeft w:val="0"/>
              <w:marRight w:val="0"/>
              <w:marTop w:val="0"/>
              <w:marBottom w:val="0"/>
              <w:divBdr>
                <w:top w:val="none" w:sz="0" w:space="0" w:color="auto"/>
                <w:left w:val="none" w:sz="0" w:space="0" w:color="auto"/>
                <w:bottom w:val="none" w:sz="0" w:space="0" w:color="auto"/>
                <w:right w:val="none" w:sz="0" w:space="0" w:color="auto"/>
              </w:divBdr>
              <w:divsChild>
                <w:div w:id="497841377">
                  <w:marLeft w:val="0"/>
                  <w:marRight w:val="0"/>
                  <w:marTop w:val="0"/>
                  <w:marBottom w:val="0"/>
                  <w:divBdr>
                    <w:top w:val="none" w:sz="0" w:space="0" w:color="auto"/>
                    <w:left w:val="none" w:sz="0" w:space="0" w:color="auto"/>
                    <w:bottom w:val="none" w:sz="0" w:space="0" w:color="auto"/>
                    <w:right w:val="none" w:sz="0" w:space="0" w:color="auto"/>
                  </w:divBdr>
                  <w:divsChild>
                    <w:div w:id="1020665799">
                      <w:marLeft w:val="0"/>
                      <w:marRight w:val="0"/>
                      <w:marTop w:val="0"/>
                      <w:marBottom w:val="0"/>
                      <w:divBdr>
                        <w:top w:val="single" w:sz="6" w:space="0" w:color="D8D8D8"/>
                        <w:left w:val="single" w:sz="6" w:space="0" w:color="D8D8D8"/>
                        <w:bottom w:val="single" w:sz="6" w:space="0" w:color="D8D8D8"/>
                        <w:right w:val="single" w:sz="6" w:space="0" w:color="D8D8D8"/>
                      </w:divBdr>
                      <w:divsChild>
                        <w:div w:id="128754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33159">
      <w:bodyDiv w:val="1"/>
      <w:marLeft w:val="0"/>
      <w:marRight w:val="0"/>
      <w:marTop w:val="0"/>
      <w:marBottom w:val="0"/>
      <w:divBdr>
        <w:top w:val="none" w:sz="0" w:space="0" w:color="auto"/>
        <w:left w:val="none" w:sz="0" w:space="0" w:color="auto"/>
        <w:bottom w:val="none" w:sz="0" w:space="0" w:color="auto"/>
        <w:right w:val="none" w:sz="0" w:space="0" w:color="auto"/>
      </w:divBdr>
    </w:div>
    <w:div w:id="52312606">
      <w:bodyDiv w:val="1"/>
      <w:marLeft w:val="0"/>
      <w:marRight w:val="0"/>
      <w:marTop w:val="0"/>
      <w:marBottom w:val="0"/>
      <w:divBdr>
        <w:top w:val="none" w:sz="0" w:space="0" w:color="auto"/>
        <w:left w:val="none" w:sz="0" w:space="0" w:color="auto"/>
        <w:bottom w:val="none" w:sz="0" w:space="0" w:color="auto"/>
        <w:right w:val="none" w:sz="0" w:space="0" w:color="auto"/>
      </w:divBdr>
    </w:div>
    <w:div w:id="54087672">
      <w:bodyDiv w:val="1"/>
      <w:marLeft w:val="0"/>
      <w:marRight w:val="0"/>
      <w:marTop w:val="0"/>
      <w:marBottom w:val="0"/>
      <w:divBdr>
        <w:top w:val="none" w:sz="0" w:space="0" w:color="auto"/>
        <w:left w:val="none" w:sz="0" w:space="0" w:color="auto"/>
        <w:bottom w:val="none" w:sz="0" w:space="0" w:color="auto"/>
        <w:right w:val="none" w:sz="0" w:space="0" w:color="auto"/>
      </w:divBdr>
    </w:div>
    <w:div w:id="55662424">
      <w:bodyDiv w:val="1"/>
      <w:marLeft w:val="0"/>
      <w:marRight w:val="0"/>
      <w:marTop w:val="0"/>
      <w:marBottom w:val="0"/>
      <w:divBdr>
        <w:top w:val="none" w:sz="0" w:space="0" w:color="auto"/>
        <w:left w:val="none" w:sz="0" w:space="0" w:color="auto"/>
        <w:bottom w:val="none" w:sz="0" w:space="0" w:color="auto"/>
        <w:right w:val="none" w:sz="0" w:space="0" w:color="auto"/>
      </w:divBdr>
    </w:div>
    <w:div w:id="56319853">
      <w:bodyDiv w:val="1"/>
      <w:marLeft w:val="0"/>
      <w:marRight w:val="0"/>
      <w:marTop w:val="0"/>
      <w:marBottom w:val="0"/>
      <w:divBdr>
        <w:top w:val="none" w:sz="0" w:space="0" w:color="auto"/>
        <w:left w:val="none" w:sz="0" w:space="0" w:color="auto"/>
        <w:bottom w:val="none" w:sz="0" w:space="0" w:color="auto"/>
        <w:right w:val="none" w:sz="0" w:space="0" w:color="auto"/>
      </w:divBdr>
    </w:div>
    <w:div w:id="58216969">
      <w:bodyDiv w:val="1"/>
      <w:marLeft w:val="0"/>
      <w:marRight w:val="0"/>
      <w:marTop w:val="0"/>
      <w:marBottom w:val="0"/>
      <w:divBdr>
        <w:top w:val="none" w:sz="0" w:space="0" w:color="auto"/>
        <w:left w:val="none" w:sz="0" w:space="0" w:color="auto"/>
        <w:bottom w:val="none" w:sz="0" w:space="0" w:color="auto"/>
        <w:right w:val="none" w:sz="0" w:space="0" w:color="auto"/>
      </w:divBdr>
    </w:div>
    <w:div w:id="61492512">
      <w:bodyDiv w:val="1"/>
      <w:marLeft w:val="0"/>
      <w:marRight w:val="0"/>
      <w:marTop w:val="0"/>
      <w:marBottom w:val="0"/>
      <w:divBdr>
        <w:top w:val="none" w:sz="0" w:space="0" w:color="auto"/>
        <w:left w:val="none" w:sz="0" w:space="0" w:color="auto"/>
        <w:bottom w:val="none" w:sz="0" w:space="0" w:color="auto"/>
        <w:right w:val="none" w:sz="0" w:space="0" w:color="auto"/>
      </w:divBdr>
    </w:div>
    <w:div w:id="62607316">
      <w:bodyDiv w:val="1"/>
      <w:marLeft w:val="0"/>
      <w:marRight w:val="0"/>
      <w:marTop w:val="0"/>
      <w:marBottom w:val="0"/>
      <w:divBdr>
        <w:top w:val="none" w:sz="0" w:space="0" w:color="auto"/>
        <w:left w:val="none" w:sz="0" w:space="0" w:color="auto"/>
        <w:bottom w:val="none" w:sz="0" w:space="0" w:color="auto"/>
        <w:right w:val="none" w:sz="0" w:space="0" w:color="auto"/>
      </w:divBdr>
    </w:div>
    <w:div w:id="67967557">
      <w:bodyDiv w:val="1"/>
      <w:marLeft w:val="0"/>
      <w:marRight w:val="0"/>
      <w:marTop w:val="0"/>
      <w:marBottom w:val="0"/>
      <w:divBdr>
        <w:top w:val="none" w:sz="0" w:space="0" w:color="auto"/>
        <w:left w:val="none" w:sz="0" w:space="0" w:color="auto"/>
        <w:bottom w:val="none" w:sz="0" w:space="0" w:color="auto"/>
        <w:right w:val="none" w:sz="0" w:space="0" w:color="auto"/>
      </w:divBdr>
    </w:div>
    <w:div w:id="70976192">
      <w:bodyDiv w:val="1"/>
      <w:marLeft w:val="0"/>
      <w:marRight w:val="0"/>
      <w:marTop w:val="0"/>
      <w:marBottom w:val="0"/>
      <w:divBdr>
        <w:top w:val="none" w:sz="0" w:space="0" w:color="auto"/>
        <w:left w:val="none" w:sz="0" w:space="0" w:color="auto"/>
        <w:bottom w:val="none" w:sz="0" w:space="0" w:color="auto"/>
        <w:right w:val="none" w:sz="0" w:space="0" w:color="auto"/>
      </w:divBdr>
    </w:div>
    <w:div w:id="75565084">
      <w:bodyDiv w:val="1"/>
      <w:marLeft w:val="0"/>
      <w:marRight w:val="0"/>
      <w:marTop w:val="0"/>
      <w:marBottom w:val="0"/>
      <w:divBdr>
        <w:top w:val="none" w:sz="0" w:space="0" w:color="auto"/>
        <w:left w:val="none" w:sz="0" w:space="0" w:color="auto"/>
        <w:bottom w:val="none" w:sz="0" w:space="0" w:color="auto"/>
        <w:right w:val="none" w:sz="0" w:space="0" w:color="auto"/>
      </w:divBdr>
    </w:div>
    <w:div w:id="85612925">
      <w:bodyDiv w:val="1"/>
      <w:marLeft w:val="0"/>
      <w:marRight w:val="0"/>
      <w:marTop w:val="0"/>
      <w:marBottom w:val="0"/>
      <w:divBdr>
        <w:top w:val="none" w:sz="0" w:space="0" w:color="auto"/>
        <w:left w:val="none" w:sz="0" w:space="0" w:color="auto"/>
        <w:bottom w:val="none" w:sz="0" w:space="0" w:color="auto"/>
        <w:right w:val="none" w:sz="0" w:space="0" w:color="auto"/>
      </w:divBdr>
    </w:div>
    <w:div w:id="102766390">
      <w:bodyDiv w:val="1"/>
      <w:marLeft w:val="0"/>
      <w:marRight w:val="0"/>
      <w:marTop w:val="0"/>
      <w:marBottom w:val="0"/>
      <w:divBdr>
        <w:top w:val="none" w:sz="0" w:space="0" w:color="auto"/>
        <w:left w:val="none" w:sz="0" w:space="0" w:color="auto"/>
        <w:bottom w:val="none" w:sz="0" w:space="0" w:color="auto"/>
        <w:right w:val="none" w:sz="0" w:space="0" w:color="auto"/>
      </w:divBdr>
    </w:div>
    <w:div w:id="105733454">
      <w:bodyDiv w:val="1"/>
      <w:marLeft w:val="0"/>
      <w:marRight w:val="0"/>
      <w:marTop w:val="0"/>
      <w:marBottom w:val="0"/>
      <w:divBdr>
        <w:top w:val="none" w:sz="0" w:space="0" w:color="auto"/>
        <w:left w:val="none" w:sz="0" w:space="0" w:color="auto"/>
        <w:bottom w:val="none" w:sz="0" w:space="0" w:color="auto"/>
        <w:right w:val="none" w:sz="0" w:space="0" w:color="auto"/>
      </w:divBdr>
    </w:div>
    <w:div w:id="120659236">
      <w:bodyDiv w:val="1"/>
      <w:marLeft w:val="0"/>
      <w:marRight w:val="0"/>
      <w:marTop w:val="0"/>
      <w:marBottom w:val="0"/>
      <w:divBdr>
        <w:top w:val="none" w:sz="0" w:space="0" w:color="auto"/>
        <w:left w:val="none" w:sz="0" w:space="0" w:color="auto"/>
        <w:bottom w:val="none" w:sz="0" w:space="0" w:color="auto"/>
        <w:right w:val="none" w:sz="0" w:space="0" w:color="auto"/>
      </w:divBdr>
    </w:div>
    <w:div w:id="139881423">
      <w:bodyDiv w:val="1"/>
      <w:marLeft w:val="0"/>
      <w:marRight w:val="0"/>
      <w:marTop w:val="0"/>
      <w:marBottom w:val="0"/>
      <w:divBdr>
        <w:top w:val="none" w:sz="0" w:space="0" w:color="auto"/>
        <w:left w:val="none" w:sz="0" w:space="0" w:color="auto"/>
        <w:bottom w:val="none" w:sz="0" w:space="0" w:color="auto"/>
        <w:right w:val="none" w:sz="0" w:space="0" w:color="auto"/>
      </w:divBdr>
    </w:div>
    <w:div w:id="140119875">
      <w:bodyDiv w:val="1"/>
      <w:marLeft w:val="0"/>
      <w:marRight w:val="0"/>
      <w:marTop w:val="0"/>
      <w:marBottom w:val="0"/>
      <w:divBdr>
        <w:top w:val="none" w:sz="0" w:space="0" w:color="auto"/>
        <w:left w:val="none" w:sz="0" w:space="0" w:color="auto"/>
        <w:bottom w:val="none" w:sz="0" w:space="0" w:color="auto"/>
        <w:right w:val="none" w:sz="0" w:space="0" w:color="auto"/>
      </w:divBdr>
    </w:div>
    <w:div w:id="161163813">
      <w:bodyDiv w:val="1"/>
      <w:marLeft w:val="0"/>
      <w:marRight w:val="0"/>
      <w:marTop w:val="0"/>
      <w:marBottom w:val="0"/>
      <w:divBdr>
        <w:top w:val="none" w:sz="0" w:space="0" w:color="auto"/>
        <w:left w:val="none" w:sz="0" w:space="0" w:color="auto"/>
        <w:bottom w:val="none" w:sz="0" w:space="0" w:color="auto"/>
        <w:right w:val="none" w:sz="0" w:space="0" w:color="auto"/>
      </w:divBdr>
    </w:div>
    <w:div w:id="161507612">
      <w:bodyDiv w:val="1"/>
      <w:marLeft w:val="0"/>
      <w:marRight w:val="0"/>
      <w:marTop w:val="0"/>
      <w:marBottom w:val="0"/>
      <w:divBdr>
        <w:top w:val="none" w:sz="0" w:space="0" w:color="auto"/>
        <w:left w:val="none" w:sz="0" w:space="0" w:color="auto"/>
        <w:bottom w:val="none" w:sz="0" w:space="0" w:color="auto"/>
        <w:right w:val="none" w:sz="0" w:space="0" w:color="auto"/>
      </w:divBdr>
    </w:div>
    <w:div w:id="163083985">
      <w:bodyDiv w:val="1"/>
      <w:marLeft w:val="0"/>
      <w:marRight w:val="0"/>
      <w:marTop w:val="0"/>
      <w:marBottom w:val="0"/>
      <w:divBdr>
        <w:top w:val="none" w:sz="0" w:space="0" w:color="auto"/>
        <w:left w:val="none" w:sz="0" w:space="0" w:color="auto"/>
        <w:bottom w:val="none" w:sz="0" w:space="0" w:color="auto"/>
        <w:right w:val="none" w:sz="0" w:space="0" w:color="auto"/>
      </w:divBdr>
    </w:div>
    <w:div w:id="177040972">
      <w:bodyDiv w:val="1"/>
      <w:marLeft w:val="0"/>
      <w:marRight w:val="0"/>
      <w:marTop w:val="0"/>
      <w:marBottom w:val="0"/>
      <w:divBdr>
        <w:top w:val="none" w:sz="0" w:space="0" w:color="auto"/>
        <w:left w:val="none" w:sz="0" w:space="0" w:color="auto"/>
        <w:bottom w:val="none" w:sz="0" w:space="0" w:color="auto"/>
        <w:right w:val="none" w:sz="0" w:space="0" w:color="auto"/>
      </w:divBdr>
    </w:div>
    <w:div w:id="186870024">
      <w:bodyDiv w:val="1"/>
      <w:marLeft w:val="0"/>
      <w:marRight w:val="0"/>
      <w:marTop w:val="0"/>
      <w:marBottom w:val="0"/>
      <w:divBdr>
        <w:top w:val="none" w:sz="0" w:space="0" w:color="auto"/>
        <w:left w:val="none" w:sz="0" w:space="0" w:color="auto"/>
        <w:bottom w:val="none" w:sz="0" w:space="0" w:color="auto"/>
        <w:right w:val="none" w:sz="0" w:space="0" w:color="auto"/>
      </w:divBdr>
    </w:div>
    <w:div w:id="193809632">
      <w:bodyDiv w:val="1"/>
      <w:marLeft w:val="0"/>
      <w:marRight w:val="0"/>
      <w:marTop w:val="0"/>
      <w:marBottom w:val="0"/>
      <w:divBdr>
        <w:top w:val="none" w:sz="0" w:space="0" w:color="auto"/>
        <w:left w:val="none" w:sz="0" w:space="0" w:color="auto"/>
        <w:bottom w:val="none" w:sz="0" w:space="0" w:color="auto"/>
        <w:right w:val="none" w:sz="0" w:space="0" w:color="auto"/>
      </w:divBdr>
    </w:div>
    <w:div w:id="194805489">
      <w:bodyDiv w:val="1"/>
      <w:marLeft w:val="0"/>
      <w:marRight w:val="0"/>
      <w:marTop w:val="0"/>
      <w:marBottom w:val="0"/>
      <w:divBdr>
        <w:top w:val="none" w:sz="0" w:space="0" w:color="auto"/>
        <w:left w:val="none" w:sz="0" w:space="0" w:color="auto"/>
        <w:bottom w:val="none" w:sz="0" w:space="0" w:color="auto"/>
        <w:right w:val="none" w:sz="0" w:space="0" w:color="auto"/>
      </w:divBdr>
    </w:div>
    <w:div w:id="212888046">
      <w:bodyDiv w:val="1"/>
      <w:marLeft w:val="0"/>
      <w:marRight w:val="0"/>
      <w:marTop w:val="0"/>
      <w:marBottom w:val="0"/>
      <w:divBdr>
        <w:top w:val="none" w:sz="0" w:space="0" w:color="auto"/>
        <w:left w:val="none" w:sz="0" w:space="0" w:color="auto"/>
        <w:bottom w:val="none" w:sz="0" w:space="0" w:color="auto"/>
        <w:right w:val="none" w:sz="0" w:space="0" w:color="auto"/>
      </w:divBdr>
    </w:div>
    <w:div w:id="226384375">
      <w:bodyDiv w:val="1"/>
      <w:marLeft w:val="0"/>
      <w:marRight w:val="0"/>
      <w:marTop w:val="0"/>
      <w:marBottom w:val="0"/>
      <w:divBdr>
        <w:top w:val="none" w:sz="0" w:space="0" w:color="auto"/>
        <w:left w:val="none" w:sz="0" w:space="0" w:color="auto"/>
        <w:bottom w:val="none" w:sz="0" w:space="0" w:color="auto"/>
        <w:right w:val="none" w:sz="0" w:space="0" w:color="auto"/>
      </w:divBdr>
    </w:div>
    <w:div w:id="232084305">
      <w:bodyDiv w:val="1"/>
      <w:marLeft w:val="0"/>
      <w:marRight w:val="0"/>
      <w:marTop w:val="0"/>
      <w:marBottom w:val="0"/>
      <w:divBdr>
        <w:top w:val="none" w:sz="0" w:space="0" w:color="auto"/>
        <w:left w:val="none" w:sz="0" w:space="0" w:color="auto"/>
        <w:bottom w:val="none" w:sz="0" w:space="0" w:color="auto"/>
        <w:right w:val="none" w:sz="0" w:space="0" w:color="auto"/>
      </w:divBdr>
    </w:div>
    <w:div w:id="247809499">
      <w:bodyDiv w:val="1"/>
      <w:marLeft w:val="0"/>
      <w:marRight w:val="0"/>
      <w:marTop w:val="0"/>
      <w:marBottom w:val="0"/>
      <w:divBdr>
        <w:top w:val="none" w:sz="0" w:space="0" w:color="auto"/>
        <w:left w:val="none" w:sz="0" w:space="0" w:color="auto"/>
        <w:bottom w:val="none" w:sz="0" w:space="0" w:color="auto"/>
        <w:right w:val="none" w:sz="0" w:space="0" w:color="auto"/>
      </w:divBdr>
    </w:div>
    <w:div w:id="269052439">
      <w:bodyDiv w:val="1"/>
      <w:marLeft w:val="0"/>
      <w:marRight w:val="0"/>
      <w:marTop w:val="0"/>
      <w:marBottom w:val="0"/>
      <w:divBdr>
        <w:top w:val="none" w:sz="0" w:space="0" w:color="auto"/>
        <w:left w:val="none" w:sz="0" w:space="0" w:color="auto"/>
        <w:bottom w:val="none" w:sz="0" w:space="0" w:color="auto"/>
        <w:right w:val="none" w:sz="0" w:space="0" w:color="auto"/>
      </w:divBdr>
    </w:div>
    <w:div w:id="272635101">
      <w:bodyDiv w:val="1"/>
      <w:marLeft w:val="0"/>
      <w:marRight w:val="0"/>
      <w:marTop w:val="0"/>
      <w:marBottom w:val="0"/>
      <w:divBdr>
        <w:top w:val="none" w:sz="0" w:space="0" w:color="auto"/>
        <w:left w:val="none" w:sz="0" w:space="0" w:color="auto"/>
        <w:bottom w:val="none" w:sz="0" w:space="0" w:color="auto"/>
        <w:right w:val="none" w:sz="0" w:space="0" w:color="auto"/>
      </w:divBdr>
    </w:div>
    <w:div w:id="277182677">
      <w:bodyDiv w:val="1"/>
      <w:marLeft w:val="0"/>
      <w:marRight w:val="0"/>
      <w:marTop w:val="0"/>
      <w:marBottom w:val="0"/>
      <w:divBdr>
        <w:top w:val="none" w:sz="0" w:space="0" w:color="auto"/>
        <w:left w:val="none" w:sz="0" w:space="0" w:color="auto"/>
        <w:bottom w:val="none" w:sz="0" w:space="0" w:color="auto"/>
        <w:right w:val="none" w:sz="0" w:space="0" w:color="auto"/>
      </w:divBdr>
    </w:div>
    <w:div w:id="278144268">
      <w:bodyDiv w:val="1"/>
      <w:marLeft w:val="0"/>
      <w:marRight w:val="0"/>
      <w:marTop w:val="0"/>
      <w:marBottom w:val="0"/>
      <w:divBdr>
        <w:top w:val="none" w:sz="0" w:space="0" w:color="auto"/>
        <w:left w:val="none" w:sz="0" w:space="0" w:color="auto"/>
        <w:bottom w:val="none" w:sz="0" w:space="0" w:color="auto"/>
        <w:right w:val="none" w:sz="0" w:space="0" w:color="auto"/>
      </w:divBdr>
    </w:div>
    <w:div w:id="286593872">
      <w:bodyDiv w:val="1"/>
      <w:marLeft w:val="0"/>
      <w:marRight w:val="0"/>
      <w:marTop w:val="0"/>
      <w:marBottom w:val="0"/>
      <w:divBdr>
        <w:top w:val="none" w:sz="0" w:space="0" w:color="auto"/>
        <w:left w:val="none" w:sz="0" w:space="0" w:color="auto"/>
        <w:bottom w:val="none" w:sz="0" w:space="0" w:color="auto"/>
        <w:right w:val="none" w:sz="0" w:space="0" w:color="auto"/>
      </w:divBdr>
    </w:div>
    <w:div w:id="302391438">
      <w:bodyDiv w:val="1"/>
      <w:marLeft w:val="0"/>
      <w:marRight w:val="0"/>
      <w:marTop w:val="0"/>
      <w:marBottom w:val="0"/>
      <w:divBdr>
        <w:top w:val="none" w:sz="0" w:space="0" w:color="auto"/>
        <w:left w:val="none" w:sz="0" w:space="0" w:color="auto"/>
        <w:bottom w:val="none" w:sz="0" w:space="0" w:color="auto"/>
        <w:right w:val="none" w:sz="0" w:space="0" w:color="auto"/>
      </w:divBdr>
    </w:div>
    <w:div w:id="302933147">
      <w:bodyDiv w:val="1"/>
      <w:marLeft w:val="0"/>
      <w:marRight w:val="0"/>
      <w:marTop w:val="0"/>
      <w:marBottom w:val="0"/>
      <w:divBdr>
        <w:top w:val="none" w:sz="0" w:space="0" w:color="auto"/>
        <w:left w:val="none" w:sz="0" w:space="0" w:color="auto"/>
        <w:bottom w:val="none" w:sz="0" w:space="0" w:color="auto"/>
        <w:right w:val="none" w:sz="0" w:space="0" w:color="auto"/>
      </w:divBdr>
    </w:div>
    <w:div w:id="315687692">
      <w:bodyDiv w:val="1"/>
      <w:marLeft w:val="0"/>
      <w:marRight w:val="0"/>
      <w:marTop w:val="0"/>
      <w:marBottom w:val="0"/>
      <w:divBdr>
        <w:top w:val="none" w:sz="0" w:space="0" w:color="auto"/>
        <w:left w:val="none" w:sz="0" w:space="0" w:color="auto"/>
        <w:bottom w:val="none" w:sz="0" w:space="0" w:color="auto"/>
        <w:right w:val="none" w:sz="0" w:space="0" w:color="auto"/>
      </w:divBdr>
      <w:divsChild>
        <w:div w:id="1315989245">
          <w:marLeft w:val="0"/>
          <w:marRight w:val="0"/>
          <w:marTop w:val="0"/>
          <w:marBottom w:val="0"/>
          <w:divBdr>
            <w:top w:val="none" w:sz="0" w:space="0" w:color="auto"/>
            <w:left w:val="none" w:sz="0" w:space="0" w:color="auto"/>
            <w:bottom w:val="none" w:sz="0" w:space="0" w:color="auto"/>
            <w:right w:val="none" w:sz="0" w:space="0" w:color="auto"/>
          </w:divBdr>
          <w:divsChild>
            <w:div w:id="615599161">
              <w:marLeft w:val="0"/>
              <w:marRight w:val="0"/>
              <w:marTop w:val="0"/>
              <w:marBottom w:val="0"/>
              <w:divBdr>
                <w:top w:val="none" w:sz="0" w:space="0" w:color="auto"/>
                <w:left w:val="none" w:sz="0" w:space="0" w:color="auto"/>
                <w:bottom w:val="none" w:sz="0" w:space="0" w:color="auto"/>
                <w:right w:val="none" w:sz="0" w:space="0" w:color="auto"/>
              </w:divBdr>
              <w:divsChild>
                <w:div w:id="743113422">
                  <w:marLeft w:val="0"/>
                  <w:marRight w:val="0"/>
                  <w:marTop w:val="0"/>
                  <w:marBottom w:val="0"/>
                  <w:divBdr>
                    <w:top w:val="none" w:sz="0" w:space="0" w:color="auto"/>
                    <w:left w:val="none" w:sz="0" w:space="0" w:color="auto"/>
                    <w:bottom w:val="none" w:sz="0" w:space="0" w:color="auto"/>
                    <w:right w:val="none" w:sz="0" w:space="0" w:color="auto"/>
                  </w:divBdr>
                  <w:divsChild>
                    <w:div w:id="751706342">
                      <w:marLeft w:val="0"/>
                      <w:marRight w:val="0"/>
                      <w:marTop w:val="0"/>
                      <w:marBottom w:val="0"/>
                      <w:divBdr>
                        <w:top w:val="none" w:sz="0" w:space="0" w:color="auto"/>
                        <w:left w:val="none" w:sz="0" w:space="0" w:color="auto"/>
                        <w:bottom w:val="none" w:sz="0" w:space="0" w:color="auto"/>
                        <w:right w:val="none" w:sz="0" w:space="0" w:color="auto"/>
                      </w:divBdr>
                      <w:divsChild>
                        <w:div w:id="1731266608">
                          <w:marLeft w:val="0"/>
                          <w:marRight w:val="0"/>
                          <w:marTop w:val="0"/>
                          <w:marBottom w:val="0"/>
                          <w:divBdr>
                            <w:top w:val="none" w:sz="0" w:space="0" w:color="auto"/>
                            <w:left w:val="none" w:sz="0" w:space="0" w:color="auto"/>
                            <w:bottom w:val="none" w:sz="0" w:space="0" w:color="auto"/>
                            <w:right w:val="none" w:sz="0" w:space="0" w:color="auto"/>
                          </w:divBdr>
                          <w:divsChild>
                            <w:div w:id="1175533845">
                              <w:marLeft w:val="0"/>
                              <w:marRight w:val="0"/>
                              <w:marTop w:val="0"/>
                              <w:marBottom w:val="0"/>
                              <w:divBdr>
                                <w:top w:val="none" w:sz="0" w:space="0" w:color="auto"/>
                                <w:left w:val="none" w:sz="0" w:space="0" w:color="auto"/>
                                <w:bottom w:val="none" w:sz="0" w:space="0" w:color="auto"/>
                                <w:right w:val="none" w:sz="0" w:space="0" w:color="auto"/>
                              </w:divBdr>
                              <w:divsChild>
                                <w:div w:id="258028042">
                                  <w:marLeft w:val="0"/>
                                  <w:marRight w:val="0"/>
                                  <w:marTop w:val="0"/>
                                  <w:marBottom w:val="0"/>
                                  <w:divBdr>
                                    <w:top w:val="none" w:sz="0" w:space="0" w:color="auto"/>
                                    <w:left w:val="none" w:sz="0" w:space="0" w:color="auto"/>
                                    <w:bottom w:val="none" w:sz="0" w:space="0" w:color="auto"/>
                                    <w:right w:val="none" w:sz="0" w:space="0" w:color="auto"/>
                                  </w:divBdr>
                                  <w:divsChild>
                                    <w:div w:id="1833793411">
                                      <w:marLeft w:val="0"/>
                                      <w:marRight w:val="0"/>
                                      <w:marTop w:val="0"/>
                                      <w:marBottom w:val="0"/>
                                      <w:divBdr>
                                        <w:top w:val="none" w:sz="0" w:space="0" w:color="auto"/>
                                        <w:left w:val="none" w:sz="0" w:space="0" w:color="auto"/>
                                        <w:bottom w:val="none" w:sz="0" w:space="0" w:color="auto"/>
                                        <w:right w:val="none" w:sz="0" w:space="0" w:color="auto"/>
                                      </w:divBdr>
                                      <w:divsChild>
                                        <w:div w:id="204971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6423555">
      <w:bodyDiv w:val="1"/>
      <w:marLeft w:val="0"/>
      <w:marRight w:val="0"/>
      <w:marTop w:val="0"/>
      <w:marBottom w:val="0"/>
      <w:divBdr>
        <w:top w:val="none" w:sz="0" w:space="0" w:color="auto"/>
        <w:left w:val="none" w:sz="0" w:space="0" w:color="auto"/>
        <w:bottom w:val="none" w:sz="0" w:space="0" w:color="auto"/>
        <w:right w:val="none" w:sz="0" w:space="0" w:color="auto"/>
      </w:divBdr>
    </w:div>
    <w:div w:id="317468298">
      <w:bodyDiv w:val="1"/>
      <w:marLeft w:val="0"/>
      <w:marRight w:val="0"/>
      <w:marTop w:val="0"/>
      <w:marBottom w:val="0"/>
      <w:divBdr>
        <w:top w:val="none" w:sz="0" w:space="0" w:color="auto"/>
        <w:left w:val="none" w:sz="0" w:space="0" w:color="auto"/>
        <w:bottom w:val="none" w:sz="0" w:space="0" w:color="auto"/>
        <w:right w:val="none" w:sz="0" w:space="0" w:color="auto"/>
      </w:divBdr>
    </w:div>
    <w:div w:id="317804887">
      <w:bodyDiv w:val="1"/>
      <w:marLeft w:val="0"/>
      <w:marRight w:val="0"/>
      <w:marTop w:val="0"/>
      <w:marBottom w:val="0"/>
      <w:divBdr>
        <w:top w:val="none" w:sz="0" w:space="0" w:color="auto"/>
        <w:left w:val="none" w:sz="0" w:space="0" w:color="auto"/>
        <w:bottom w:val="none" w:sz="0" w:space="0" w:color="auto"/>
        <w:right w:val="none" w:sz="0" w:space="0" w:color="auto"/>
      </w:divBdr>
    </w:div>
    <w:div w:id="321738742">
      <w:bodyDiv w:val="1"/>
      <w:marLeft w:val="0"/>
      <w:marRight w:val="0"/>
      <w:marTop w:val="0"/>
      <w:marBottom w:val="0"/>
      <w:divBdr>
        <w:top w:val="none" w:sz="0" w:space="0" w:color="auto"/>
        <w:left w:val="none" w:sz="0" w:space="0" w:color="auto"/>
        <w:bottom w:val="none" w:sz="0" w:space="0" w:color="auto"/>
        <w:right w:val="none" w:sz="0" w:space="0" w:color="auto"/>
      </w:divBdr>
    </w:div>
    <w:div w:id="326444708">
      <w:bodyDiv w:val="1"/>
      <w:marLeft w:val="0"/>
      <w:marRight w:val="0"/>
      <w:marTop w:val="0"/>
      <w:marBottom w:val="0"/>
      <w:divBdr>
        <w:top w:val="none" w:sz="0" w:space="0" w:color="auto"/>
        <w:left w:val="none" w:sz="0" w:space="0" w:color="auto"/>
        <w:bottom w:val="none" w:sz="0" w:space="0" w:color="auto"/>
        <w:right w:val="none" w:sz="0" w:space="0" w:color="auto"/>
      </w:divBdr>
    </w:div>
    <w:div w:id="328992364">
      <w:bodyDiv w:val="1"/>
      <w:marLeft w:val="0"/>
      <w:marRight w:val="0"/>
      <w:marTop w:val="0"/>
      <w:marBottom w:val="0"/>
      <w:divBdr>
        <w:top w:val="none" w:sz="0" w:space="0" w:color="auto"/>
        <w:left w:val="none" w:sz="0" w:space="0" w:color="auto"/>
        <w:bottom w:val="none" w:sz="0" w:space="0" w:color="auto"/>
        <w:right w:val="none" w:sz="0" w:space="0" w:color="auto"/>
      </w:divBdr>
    </w:div>
    <w:div w:id="332802009">
      <w:bodyDiv w:val="1"/>
      <w:marLeft w:val="0"/>
      <w:marRight w:val="0"/>
      <w:marTop w:val="0"/>
      <w:marBottom w:val="0"/>
      <w:divBdr>
        <w:top w:val="none" w:sz="0" w:space="0" w:color="auto"/>
        <w:left w:val="none" w:sz="0" w:space="0" w:color="auto"/>
        <w:bottom w:val="none" w:sz="0" w:space="0" w:color="auto"/>
        <w:right w:val="none" w:sz="0" w:space="0" w:color="auto"/>
      </w:divBdr>
    </w:div>
    <w:div w:id="334265217">
      <w:bodyDiv w:val="1"/>
      <w:marLeft w:val="0"/>
      <w:marRight w:val="0"/>
      <w:marTop w:val="0"/>
      <w:marBottom w:val="0"/>
      <w:divBdr>
        <w:top w:val="none" w:sz="0" w:space="0" w:color="auto"/>
        <w:left w:val="none" w:sz="0" w:space="0" w:color="auto"/>
        <w:bottom w:val="none" w:sz="0" w:space="0" w:color="auto"/>
        <w:right w:val="none" w:sz="0" w:space="0" w:color="auto"/>
      </w:divBdr>
    </w:div>
    <w:div w:id="338851181">
      <w:bodyDiv w:val="1"/>
      <w:marLeft w:val="0"/>
      <w:marRight w:val="0"/>
      <w:marTop w:val="0"/>
      <w:marBottom w:val="0"/>
      <w:divBdr>
        <w:top w:val="none" w:sz="0" w:space="0" w:color="auto"/>
        <w:left w:val="none" w:sz="0" w:space="0" w:color="auto"/>
        <w:bottom w:val="none" w:sz="0" w:space="0" w:color="auto"/>
        <w:right w:val="none" w:sz="0" w:space="0" w:color="auto"/>
      </w:divBdr>
    </w:div>
    <w:div w:id="339353562">
      <w:bodyDiv w:val="1"/>
      <w:marLeft w:val="0"/>
      <w:marRight w:val="0"/>
      <w:marTop w:val="0"/>
      <w:marBottom w:val="0"/>
      <w:divBdr>
        <w:top w:val="none" w:sz="0" w:space="0" w:color="auto"/>
        <w:left w:val="none" w:sz="0" w:space="0" w:color="auto"/>
        <w:bottom w:val="none" w:sz="0" w:space="0" w:color="auto"/>
        <w:right w:val="none" w:sz="0" w:space="0" w:color="auto"/>
      </w:divBdr>
    </w:div>
    <w:div w:id="342586811">
      <w:bodyDiv w:val="1"/>
      <w:marLeft w:val="0"/>
      <w:marRight w:val="0"/>
      <w:marTop w:val="0"/>
      <w:marBottom w:val="0"/>
      <w:divBdr>
        <w:top w:val="none" w:sz="0" w:space="0" w:color="auto"/>
        <w:left w:val="none" w:sz="0" w:space="0" w:color="auto"/>
        <w:bottom w:val="none" w:sz="0" w:space="0" w:color="auto"/>
        <w:right w:val="none" w:sz="0" w:space="0" w:color="auto"/>
      </w:divBdr>
    </w:div>
    <w:div w:id="345207952">
      <w:bodyDiv w:val="1"/>
      <w:marLeft w:val="0"/>
      <w:marRight w:val="0"/>
      <w:marTop w:val="0"/>
      <w:marBottom w:val="0"/>
      <w:divBdr>
        <w:top w:val="none" w:sz="0" w:space="0" w:color="auto"/>
        <w:left w:val="none" w:sz="0" w:space="0" w:color="auto"/>
        <w:bottom w:val="none" w:sz="0" w:space="0" w:color="auto"/>
        <w:right w:val="none" w:sz="0" w:space="0" w:color="auto"/>
      </w:divBdr>
    </w:div>
    <w:div w:id="368140394">
      <w:bodyDiv w:val="1"/>
      <w:marLeft w:val="0"/>
      <w:marRight w:val="0"/>
      <w:marTop w:val="0"/>
      <w:marBottom w:val="0"/>
      <w:divBdr>
        <w:top w:val="none" w:sz="0" w:space="0" w:color="auto"/>
        <w:left w:val="none" w:sz="0" w:space="0" w:color="auto"/>
        <w:bottom w:val="none" w:sz="0" w:space="0" w:color="auto"/>
        <w:right w:val="none" w:sz="0" w:space="0" w:color="auto"/>
      </w:divBdr>
    </w:div>
    <w:div w:id="373774490">
      <w:bodyDiv w:val="1"/>
      <w:marLeft w:val="0"/>
      <w:marRight w:val="0"/>
      <w:marTop w:val="0"/>
      <w:marBottom w:val="0"/>
      <w:divBdr>
        <w:top w:val="none" w:sz="0" w:space="0" w:color="auto"/>
        <w:left w:val="none" w:sz="0" w:space="0" w:color="auto"/>
        <w:bottom w:val="none" w:sz="0" w:space="0" w:color="auto"/>
        <w:right w:val="none" w:sz="0" w:space="0" w:color="auto"/>
      </w:divBdr>
    </w:div>
    <w:div w:id="379087649">
      <w:bodyDiv w:val="1"/>
      <w:marLeft w:val="0"/>
      <w:marRight w:val="0"/>
      <w:marTop w:val="0"/>
      <w:marBottom w:val="0"/>
      <w:divBdr>
        <w:top w:val="none" w:sz="0" w:space="0" w:color="auto"/>
        <w:left w:val="none" w:sz="0" w:space="0" w:color="auto"/>
        <w:bottom w:val="none" w:sz="0" w:space="0" w:color="auto"/>
        <w:right w:val="none" w:sz="0" w:space="0" w:color="auto"/>
      </w:divBdr>
    </w:div>
    <w:div w:id="380907798">
      <w:bodyDiv w:val="1"/>
      <w:marLeft w:val="0"/>
      <w:marRight w:val="0"/>
      <w:marTop w:val="0"/>
      <w:marBottom w:val="0"/>
      <w:divBdr>
        <w:top w:val="none" w:sz="0" w:space="0" w:color="auto"/>
        <w:left w:val="none" w:sz="0" w:space="0" w:color="auto"/>
        <w:bottom w:val="none" w:sz="0" w:space="0" w:color="auto"/>
        <w:right w:val="none" w:sz="0" w:space="0" w:color="auto"/>
      </w:divBdr>
    </w:div>
    <w:div w:id="391738441">
      <w:bodyDiv w:val="1"/>
      <w:marLeft w:val="0"/>
      <w:marRight w:val="0"/>
      <w:marTop w:val="0"/>
      <w:marBottom w:val="0"/>
      <w:divBdr>
        <w:top w:val="none" w:sz="0" w:space="0" w:color="auto"/>
        <w:left w:val="none" w:sz="0" w:space="0" w:color="auto"/>
        <w:bottom w:val="none" w:sz="0" w:space="0" w:color="auto"/>
        <w:right w:val="none" w:sz="0" w:space="0" w:color="auto"/>
      </w:divBdr>
    </w:div>
    <w:div w:id="391999528">
      <w:bodyDiv w:val="1"/>
      <w:marLeft w:val="0"/>
      <w:marRight w:val="0"/>
      <w:marTop w:val="0"/>
      <w:marBottom w:val="0"/>
      <w:divBdr>
        <w:top w:val="none" w:sz="0" w:space="0" w:color="auto"/>
        <w:left w:val="none" w:sz="0" w:space="0" w:color="auto"/>
        <w:bottom w:val="none" w:sz="0" w:space="0" w:color="auto"/>
        <w:right w:val="none" w:sz="0" w:space="0" w:color="auto"/>
      </w:divBdr>
    </w:div>
    <w:div w:id="408621235">
      <w:bodyDiv w:val="1"/>
      <w:marLeft w:val="0"/>
      <w:marRight w:val="0"/>
      <w:marTop w:val="0"/>
      <w:marBottom w:val="0"/>
      <w:divBdr>
        <w:top w:val="none" w:sz="0" w:space="0" w:color="auto"/>
        <w:left w:val="none" w:sz="0" w:space="0" w:color="auto"/>
        <w:bottom w:val="none" w:sz="0" w:space="0" w:color="auto"/>
        <w:right w:val="none" w:sz="0" w:space="0" w:color="auto"/>
      </w:divBdr>
    </w:div>
    <w:div w:id="412893373">
      <w:bodyDiv w:val="1"/>
      <w:marLeft w:val="0"/>
      <w:marRight w:val="0"/>
      <w:marTop w:val="0"/>
      <w:marBottom w:val="0"/>
      <w:divBdr>
        <w:top w:val="none" w:sz="0" w:space="0" w:color="auto"/>
        <w:left w:val="none" w:sz="0" w:space="0" w:color="auto"/>
        <w:bottom w:val="none" w:sz="0" w:space="0" w:color="auto"/>
        <w:right w:val="none" w:sz="0" w:space="0" w:color="auto"/>
      </w:divBdr>
    </w:div>
    <w:div w:id="423116528">
      <w:bodyDiv w:val="1"/>
      <w:marLeft w:val="0"/>
      <w:marRight w:val="0"/>
      <w:marTop w:val="0"/>
      <w:marBottom w:val="0"/>
      <w:divBdr>
        <w:top w:val="none" w:sz="0" w:space="0" w:color="auto"/>
        <w:left w:val="none" w:sz="0" w:space="0" w:color="auto"/>
        <w:bottom w:val="none" w:sz="0" w:space="0" w:color="auto"/>
        <w:right w:val="none" w:sz="0" w:space="0" w:color="auto"/>
      </w:divBdr>
    </w:div>
    <w:div w:id="430128723">
      <w:bodyDiv w:val="1"/>
      <w:marLeft w:val="0"/>
      <w:marRight w:val="0"/>
      <w:marTop w:val="0"/>
      <w:marBottom w:val="0"/>
      <w:divBdr>
        <w:top w:val="none" w:sz="0" w:space="0" w:color="auto"/>
        <w:left w:val="none" w:sz="0" w:space="0" w:color="auto"/>
        <w:bottom w:val="none" w:sz="0" w:space="0" w:color="auto"/>
        <w:right w:val="none" w:sz="0" w:space="0" w:color="auto"/>
      </w:divBdr>
    </w:div>
    <w:div w:id="431319165">
      <w:bodyDiv w:val="1"/>
      <w:marLeft w:val="0"/>
      <w:marRight w:val="0"/>
      <w:marTop w:val="0"/>
      <w:marBottom w:val="0"/>
      <w:divBdr>
        <w:top w:val="none" w:sz="0" w:space="0" w:color="auto"/>
        <w:left w:val="none" w:sz="0" w:space="0" w:color="auto"/>
        <w:bottom w:val="none" w:sz="0" w:space="0" w:color="auto"/>
        <w:right w:val="none" w:sz="0" w:space="0" w:color="auto"/>
      </w:divBdr>
    </w:div>
    <w:div w:id="432287968">
      <w:bodyDiv w:val="1"/>
      <w:marLeft w:val="0"/>
      <w:marRight w:val="0"/>
      <w:marTop w:val="0"/>
      <w:marBottom w:val="0"/>
      <w:divBdr>
        <w:top w:val="none" w:sz="0" w:space="0" w:color="auto"/>
        <w:left w:val="none" w:sz="0" w:space="0" w:color="auto"/>
        <w:bottom w:val="none" w:sz="0" w:space="0" w:color="auto"/>
        <w:right w:val="none" w:sz="0" w:space="0" w:color="auto"/>
      </w:divBdr>
    </w:div>
    <w:div w:id="434138491">
      <w:bodyDiv w:val="1"/>
      <w:marLeft w:val="0"/>
      <w:marRight w:val="0"/>
      <w:marTop w:val="0"/>
      <w:marBottom w:val="0"/>
      <w:divBdr>
        <w:top w:val="none" w:sz="0" w:space="0" w:color="auto"/>
        <w:left w:val="none" w:sz="0" w:space="0" w:color="auto"/>
        <w:bottom w:val="none" w:sz="0" w:space="0" w:color="auto"/>
        <w:right w:val="none" w:sz="0" w:space="0" w:color="auto"/>
      </w:divBdr>
    </w:div>
    <w:div w:id="437796119">
      <w:bodyDiv w:val="1"/>
      <w:marLeft w:val="0"/>
      <w:marRight w:val="0"/>
      <w:marTop w:val="0"/>
      <w:marBottom w:val="0"/>
      <w:divBdr>
        <w:top w:val="none" w:sz="0" w:space="0" w:color="auto"/>
        <w:left w:val="none" w:sz="0" w:space="0" w:color="auto"/>
        <w:bottom w:val="none" w:sz="0" w:space="0" w:color="auto"/>
        <w:right w:val="none" w:sz="0" w:space="0" w:color="auto"/>
      </w:divBdr>
      <w:divsChild>
        <w:div w:id="155459603">
          <w:marLeft w:val="0"/>
          <w:marRight w:val="0"/>
          <w:marTop w:val="0"/>
          <w:marBottom w:val="0"/>
          <w:divBdr>
            <w:top w:val="none" w:sz="0" w:space="0" w:color="auto"/>
            <w:left w:val="none" w:sz="0" w:space="0" w:color="auto"/>
            <w:bottom w:val="none" w:sz="0" w:space="0" w:color="auto"/>
            <w:right w:val="none" w:sz="0" w:space="0" w:color="auto"/>
          </w:divBdr>
          <w:divsChild>
            <w:div w:id="1836451911">
              <w:marLeft w:val="0"/>
              <w:marRight w:val="0"/>
              <w:marTop w:val="0"/>
              <w:marBottom w:val="0"/>
              <w:divBdr>
                <w:top w:val="none" w:sz="0" w:space="0" w:color="auto"/>
                <w:left w:val="none" w:sz="0" w:space="0" w:color="auto"/>
                <w:bottom w:val="none" w:sz="0" w:space="0" w:color="auto"/>
                <w:right w:val="none" w:sz="0" w:space="0" w:color="auto"/>
              </w:divBdr>
              <w:divsChild>
                <w:div w:id="1294362480">
                  <w:marLeft w:val="0"/>
                  <w:marRight w:val="0"/>
                  <w:marTop w:val="0"/>
                  <w:marBottom w:val="0"/>
                  <w:divBdr>
                    <w:top w:val="none" w:sz="0" w:space="0" w:color="auto"/>
                    <w:left w:val="none" w:sz="0" w:space="0" w:color="auto"/>
                    <w:bottom w:val="none" w:sz="0" w:space="0" w:color="auto"/>
                    <w:right w:val="none" w:sz="0" w:space="0" w:color="auto"/>
                  </w:divBdr>
                  <w:divsChild>
                    <w:div w:id="110831100">
                      <w:marLeft w:val="0"/>
                      <w:marRight w:val="0"/>
                      <w:marTop w:val="0"/>
                      <w:marBottom w:val="0"/>
                      <w:divBdr>
                        <w:top w:val="none" w:sz="0" w:space="0" w:color="auto"/>
                        <w:left w:val="none" w:sz="0" w:space="0" w:color="auto"/>
                        <w:bottom w:val="none" w:sz="0" w:space="0" w:color="auto"/>
                        <w:right w:val="none" w:sz="0" w:space="0" w:color="auto"/>
                      </w:divBdr>
                      <w:divsChild>
                        <w:div w:id="1968006998">
                          <w:marLeft w:val="0"/>
                          <w:marRight w:val="0"/>
                          <w:marTop w:val="0"/>
                          <w:marBottom w:val="0"/>
                          <w:divBdr>
                            <w:top w:val="none" w:sz="0" w:space="0" w:color="auto"/>
                            <w:left w:val="none" w:sz="0" w:space="0" w:color="auto"/>
                            <w:bottom w:val="none" w:sz="0" w:space="0" w:color="auto"/>
                            <w:right w:val="none" w:sz="0" w:space="0" w:color="auto"/>
                          </w:divBdr>
                          <w:divsChild>
                            <w:div w:id="1021391945">
                              <w:marLeft w:val="0"/>
                              <w:marRight w:val="0"/>
                              <w:marTop w:val="0"/>
                              <w:marBottom w:val="0"/>
                              <w:divBdr>
                                <w:top w:val="none" w:sz="0" w:space="0" w:color="auto"/>
                                <w:left w:val="none" w:sz="0" w:space="0" w:color="auto"/>
                                <w:bottom w:val="none" w:sz="0" w:space="0" w:color="auto"/>
                                <w:right w:val="none" w:sz="0" w:space="0" w:color="auto"/>
                              </w:divBdr>
                              <w:divsChild>
                                <w:div w:id="2116709895">
                                  <w:marLeft w:val="0"/>
                                  <w:marRight w:val="0"/>
                                  <w:marTop w:val="0"/>
                                  <w:marBottom w:val="0"/>
                                  <w:divBdr>
                                    <w:top w:val="none" w:sz="0" w:space="0" w:color="auto"/>
                                    <w:left w:val="none" w:sz="0" w:space="0" w:color="auto"/>
                                    <w:bottom w:val="none" w:sz="0" w:space="0" w:color="auto"/>
                                    <w:right w:val="none" w:sz="0" w:space="0" w:color="auto"/>
                                  </w:divBdr>
                                  <w:divsChild>
                                    <w:div w:id="1260748615">
                                      <w:marLeft w:val="0"/>
                                      <w:marRight w:val="0"/>
                                      <w:marTop w:val="0"/>
                                      <w:marBottom w:val="0"/>
                                      <w:divBdr>
                                        <w:top w:val="none" w:sz="0" w:space="0" w:color="auto"/>
                                        <w:left w:val="none" w:sz="0" w:space="0" w:color="auto"/>
                                        <w:bottom w:val="none" w:sz="0" w:space="0" w:color="auto"/>
                                        <w:right w:val="none" w:sz="0" w:space="0" w:color="auto"/>
                                      </w:divBdr>
                                      <w:divsChild>
                                        <w:div w:id="195795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5925159">
      <w:bodyDiv w:val="1"/>
      <w:marLeft w:val="0"/>
      <w:marRight w:val="0"/>
      <w:marTop w:val="0"/>
      <w:marBottom w:val="0"/>
      <w:divBdr>
        <w:top w:val="none" w:sz="0" w:space="0" w:color="auto"/>
        <w:left w:val="none" w:sz="0" w:space="0" w:color="auto"/>
        <w:bottom w:val="none" w:sz="0" w:space="0" w:color="auto"/>
        <w:right w:val="none" w:sz="0" w:space="0" w:color="auto"/>
      </w:divBdr>
    </w:div>
    <w:div w:id="452135677">
      <w:bodyDiv w:val="1"/>
      <w:marLeft w:val="0"/>
      <w:marRight w:val="0"/>
      <w:marTop w:val="0"/>
      <w:marBottom w:val="0"/>
      <w:divBdr>
        <w:top w:val="none" w:sz="0" w:space="0" w:color="auto"/>
        <w:left w:val="none" w:sz="0" w:space="0" w:color="auto"/>
        <w:bottom w:val="none" w:sz="0" w:space="0" w:color="auto"/>
        <w:right w:val="none" w:sz="0" w:space="0" w:color="auto"/>
      </w:divBdr>
    </w:div>
    <w:div w:id="452601650">
      <w:bodyDiv w:val="1"/>
      <w:marLeft w:val="0"/>
      <w:marRight w:val="0"/>
      <w:marTop w:val="0"/>
      <w:marBottom w:val="0"/>
      <w:divBdr>
        <w:top w:val="none" w:sz="0" w:space="0" w:color="auto"/>
        <w:left w:val="none" w:sz="0" w:space="0" w:color="auto"/>
        <w:bottom w:val="none" w:sz="0" w:space="0" w:color="auto"/>
        <w:right w:val="none" w:sz="0" w:space="0" w:color="auto"/>
      </w:divBdr>
    </w:div>
    <w:div w:id="455610507">
      <w:bodyDiv w:val="1"/>
      <w:marLeft w:val="0"/>
      <w:marRight w:val="0"/>
      <w:marTop w:val="0"/>
      <w:marBottom w:val="0"/>
      <w:divBdr>
        <w:top w:val="none" w:sz="0" w:space="0" w:color="auto"/>
        <w:left w:val="none" w:sz="0" w:space="0" w:color="auto"/>
        <w:bottom w:val="none" w:sz="0" w:space="0" w:color="auto"/>
        <w:right w:val="none" w:sz="0" w:space="0" w:color="auto"/>
      </w:divBdr>
    </w:div>
    <w:div w:id="466820231">
      <w:bodyDiv w:val="1"/>
      <w:marLeft w:val="0"/>
      <w:marRight w:val="0"/>
      <w:marTop w:val="0"/>
      <w:marBottom w:val="0"/>
      <w:divBdr>
        <w:top w:val="none" w:sz="0" w:space="0" w:color="auto"/>
        <w:left w:val="none" w:sz="0" w:space="0" w:color="auto"/>
        <w:bottom w:val="none" w:sz="0" w:space="0" w:color="auto"/>
        <w:right w:val="none" w:sz="0" w:space="0" w:color="auto"/>
      </w:divBdr>
    </w:div>
    <w:div w:id="467287826">
      <w:bodyDiv w:val="1"/>
      <w:marLeft w:val="0"/>
      <w:marRight w:val="0"/>
      <w:marTop w:val="0"/>
      <w:marBottom w:val="0"/>
      <w:divBdr>
        <w:top w:val="none" w:sz="0" w:space="0" w:color="auto"/>
        <w:left w:val="none" w:sz="0" w:space="0" w:color="auto"/>
        <w:bottom w:val="none" w:sz="0" w:space="0" w:color="auto"/>
        <w:right w:val="none" w:sz="0" w:space="0" w:color="auto"/>
      </w:divBdr>
    </w:div>
    <w:div w:id="471366409">
      <w:bodyDiv w:val="1"/>
      <w:marLeft w:val="0"/>
      <w:marRight w:val="0"/>
      <w:marTop w:val="0"/>
      <w:marBottom w:val="0"/>
      <w:divBdr>
        <w:top w:val="none" w:sz="0" w:space="0" w:color="auto"/>
        <w:left w:val="none" w:sz="0" w:space="0" w:color="auto"/>
        <w:bottom w:val="none" w:sz="0" w:space="0" w:color="auto"/>
        <w:right w:val="none" w:sz="0" w:space="0" w:color="auto"/>
      </w:divBdr>
    </w:div>
    <w:div w:id="474226361">
      <w:bodyDiv w:val="1"/>
      <w:marLeft w:val="0"/>
      <w:marRight w:val="0"/>
      <w:marTop w:val="0"/>
      <w:marBottom w:val="0"/>
      <w:divBdr>
        <w:top w:val="none" w:sz="0" w:space="0" w:color="auto"/>
        <w:left w:val="none" w:sz="0" w:space="0" w:color="auto"/>
        <w:bottom w:val="none" w:sz="0" w:space="0" w:color="auto"/>
        <w:right w:val="none" w:sz="0" w:space="0" w:color="auto"/>
      </w:divBdr>
    </w:div>
    <w:div w:id="475532189">
      <w:bodyDiv w:val="1"/>
      <w:marLeft w:val="0"/>
      <w:marRight w:val="0"/>
      <w:marTop w:val="0"/>
      <w:marBottom w:val="0"/>
      <w:divBdr>
        <w:top w:val="none" w:sz="0" w:space="0" w:color="auto"/>
        <w:left w:val="none" w:sz="0" w:space="0" w:color="auto"/>
        <w:bottom w:val="none" w:sz="0" w:space="0" w:color="auto"/>
        <w:right w:val="none" w:sz="0" w:space="0" w:color="auto"/>
      </w:divBdr>
    </w:div>
    <w:div w:id="475609073">
      <w:bodyDiv w:val="1"/>
      <w:marLeft w:val="0"/>
      <w:marRight w:val="0"/>
      <w:marTop w:val="0"/>
      <w:marBottom w:val="0"/>
      <w:divBdr>
        <w:top w:val="none" w:sz="0" w:space="0" w:color="auto"/>
        <w:left w:val="none" w:sz="0" w:space="0" w:color="auto"/>
        <w:bottom w:val="none" w:sz="0" w:space="0" w:color="auto"/>
        <w:right w:val="none" w:sz="0" w:space="0" w:color="auto"/>
      </w:divBdr>
    </w:div>
    <w:div w:id="482163761">
      <w:bodyDiv w:val="1"/>
      <w:marLeft w:val="0"/>
      <w:marRight w:val="0"/>
      <w:marTop w:val="0"/>
      <w:marBottom w:val="0"/>
      <w:divBdr>
        <w:top w:val="none" w:sz="0" w:space="0" w:color="auto"/>
        <w:left w:val="none" w:sz="0" w:space="0" w:color="auto"/>
        <w:bottom w:val="none" w:sz="0" w:space="0" w:color="auto"/>
        <w:right w:val="none" w:sz="0" w:space="0" w:color="auto"/>
      </w:divBdr>
      <w:divsChild>
        <w:div w:id="1426877455">
          <w:marLeft w:val="0"/>
          <w:marRight w:val="0"/>
          <w:marTop w:val="0"/>
          <w:marBottom w:val="0"/>
          <w:divBdr>
            <w:top w:val="none" w:sz="0" w:space="0" w:color="auto"/>
            <w:left w:val="none" w:sz="0" w:space="0" w:color="auto"/>
            <w:bottom w:val="none" w:sz="0" w:space="0" w:color="auto"/>
            <w:right w:val="none" w:sz="0" w:space="0" w:color="auto"/>
          </w:divBdr>
        </w:div>
      </w:divsChild>
    </w:div>
    <w:div w:id="485558687">
      <w:bodyDiv w:val="1"/>
      <w:marLeft w:val="0"/>
      <w:marRight w:val="0"/>
      <w:marTop w:val="0"/>
      <w:marBottom w:val="0"/>
      <w:divBdr>
        <w:top w:val="none" w:sz="0" w:space="0" w:color="auto"/>
        <w:left w:val="none" w:sz="0" w:space="0" w:color="auto"/>
        <w:bottom w:val="none" w:sz="0" w:space="0" w:color="auto"/>
        <w:right w:val="none" w:sz="0" w:space="0" w:color="auto"/>
      </w:divBdr>
    </w:div>
    <w:div w:id="486478390">
      <w:bodyDiv w:val="1"/>
      <w:marLeft w:val="0"/>
      <w:marRight w:val="0"/>
      <w:marTop w:val="0"/>
      <w:marBottom w:val="0"/>
      <w:divBdr>
        <w:top w:val="none" w:sz="0" w:space="0" w:color="auto"/>
        <w:left w:val="none" w:sz="0" w:space="0" w:color="auto"/>
        <w:bottom w:val="none" w:sz="0" w:space="0" w:color="auto"/>
        <w:right w:val="none" w:sz="0" w:space="0" w:color="auto"/>
      </w:divBdr>
    </w:div>
    <w:div w:id="496379836">
      <w:bodyDiv w:val="1"/>
      <w:marLeft w:val="0"/>
      <w:marRight w:val="0"/>
      <w:marTop w:val="0"/>
      <w:marBottom w:val="0"/>
      <w:divBdr>
        <w:top w:val="none" w:sz="0" w:space="0" w:color="auto"/>
        <w:left w:val="none" w:sz="0" w:space="0" w:color="auto"/>
        <w:bottom w:val="none" w:sz="0" w:space="0" w:color="auto"/>
        <w:right w:val="none" w:sz="0" w:space="0" w:color="auto"/>
      </w:divBdr>
    </w:div>
    <w:div w:id="502747121">
      <w:bodyDiv w:val="1"/>
      <w:marLeft w:val="0"/>
      <w:marRight w:val="0"/>
      <w:marTop w:val="0"/>
      <w:marBottom w:val="0"/>
      <w:divBdr>
        <w:top w:val="none" w:sz="0" w:space="0" w:color="auto"/>
        <w:left w:val="none" w:sz="0" w:space="0" w:color="auto"/>
        <w:bottom w:val="none" w:sz="0" w:space="0" w:color="auto"/>
        <w:right w:val="none" w:sz="0" w:space="0" w:color="auto"/>
      </w:divBdr>
    </w:div>
    <w:div w:id="503326096">
      <w:bodyDiv w:val="1"/>
      <w:marLeft w:val="0"/>
      <w:marRight w:val="0"/>
      <w:marTop w:val="0"/>
      <w:marBottom w:val="0"/>
      <w:divBdr>
        <w:top w:val="none" w:sz="0" w:space="0" w:color="auto"/>
        <w:left w:val="none" w:sz="0" w:space="0" w:color="auto"/>
        <w:bottom w:val="none" w:sz="0" w:space="0" w:color="auto"/>
        <w:right w:val="none" w:sz="0" w:space="0" w:color="auto"/>
      </w:divBdr>
    </w:div>
    <w:div w:id="510150052">
      <w:bodyDiv w:val="1"/>
      <w:marLeft w:val="0"/>
      <w:marRight w:val="0"/>
      <w:marTop w:val="0"/>
      <w:marBottom w:val="0"/>
      <w:divBdr>
        <w:top w:val="none" w:sz="0" w:space="0" w:color="auto"/>
        <w:left w:val="none" w:sz="0" w:space="0" w:color="auto"/>
        <w:bottom w:val="none" w:sz="0" w:space="0" w:color="auto"/>
        <w:right w:val="none" w:sz="0" w:space="0" w:color="auto"/>
      </w:divBdr>
    </w:div>
    <w:div w:id="511191780">
      <w:bodyDiv w:val="1"/>
      <w:marLeft w:val="0"/>
      <w:marRight w:val="0"/>
      <w:marTop w:val="0"/>
      <w:marBottom w:val="0"/>
      <w:divBdr>
        <w:top w:val="none" w:sz="0" w:space="0" w:color="auto"/>
        <w:left w:val="none" w:sz="0" w:space="0" w:color="auto"/>
        <w:bottom w:val="none" w:sz="0" w:space="0" w:color="auto"/>
        <w:right w:val="none" w:sz="0" w:space="0" w:color="auto"/>
      </w:divBdr>
    </w:div>
    <w:div w:id="521670106">
      <w:bodyDiv w:val="1"/>
      <w:marLeft w:val="0"/>
      <w:marRight w:val="0"/>
      <w:marTop w:val="0"/>
      <w:marBottom w:val="0"/>
      <w:divBdr>
        <w:top w:val="none" w:sz="0" w:space="0" w:color="auto"/>
        <w:left w:val="none" w:sz="0" w:space="0" w:color="auto"/>
        <w:bottom w:val="none" w:sz="0" w:space="0" w:color="auto"/>
        <w:right w:val="none" w:sz="0" w:space="0" w:color="auto"/>
      </w:divBdr>
    </w:div>
    <w:div w:id="521824722">
      <w:bodyDiv w:val="1"/>
      <w:marLeft w:val="0"/>
      <w:marRight w:val="0"/>
      <w:marTop w:val="0"/>
      <w:marBottom w:val="0"/>
      <w:divBdr>
        <w:top w:val="none" w:sz="0" w:space="0" w:color="auto"/>
        <w:left w:val="none" w:sz="0" w:space="0" w:color="auto"/>
        <w:bottom w:val="none" w:sz="0" w:space="0" w:color="auto"/>
        <w:right w:val="none" w:sz="0" w:space="0" w:color="auto"/>
      </w:divBdr>
    </w:div>
    <w:div w:id="527380136">
      <w:bodyDiv w:val="1"/>
      <w:marLeft w:val="0"/>
      <w:marRight w:val="0"/>
      <w:marTop w:val="0"/>
      <w:marBottom w:val="0"/>
      <w:divBdr>
        <w:top w:val="none" w:sz="0" w:space="0" w:color="auto"/>
        <w:left w:val="none" w:sz="0" w:space="0" w:color="auto"/>
        <w:bottom w:val="none" w:sz="0" w:space="0" w:color="auto"/>
        <w:right w:val="none" w:sz="0" w:space="0" w:color="auto"/>
      </w:divBdr>
    </w:div>
    <w:div w:id="528447312">
      <w:bodyDiv w:val="1"/>
      <w:marLeft w:val="0"/>
      <w:marRight w:val="0"/>
      <w:marTop w:val="0"/>
      <w:marBottom w:val="0"/>
      <w:divBdr>
        <w:top w:val="none" w:sz="0" w:space="0" w:color="auto"/>
        <w:left w:val="none" w:sz="0" w:space="0" w:color="auto"/>
        <w:bottom w:val="none" w:sz="0" w:space="0" w:color="auto"/>
        <w:right w:val="none" w:sz="0" w:space="0" w:color="auto"/>
      </w:divBdr>
    </w:div>
    <w:div w:id="549272465">
      <w:bodyDiv w:val="1"/>
      <w:marLeft w:val="0"/>
      <w:marRight w:val="0"/>
      <w:marTop w:val="0"/>
      <w:marBottom w:val="0"/>
      <w:divBdr>
        <w:top w:val="none" w:sz="0" w:space="0" w:color="auto"/>
        <w:left w:val="none" w:sz="0" w:space="0" w:color="auto"/>
        <w:bottom w:val="none" w:sz="0" w:space="0" w:color="auto"/>
        <w:right w:val="none" w:sz="0" w:space="0" w:color="auto"/>
      </w:divBdr>
    </w:div>
    <w:div w:id="555549092">
      <w:bodyDiv w:val="1"/>
      <w:marLeft w:val="0"/>
      <w:marRight w:val="0"/>
      <w:marTop w:val="0"/>
      <w:marBottom w:val="0"/>
      <w:divBdr>
        <w:top w:val="none" w:sz="0" w:space="0" w:color="auto"/>
        <w:left w:val="none" w:sz="0" w:space="0" w:color="auto"/>
        <w:bottom w:val="none" w:sz="0" w:space="0" w:color="auto"/>
        <w:right w:val="none" w:sz="0" w:space="0" w:color="auto"/>
      </w:divBdr>
    </w:div>
    <w:div w:id="559561775">
      <w:bodyDiv w:val="1"/>
      <w:marLeft w:val="0"/>
      <w:marRight w:val="0"/>
      <w:marTop w:val="0"/>
      <w:marBottom w:val="0"/>
      <w:divBdr>
        <w:top w:val="none" w:sz="0" w:space="0" w:color="auto"/>
        <w:left w:val="none" w:sz="0" w:space="0" w:color="auto"/>
        <w:bottom w:val="none" w:sz="0" w:space="0" w:color="auto"/>
        <w:right w:val="none" w:sz="0" w:space="0" w:color="auto"/>
      </w:divBdr>
    </w:div>
    <w:div w:id="574168663">
      <w:bodyDiv w:val="1"/>
      <w:marLeft w:val="0"/>
      <w:marRight w:val="0"/>
      <w:marTop w:val="0"/>
      <w:marBottom w:val="0"/>
      <w:divBdr>
        <w:top w:val="none" w:sz="0" w:space="0" w:color="auto"/>
        <w:left w:val="none" w:sz="0" w:space="0" w:color="auto"/>
        <w:bottom w:val="none" w:sz="0" w:space="0" w:color="auto"/>
        <w:right w:val="none" w:sz="0" w:space="0" w:color="auto"/>
      </w:divBdr>
    </w:div>
    <w:div w:id="574702742">
      <w:bodyDiv w:val="1"/>
      <w:marLeft w:val="0"/>
      <w:marRight w:val="0"/>
      <w:marTop w:val="0"/>
      <w:marBottom w:val="0"/>
      <w:divBdr>
        <w:top w:val="none" w:sz="0" w:space="0" w:color="auto"/>
        <w:left w:val="none" w:sz="0" w:space="0" w:color="auto"/>
        <w:bottom w:val="none" w:sz="0" w:space="0" w:color="auto"/>
        <w:right w:val="none" w:sz="0" w:space="0" w:color="auto"/>
      </w:divBdr>
    </w:div>
    <w:div w:id="590164424">
      <w:bodyDiv w:val="1"/>
      <w:marLeft w:val="0"/>
      <w:marRight w:val="0"/>
      <w:marTop w:val="0"/>
      <w:marBottom w:val="0"/>
      <w:divBdr>
        <w:top w:val="none" w:sz="0" w:space="0" w:color="auto"/>
        <w:left w:val="none" w:sz="0" w:space="0" w:color="auto"/>
        <w:bottom w:val="none" w:sz="0" w:space="0" w:color="auto"/>
        <w:right w:val="none" w:sz="0" w:space="0" w:color="auto"/>
      </w:divBdr>
    </w:div>
    <w:div w:id="599457806">
      <w:bodyDiv w:val="1"/>
      <w:marLeft w:val="0"/>
      <w:marRight w:val="0"/>
      <w:marTop w:val="0"/>
      <w:marBottom w:val="0"/>
      <w:divBdr>
        <w:top w:val="none" w:sz="0" w:space="0" w:color="auto"/>
        <w:left w:val="none" w:sz="0" w:space="0" w:color="auto"/>
        <w:bottom w:val="none" w:sz="0" w:space="0" w:color="auto"/>
        <w:right w:val="none" w:sz="0" w:space="0" w:color="auto"/>
      </w:divBdr>
    </w:div>
    <w:div w:id="603415441">
      <w:bodyDiv w:val="1"/>
      <w:marLeft w:val="0"/>
      <w:marRight w:val="0"/>
      <w:marTop w:val="0"/>
      <w:marBottom w:val="0"/>
      <w:divBdr>
        <w:top w:val="none" w:sz="0" w:space="0" w:color="auto"/>
        <w:left w:val="none" w:sz="0" w:space="0" w:color="auto"/>
        <w:bottom w:val="none" w:sz="0" w:space="0" w:color="auto"/>
        <w:right w:val="none" w:sz="0" w:space="0" w:color="auto"/>
      </w:divBdr>
    </w:div>
    <w:div w:id="611517747">
      <w:bodyDiv w:val="1"/>
      <w:marLeft w:val="0"/>
      <w:marRight w:val="0"/>
      <w:marTop w:val="0"/>
      <w:marBottom w:val="0"/>
      <w:divBdr>
        <w:top w:val="none" w:sz="0" w:space="0" w:color="auto"/>
        <w:left w:val="none" w:sz="0" w:space="0" w:color="auto"/>
        <w:bottom w:val="none" w:sz="0" w:space="0" w:color="auto"/>
        <w:right w:val="none" w:sz="0" w:space="0" w:color="auto"/>
      </w:divBdr>
    </w:div>
    <w:div w:id="612713028">
      <w:bodyDiv w:val="1"/>
      <w:marLeft w:val="0"/>
      <w:marRight w:val="0"/>
      <w:marTop w:val="0"/>
      <w:marBottom w:val="0"/>
      <w:divBdr>
        <w:top w:val="none" w:sz="0" w:space="0" w:color="auto"/>
        <w:left w:val="none" w:sz="0" w:space="0" w:color="auto"/>
        <w:bottom w:val="none" w:sz="0" w:space="0" w:color="auto"/>
        <w:right w:val="none" w:sz="0" w:space="0" w:color="auto"/>
      </w:divBdr>
    </w:div>
    <w:div w:id="622465543">
      <w:bodyDiv w:val="1"/>
      <w:marLeft w:val="0"/>
      <w:marRight w:val="0"/>
      <w:marTop w:val="0"/>
      <w:marBottom w:val="0"/>
      <w:divBdr>
        <w:top w:val="none" w:sz="0" w:space="0" w:color="auto"/>
        <w:left w:val="none" w:sz="0" w:space="0" w:color="auto"/>
        <w:bottom w:val="none" w:sz="0" w:space="0" w:color="auto"/>
        <w:right w:val="none" w:sz="0" w:space="0" w:color="auto"/>
      </w:divBdr>
    </w:div>
    <w:div w:id="629675483">
      <w:bodyDiv w:val="1"/>
      <w:marLeft w:val="0"/>
      <w:marRight w:val="0"/>
      <w:marTop w:val="0"/>
      <w:marBottom w:val="0"/>
      <w:divBdr>
        <w:top w:val="none" w:sz="0" w:space="0" w:color="auto"/>
        <w:left w:val="none" w:sz="0" w:space="0" w:color="auto"/>
        <w:bottom w:val="none" w:sz="0" w:space="0" w:color="auto"/>
        <w:right w:val="none" w:sz="0" w:space="0" w:color="auto"/>
      </w:divBdr>
    </w:div>
    <w:div w:id="633759991">
      <w:bodyDiv w:val="1"/>
      <w:marLeft w:val="0"/>
      <w:marRight w:val="0"/>
      <w:marTop w:val="0"/>
      <w:marBottom w:val="0"/>
      <w:divBdr>
        <w:top w:val="none" w:sz="0" w:space="0" w:color="auto"/>
        <w:left w:val="none" w:sz="0" w:space="0" w:color="auto"/>
        <w:bottom w:val="none" w:sz="0" w:space="0" w:color="auto"/>
        <w:right w:val="none" w:sz="0" w:space="0" w:color="auto"/>
      </w:divBdr>
    </w:div>
    <w:div w:id="640424038">
      <w:bodyDiv w:val="1"/>
      <w:marLeft w:val="0"/>
      <w:marRight w:val="0"/>
      <w:marTop w:val="0"/>
      <w:marBottom w:val="0"/>
      <w:divBdr>
        <w:top w:val="none" w:sz="0" w:space="0" w:color="auto"/>
        <w:left w:val="none" w:sz="0" w:space="0" w:color="auto"/>
        <w:bottom w:val="none" w:sz="0" w:space="0" w:color="auto"/>
        <w:right w:val="none" w:sz="0" w:space="0" w:color="auto"/>
      </w:divBdr>
    </w:div>
    <w:div w:id="641665252">
      <w:bodyDiv w:val="1"/>
      <w:marLeft w:val="0"/>
      <w:marRight w:val="0"/>
      <w:marTop w:val="0"/>
      <w:marBottom w:val="0"/>
      <w:divBdr>
        <w:top w:val="none" w:sz="0" w:space="0" w:color="auto"/>
        <w:left w:val="none" w:sz="0" w:space="0" w:color="auto"/>
        <w:bottom w:val="none" w:sz="0" w:space="0" w:color="auto"/>
        <w:right w:val="none" w:sz="0" w:space="0" w:color="auto"/>
      </w:divBdr>
    </w:div>
    <w:div w:id="642009985">
      <w:bodyDiv w:val="1"/>
      <w:marLeft w:val="0"/>
      <w:marRight w:val="0"/>
      <w:marTop w:val="0"/>
      <w:marBottom w:val="0"/>
      <w:divBdr>
        <w:top w:val="none" w:sz="0" w:space="0" w:color="auto"/>
        <w:left w:val="none" w:sz="0" w:space="0" w:color="auto"/>
        <w:bottom w:val="none" w:sz="0" w:space="0" w:color="auto"/>
        <w:right w:val="none" w:sz="0" w:space="0" w:color="auto"/>
      </w:divBdr>
    </w:div>
    <w:div w:id="642080140">
      <w:bodyDiv w:val="1"/>
      <w:marLeft w:val="0"/>
      <w:marRight w:val="0"/>
      <w:marTop w:val="0"/>
      <w:marBottom w:val="0"/>
      <w:divBdr>
        <w:top w:val="none" w:sz="0" w:space="0" w:color="auto"/>
        <w:left w:val="none" w:sz="0" w:space="0" w:color="auto"/>
        <w:bottom w:val="none" w:sz="0" w:space="0" w:color="auto"/>
        <w:right w:val="none" w:sz="0" w:space="0" w:color="auto"/>
      </w:divBdr>
    </w:div>
    <w:div w:id="642394922">
      <w:bodyDiv w:val="1"/>
      <w:marLeft w:val="0"/>
      <w:marRight w:val="0"/>
      <w:marTop w:val="0"/>
      <w:marBottom w:val="0"/>
      <w:divBdr>
        <w:top w:val="none" w:sz="0" w:space="0" w:color="auto"/>
        <w:left w:val="none" w:sz="0" w:space="0" w:color="auto"/>
        <w:bottom w:val="none" w:sz="0" w:space="0" w:color="auto"/>
        <w:right w:val="none" w:sz="0" w:space="0" w:color="auto"/>
      </w:divBdr>
    </w:div>
    <w:div w:id="645744103">
      <w:bodyDiv w:val="1"/>
      <w:marLeft w:val="0"/>
      <w:marRight w:val="0"/>
      <w:marTop w:val="0"/>
      <w:marBottom w:val="0"/>
      <w:divBdr>
        <w:top w:val="none" w:sz="0" w:space="0" w:color="auto"/>
        <w:left w:val="none" w:sz="0" w:space="0" w:color="auto"/>
        <w:bottom w:val="none" w:sz="0" w:space="0" w:color="auto"/>
        <w:right w:val="none" w:sz="0" w:space="0" w:color="auto"/>
      </w:divBdr>
    </w:div>
    <w:div w:id="645745627">
      <w:bodyDiv w:val="1"/>
      <w:marLeft w:val="0"/>
      <w:marRight w:val="0"/>
      <w:marTop w:val="0"/>
      <w:marBottom w:val="0"/>
      <w:divBdr>
        <w:top w:val="none" w:sz="0" w:space="0" w:color="auto"/>
        <w:left w:val="none" w:sz="0" w:space="0" w:color="auto"/>
        <w:bottom w:val="none" w:sz="0" w:space="0" w:color="auto"/>
        <w:right w:val="none" w:sz="0" w:space="0" w:color="auto"/>
      </w:divBdr>
    </w:div>
    <w:div w:id="649749968">
      <w:bodyDiv w:val="1"/>
      <w:marLeft w:val="0"/>
      <w:marRight w:val="0"/>
      <w:marTop w:val="0"/>
      <w:marBottom w:val="0"/>
      <w:divBdr>
        <w:top w:val="none" w:sz="0" w:space="0" w:color="auto"/>
        <w:left w:val="none" w:sz="0" w:space="0" w:color="auto"/>
        <w:bottom w:val="none" w:sz="0" w:space="0" w:color="auto"/>
        <w:right w:val="none" w:sz="0" w:space="0" w:color="auto"/>
      </w:divBdr>
    </w:div>
    <w:div w:id="656694510">
      <w:bodyDiv w:val="1"/>
      <w:marLeft w:val="0"/>
      <w:marRight w:val="0"/>
      <w:marTop w:val="0"/>
      <w:marBottom w:val="0"/>
      <w:divBdr>
        <w:top w:val="none" w:sz="0" w:space="0" w:color="auto"/>
        <w:left w:val="none" w:sz="0" w:space="0" w:color="auto"/>
        <w:bottom w:val="none" w:sz="0" w:space="0" w:color="auto"/>
        <w:right w:val="none" w:sz="0" w:space="0" w:color="auto"/>
      </w:divBdr>
    </w:div>
    <w:div w:id="657459180">
      <w:bodyDiv w:val="1"/>
      <w:marLeft w:val="0"/>
      <w:marRight w:val="0"/>
      <w:marTop w:val="0"/>
      <w:marBottom w:val="0"/>
      <w:divBdr>
        <w:top w:val="none" w:sz="0" w:space="0" w:color="auto"/>
        <w:left w:val="none" w:sz="0" w:space="0" w:color="auto"/>
        <w:bottom w:val="none" w:sz="0" w:space="0" w:color="auto"/>
        <w:right w:val="none" w:sz="0" w:space="0" w:color="auto"/>
      </w:divBdr>
    </w:div>
    <w:div w:id="661541830">
      <w:bodyDiv w:val="1"/>
      <w:marLeft w:val="0"/>
      <w:marRight w:val="0"/>
      <w:marTop w:val="0"/>
      <w:marBottom w:val="0"/>
      <w:divBdr>
        <w:top w:val="none" w:sz="0" w:space="0" w:color="auto"/>
        <w:left w:val="none" w:sz="0" w:space="0" w:color="auto"/>
        <w:bottom w:val="none" w:sz="0" w:space="0" w:color="auto"/>
        <w:right w:val="none" w:sz="0" w:space="0" w:color="auto"/>
      </w:divBdr>
    </w:div>
    <w:div w:id="667291145">
      <w:bodyDiv w:val="1"/>
      <w:marLeft w:val="0"/>
      <w:marRight w:val="0"/>
      <w:marTop w:val="0"/>
      <w:marBottom w:val="0"/>
      <w:divBdr>
        <w:top w:val="none" w:sz="0" w:space="0" w:color="auto"/>
        <w:left w:val="none" w:sz="0" w:space="0" w:color="auto"/>
        <w:bottom w:val="none" w:sz="0" w:space="0" w:color="auto"/>
        <w:right w:val="none" w:sz="0" w:space="0" w:color="auto"/>
      </w:divBdr>
    </w:div>
    <w:div w:id="683824657">
      <w:bodyDiv w:val="1"/>
      <w:marLeft w:val="0"/>
      <w:marRight w:val="0"/>
      <w:marTop w:val="0"/>
      <w:marBottom w:val="0"/>
      <w:divBdr>
        <w:top w:val="none" w:sz="0" w:space="0" w:color="auto"/>
        <w:left w:val="none" w:sz="0" w:space="0" w:color="auto"/>
        <w:bottom w:val="none" w:sz="0" w:space="0" w:color="auto"/>
        <w:right w:val="none" w:sz="0" w:space="0" w:color="auto"/>
      </w:divBdr>
    </w:div>
    <w:div w:id="693075189">
      <w:bodyDiv w:val="1"/>
      <w:marLeft w:val="0"/>
      <w:marRight w:val="0"/>
      <w:marTop w:val="0"/>
      <w:marBottom w:val="0"/>
      <w:divBdr>
        <w:top w:val="none" w:sz="0" w:space="0" w:color="auto"/>
        <w:left w:val="none" w:sz="0" w:space="0" w:color="auto"/>
        <w:bottom w:val="none" w:sz="0" w:space="0" w:color="auto"/>
        <w:right w:val="none" w:sz="0" w:space="0" w:color="auto"/>
      </w:divBdr>
    </w:div>
    <w:div w:id="695303394">
      <w:bodyDiv w:val="1"/>
      <w:marLeft w:val="0"/>
      <w:marRight w:val="0"/>
      <w:marTop w:val="0"/>
      <w:marBottom w:val="0"/>
      <w:divBdr>
        <w:top w:val="none" w:sz="0" w:space="0" w:color="auto"/>
        <w:left w:val="none" w:sz="0" w:space="0" w:color="auto"/>
        <w:bottom w:val="none" w:sz="0" w:space="0" w:color="auto"/>
        <w:right w:val="none" w:sz="0" w:space="0" w:color="auto"/>
      </w:divBdr>
      <w:divsChild>
        <w:div w:id="832991949">
          <w:blockQuote w:val="1"/>
          <w:marLeft w:val="0"/>
          <w:marRight w:val="0"/>
          <w:marTop w:val="0"/>
          <w:marBottom w:val="0"/>
          <w:divBdr>
            <w:top w:val="none" w:sz="0" w:space="0" w:color="auto"/>
            <w:left w:val="none" w:sz="0" w:space="0" w:color="auto"/>
            <w:bottom w:val="none" w:sz="0" w:space="0" w:color="auto"/>
            <w:right w:val="none" w:sz="0" w:space="0" w:color="auto"/>
          </w:divBdr>
          <w:divsChild>
            <w:div w:id="54540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85271">
      <w:bodyDiv w:val="1"/>
      <w:marLeft w:val="0"/>
      <w:marRight w:val="0"/>
      <w:marTop w:val="0"/>
      <w:marBottom w:val="0"/>
      <w:divBdr>
        <w:top w:val="none" w:sz="0" w:space="0" w:color="auto"/>
        <w:left w:val="none" w:sz="0" w:space="0" w:color="auto"/>
        <w:bottom w:val="none" w:sz="0" w:space="0" w:color="auto"/>
        <w:right w:val="none" w:sz="0" w:space="0" w:color="auto"/>
      </w:divBdr>
    </w:div>
    <w:div w:id="705178375">
      <w:bodyDiv w:val="1"/>
      <w:marLeft w:val="0"/>
      <w:marRight w:val="0"/>
      <w:marTop w:val="0"/>
      <w:marBottom w:val="0"/>
      <w:divBdr>
        <w:top w:val="none" w:sz="0" w:space="0" w:color="auto"/>
        <w:left w:val="none" w:sz="0" w:space="0" w:color="auto"/>
        <w:bottom w:val="none" w:sz="0" w:space="0" w:color="auto"/>
        <w:right w:val="none" w:sz="0" w:space="0" w:color="auto"/>
      </w:divBdr>
    </w:div>
    <w:div w:id="708458858">
      <w:bodyDiv w:val="1"/>
      <w:marLeft w:val="0"/>
      <w:marRight w:val="0"/>
      <w:marTop w:val="0"/>
      <w:marBottom w:val="0"/>
      <w:divBdr>
        <w:top w:val="none" w:sz="0" w:space="0" w:color="auto"/>
        <w:left w:val="none" w:sz="0" w:space="0" w:color="auto"/>
        <w:bottom w:val="none" w:sz="0" w:space="0" w:color="auto"/>
        <w:right w:val="none" w:sz="0" w:space="0" w:color="auto"/>
      </w:divBdr>
    </w:div>
    <w:div w:id="710958440">
      <w:bodyDiv w:val="1"/>
      <w:marLeft w:val="0"/>
      <w:marRight w:val="0"/>
      <w:marTop w:val="0"/>
      <w:marBottom w:val="0"/>
      <w:divBdr>
        <w:top w:val="none" w:sz="0" w:space="0" w:color="auto"/>
        <w:left w:val="none" w:sz="0" w:space="0" w:color="auto"/>
        <w:bottom w:val="none" w:sz="0" w:space="0" w:color="auto"/>
        <w:right w:val="none" w:sz="0" w:space="0" w:color="auto"/>
      </w:divBdr>
    </w:div>
    <w:div w:id="714895508">
      <w:bodyDiv w:val="1"/>
      <w:marLeft w:val="0"/>
      <w:marRight w:val="0"/>
      <w:marTop w:val="0"/>
      <w:marBottom w:val="0"/>
      <w:divBdr>
        <w:top w:val="none" w:sz="0" w:space="0" w:color="auto"/>
        <w:left w:val="none" w:sz="0" w:space="0" w:color="auto"/>
        <w:bottom w:val="none" w:sz="0" w:space="0" w:color="auto"/>
        <w:right w:val="none" w:sz="0" w:space="0" w:color="auto"/>
      </w:divBdr>
    </w:div>
    <w:div w:id="715857834">
      <w:bodyDiv w:val="1"/>
      <w:marLeft w:val="0"/>
      <w:marRight w:val="0"/>
      <w:marTop w:val="0"/>
      <w:marBottom w:val="0"/>
      <w:divBdr>
        <w:top w:val="none" w:sz="0" w:space="0" w:color="auto"/>
        <w:left w:val="none" w:sz="0" w:space="0" w:color="auto"/>
        <w:bottom w:val="none" w:sz="0" w:space="0" w:color="auto"/>
        <w:right w:val="none" w:sz="0" w:space="0" w:color="auto"/>
      </w:divBdr>
    </w:div>
    <w:div w:id="718943652">
      <w:bodyDiv w:val="1"/>
      <w:marLeft w:val="0"/>
      <w:marRight w:val="0"/>
      <w:marTop w:val="0"/>
      <w:marBottom w:val="0"/>
      <w:divBdr>
        <w:top w:val="none" w:sz="0" w:space="0" w:color="auto"/>
        <w:left w:val="none" w:sz="0" w:space="0" w:color="auto"/>
        <w:bottom w:val="none" w:sz="0" w:space="0" w:color="auto"/>
        <w:right w:val="none" w:sz="0" w:space="0" w:color="auto"/>
      </w:divBdr>
    </w:div>
    <w:div w:id="722025889">
      <w:bodyDiv w:val="1"/>
      <w:marLeft w:val="0"/>
      <w:marRight w:val="0"/>
      <w:marTop w:val="0"/>
      <w:marBottom w:val="0"/>
      <w:divBdr>
        <w:top w:val="none" w:sz="0" w:space="0" w:color="auto"/>
        <w:left w:val="none" w:sz="0" w:space="0" w:color="auto"/>
        <w:bottom w:val="none" w:sz="0" w:space="0" w:color="auto"/>
        <w:right w:val="none" w:sz="0" w:space="0" w:color="auto"/>
      </w:divBdr>
    </w:div>
    <w:div w:id="732849686">
      <w:bodyDiv w:val="1"/>
      <w:marLeft w:val="0"/>
      <w:marRight w:val="0"/>
      <w:marTop w:val="0"/>
      <w:marBottom w:val="0"/>
      <w:divBdr>
        <w:top w:val="none" w:sz="0" w:space="0" w:color="auto"/>
        <w:left w:val="none" w:sz="0" w:space="0" w:color="auto"/>
        <w:bottom w:val="none" w:sz="0" w:space="0" w:color="auto"/>
        <w:right w:val="none" w:sz="0" w:space="0" w:color="auto"/>
      </w:divBdr>
    </w:div>
    <w:div w:id="750008145">
      <w:bodyDiv w:val="1"/>
      <w:marLeft w:val="0"/>
      <w:marRight w:val="0"/>
      <w:marTop w:val="0"/>
      <w:marBottom w:val="0"/>
      <w:divBdr>
        <w:top w:val="none" w:sz="0" w:space="0" w:color="auto"/>
        <w:left w:val="none" w:sz="0" w:space="0" w:color="auto"/>
        <w:bottom w:val="none" w:sz="0" w:space="0" w:color="auto"/>
        <w:right w:val="none" w:sz="0" w:space="0" w:color="auto"/>
      </w:divBdr>
    </w:div>
    <w:div w:id="751660921">
      <w:bodyDiv w:val="1"/>
      <w:marLeft w:val="0"/>
      <w:marRight w:val="0"/>
      <w:marTop w:val="0"/>
      <w:marBottom w:val="0"/>
      <w:divBdr>
        <w:top w:val="none" w:sz="0" w:space="0" w:color="auto"/>
        <w:left w:val="none" w:sz="0" w:space="0" w:color="auto"/>
        <w:bottom w:val="none" w:sz="0" w:space="0" w:color="auto"/>
        <w:right w:val="none" w:sz="0" w:space="0" w:color="auto"/>
      </w:divBdr>
    </w:div>
    <w:div w:id="765417190">
      <w:bodyDiv w:val="1"/>
      <w:marLeft w:val="0"/>
      <w:marRight w:val="0"/>
      <w:marTop w:val="0"/>
      <w:marBottom w:val="0"/>
      <w:divBdr>
        <w:top w:val="none" w:sz="0" w:space="0" w:color="auto"/>
        <w:left w:val="none" w:sz="0" w:space="0" w:color="auto"/>
        <w:bottom w:val="none" w:sz="0" w:space="0" w:color="auto"/>
        <w:right w:val="none" w:sz="0" w:space="0" w:color="auto"/>
      </w:divBdr>
    </w:div>
    <w:div w:id="766779491">
      <w:bodyDiv w:val="1"/>
      <w:marLeft w:val="0"/>
      <w:marRight w:val="0"/>
      <w:marTop w:val="0"/>
      <w:marBottom w:val="0"/>
      <w:divBdr>
        <w:top w:val="none" w:sz="0" w:space="0" w:color="auto"/>
        <w:left w:val="none" w:sz="0" w:space="0" w:color="auto"/>
        <w:bottom w:val="none" w:sz="0" w:space="0" w:color="auto"/>
        <w:right w:val="none" w:sz="0" w:space="0" w:color="auto"/>
      </w:divBdr>
    </w:div>
    <w:div w:id="769352578">
      <w:bodyDiv w:val="1"/>
      <w:marLeft w:val="0"/>
      <w:marRight w:val="0"/>
      <w:marTop w:val="0"/>
      <w:marBottom w:val="0"/>
      <w:divBdr>
        <w:top w:val="none" w:sz="0" w:space="0" w:color="auto"/>
        <w:left w:val="none" w:sz="0" w:space="0" w:color="auto"/>
        <w:bottom w:val="none" w:sz="0" w:space="0" w:color="auto"/>
        <w:right w:val="none" w:sz="0" w:space="0" w:color="auto"/>
      </w:divBdr>
    </w:div>
    <w:div w:id="770467744">
      <w:bodyDiv w:val="1"/>
      <w:marLeft w:val="0"/>
      <w:marRight w:val="0"/>
      <w:marTop w:val="0"/>
      <w:marBottom w:val="0"/>
      <w:divBdr>
        <w:top w:val="none" w:sz="0" w:space="0" w:color="auto"/>
        <w:left w:val="none" w:sz="0" w:space="0" w:color="auto"/>
        <w:bottom w:val="none" w:sz="0" w:space="0" w:color="auto"/>
        <w:right w:val="none" w:sz="0" w:space="0" w:color="auto"/>
      </w:divBdr>
    </w:div>
    <w:div w:id="772625963">
      <w:bodyDiv w:val="1"/>
      <w:marLeft w:val="0"/>
      <w:marRight w:val="0"/>
      <w:marTop w:val="0"/>
      <w:marBottom w:val="0"/>
      <w:divBdr>
        <w:top w:val="none" w:sz="0" w:space="0" w:color="auto"/>
        <w:left w:val="none" w:sz="0" w:space="0" w:color="auto"/>
        <w:bottom w:val="none" w:sz="0" w:space="0" w:color="auto"/>
        <w:right w:val="none" w:sz="0" w:space="0" w:color="auto"/>
      </w:divBdr>
    </w:div>
    <w:div w:id="786972904">
      <w:bodyDiv w:val="1"/>
      <w:marLeft w:val="0"/>
      <w:marRight w:val="0"/>
      <w:marTop w:val="0"/>
      <w:marBottom w:val="0"/>
      <w:divBdr>
        <w:top w:val="none" w:sz="0" w:space="0" w:color="auto"/>
        <w:left w:val="none" w:sz="0" w:space="0" w:color="auto"/>
        <w:bottom w:val="none" w:sz="0" w:space="0" w:color="auto"/>
        <w:right w:val="none" w:sz="0" w:space="0" w:color="auto"/>
      </w:divBdr>
    </w:div>
    <w:div w:id="790396359">
      <w:bodyDiv w:val="1"/>
      <w:marLeft w:val="0"/>
      <w:marRight w:val="0"/>
      <w:marTop w:val="0"/>
      <w:marBottom w:val="0"/>
      <w:divBdr>
        <w:top w:val="none" w:sz="0" w:space="0" w:color="auto"/>
        <w:left w:val="none" w:sz="0" w:space="0" w:color="auto"/>
        <w:bottom w:val="none" w:sz="0" w:space="0" w:color="auto"/>
        <w:right w:val="none" w:sz="0" w:space="0" w:color="auto"/>
      </w:divBdr>
    </w:div>
    <w:div w:id="795222784">
      <w:bodyDiv w:val="1"/>
      <w:marLeft w:val="0"/>
      <w:marRight w:val="0"/>
      <w:marTop w:val="0"/>
      <w:marBottom w:val="0"/>
      <w:divBdr>
        <w:top w:val="none" w:sz="0" w:space="0" w:color="auto"/>
        <w:left w:val="none" w:sz="0" w:space="0" w:color="auto"/>
        <w:bottom w:val="none" w:sz="0" w:space="0" w:color="auto"/>
        <w:right w:val="none" w:sz="0" w:space="0" w:color="auto"/>
      </w:divBdr>
    </w:div>
    <w:div w:id="797339546">
      <w:bodyDiv w:val="1"/>
      <w:marLeft w:val="0"/>
      <w:marRight w:val="0"/>
      <w:marTop w:val="0"/>
      <w:marBottom w:val="0"/>
      <w:divBdr>
        <w:top w:val="none" w:sz="0" w:space="0" w:color="auto"/>
        <w:left w:val="none" w:sz="0" w:space="0" w:color="auto"/>
        <w:bottom w:val="none" w:sz="0" w:space="0" w:color="auto"/>
        <w:right w:val="none" w:sz="0" w:space="0" w:color="auto"/>
      </w:divBdr>
    </w:div>
    <w:div w:id="798644843">
      <w:bodyDiv w:val="1"/>
      <w:marLeft w:val="0"/>
      <w:marRight w:val="0"/>
      <w:marTop w:val="0"/>
      <w:marBottom w:val="0"/>
      <w:divBdr>
        <w:top w:val="none" w:sz="0" w:space="0" w:color="auto"/>
        <w:left w:val="none" w:sz="0" w:space="0" w:color="auto"/>
        <w:bottom w:val="none" w:sz="0" w:space="0" w:color="auto"/>
        <w:right w:val="none" w:sz="0" w:space="0" w:color="auto"/>
      </w:divBdr>
    </w:div>
    <w:div w:id="800683468">
      <w:bodyDiv w:val="1"/>
      <w:marLeft w:val="0"/>
      <w:marRight w:val="0"/>
      <w:marTop w:val="0"/>
      <w:marBottom w:val="0"/>
      <w:divBdr>
        <w:top w:val="none" w:sz="0" w:space="0" w:color="auto"/>
        <w:left w:val="none" w:sz="0" w:space="0" w:color="auto"/>
        <w:bottom w:val="none" w:sz="0" w:space="0" w:color="auto"/>
        <w:right w:val="none" w:sz="0" w:space="0" w:color="auto"/>
      </w:divBdr>
    </w:div>
    <w:div w:id="803503033">
      <w:bodyDiv w:val="1"/>
      <w:marLeft w:val="0"/>
      <w:marRight w:val="0"/>
      <w:marTop w:val="0"/>
      <w:marBottom w:val="0"/>
      <w:divBdr>
        <w:top w:val="none" w:sz="0" w:space="0" w:color="auto"/>
        <w:left w:val="none" w:sz="0" w:space="0" w:color="auto"/>
        <w:bottom w:val="none" w:sz="0" w:space="0" w:color="auto"/>
        <w:right w:val="none" w:sz="0" w:space="0" w:color="auto"/>
      </w:divBdr>
    </w:div>
    <w:div w:id="805008540">
      <w:bodyDiv w:val="1"/>
      <w:marLeft w:val="0"/>
      <w:marRight w:val="0"/>
      <w:marTop w:val="0"/>
      <w:marBottom w:val="0"/>
      <w:divBdr>
        <w:top w:val="none" w:sz="0" w:space="0" w:color="auto"/>
        <w:left w:val="none" w:sz="0" w:space="0" w:color="auto"/>
        <w:bottom w:val="none" w:sz="0" w:space="0" w:color="auto"/>
        <w:right w:val="none" w:sz="0" w:space="0" w:color="auto"/>
      </w:divBdr>
    </w:div>
    <w:div w:id="806967701">
      <w:bodyDiv w:val="1"/>
      <w:marLeft w:val="0"/>
      <w:marRight w:val="0"/>
      <w:marTop w:val="0"/>
      <w:marBottom w:val="0"/>
      <w:divBdr>
        <w:top w:val="none" w:sz="0" w:space="0" w:color="auto"/>
        <w:left w:val="none" w:sz="0" w:space="0" w:color="auto"/>
        <w:bottom w:val="none" w:sz="0" w:space="0" w:color="auto"/>
        <w:right w:val="none" w:sz="0" w:space="0" w:color="auto"/>
      </w:divBdr>
    </w:div>
    <w:div w:id="808327595">
      <w:bodyDiv w:val="1"/>
      <w:marLeft w:val="0"/>
      <w:marRight w:val="0"/>
      <w:marTop w:val="0"/>
      <w:marBottom w:val="0"/>
      <w:divBdr>
        <w:top w:val="none" w:sz="0" w:space="0" w:color="auto"/>
        <w:left w:val="none" w:sz="0" w:space="0" w:color="auto"/>
        <w:bottom w:val="none" w:sz="0" w:space="0" w:color="auto"/>
        <w:right w:val="none" w:sz="0" w:space="0" w:color="auto"/>
      </w:divBdr>
    </w:div>
    <w:div w:id="819883805">
      <w:bodyDiv w:val="1"/>
      <w:marLeft w:val="0"/>
      <w:marRight w:val="0"/>
      <w:marTop w:val="0"/>
      <w:marBottom w:val="0"/>
      <w:divBdr>
        <w:top w:val="none" w:sz="0" w:space="0" w:color="auto"/>
        <w:left w:val="none" w:sz="0" w:space="0" w:color="auto"/>
        <w:bottom w:val="none" w:sz="0" w:space="0" w:color="auto"/>
        <w:right w:val="none" w:sz="0" w:space="0" w:color="auto"/>
      </w:divBdr>
    </w:div>
    <w:div w:id="820268022">
      <w:bodyDiv w:val="1"/>
      <w:marLeft w:val="0"/>
      <w:marRight w:val="0"/>
      <w:marTop w:val="0"/>
      <w:marBottom w:val="0"/>
      <w:divBdr>
        <w:top w:val="none" w:sz="0" w:space="0" w:color="auto"/>
        <w:left w:val="none" w:sz="0" w:space="0" w:color="auto"/>
        <w:bottom w:val="none" w:sz="0" w:space="0" w:color="auto"/>
        <w:right w:val="none" w:sz="0" w:space="0" w:color="auto"/>
      </w:divBdr>
    </w:div>
    <w:div w:id="828666687">
      <w:bodyDiv w:val="1"/>
      <w:marLeft w:val="0"/>
      <w:marRight w:val="0"/>
      <w:marTop w:val="0"/>
      <w:marBottom w:val="0"/>
      <w:divBdr>
        <w:top w:val="none" w:sz="0" w:space="0" w:color="auto"/>
        <w:left w:val="none" w:sz="0" w:space="0" w:color="auto"/>
        <w:bottom w:val="none" w:sz="0" w:space="0" w:color="auto"/>
        <w:right w:val="none" w:sz="0" w:space="0" w:color="auto"/>
      </w:divBdr>
    </w:div>
    <w:div w:id="835919831">
      <w:bodyDiv w:val="1"/>
      <w:marLeft w:val="0"/>
      <w:marRight w:val="0"/>
      <w:marTop w:val="0"/>
      <w:marBottom w:val="0"/>
      <w:divBdr>
        <w:top w:val="none" w:sz="0" w:space="0" w:color="auto"/>
        <w:left w:val="none" w:sz="0" w:space="0" w:color="auto"/>
        <w:bottom w:val="none" w:sz="0" w:space="0" w:color="auto"/>
        <w:right w:val="none" w:sz="0" w:space="0" w:color="auto"/>
      </w:divBdr>
    </w:div>
    <w:div w:id="835995863">
      <w:bodyDiv w:val="1"/>
      <w:marLeft w:val="0"/>
      <w:marRight w:val="0"/>
      <w:marTop w:val="0"/>
      <w:marBottom w:val="0"/>
      <w:divBdr>
        <w:top w:val="none" w:sz="0" w:space="0" w:color="auto"/>
        <w:left w:val="none" w:sz="0" w:space="0" w:color="auto"/>
        <w:bottom w:val="none" w:sz="0" w:space="0" w:color="auto"/>
        <w:right w:val="none" w:sz="0" w:space="0" w:color="auto"/>
      </w:divBdr>
    </w:div>
    <w:div w:id="838160789">
      <w:bodyDiv w:val="1"/>
      <w:marLeft w:val="0"/>
      <w:marRight w:val="0"/>
      <w:marTop w:val="0"/>
      <w:marBottom w:val="0"/>
      <w:divBdr>
        <w:top w:val="none" w:sz="0" w:space="0" w:color="auto"/>
        <w:left w:val="none" w:sz="0" w:space="0" w:color="auto"/>
        <w:bottom w:val="none" w:sz="0" w:space="0" w:color="auto"/>
        <w:right w:val="none" w:sz="0" w:space="0" w:color="auto"/>
      </w:divBdr>
    </w:div>
    <w:div w:id="849218210">
      <w:bodyDiv w:val="1"/>
      <w:marLeft w:val="0"/>
      <w:marRight w:val="0"/>
      <w:marTop w:val="0"/>
      <w:marBottom w:val="0"/>
      <w:divBdr>
        <w:top w:val="none" w:sz="0" w:space="0" w:color="auto"/>
        <w:left w:val="none" w:sz="0" w:space="0" w:color="auto"/>
        <w:bottom w:val="none" w:sz="0" w:space="0" w:color="auto"/>
        <w:right w:val="none" w:sz="0" w:space="0" w:color="auto"/>
      </w:divBdr>
    </w:div>
    <w:div w:id="852063692">
      <w:bodyDiv w:val="1"/>
      <w:marLeft w:val="0"/>
      <w:marRight w:val="0"/>
      <w:marTop w:val="0"/>
      <w:marBottom w:val="0"/>
      <w:divBdr>
        <w:top w:val="none" w:sz="0" w:space="0" w:color="auto"/>
        <w:left w:val="none" w:sz="0" w:space="0" w:color="auto"/>
        <w:bottom w:val="none" w:sz="0" w:space="0" w:color="auto"/>
        <w:right w:val="none" w:sz="0" w:space="0" w:color="auto"/>
      </w:divBdr>
    </w:div>
    <w:div w:id="855657761">
      <w:bodyDiv w:val="1"/>
      <w:marLeft w:val="0"/>
      <w:marRight w:val="0"/>
      <w:marTop w:val="0"/>
      <w:marBottom w:val="0"/>
      <w:divBdr>
        <w:top w:val="none" w:sz="0" w:space="0" w:color="auto"/>
        <w:left w:val="none" w:sz="0" w:space="0" w:color="auto"/>
        <w:bottom w:val="none" w:sz="0" w:space="0" w:color="auto"/>
        <w:right w:val="none" w:sz="0" w:space="0" w:color="auto"/>
      </w:divBdr>
    </w:div>
    <w:div w:id="870147060">
      <w:bodyDiv w:val="1"/>
      <w:marLeft w:val="0"/>
      <w:marRight w:val="0"/>
      <w:marTop w:val="0"/>
      <w:marBottom w:val="0"/>
      <w:divBdr>
        <w:top w:val="none" w:sz="0" w:space="0" w:color="auto"/>
        <w:left w:val="none" w:sz="0" w:space="0" w:color="auto"/>
        <w:bottom w:val="none" w:sz="0" w:space="0" w:color="auto"/>
        <w:right w:val="none" w:sz="0" w:space="0" w:color="auto"/>
      </w:divBdr>
    </w:div>
    <w:div w:id="875461249">
      <w:bodyDiv w:val="1"/>
      <w:marLeft w:val="0"/>
      <w:marRight w:val="0"/>
      <w:marTop w:val="0"/>
      <w:marBottom w:val="0"/>
      <w:divBdr>
        <w:top w:val="none" w:sz="0" w:space="0" w:color="auto"/>
        <w:left w:val="none" w:sz="0" w:space="0" w:color="auto"/>
        <w:bottom w:val="none" w:sz="0" w:space="0" w:color="auto"/>
        <w:right w:val="none" w:sz="0" w:space="0" w:color="auto"/>
      </w:divBdr>
    </w:div>
    <w:div w:id="885681358">
      <w:bodyDiv w:val="1"/>
      <w:marLeft w:val="0"/>
      <w:marRight w:val="0"/>
      <w:marTop w:val="0"/>
      <w:marBottom w:val="0"/>
      <w:divBdr>
        <w:top w:val="none" w:sz="0" w:space="0" w:color="auto"/>
        <w:left w:val="none" w:sz="0" w:space="0" w:color="auto"/>
        <w:bottom w:val="none" w:sz="0" w:space="0" w:color="auto"/>
        <w:right w:val="none" w:sz="0" w:space="0" w:color="auto"/>
      </w:divBdr>
    </w:div>
    <w:div w:id="889536093">
      <w:bodyDiv w:val="1"/>
      <w:marLeft w:val="0"/>
      <w:marRight w:val="0"/>
      <w:marTop w:val="0"/>
      <w:marBottom w:val="0"/>
      <w:divBdr>
        <w:top w:val="none" w:sz="0" w:space="0" w:color="auto"/>
        <w:left w:val="none" w:sz="0" w:space="0" w:color="auto"/>
        <w:bottom w:val="none" w:sz="0" w:space="0" w:color="auto"/>
        <w:right w:val="none" w:sz="0" w:space="0" w:color="auto"/>
      </w:divBdr>
    </w:div>
    <w:div w:id="889729149">
      <w:bodyDiv w:val="1"/>
      <w:marLeft w:val="0"/>
      <w:marRight w:val="0"/>
      <w:marTop w:val="0"/>
      <w:marBottom w:val="0"/>
      <w:divBdr>
        <w:top w:val="none" w:sz="0" w:space="0" w:color="auto"/>
        <w:left w:val="none" w:sz="0" w:space="0" w:color="auto"/>
        <w:bottom w:val="none" w:sz="0" w:space="0" w:color="auto"/>
        <w:right w:val="none" w:sz="0" w:space="0" w:color="auto"/>
      </w:divBdr>
    </w:div>
    <w:div w:id="892694779">
      <w:bodyDiv w:val="1"/>
      <w:marLeft w:val="0"/>
      <w:marRight w:val="0"/>
      <w:marTop w:val="0"/>
      <w:marBottom w:val="0"/>
      <w:divBdr>
        <w:top w:val="none" w:sz="0" w:space="0" w:color="auto"/>
        <w:left w:val="none" w:sz="0" w:space="0" w:color="auto"/>
        <w:bottom w:val="none" w:sz="0" w:space="0" w:color="auto"/>
        <w:right w:val="none" w:sz="0" w:space="0" w:color="auto"/>
      </w:divBdr>
    </w:div>
    <w:div w:id="895972618">
      <w:bodyDiv w:val="1"/>
      <w:marLeft w:val="0"/>
      <w:marRight w:val="0"/>
      <w:marTop w:val="0"/>
      <w:marBottom w:val="0"/>
      <w:divBdr>
        <w:top w:val="none" w:sz="0" w:space="0" w:color="auto"/>
        <w:left w:val="none" w:sz="0" w:space="0" w:color="auto"/>
        <w:bottom w:val="none" w:sz="0" w:space="0" w:color="auto"/>
        <w:right w:val="none" w:sz="0" w:space="0" w:color="auto"/>
      </w:divBdr>
    </w:div>
    <w:div w:id="915822837">
      <w:bodyDiv w:val="1"/>
      <w:marLeft w:val="0"/>
      <w:marRight w:val="0"/>
      <w:marTop w:val="0"/>
      <w:marBottom w:val="0"/>
      <w:divBdr>
        <w:top w:val="none" w:sz="0" w:space="0" w:color="auto"/>
        <w:left w:val="none" w:sz="0" w:space="0" w:color="auto"/>
        <w:bottom w:val="none" w:sz="0" w:space="0" w:color="auto"/>
        <w:right w:val="none" w:sz="0" w:space="0" w:color="auto"/>
      </w:divBdr>
      <w:divsChild>
        <w:div w:id="605774270">
          <w:marLeft w:val="0"/>
          <w:marRight w:val="0"/>
          <w:marTop w:val="0"/>
          <w:marBottom w:val="0"/>
          <w:divBdr>
            <w:top w:val="none" w:sz="0" w:space="0" w:color="auto"/>
            <w:left w:val="none" w:sz="0" w:space="0" w:color="auto"/>
            <w:bottom w:val="none" w:sz="0" w:space="0" w:color="auto"/>
            <w:right w:val="none" w:sz="0" w:space="0" w:color="auto"/>
          </w:divBdr>
        </w:div>
        <w:div w:id="1916157795">
          <w:marLeft w:val="0"/>
          <w:marRight w:val="0"/>
          <w:marTop w:val="0"/>
          <w:marBottom w:val="0"/>
          <w:divBdr>
            <w:top w:val="none" w:sz="0" w:space="0" w:color="auto"/>
            <w:left w:val="none" w:sz="0" w:space="0" w:color="auto"/>
            <w:bottom w:val="none" w:sz="0" w:space="0" w:color="auto"/>
            <w:right w:val="none" w:sz="0" w:space="0" w:color="auto"/>
          </w:divBdr>
        </w:div>
      </w:divsChild>
    </w:div>
    <w:div w:id="920797163">
      <w:bodyDiv w:val="1"/>
      <w:marLeft w:val="0"/>
      <w:marRight w:val="0"/>
      <w:marTop w:val="0"/>
      <w:marBottom w:val="0"/>
      <w:divBdr>
        <w:top w:val="none" w:sz="0" w:space="0" w:color="auto"/>
        <w:left w:val="none" w:sz="0" w:space="0" w:color="auto"/>
        <w:bottom w:val="none" w:sz="0" w:space="0" w:color="auto"/>
        <w:right w:val="none" w:sz="0" w:space="0" w:color="auto"/>
      </w:divBdr>
    </w:div>
    <w:div w:id="943806032">
      <w:bodyDiv w:val="1"/>
      <w:marLeft w:val="0"/>
      <w:marRight w:val="0"/>
      <w:marTop w:val="0"/>
      <w:marBottom w:val="0"/>
      <w:divBdr>
        <w:top w:val="none" w:sz="0" w:space="0" w:color="auto"/>
        <w:left w:val="none" w:sz="0" w:space="0" w:color="auto"/>
        <w:bottom w:val="none" w:sz="0" w:space="0" w:color="auto"/>
        <w:right w:val="none" w:sz="0" w:space="0" w:color="auto"/>
      </w:divBdr>
    </w:div>
    <w:div w:id="950012464">
      <w:bodyDiv w:val="1"/>
      <w:marLeft w:val="0"/>
      <w:marRight w:val="0"/>
      <w:marTop w:val="0"/>
      <w:marBottom w:val="0"/>
      <w:divBdr>
        <w:top w:val="none" w:sz="0" w:space="0" w:color="auto"/>
        <w:left w:val="none" w:sz="0" w:space="0" w:color="auto"/>
        <w:bottom w:val="none" w:sz="0" w:space="0" w:color="auto"/>
        <w:right w:val="none" w:sz="0" w:space="0" w:color="auto"/>
      </w:divBdr>
    </w:div>
    <w:div w:id="950014938">
      <w:bodyDiv w:val="1"/>
      <w:marLeft w:val="0"/>
      <w:marRight w:val="0"/>
      <w:marTop w:val="0"/>
      <w:marBottom w:val="0"/>
      <w:divBdr>
        <w:top w:val="none" w:sz="0" w:space="0" w:color="auto"/>
        <w:left w:val="none" w:sz="0" w:space="0" w:color="auto"/>
        <w:bottom w:val="none" w:sz="0" w:space="0" w:color="auto"/>
        <w:right w:val="none" w:sz="0" w:space="0" w:color="auto"/>
      </w:divBdr>
    </w:div>
    <w:div w:id="956450795">
      <w:bodyDiv w:val="1"/>
      <w:marLeft w:val="0"/>
      <w:marRight w:val="0"/>
      <w:marTop w:val="0"/>
      <w:marBottom w:val="0"/>
      <w:divBdr>
        <w:top w:val="none" w:sz="0" w:space="0" w:color="auto"/>
        <w:left w:val="none" w:sz="0" w:space="0" w:color="auto"/>
        <w:bottom w:val="none" w:sz="0" w:space="0" w:color="auto"/>
        <w:right w:val="none" w:sz="0" w:space="0" w:color="auto"/>
      </w:divBdr>
    </w:div>
    <w:div w:id="966085587">
      <w:bodyDiv w:val="1"/>
      <w:marLeft w:val="0"/>
      <w:marRight w:val="0"/>
      <w:marTop w:val="0"/>
      <w:marBottom w:val="0"/>
      <w:divBdr>
        <w:top w:val="none" w:sz="0" w:space="0" w:color="auto"/>
        <w:left w:val="none" w:sz="0" w:space="0" w:color="auto"/>
        <w:bottom w:val="none" w:sz="0" w:space="0" w:color="auto"/>
        <w:right w:val="none" w:sz="0" w:space="0" w:color="auto"/>
      </w:divBdr>
    </w:div>
    <w:div w:id="972176551">
      <w:bodyDiv w:val="1"/>
      <w:marLeft w:val="0"/>
      <w:marRight w:val="0"/>
      <w:marTop w:val="0"/>
      <w:marBottom w:val="0"/>
      <w:divBdr>
        <w:top w:val="none" w:sz="0" w:space="0" w:color="auto"/>
        <w:left w:val="none" w:sz="0" w:space="0" w:color="auto"/>
        <w:bottom w:val="none" w:sz="0" w:space="0" w:color="auto"/>
        <w:right w:val="none" w:sz="0" w:space="0" w:color="auto"/>
      </w:divBdr>
    </w:div>
    <w:div w:id="975723512">
      <w:bodyDiv w:val="1"/>
      <w:marLeft w:val="0"/>
      <w:marRight w:val="0"/>
      <w:marTop w:val="0"/>
      <w:marBottom w:val="0"/>
      <w:divBdr>
        <w:top w:val="none" w:sz="0" w:space="0" w:color="auto"/>
        <w:left w:val="none" w:sz="0" w:space="0" w:color="auto"/>
        <w:bottom w:val="none" w:sz="0" w:space="0" w:color="auto"/>
        <w:right w:val="none" w:sz="0" w:space="0" w:color="auto"/>
      </w:divBdr>
    </w:div>
    <w:div w:id="978267970">
      <w:bodyDiv w:val="1"/>
      <w:marLeft w:val="0"/>
      <w:marRight w:val="0"/>
      <w:marTop w:val="0"/>
      <w:marBottom w:val="0"/>
      <w:divBdr>
        <w:top w:val="none" w:sz="0" w:space="0" w:color="auto"/>
        <w:left w:val="none" w:sz="0" w:space="0" w:color="auto"/>
        <w:bottom w:val="none" w:sz="0" w:space="0" w:color="auto"/>
        <w:right w:val="none" w:sz="0" w:space="0" w:color="auto"/>
      </w:divBdr>
    </w:div>
    <w:div w:id="979382705">
      <w:bodyDiv w:val="1"/>
      <w:marLeft w:val="0"/>
      <w:marRight w:val="0"/>
      <w:marTop w:val="0"/>
      <w:marBottom w:val="0"/>
      <w:divBdr>
        <w:top w:val="none" w:sz="0" w:space="0" w:color="auto"/>
        <w:left w:val="none" w:sz="0" w:space="0" w:color="auto"/>
        <w:bottom w:val="none" w:sz="0" w:space="0" w:color="auto"/>
        <w:right w:val="none" w:sz="0" w:space="0" w:color="auto"/>
      </w:divBdr>
    </w:div>
    <w:div w:id="984621434">
      <w:bodyDiv w:val="1"/>
      <w:marLeft w:val="0"/>
      <w:marRight w:val="0"/>
      <w:marTop w:val="0"/>
      <w:marBottom w:val="0"/>
      <w:divBdr>
        <w:top w:val="none" w:sz="0" w:space="0" w:color="auto"/>
        <w:left w:val="none" w:sz="0" w:space="0" w:color="auto"/>
        <w:bottom w:val="none" w:sz="0" w:space="0" w:color="auto"/>
        <w:right w:val="none" w:sz="0" w:space="0" w:color="auto"/>
      </w:divBdr>
    </w:div>
    <w:div w:id="985623396">
      <w:bodyDiv w:val="1"/>
      <w:marLeft w:val="0"/>
      <w:marRight w:val="0"/>
      <w:marTop w:val="0"/>
      <w:marBottom w:val="0"/>
      <w:divBdr>
        <w:top w:val="none" w:sz="0" w:space="0" w:color="auto"/>
        <w:left w:val="none" w:sz="0" w:space="0" w:color="auto"/>
        <w:bottom w:val="none" w:sz="0" w:space="0" w:color="auto"/>
        <w:right w:val="none" w:sz="0" w:space="0" w:color="auto"/>
      </w:divBdr>
    </w:div>
    <w:div w:id="987711786">
      <w:bodyDiv w:val="1"/>
      <w:marLeft w:val="0"/>
      <w:marRight w:val="0"/>
      <w:marTop w:val="0"/>
      <w:marBottom w:val="0"/>
      <w:divBdr>
        <w:top w:val="none" w:sz="0" w:space="0" w:color="auto"/>
        <w:left w:val="none" w:sz="0" w:space="0" w:color="auto"/>
        <w:bottom w:val="none" w:sz="0" w:space="0" w:color="auto"/>
        <w:right w:val="none" w:sz="0" w:space="0" w:color="auto"/>
      </w:divBdr>
    </w:div>
    <w:div w:id="1003583816">
      <w:bodyDiv w:val="1"/>
      <w:marLeft w:val="0"/>
      <w:marRight w:val="0"/>
      <w:marTop w:val="0"/>
      <w:marBottom w:val="0"/>
      <w:divBdr>
        <w:top w:val="none" w:sz="0" w:space="0" w:color="auto"/>
        <w:left w:val="none" w:sz="0" w:space="0" w:color="auto"/>
        <w:bottom w:val="none" w:sz="0" w:space="0" w:color="auto"/>
        <w:right w:val="none" w:sz="0" w:space="0" w:color="auto"/>
      </w:divBdr>
    </w:div>
    <w:div w:id="1004162202">
      <w:bodyDiv w:val="1"/>
      <w:marLeft w:val="0"/>
      <w:marRight w:val="0"/>
      <w:marTop w:val="0"/>
      <w:marBottom w:val="0"/>
      <w:divBdr>
        <w:top w:val="none" w:sz="0" w:space="0" w:color="auto"/>
        <w:left w:val="none" w:sz="0" w:space="0" w:color="auto"/>
        <w:bottom w:val="none" w:sz="0" w:space="0" w:color="auto"/>
        <w:right w:val="none" w:sz="0" w:space="0" w:color="auto"/>
      </w:divBdr>
    </w:div>
    <w:div w:id="1004279244">
      <w:bodyDiv w:val="1"/>
      <w:marLeft w:val="0"/>
      <w:marRight w:val="0"/>
      <w:marTop w:val="0"/>
      <w:marBottom w:val="0"/>
      <w:divBdr>
        <w:top w:val="none" w:sz="0" w:space="0" w:color="auto"/>
        <w:left w:val="none" w:sz="0" w:space="0" w:color="auto"/>
        <w:bottom w:val="none" w:sz="0" w:space="0" w:color="auto"/>
        <w:right w:val="none" w:sz="0" w:space="0" w:color="auto"/>
      </w:divBdr>
    </w:div>
    <w:div w:id="1013848172">
      <w:bodyDiv w:val="1"/>
      <w:marLeft w:val="0"/>
      <w:marRight w:val="0"/>
      <w:marTop w:val="0"/>
      <w:marBottom w:val="0"/>
      <w:divBdr>
        <w:top w:val="none" w:sz="0" w:space="0" w:color="auto"/>
        <w:left w:val="none" w:sz="0" w:space="0" w:color="auto"/>
        <w:bottom w:val="none" w:sz="0" w:space="0" w:color="auto"/>
        <w:right w:val="none" w:sz="0" w:space="0" w:color="auto"/>
      </w:divBdr>
    </w:div>
    <w:div w:id="1020399287">
      <w:bodyDiv w:val="1"/>
      <w:marLeft w:val="0"/>
      <w:marRight w:val="0"/>
      <w:marTop w:val="0"/>
      <w:marBottom w:val="0"/>
      <w:divBdr>
        <w:top w:val="none" w:sz="0" w:space="0" w:color="auto"/>
        <w:left w:val="none" w:sz="0" w:space="0" w:color="auto"/>
        <w:bottom w:val="none" w:sz="0" w:space="0" w:color="auto"/>
        <w:right w:val="none" w:sz="0" w:space="0" w:color="auto"/>
      </w:divBdr>
    </w:div>
    <w:div w:id="1037702400">
      <w:bodyDiv w:val="1"/>
      <w:marLeft w:val="0"/>
      <w:marRight w:val="0"/>
      <w:marTop w:val="0"/>
      <w:marBottom w:val="0"/>
      <w:divBdr>
        <w:top w:val="none" w:sz="0" w:space="0" w:color="auto"/>
        <w:left w:val="none" w:sz="0" w:space="0" w:color="auto"/>
        <w:bottom w:val="none" w:sz="0" w:space="0" w:color="auto"/>
        <w:right w:val="none" w:sz="0" w:space="0" w:color="auto"/>
      </w:divBdr>
    </w:div>
    <w:div w:id="1051423894">
      <w:bodyDiv w:val="1"/>
      <w:marLeft w:val="0"/>
      <w:marRight w:val="0"/>
      <w:marTop w:val="0"/>
      <w:marBottom w:val="0"/>
      <w:divBdr>
        <w:top w:val="none" w:sz="0" w:space="0" w:color="auto"/>
        <w:left w:val="none" w:sz="0" w:space="0" w:color="auto"/>
        <w:bottom w:val="none" w:sz="0" w:space="0" w:color="auto"/>
        <w:right w:val="none" w:sz="0" w:space="0" w:color="auto"/>
      </w:divBdr>
    </w:div>
    <w:div w:id="1052079650">
      <w:bodyDiv w:val="1"/>
      <w:marLeft w:val="0"/>
      <w:marRight w:val="0"/>
      <w:marTop w:val="0"/>
      <w:marBottom w:val="0"/>
      <w:divBdr>
        <w:top w:val="none" w:sz="0" w:space="0" w:color="auto"/>
        <w:left w:val="none" w:sz="0" w:space="0" w:color="auto"/>
        <w:bottom w:val="none" w:sz="0" w:space="0" w:color="auto"/>
        <w:right w:val="none" w:sz="0" w:space="0" w:color="auto"/>
      </w:divBdr>
    </w:div>
    <w:div w:id="1055350346">
      <w:bodyDiv w:val="1"/>
      <w:marLeft w:val="0"/>
      <w:marRight w:val="0"/>
      <w:marTop w:val="0"/>
      <w:marBottom w:val="0"/>
      <w:divBdr>
        <w:top w:val="none" w:sz="0" w:space="0" w:color="auto"/>
        <w:left w:val="none" w:sz="0" w:space="0" w:color="auto"/>
        <w:bottom w:val="none" w:sz="0" w:space="0" w:color="auto"/>
        <w:right w:val="none" w:sz="0" w:space="0" w:color="auto"/>
      </w:divBdr>
    </w:div>
    <w:div w:id="1066075711">
      <w:bodyDiv w:val="1"/>
      <w:marLeft w:val="0"/>
      <w:marRight w:val="0"/>
      <w:marTop w:val="0"/>
      <w:marBottom w:val="0"/>
      <w:divBdr>
        <w:top w:val="none" w:sz="0" w:space="0" w:color="auto"/>
        <w:left w:val="none" w:sz="0" w:space="0" w:color="auto"/>
        <w:bottom w:val="none" w:sz="0" w:space="0" w:color="auto"/>
        <w:right w:val="none" w:sz="0" w:space="0" w:color="auto"/>
      </w:divBdr>
    </w:div>
    <w:div w:id="1071581505">
      <w:bodyDiv w:val="1"/>
      <w:marLeft w:val="0"/>
      <w:marRight w:val="0"/>
      <w:marTop w:val="0"/>
      <w:marBottom w:val="0"/>
      <w:divBdr>
        <w:top w:val="none" w:sz="0" w:space="0" w:color="auto"/>
        <w:left w:val="none" w:sz="0" w:space="0" w:color="auto"/>
        <w:bottom w:val="none" w:sz="0" w:space="0" w:color="auto"/>
        <w:right w:val="none" w:sz="0" w:space="0" w:color="auto"/>
      </w:divBdr>
    </w:div>
    <w:div w:id="1072584345">
      <w:bodyDiv w:val="1"/>
      <w:marLeft w:val="0"/>
      <w:marRight w:val="0"/>
      <w:marTop w:val="0"/>
      <w:marBottom w:val="0"/>
      <w:divBdr>
        <w:top w:val="none" w:sz="0" w:space="0" w:color="auto"/>
        <w:left w:val="none" w:sz="0" w:space="0" w:color="auto"/>
        <w:bottom w:val="none" w:sz="0" w:space="0" w:color="auto"/>
        <w:right w:val="none" w:sz="0" w:space="0" w:color="auto"/>
      </w:divBdr>
    </w:div>
    <w:div w:id="1078359359">
      <w:bodyDiv w:val="1"/>
      <w:marLeft w:val="0"/>
      <w:marRight w:val="0"/>
      <w:marTop w:val="0"/>
      <w:marBottom w:val="0"/>
      <w:divBdr>
        <w:top w:val="none" w:sz="0" w:space="0" w:color="auto"/>
        <w:left w:val="none" w:sz="0" w:space="0" w:color="auto"/>
        <w:bottom w:val="none" w:sz="0" w:space="0" w:color="auto"/>
        <w:right w:val="none" w:sz="0" w:space="0" w:color="auto"/>
      </w:divBdr>
    </w:div>
    <w:div w:id="1084574027">
      <w:bodyDiv w:val="1"/>
      <w:marLeft w:val="0"/>
      <w:marRight w:val="0"/>
      <w:marTop w:val="0"/>
      <w:marBottom w:val="0"/>
      <w:divBdr>
        <w:top w:val="none" w:sz="0" w:space="0" w:color="auto"/>
        <w:left w:val="none" w:sz="0" w:space="0" w:color="auto"/>
        <w:bottom w:val="none" w:sz="0" w:space="0" w:color="auto"/>
        <w:right w:val="none" w:sz="0" w:space="0" w:color="auto"/>
      </w:divBdr>
    </w:div>
    <w:div w:id="1088963245">
      <w:bodyDiv w:val="1"/>
      <w:marLeft w:val="0"/>
      <w:marRight w:val="0"/>
      <w:marTop w:val="0"/>
      <w:marBottom w:val="0"/>
      <w:divBdr>
        <w:top w:val="none" w:sz="0" w:space="0" w:color="auto"/>
        <w:left w:val="none" w:sz="0" w:space="0" w:color="auto"/>
        <w:bottom w:val="none" w:sz="0" w:space="0" w:color="auto"/>
        <w:right w:val="none" w:sz="0" w:space="0" w:color="auto"/>
      </w:divBdr>
    </w:div>
    <w:div w:id="1100106994">
      <w:bodyDiv w:val="1"/>
      <w:marLeft w:val="0"/>
      <w:marRight w:val="0"/>
      <w:marTop w:val="0"/>
      <w:marBottom w:val="0"/>
      <w:divBdr>
        <w:top w:val="none" w:sz="0" w:space="0" w:color="auto"/>
        <w:left w:val="none" w:sz="0" w:space="0" w:color="auto"/>
        <w:bottom w:val="none" w:sz="0" w:space="0" w:color="auto"/>
        <w:right w:val="none" w:sz="0" w:space="0" w:color="auto"/>
      </w:divBdr>
    </w:div>
    <w:div w:id="1109005986">
      <w:bodyDiv w:val="1"/>
      <w:marLeft w:val="0"/>
      <w:marRight w:val="0"/>
      <w:marTop w:val="0"/>
      <w:marBottom w:val="0"/>
      <w:divBdr>
        <w:top w:val="none" w:sz="0" w:space="0" w:color="auto"/>
        <w:left w:val="none" w:sz="0" w:space="0" w:color="auto"/>
        <w:bottom w:val="none" w:sz="0" w:space="0" w:color="auto"/>
        <w:right w:val="none" w:sz="0" w:space="0" w:color="auto"/>
      </w:divBdr>
    </w:div>
    <w:div w:id="1124809529">
      <w:bodyDiv w:val="1"/>
      <w:marLeft w:val="0"/>
      <w:marRight w:val="0"/>
      <w:marTop w:val="0"/>
      <w:marBottom w:val="0"/>
      <w:divBdr>
        <w:top w:val="none" w:sz="0" w:space="0" w:color="auto"/>
        <w:left w:val="none" w:sz="0" w:space="0" w:color="auto"/>
        <w:bottom w:val="none" w:sz="0" w:space="0" w:color="auto"/>
        <w:right w:val="none" w:sz="0" w:space="0" w:color="auto"/>
      </w:divBdr>
    </w:div>
    <w:div w:id="1137647962">
      <w:bodyDiv w:val="1"/>
      <w:marLeft w:val="0"/>
      <w:marRight w:val="0"/>
      <w:marTop w:val="0"/>
      <w:marBottom w:val="0"/>
      <w:divBdr>
        <w:top w:val="none" w:sz="0" w:space="0" w:color="auto"/>
        <w:left w:val="none" w:sz="0" w:space="0" w:color="auto"/>
        <w:bottom w:val="none" w:sz="0" w:space="0" w:color="auto"/>
        <w:right w:val="none" w:sz="0" w:space="0" w:color="auto"/>
      </w:divBdr>
    </w:div>
    <w:div w:id="1140730832">
      <w:bodyDiv w:val="1"/>
      <w:marLeft w:val="0"/>
      <w:marRight w:val="0"/>
      <w:marTop w:val="0"/>
      <w:marBottom w:val="0"/>
      <w:divBdr>
        <w:top w:val="none" w:sz="0" w:space="0" w:color="auto"/>
        <w:left w:val="none" w:sz="0" w:space="0" w:color="auto"/>
        <w:bottom w:val="none" w:sz="0" w:space="0" w:color="auto"/>
        <w:right w:val="none" w:sz="0" w:space="0" w:color="auto"/>
      </w:divBdr>
    </w:div>
    <w:div w:id="1142582429">
      <w:bodyDiv w:val="1"/>
      <w:marLeft w:val="0"/>
      <w:marRight w:val="0"/>
      <w:marTop w:val="0"/>
      <w:marBottom w:val="0"/>
      <w:divBdr>
        <w:top w:val="none" w:sz="0" w:space="0" w:color="auto"/>
        <w:left w:val="none" w:sz="0" w:space="0" w:color="auto"/>
        <w:bottom w:val="none" w:sz="0" w:space="0" w:color="auto"/>
        <w:right w:val="none" w:sz="0" w:space="0" w:color="auto"/>
      </w:divBdr>
    </w:div>
    <w:div w:id="1163084590">
      <w:bodyDiv w:val="1"/>
      <w:marLeft w:val="0"/>
      <w:marRight w:val="0"/>
      <w:marTop w:val="0"/>
      <w:marBottom w:val="0"/>
      <w:divBdr>
        <w:top w:val="none" w:sz="0" w:space="0" w:color="auto"/>
        <w:left w:val="none" w:sz="0" w:space="0" w:color="auto"/>
        <w:bottom w:val="none" w:sz="0" w:space="0" w:color="auto"/>
        <w:right w:val="none" w:sz="0" w:space="0" w:color="auto"/>
      </w:divBdr>
    </w:div>
    <w:div w:id="1181821132">
      <w:bodyDiv w:val="1"/>
      <w:marLeft w:val="0"/>
      <w:marRight w:val="0"/>
      <w:marTop w:val="0"/>
      <w:marBottom w:val="0"/>
      <w:divBdr>
        <w:top w:val="none" w:sz="0" w:space="0" w:color="auto"/>
        <w:left w:val="none" w:sz="0" w:space="0" w:color="auto"/>
        <w:bottom w:val="none" w:sz="0" w:space="0" w:color="auto"/>
        <w:right w:val="none" w:sz="0" w:space="0" w:color="auto"/>
      </w:divBdr>
    </w:div>
    <w:div w:id="1182623542">
      <w:bodyDiv w:val="1"/>
      <w:marLeft w:val="0"/>
      <w:marRight w:val="0"/>
      <w:marTop w:val="0"/>
      <w:marBottom w:val="0"/>
      <w:divBdr>
        <w:top w:val="none" w:sz="0" w:space="0" w:color="auto"/>
        <w:left w:val="none" w:sz="0" w:space="0" w:color="auto"/>
        <w:bottom w:val="none" w:sz="0" w:space="0" w:color="auto"/>
        <w:right w:val="none" w:sz="0" w:space="0" w:color="auto"/>
      </w:divBdr>
    </w:div>
    <w:div w:id="1184248732">
      <w:bodyDiv w:val="1"/>
      <w:marLeft w:val="0"/>
      <w:marRight w:val="0"/>
      <w:marTop w:val="0"/>
      <w:marBottom w:val="0"/>
      <w:divBdr>
        <w:top w:val="none" w:sz="0" w:space="0" w:color="auto"/>
        <w:left w:val="none" w:sz="0" w:space="0" w:color="auto"/>
        <w:bottom w:val="none" w:sz="0" w:space="0" w:color="auto"/>
        <w:right w:val="none" w:sz="0" w:space="0" w:color="auto"/>
      </w:divBdr>
    </w:div>
    <w:div w:id="1185948280">
      <w:bodyDiv w:val="1"/>
      <w:marLeft w:val="0"/>
      <w:marRight w:val="0"/>
      <w:marTop w:val="0"/>
      <w:marBottom w:val="0"/>
      <w:divBdr>
        <w:top w:val="none" w:sz="0" w:space="0" w:color="auto"/>
        <w:left w:val="none" w:sz="0" w:space="0" w:color="auto"/>
        <w:bottom w:val="none" w:sz="0" w:space="0" w:color="auto"/>
        <w:right w:val="none" w:sz="0" w:space="0" w:color="auto"/>
      </w:divBdr>
    </w:div>
    <w:div w:id="1187715169">
      <w:bodyDiv w:val="1"/>
      <w:marLeft w:val="0"/>
      <w:marRight w:val="0"/>
      <w:marTop w:val="0"/>
      <w:marBottom w:val="0"/>
      <w:divBdr>
        <w:top w:val="none" w:sz="0" w:space="0" w:color="auto"/>
        <w:left w:val="none" w:sz="0" w:space="0" w:color="auto"/>
        <w:bottom w:val="none" w:sz="0" w:space="0" w:color="auto"/>
        <w:right w:val="none" w:sz="0" w:space="0" w:color="auto"/>
      </w:divBdr>
    </w:div>
    <w:div w:id="1194420986">
      <w:bodyDiv w:val="1"/>
      <w:marLeft w:val="0"/>
      <w:marRight w:val="0"/>
      <w:marTop w:val="0"/>
      <w:marBottom w:val="0"/>
      <w:divBdr>
        <w:top w:val="none" w:sz="0" w:space="0" w:color="auto"/>
        <w:left w:val="none" w:sz="0" w:space="0" w:color="auto"/>
        <w:bottom w:val="none" w:sz="0" w:space="0" w:color="auto"/>
        <w:right w:val="none" w:sz="0" w:space="0" w:color="auto"/>
      </w:divBdr>
    </w:div>
    <w:div w:id="1196387069">
      <w:bodyDiv w:val="1"/>
      <w:marLeft w:val="0"/>
      <w:marRight w:val="0"/>
      <w:marTop w:val="0"/>
      <w:marBottom w:val="0"/>
      <w:divBdr>
        <w:top w:val="none" w:sz="0" w:space="0" w:color="auto"/>
        <w:left w:val="none" w:sz="0" w:space="0" w:color="auto"/>
        <w:bottom w:val="none" w:sz="0" w:space="0" w:color="auto"/>
        <w:right w:val="none" w:sz="0" w:space="0" w:color="auto"/>
      </w:divBdr>
    </w:div>
    <w:div w:id="1210655478">
      <w:bodyDiv w:val="1"/>
      <w:marLeft w:val="0"/>
      <w:marRight w:val="0"/>
      <w:marTop w:val="0"/>
      <w:marBottom w:val="0"/>
      <w:divBdr>
        <w:top w:val="none" w:sz="0" w:space="0" w:color="auto"/>
        <w:left w:val="none" w:sz="0" w:space="0" w:color="auto"/>
        <w:bottom w:val="none" w:sz="0" w:space="0" w:color="auto"/>
        <w:right w:val="none" w:sz="0" w:space="0" w:color="auto"/>
      </w:divBdr>
    </w:div>
    <w:div w:id="1213151452">
      <w:bodyDiv w:val="1"/>
      <w:marLeft w:val="0"/>
      <w:marRight w:val="0"/>
      <w:marTop w:val="0"/>
      <w:marBottom w:val="0"/>
      <w:divBdr>
        <w:top w:val="none" w:sz="0" w:space="0" w:color="auto"/>
        <w:left w:val="none" w:sz="0" w:space="0" w:color="auto"/>
        <w:bottom w:val="none" w:sz="0" w:space="0" w:color="auto"/>
        <w:right w:val="none" w:sz="0" w:space="0" w:color="auto"/>
      </w:divBdr>
    </w:div>
    <w:div w:id="1214120883">
      <w:bodyDiv w:val="1"/>
      <w:marLeft w:val="0"/>
      <w:marRight w:val="0"/>
      <w:marTop w:val="0"/>
      <w:marBottom w:val="0"/>
      <w:divBdr>
        <w:top w:val="none" w:sz="0" w:space="0" w:color="auto"/>
        <w:left w:val="none" w:sz="0" w:space="0" w:color="auto"/>
        <w:bottom w:val="none" w:sz="0" w:space="0" w:color="auto"/>
        <w:right w:val="none" w:sz="0" w:space="0" w:color="auto"/>
      </w:divBdr>
    </w:div>
    <w:div w:id="1219560273">
      <w:bodyDiv w:val="1"/>
      <w:marLeft w:val="0"/>
      <w:marRight w:val="0"/>
      <w:marTop w:val="0"/>
      <w:marBottom w:val="0"/>
      <w:divBdr>
        <w:top w:val="none" w:sz="0" w:space="0" w:color="auto"/>
        <w:left w:val="none" w:sz="0" w:space="0" w:color="auto"/>
        <w:bottom w:val="none" w:sz="0" w:space="0" w:color="auto"/>
        <w:right w:val="none" w:sz="0" w:space="0" w:color="auto"/>
      </w:divBdr>
    </w:div>
    <w:div w:id="1220896607">
      <w:bodyDiv w:val="1"/>
      <w:marLeft w:val="0"/>
      <w:marRight w:val="0"/>
      <w:marTop w:val="0"/>
      <w:marBottom w:val="0"/>
      <w:divBdr>
        <w:top w:val="none" w:sz="0" w:space="0" w:color="auto"/>
        <w:left w:val="none" w:sz="0" w:space="0" w:color="auto"/>
        <w:bottom w:val="none" w:sz="0" w:space="0" w:color="auto"/>
        <w:right w:val="none" w:sz="0" w:space="0" w:color="auto"/>
      </w:divBdr>
    </w:div>
    <w:div w:id="1222058296">
      <w:bodyDiv w:val="1"/>
      <w:marLeft w:val="0"/>
      <w:marRight w:val="0"/>
      <w:marTop w:val="0"/>
      <w:marBottom w:val="0"/>
      <w:divBdr>
        <w:top w:val="none" w:sz="0" w:space="0" w:color="auto"/>
        <w:left w:val="none" w:sz="0" w:space="0" w:color="auto"/>
        <w:bottom w:val="none" w:sz="0" w:space="0" w:color="auto"/>
        <w:right w:val="none" w:sz="0" w:space="0" w:color="auto"/>
      </w:divBdr>
    </w:div>
    <w:div w:id="1227840181">
      <w:bodyDiv w:val="1"/>
      <w:marLeft w:val="0"/>
      <w:marRight w:val="0"/>
      <w:marTop w:val="0"/>
      <w:marBottom w:val="0"/>
      <w:divBdr>
        <w:top w:val="none" w:sz="0" w:space="0" w:color="auto"/>
        <w:left w:val="none" w:sz="0" w:space="0" w:color="auto"/>
        <w:bottom w:val="none" w:sz="0" w:space="0" w:color="auto"/>
        <w:right w:val="none" w:sz="0" w:space="0" w:color="auto"/>
      </w:divBdr>
    </w:div>
    <w:div w:id="1228610993">
      <w:bodyDiv w:val="1"/>
      <w:marLeft w:val="0"/>
      <w:marRight w:val="0"/>
      <w:marTop w:val="0"/>
      <w:marBottom w:val="0"/>
      <w:divBdr>
        <w:top w:val="none" w:sz="0" w:space="0" w:color="auto"/>
        <w:left w:val="none" w:sz="0" w:space="0" w:color="auto"/>
        <w:bottom w:val="none" w:sz="0" w:space="0" w:color="auto"/>
        <w:right w:val="none" w:sz="0" w:space="0" w:color="auto"/>
      </w:divBdr>
    </w:div>
    <w:div w:id="1231424299">
      <w:bodyDiv w:val="1"/>
      <w:marLeft w:val="0"/>
      <w:marRight w:val="0"/>
      <w:marTop w:val="0"/>
      <w:marBottom w:val="0"/>
      <w:divBdr>
        <w:top w:val="none" w:sz="0" w:space="0" w:color="auto"/>
        <w:left w:val="none" w:sz="0" w:space="0" w:color="auto"/>
        <w:bottom w:val="none" w:sz="0" w:space="0" w:color="auto"/>
        <w:right w:val="none" w:sz="0" w:space="0" w:color="auto"/>
      </w:divBdr>
    </w:div>
    <w:div w:id="1231698004">
      <w:bodyDiv w:val="1"/>
      <w:marLeft w:val="0"/>
      <w:marRight w:val="0"/>
      <w:marTop w:val="0"/>
      <w:marBottom w:val="0"/>
      <w:divBdr>
        <w:top w:val="none" w:sz="0" w:space="0" w:color="auto"/>
        <w:left w:val="none" w:sz="0" w:space="0" w:color="auto"/>
        <w:bottom w:val="none" w:sz="0" w:space="0" w:color="auto"/>
        <w:right w:val="none" w:sz="0" w:space="0" w:color="auto"/>
      </w:divBdr>
    </w:div>
    <w:div w:id="1232693375">
      <w:bodyDiv w:val="1"/>
      <w:marLeft w:val="0"/>
      <w:marRight w:val="0"/>
      <w:marTop w:val="0"/>
      <w:marBottom w:val="0"/>
      <w:divBdr>
        <w:top w:val="none" w:sz="0" w:space="0" w:color="auto"/>
        <w:left w:val="none" w:sz="0" w:space="0" w:color="auto"/>
        <w:bottom w:val="none" w:sz="0" w:space="0" w:color="auto"/>
        <w:right w:val="none" w:sz="0" w:space="0" w:color="auto"/>
      </w:divBdr>
    </w:div>
    <w:div w:id="1240216216">
      <w:bodyDiv w:val="1"/>
      <w:marLeft w:val="0"/>
      <w:marRight w:val="0"/>
      <w:marTop w:val="0"/>
      <w:marBottom w:val="0"/>
      <w:divBdr>
        <w:top w:val="none" w:sz="0" w:space="0" w:color="auto"/>
        <w:left w:val="none" w:sz="0" w:space="0" w:color="auto"/>
        <w:bottom w:val="none" w:sz="0" w:space="0" w:color="auto"/>
        <w:right w:val="none" w:sz="0" w:space="0" w:color="auto"/>
      </w:divBdr>
    </w:div>
    <w:div w:id="1244100986">
      <w:bodyDiv w:val="1"/>
      <w:marLeft w:val="0"/>
      <w:marRight w:val="0"/>
      <w:marTop w:val="0"/>
      <w:marBottom w:val="0"/>
      <w:divBdr>
        <w:top w:val="none" w:sz="0" w:space="0" w:color="auto"/>
        <w:left w:val="none" w:sz="0" w:space="0" w:color="auto"/>
        <w:bottom w:val="none" w:sz="0" w:space="0" w:color="auto"/>
        <w:right w:val="none" w:sz="0" w:space="0" w:color="auto"/>
      </w:divBdr>
    </w:div>
    <w:div w:id="1255480273">
      <w:bodyDiv w:val="1"/>
      <w:marLeft w:val="0"/>
      <w:marRight w:val="0"/>
      <w:marTop w:val="0"/>
      <w:marBottom w:val="0"/>
      <w:divBdr>
        <w:top w:val="none" w:sz="0" w:space="0" w:color="auto"/>
        <w:left w:val="none" w:sz="0" w:space="0" w:color="auto"/>
        <w:bottom w:val="none" w:sz="0" w:space="0" w:color="auto"/>
        <w:right w:val="none" w:sz="0" w:space="0" w:color="auto"/>
      </w:divBdr>
    </w:div>
    <w:div w:id="1270578652">
      <w:bodyDiv w:val="1"/>
      <w:marLeft w:val="0"/>
      <w:marRight w:val="0"/>
      <w:marTop w:val="0"/>
      <w:marBottom w:val="0"/>
      <w:divBdr>
        <w:top w:val="none" w:sz="0" w:space="0" w:color="auto"/>
        <w:left w:val="none" w:sz="0" w:space="0" w:color="auto"/>
        <w:bottom w:val="none" w:sz="0" w:space="0" w:color="auto"/>
        <w:right w:val="none" w:sz="0" w:space="0" w:color="auto"/>
      </w:divBdr>
    </w:div>
    <w:div w:id="1278560806">
      <w:bodyDiv w:val="1"/>
      <w:marLeft w:val="0"/>
      <w:marRight w:val="0"/>
      <w:marTop w:val="0"/>
      <w:marBottom w:val="0"/>
      <w:divBdr>
        <w:top w:val="none" w:sz="0" w:space="0" w:color="auto"/>
        <w:left w:val="none" w:sz="0" w:space="0" w:color="auto"/>
        <w:bottom w:val="none" w:sz="0" w:space="0" w:color="auto"/>
        <w:right w:val="none" w:sz="0" w:space="0" w:color="auto"/>
      </w:divBdr>
    </w:div>
    <w:div w:id="1282422326">
      <w:bodyDiv w:val="1"/>
      <w:marLeft w:val="0"/>
      <w:marRight w:val="0"/>
      <w:marTop w:val="0"/>
      <w:marBottom w:val="0"/>
      <w:divBdr>
        <w:top w:val="none" w:sz="0" w:space="0" w:color="auto"/>
        <w:left w:val="none" w:sz="0" w:space="0" w:color="auto"/>
        <w:bottom w:val="none" w:sz="0" w:space="0" w:color="auto"/>
        <w:right w:val="none" w:sz="0" w:space="0" w:color="auto"/>
      </w:divBdr>
    </w:div>
    <w:div w:id="1286690333">
      <w:bodyDiv w:val="1"/>
      <w:marLeft w:val="0"/>
      <w:marRight w:val="0"/>
      <w:marTop w:val="0"/>
      <w:marBottom w:val="0"/>
      <w:divBdr>
        <w:top w:val="none" w:sz="0" w:space="0" w:color="auto"/>
        <w:left w:val="none" w:sz="0" w:space="0" w:color="auto"/>
        <w:bottom w:val="none" w:sz="0" w:space="0" w:color="auto"/>
        <w:right w:val="none" w:sz="0" w:space="0" w:color="auto"/>
      </w:divBdr>
    </w:div>
    <w:div w:id="1289700757">
      <w:bodyDiv w:val="1"/>
      <w:marLeft w:val="0"/>
      <w:marRight w:val="0"/>
      <w:marTop w:val="0"/>
      <w:marBottom w:val="0"/>
      <w:divBdr>
        <w:top w:val="none" w:sz="0" w:space="0" w:color="auto"/>
        <w:left w:val="none" w:sz="0" w:space="0" w:color="auto"/>
        <w:bottom w:val="none" w:sz="0" w:space="0" w:color="auto"/>
        <w:right w:val="none" w:sz="0" w:space="0" w:color="auto"/>
      </w:divBdr>
    </w:div>
    <w:div w:id="1293513255">
      <w:bodyDiv w:val="1"/>
      <w:marLeft w:val="0"/>
      <w:marRight w:val="0"/>
      <w:marTop w:val="0"/>
      <w:marBottom w:val="0"/>
      <w:divBdr>
        <w:top w:val="none" w:sz="0" w:space="0" w:color="auto"/>
        <w:left w:val="none" w:sz="0" w:space="0" w:color="auto"/>
        <w:bottom w:val="none" w:sz="0" w:space="0" w:color="auto"/>
        <w:right w:val="none" w:sz="0" w:space="0" w:color="auto"/>
      </w:divBdr>
    </w:div>
    <w:div w:id="1299411650">
      <w:bodyDiv w:val="1"/>
      <w:marLeft w:val="0"/>
      <w:marRight w:val="0"/>
      <w:marTop w:val="0"/>
      <w:marBottom w:val="0"/>
      <w:divBdr>
        <w:top w:val="none" w:sz="0" w:space="0" w:color="auto"/>
        <w:left w:val="none" w:sz="0" w:space="0" w:color="auto"/>
        <w:bottom w:val="none" w:sz="0" w:space="0" w:color="auto"/>
        <w:right w:val="none" w:sz="0" w:space="0" w:color="auto"/>
      </w:divBdr>
    </w:div>
    <w:div w:id="1302076737">
      <w:bodyDiv w:val="1"/>
      <w:marLeft w:val="0"/>
      <w:marRight w:val="0"/>
      <w:marTop w:val="0"/>
      <w:marBottom w:val="0"/>
      <w:divBdr>
        <w:top w:val="none" w:sz="0" w:space="0" w:color="auto"/>
        <w:left w:val="none" w:sz="0" w:space="0" w:color="auto"/>
        <w:bottom w:val="none" w:sz="0" w:space="0" w:color="auto"/>
        <w:right w:val="none" w:sz="0" w:space="0" w:color="auto"/>
      </w:divBdr>
    </w:div>
    <w:div w:id="1302345751">
      <w:bodyDiv w:val="1"/>
      <w:marLeft w:val="0"/>
      <w:marRight w:val="0"/>
      <w:marTop w:val="0"/>
      <w:marBottom w:val="0"/>
      <w:divBdr>
        <w:top w:val="none" w:sz="0" w:space="0" w:color="auto"/>
        <w:left w:val="none" w:sz="0" w:space="0" w:color="auto"/>
        <w:bottom w:val="none" w:sz="0" w:space="0" w:color="auto"/>
        <w:right w:val="none" w:sz="0" w:space="0" w:color="auto"/>
      </w:divBdr>
    </w:div>
    <w:div w:id="1313749625">
      <w:bodyDiv w:val="1"/>
      <w:marLeft w:val="0"/>
      <w:marRight w:val="0"/>
      <w:marTop w:val="0"/>
      <w:marBottom w:val="0"/>
      <w:divBdr>
        <w:top w:val="none" w:sz="0" w:space="0" w:color="auto"/>
        <w:left w:val="none" w:sz="0" w:space="0" w:color="auto"/>
        <w:bottom w:val="none" w:sz="0" w:space="0" w:color="auto"/>
        <w:right w:val="none" w:sz="0" w:space="0" w:color="auto"/>
      </w:divBdr>
    </w:div>
    <w:div w:id="1314918847">
      <w:bodyDiv w:val="1"/>
      <w:marLeft w:val="0"/>
      <w:marRight w:val="0"/>
      <w:marTop w:val="0"/>
      <w:marBottom w:val="0"/>
      <w:divBdr>
        <w:top w:val="none" w:sz="0" w:space="0" w:color="auto"/>
        <w:left w:val="none" w:sz="0" w:space="0" w:color="auto"/>
        <w:bottom w:val="none" w:sz="0" w:space="0" w:color="auto"/>
        <w:right w:val="none" w:sz="0" w:space="0" w:color="auto"/>
      </w:divBdr>
    </w:div>
    <w:div w:id="1321812896">
      <w:bodyDiv w:val="1"/>
      <w:marLeft w:val="0"/>
      <w:marRight w:val="0"/>
      <w:marTop w:val="0"/>
      <w:marBottom w:val="0"/>
      <w:divBdr>
        <w:top w:val="none" w:sz="0" w:space="0" w:color="auto"/>
        <w:left w:val="none" w:sz="0" w:space="0" w:color="auto"/>
        <w:bottom w:val="none" w:sz="0" w:space="0" w:color="auto"/>
        <w:right w:val="none" w:sz="0" w:space="0" w:color="auto"/>
      </w:divBdr>
    </w:div>
    <w:div w:id="1331518605">
      <w:bodyDiv w:val="1"/>
      <w:marLeft w:val="0"/>
      <w:marRight w:val="0"/>
      <w:marTop w:val="0"/>
      <w:marBottom w:val="0"/>
      <w:divBdr>
        <w:top w:val="none" w:sz="0" w:space="0" w:color="auto"/>
        <w:left w:val="none" w:sz="0" w:space="0" w:color="auto"/>
        <w:bottom w:val="none" w:sz="0" w:space="0" w:color="auto"/>
        <w:right w:val="none" w:sz="0" w:space="0" w:color="auto"/>
      </w:divBdr>
    </w:div>
    <w:div w:id="1340544824">
      <w:bodyDiv w:val="1"/>
      <w:marLeft w:val="0"/>
      <w:marRight w:val="0"/>
      <w:marTop w:val="0"/>
      <w:marBottom w:val="0"/>
      <w:divBdr>
        <w:top w:val="none" w:sz="0" w:space="0" w:color="auto"/>
        <w:left w:val="none" w:sz="0" w:space="0" w:color="auto"/>
        <w:bottom w:val="none" w:sz="0" w:space="0" w:color="auto"/>
        <w:right w:val="none" w:sz="0" w:space="0" w:color="auto"/>
      </w:divBdr>
    </w:div>
    <w:div w:id="1352681531">
      <w:bodyDiv w:val="1"/>
      <w:marLeft w:val="0"/>
      <w:marRight w:val="0"/>
      <w:marTop w:val="0"/>
      <w:marBottom w:val="0"/>
      <w:divBdr>
        <w:top w:val="none" w:sz="0" w:space="0" w:color="auto"/>
        <w:left w:val="none" w:sz="0" w:space="0" w:color="auto"/>
        <w:bottom w:val="none" w:sz="0" w:space="0" w:color="auto"/>
        <w:right w:val="none" w:sz="0" w:space="0" w:color="auto"/>
      </w:divBdr>
    </w:div>
    <w:div w:id="1353724143">
      <w:bodyDiv w:val="1"/>
      <w:marLeft w:val="0"/>
      <w:marRight w:val="0"/>
      <w:marTop w:val="0"/>
      <w:marBottom w:val="0"/>
      <w:divBdr>
        <w:top w:val="none" w:sz="0" w:space="0" w:color="auto"/>
        <w:left w:val="none" w:sz="0" w:space="0" w:color="auto"/>
        <w:bottom w:val="none" w:sz="0" w:space="0" w:color="auto"/>
        <w:right w:val="none" w:sz="0" w:space="0" w:color="auto"/>
      </w:divBdr>
    </w:div>
    <w:div w:id="1354964622">
      <w:bodyDiv w:val="1"/>
      <w:marLeft w:val="0"/>
      <w:marRight w:val="0"/>
      <w:marTop w:val="0"/>
      <w:marBottom w:val="0"/>
      <w:divBdr>
        <w:top w:val="none" w:sz="0" w:space="0" w:color="auto"/>
        <w:left w:val="none" w:sz="0" w:space="0" w:color="auto"/>
        <w:bottom w:val="none" w:sz="0" w:space="0" w:color="auto"/>
        <w:right w:val="none" w:sz="0" w:space="0" w:color="auto"/>
      </w:divBdr>
    </w:div>
    <w:div w:id="1361319254">
      <w:bodyDiv w:val="1"/>
      <w:marLeft w:val="0"/>
      <w:marRight w:val="0"/>
      <w:marTop w:val="0"/>
      <w:marBottom w:val="0"/>
      <w:divBdr>
        <w:top w:val="none" w:sz="0" w:space="0" w:color="auto"/>
        <w:left w:val="none" w:sz="0" w:space="0" w:color="auto"/>
        <w:bottom w:val="none" w:sz="0" w:space="0" w:color="auto"/>
        <w:right w:val="none" w:sz="0" w:space="0" w:color="auto"/>
      </w:divBdr>
    </w:div>
    <w:div w:id="1362632930">
      <w:bodyDiv w:val="1"/>
      <w:marLeft w:val="0"/>
      <w:marRight w:val="0"/>
      <w:marTop w:val="0"/>
      <w:marBottom w:val="0"/>
      <w:divBdr>
        <w:top w:val="none" w:sz="0" w:space="0" w:color="auto"/>
        <w:left w:val="none" w:sz="0" w:space="0" w:color="auto"/>
        <w:bottom w:val="none" w:sz="0" w:space="0" w:color="auto"/>
        <w:right w:val="none" w:sz="0" w:space="0" w:color="auto"/>
      </w:divBdr>
    </w:div>
    <w:div w:id="1367869238">
      <w:bodyDiv w:val="1"/>
      <w:marLeft w:val="0"/>
      <w:marRight w:val="0"/>
      <w:marTop w:val="0"/>
      <w:marBottom w:val="0"/>
      <w:divBdr>
        <w:top w:val="none" w:sz="0" w:space="0" w:color="auto"/>
        <w:left w:val="none" w:sz="0" w:space="0" w:color="auto"/>
        <w:bottom w:val="none" w:sz="0" w:space="0" w:color="auto"/>
        <w:right w:val="none" w:sz="0" w:space="0" w:color="auto"/>
      </w:divBdr>
    </w:div>
    <w:div w:id="1369329659">
      <w:bodyDiv w:val="1"/>
      <w:marLeft w:val="0"/>
      <w:marRight w:val="0"/>
      <w:marTop w:val="0"/>
      <w:marBottom w:val="0"/>
      <w:divBdr>
        <w:top w:val="none" w:sz="0" w:space="0" w:color="auto"/>
        <w:left w:val="none" w:sz="0" w:space="0" w:color="auto"/>
        <w:bottom w:val="none" w:sz="0" w:space="0" w:color="auto"/>
        <w:right w:val="none" w:sz="0" w:space="0" w:color="auto"/>
      </w:divBdr>
      <w:divsChild>
        <w:div w:id="61952525">
          <w:marLeft w:val="0"/>
          <w:marRight w:val="0"/>
          <w:marTop w:val="0"/>
          <w:marBottom w:val="0"/>
          <w:divBdr>
            <w:top w:val="none" w:sz="0" w:space="0" w:color="auto"/>
            <w:left w:val="none" w:sz="0" w:space="0" w:color="auto"/>
            <w:bottom w:val="none" w:sz="0" w:space="0" w:color="auto"/>
            <w:right w:val="none" w:sz="0" w:space="0" w:color="auto"/>
          </w:divBdr>
        </w:div>
      </w:divsChild>
    </w:div>
    <w:div w:id="1369839913">
      <w:bodyDiv w:val="1"/>
      <w:marLeft w:val="0"/>
      <w:marRight w:val="0"/>
      <w:marTop w:val="0"/>
      <w:marBottom w:val="0"/>
      <w:divBdr>
        <w:top w:val="none" w:sz="0" w:space="0" w:color="auto"/>
        <w:left w:val="none" w:sz="0" w:space="0" w:color="auto"/>
        <w:bottom w:val="none" w:sz="0" w:space="0" w:color="auto"/>
        <w:right w:val="none" w:sz="0" w:space="0" w:color="auto"/>
      </w:divBdr>
    </w:div>
    <w:div w:id="1370451333">
      <w:bodyDiv w:val="1"/>
      <w:marLeft w:val="0"/>
      <w:marRight w:val="0"/>
      <w:marTop w:val="0"/>
      <w:marBottom w:val="0"/>
      <w:divBdr>
        <w:top w:val="none" w:sz="0" w:space="0" w:color="auto"/>
        <w:left w:val="none" w:sz="0" w:space="0" w:color="auto"/>
        <w:bottom w:val="none" w:sz="0" w:space="0" w:color="auto"/>
        <w:right w:val="none" w:sz="0" w:space="0" w:color="auto"/>
      </w:divBdr>
    </w:div>
    <w:div w:id="1373846209">
      <w:bodyDiv w:val="1"/>
      <w:marLeft w:val="0"/>
      <w:marRight w:val="0"/>
      <w:marTop w:val="0"/>
      <w:marBottom w:val="0"/>
      <w:divBdr>
        <w:top w:val="none" w:sz="0" w:space="0" w:color="auto"/>
        <w:left w:val="none" w:sz="0" w:space="0" w:color="auto"/>
        <w:bottom w:val="none" w:sz="0" w:space="0" w:color="auto"/>
        <w:right w:val="none" w:sz="0" w:space="0" w:color="auto"/>
      </w:divBdr>
    </w:div>
    <w:div w:id="1374425608">
      <w:bodyDiv w:val="1"/>
      <w:marLeft w:val="0"/>
      <w:marRight w:val="0"/>
      <w:marTop w:val="0"/>
      <w:marBottom w:val="0"/>
      <w:divBdr>
        <w:top w:val="none" w:sz="0" w:space="0" w:color="auto"/>
        <w:left w:val="none" w:sz="0" w:space="0" w:color="auto"/>
        <w:bottom w:val="none" w:sz="0" w:space="0" w:color="auto"/>
        <w:right w:val="none" w:sz="0" w:space="0" w:color="auto"/>
      </w:divBdr>
    </w:div>
    <w:div w:id="1375693288">
      <w:bodyDiv w:val="1"/>
      <w:marLeft w:val="0"/>
      <w:marRight w:val="0"/>
      <w:marTop w:val="0"/>
      <w:marBottom w:val="0"/>
      <w:divBdr>
        <w:top w:val="none" w:sz="0" w:space="0" w:color="auto"/>
        <w:left w:val="none" w:sz="0" w:space="0" w:color="auto"/>
        <w:bottom w:val="none" w:sz="0" w:space="0" w:color="auto"/>
        <w:right w:val="none" w:sz="0" w:space="0" w:color="auto"/>
      </w:divBdr>
    </w:div>
    <w:div w:id="1384670873">
      <w:bodyDiv w:val="1"/>
      <w:marLeft w:val="0"/>
      <w:marRight w:val="0"/>
      <w:marTop w:val="0"/>
      <w:marBottom w:val="0"/>
      <w:divBdr>
        <w:top w:val="none" w:sz="0" w:space="0" w:color="auto"/>
        <w:left w:val="none" w:sz="0" w:space="0" w:color="auto"/>
        <w:bottom w:val="none" w:sz="0" w:space="0" w:color="auto"/>
        <w:right w:val="none" w:sz="0" w:space="0" w:color="auto"/>
      </w:divBdr>
    </w:div>
    <w:div w:id="1398630750">
      <w:bodyDiv w:val="1"/>
      <w:marLeft w:val="0"/>
      <w:marRight w:val="0"/>
      <w:marTop w:val="0"/>
      <w:marBottom w:val="0"/>
      <w:divBdr>
        <w:top w:val="none" w:sz="0" w:space="0" w:color="auto"/>
        <w:left w:val="none" w:sz="0" w:space="0" w:color="auto"/>
        <w:bottom w:val="none" w:sz="0" w:space="0" w:color="auto"/>
        <w:right w:val="none" w:sz="0" w:space="0" w:color="auto"/>
      </w:divBdr>
    </w:div>
    <w:div w:id="1401563380">
      <w:bodyDiv w:val="1"/>
      <w:marLeft w:val="0"/>
      <w:marRight w:val="0"/>
      <w:marTop w:val="0"/>
      <w:marBottom w:val="0"/>
      <w:divBdr>
        <w:top w:val="none" w:sz="0" w:space="0" w:color="auto"/>
        <w:left w:val="none" w:sz="0" w:space="0" w:color="auto"/>
        <w:bottom w:val="none" w:sz="0" w:space="0" w:color="auto"/>
        <w:right w:val="none" w:sz="0" w:space="0" w:color="auto"/>
      </w:divBdr>
    </w:div>
    <w:div w:id="1406032408">
      <w:bodyDiv w:val="1"/>
      <w:marLeft w:val="0"/>
      <w:marRight w:val="0"/>
      <w:marTop w:val="0"/>
      <w:marBottom w:val="0"/>
      <w:divBdr>
        <w:top w:val="none" w:sz="0" w:space="0" w:color="auto"/>
        <w:left w:val="none" w:sz="0" w:space="0" w:color="auto"/>
        <w:bottom w:val="none" w:sz="0" w:space="0" w:color="auto"/>
        <w:right w:val="none" w:sz="0" w:space="0" w:color="auto"/>
      </w:divBdr>
    </w:div>
    <w:div w:id="1407611193">
      <w:bodyDiv w:val="1"/>
      <w:marLeft w:val="0"/>
      <w:marRight w:val="0"/>
      <w:marTop w:val="0"/>
      <w:marBottom w:val="0"/>
      <w:divBdr>
        <w:top w:val="none" w:sz="0" w:space="0" w:color="auto"/>
        <w:left w:val="none" w:sz="0" w:space="0" w:color="auto"/>
        <w:bottom w:val="none" w:sz="0" w:space="0" w:color="auto"/>
        <w:right w:val="none" w:sz="0" w:space="0" w:color="auto"/>
      </w:divBdr>
    </w:div>
    <w:div w:id="1412583185">
      <w:bodyDiv w:val="1"/>
      <w:marLeft w:val="0"/>
      <w:marRight w:val="0"/>
      <w:marTop w:val="0"/>
      <w:marBottom w:val="0"/>
      <w:divBdr>
        <w:top w:val="none" w:sz="0" w:space="0" w:color="auto"/>
        <w:left w:val="none" w:sz="0" w:space="0" w:color="auto"/>
        <w:bottom w:val="none" w:sz="0" w:space="0" w:color="auto"/>
        <w:right w:val="none" w:sz="0" w:space="0" w:color="auto"/>
      </w:divBdr>
    </w:div>
    <w:div w:id="1413046449">
      <w:bodyDiv w:val="1"/>
      <w:marLeft w:val="0"/>
      <w:marRight w:val="0"/>
      <w:marTop w:val="0"/>
      <w:marBottom w:val="0"/>
      <w:divBdr>
        <w:top w:val="none" w:sz="0" w:space="0" w:color="auto"/>
        <w:left w:val="none" w:sz="0" w:space="0" w:color="auto"/>
        <w:bottom w:val="none" w:sz="0" w:space="0" w:color="auto"/>
        <w:right w:val="none" w:sz="0" w:space="0" w:color="auto"/>
      </w:divBdr>
    </w:div>
    <w:div w:id="1414467417">
      <w:bodyDiv w:val="1"/>
      <w:marLeft w:val="0"/>
      <w:marRight w:val="0"/>
      <w:marTop w:val="0"/>
      <w:marBottom w:val="0"/>
      <w:divBdr>
        <w:top w:val="none" w:sz="0" w:space="0" w:color="auto"/>
        <w:left w:val="none" w:sz="0" w:space="0" w:color="auto"/>
        <w:bottom w:val="none" w:sz="0" w:space="0" w:color="auto"/>
        <w:right w:val="none" w:sz="0" w:space="0" w:color="auto"/>
      </w:divBdr>
    </w:div>
    <w:div w:id="1414620707">
      <w:bodyDiv w:val="1"/>
      <w:marLeft w:val="0"/>
      <w:marRight w:val="0"/>
      <w:marTop w:val="0"/>
      <w:marBottom w:val="0"/>
      <w:divBdr>
        <w:top w:val="none" w:sz="0" w:space="0" w:color="auto"/>
        <w:left w:val="none" w:sz="0" w:space="0" w:color="auto"/>
        <w:bottom w:val="none" w:sz="0" w:space="0" w:color="auto"/>
        <w:right w:val="none" w:sz="0" w:space="0" w:color="auto"/>
      </w:divBdr>
    </w:div>
    <w:div w:id="1416588888">
      <w:bodyDiv w:val="1"/>
      <w:marLeft w:val="0"/>
      <w:marRight w:val="0"/>
      <w:marTop w:val="0"/>
      <w:marBottom w:val="0"/>
      <w:divBdr>
        <w:top w:val="none" w:sz="0" w:space="0" w:color="auto"/>
        <w:left w:val="none" w:sz="0" w:space="0" w:color="auto"/>
        <w:bottom w:val="none" w:sz="0" w:space="0" w:color="auto"/>
        <w:right w:val="none" w:sz="0" w:space="0" w:color="auto"/>
      </w:divBdr>
    </w:div>
    <w:div w:id="1420523137">
      <w:bodyDiv w:val="1"/>
      <w:marLeft w:val="0"/>
      <w:marRight w:val="0"/>
      <w:marTop w:val="0"/>
      <w:marBottom w:val="0"/>
      <w:divBdr>
        <w:top w:val="none" w:sz="0" w:space="0" w:color="auto"/>
        <w:left w:val="none" w:sz="0" w:space="0" w:color="auto"/>
        <w:bottom w:val="none" w:sz="0" w:space="0" w:color="auto"/>
        <w:right w:val="none" w:sz="0" w:space="0" w:color="auto"/>
      </w:divBdr>
    </w:div>
    <w:div w:id="1421098712">
      <w:bodyDiv w:val="1"/>
      <w:marLeft w:val="0"/>
      <w:marRight w:val="0"/>
      <w:marTop w:val="0"/>
      <w:marBottom w:val="0"/>
      <w:divBdr>
        <w:top w:val="none" w:sz="0" w:space="0" w:color="auto"/>
        <w:left w:val="none" w:sz="0" w:space="0" w:color="auto"/>
        <w:bottom w:val="none" w:sz="0" w:space="0" w:color="auto"/>
        <w:right w:val="none" w:sz="0" w:space="0" w:color="auto"/>
      </w:divBdr>
    </w:div>
    <w:div w:id="1421291643">
      <w:bodyDiv w:val="1"/>
      <w:marLeft w:val="0"/>
      <w:marRight w:val="0"/>
      <w:marTop w:val="0"/>
      <w:marBottom w:val="0"/>
      <w:divBdr>
        <w:top w:val="none" w:sz="0" w:space="0" w:color="auto"/>
        <w:left w:val="none" w:sz="0" w:space="0" w:color="auto"/>
        <w:bottom w:val="none" w:sz="0" w:space="0" w:color="auto"/>
        <w:right w:val="none" w:sz="0" w:space="0" w:color="auto"/>
      </w:divBdr>
    </w:div>
    <w:div w:id="1435900796">
      <w:bodyDiv w:val="1"/>
      <w:marLeft w:val="0"/>
      <w:marRight w:val="0"/>
      <w:marTop w:val="0"/>
      <w:marBottom w:val="0"/>
      <w:divBdr>
        <w:top w:val="none" w:sz="0" w:space="0" w:color="auto"/>
        <w:left w:val="none" w:sz="0" w:space="0" w:color="auto"/>
        <w:bottom w:val="none" w:sz="0" w:space="0" w:color="auto"/>
        <w:right w:val="none" w:sz="0" w:space="0" w:color="auto"/>
      </w:divBdr>
    </w:div>
    <w:div w:id="1436436777">
      <w:bodyDiv w:val="1"/>
      <w:marLeft w:val="0"/>
      <w:marRight w:val="0"/>
      <w:marTop w:val="0"/>
      <w:marBottom w:val="0"/>
      <w:divBdr>
        <w:top w:val="none" w:sz="0" w:space="0" w:color="auto"/>
        <w:left w:val="none" w:sz="0" w:space="0" w:color="auto"/>
        <w:bottom w:val="none" w:sz="0" w:space="0" w:color="auto"/>
        <w:right w:val="none" w:sz="0" w:space="0" w:color="auto"/>
      </w:divBdr>
    </w:div>
    <w:div w:id="1441803329">
      <w:bodyDiv w:val="1"/>
      <w:marLeft w:val="0"/>
      <w:marRight w:val="0"/>
      <w:marTop w:val="0"/>
      <w:marBottom w:val="0"/>
      <w:divBdr>
        <w:top w:val="none" w:sz="0" w:space="0" w:color="auto"/>
        <w:left w:val="none" w:sz="0" w:space="0" w:color="auto"/>
        <w:bottom w:val="none" w:sz="0" w:space="0" w:color="auto"/>
        <w:right w:val="none" w:sz="0" w:space="0" w:color="auto"/>
      </w:divBdr>
      <w:divsChild>
        <w:div w:id="159777657">
          <w:marLeft w:val="0"/>
          <w:marRight w:val="0"/>
          <w:marTop w:val="0"/>
          <w:marBottom w:val="0"/>
          <w:divBdr>
            <w:top w:val="none" w:sz="0" w:space="0" w:color="auto"/>
            <w:left w:val="none" w:sz="0" w:space="0" w:color="auto"/>
            <w:bottom w:val="none" w:sz="0" w:space="0" w:color="auto"/>
            <w:right w:val="none" w:sz="0" w:space="0" w:color="auto"/>
          </w:divBdr>
        </w:div>
        <w:div w:id="362946299">
          <w:marLeft w:val="0"/>
          <w:marRight w:val="0"/>
          <w:marTop w:val="0"/>
          <w:marBottom w:val="0"/>
          <w:divBdr>
            <w:top w:val="none" w:sz="0" w:space="0" w:color="auto"/>
            <w:left w:val="none" w:sz="0" w:space="0" w:color="auto"/>
            <w:bottom w:val="none" w:sz="0" w:space="0" w:color="auto"/>
            <w:right w:val="none" w:sz="0" w:space="0" w:color="auto"/>
          </w:divBdr>
        </w:div>
        <w:div w:id="663242130">
          <w:marLeft w:val="0"/>
          <w:marRight w:val="0"/>
          <w:marTop w:val="0"/>
          <w:marBottom w:val="0"/>
          <w:divBdr>
            <w:top w:val="none" w:sz="0" w:space="0" w:color="auto"/>
            <w:left w:val="none" w:sz="0" w:space="0" w:color="auto"/>
            <w:bottom w:val="none" w:sz="0" w:space="0" w:color="auto"/>
            <w:right w:val="none" w:sz="0" w:space="0" w:color="auto"/>
          </w:divBdr>
        </w:div>
        <w:div w:id="841240157">
          <w:marLeft w:val="0"/>
          <w:marRight w:val="0"/>
          <w:marTop w:val="0"/>
          <w:marBottom w:val="0"/>
          <w:divBdr>
            <w:top w:val="none" w:sz="0" w:space="0" w:color="auto"/>
            <w:left w:val="none" w:sz="0" w:space="0" w:color="auto"/>
            <w:bottom w:val="none" w:sz="0" w:space="0" w:color="auto"/>
            <w:right w:val="none" w:sz="0" w:space="0" w:color="auto"/>
          </w:divBdr>
        </w:div>
        <w:div w:id="922759620">
          <w:marLeft w:val="0"/>
          <w:marRight w:val="0"/>
          <w:marTop w:val="0"/>
          <w:marBottom w:val="0"/>
          <w:divBdr>
            <w:top w:val="none" w:sz="0" w:space="0" w:color="auto"/>
            <w:left w:val="none" w:sz="0" w:space="0" w:color="auto"/>
            <w:bottom w:val="none" w:sz="0" w:space="0" w:color="auto"/>
            <w:right w:val="none" w:sz="0" w:space="0" w:color="auto"/>
          </w:divBdr>
        </w:div>
        <w:div w:id="1101992060">
          <w:marLeft w:val="0"/>
          <w:marRight w:val="0"/>
          <w:marTop w:val="0"/>
          <w:marBottom w:val="0"/>
          <w:divBdr>
            <w:top w:val="none" w:sz="0" w:space="0" w:color="auto"/>
            <w:left w:val="none" w:sz="0" w:space="0" w:color="auto"/>
            <w:bottom w:val="none" w:sz="0" w:space="0" w:color="auto"/>
            <w:right w:val="none" w:sz="0" w:space="0" w:color="auto"/>
          </w:divBdr>
        </w:div>
        <w:div w:id="1132748047">
          <w:marLeft w:val="0"/>
          <w:marRight w:val="0"/>
          <w:marTop w:val="0"/>
          <w:marBottom w:val="0"/>
          <w:divBdr>
            <w:top w:val="none" w:sz="0" w:space="0" w:color="auto"/>
            <w:left w:val="none" w:sz="0" w:space="0" w:color="auto"/>
            <w:bottom w:val="none" w:sz="0" w:space="0" w:color="auto"/>
            <w:right w:val="none" w:sz="0" w:space="0" w:color="auto"/>
          </w:divBdr>
        </w:div>
        <w:div w:id="1558198971">
          <w:marLeft w:val="0"/>
          <w:marRight w:val="0"/>
          <w:marTop w:val="0"/>
          <w:marBottom w:val="0"/>
          <w:divBdr>
            <w:top w:val="none" w:sz="0" w:space="0" w:color="auto"/>
            <w:left w:val="none" w:sz="0" w:space="0" w:color="auto"/>
            <w:bottom w:val="none" w:sz="0" w:space="0" w:color="auto"/>
            <w:right w:val="none" w:sz="0" w:space="0" w:color="auto"/>
          </w:divBdr>
        </w:div>
        <w:div w:id="1598438052">
          <w:marLeft w:val="0"/>
          <w:marRight w:val="0"/>
          <w:marTop w:val="0"/>
          <w:marBottom w:val="0"/>
          <w:divBdr>
            <w:top w:val="none" w:sz="0" w:space="0" w:color="auto"/>
            <w:left w:val="none" w:sz="0" w:space="0" w:color="auto"/>
            <w:bottom w:val="none" w:sz="0" w:space="0" w:color="auto"/>
            <w:right w:val="none" w:sz="0" w:space="0" w:color="auto"/>
          </w:divBdr>
        </w:div>
        <w:div w:id="1685933711">
          <w:marLeft w:val="0"/>
          <w:marRight w:val="0"/>
          <w:marTop w:val="0"/>
          <w:marBottom w:val="0"/>
          <w:divBdr>
            <w:top w:val="none" w:sz="0" w:space="0" w:color="auto"/>
            <w:left w:val="none" w:sz="0" w:space="0" w:color="auto"/>
            <w:bottom w:val="none" w:sz="0" w:space="0" w:color="auto"/>
            <w:right w:val="none" w:sz="0" w:space="0" w:color="auto"/>
          </w:divBdr>
        </w:div>
        <w:div w:id="1880700552">
          <w:marLeft w:val="0"/>
          <w:marRight w:val="0"/>
          <w:marTop w:val="0"/>
          <w:marBottom w:val="0"/>
          <w:divBdr>
            <w:top w:val="none" w:sz="0" w:space="0" w:color="auto"/>
            <w:left w:val="none" w:sz="0" w:space="0" w:color="auto"/>
            <w:bottom w:val="none" w:sz="0" w:space="0" w:color="auto"/>
            <w:right w:val="none" w:sz="0" w:space="0" w:color="auto"/>
          </w:divBdr>
        </w:div>
        <w:div w:id="1887137496">
          <w:marLeft w:val="0"/>
          <w:marRight w:val="0"/>
          <w:marTop w:val="0"/>
          <w:marBottom w:val="0"/>
          <w:divBdr>
            <w:top w:val="none" w:sz="0" w:space="0" w:color="auto"/>
            <w:left w:val="none" w:sz="0" w:space="0" w:color="auto"/>
            <w:bottom w:val="none" w:sz="0" w:space="0" w:color="auto"/>
            <w:right w:val="none" w:sz="0" w:space="0" w:color="auto"/>
          </w:divBdr>
        </w:div>
        <w:div w:id="1902523581">
          <w:marLeft w:val="0"/>
          <w:marRight w:val="0"/>
          <w:marTop w:val="0"/>
          <w:marBottom w:val="0"/>
          <w:divBdr>
            <w:top w:val="none" w:sz="0" w:space="0" w:color="auto"/>
            <w:left w:val="none" w:sz="0" w:space="0" w:color="auto"/>
            <w:bottom w:val="none" w:sz="0" w:space="0" w:color="auto"/>
            <w:right w:val="none" w:sz="0" w:space="0" w:color="auto"/>
          </w:divBdr>
        </w:div>
        <w:div w:id="1967463722">
          <w:marLeft w:val="0"/>
          <w:marRight w:val="0"/>
          <w:marTop w:val="0"/>
          <w:marBottom w:val="0"/>
          <w:divBdr>
            <w:top w:val="none" w:sz="0" w:space="0" w:color="auto"/>
            <w:left w:val="none" w:sz="0" w:space="0" w:color="auto"/>
            <w:bottom w:val="none" w:sz="0" w:space="0" w:color="auto"/>
            <w:right w:val="none" w:sz="0" w:space="0" w:color="auto"/>
          </w:divBdr>
        </w:div>
        <w:div w:id="2143423876">
          <w:marLeft w:val="0"/>
          <w:marRight w:val="0"/>
          <w:marTop w:val="0"/>
          <w:marBottom w:val="0"/>
          <w:divBdr>
            <w:top w:val="none" w:sz="0" w:space="0" w:color="auto"/>
            <w:left w:val="none" w:sz="0" w:space="0" w:color="auto"/>
            <w:bottom w:val="none" w:sz="0" w:space="0" w:color="auto"/>
            <w:right w:val="none" w:sz="0" w:space="0" w:color="auto"/>
          </w:divBdr>
        </w:div>
      </w:divsChild>
    </w:div>
    <w:div w:id="1472403932">
      <w:bodyDiv w:val="1"/>
      <w:marLeft w:val="0"/>
      <w:marRight w:val="0"/>
      <w:marTop w:val="0"/>
      <w:marBottom w:val="0"/>
      <w:divBdr>
        <w:top w:val="none" w:sz="0" w:space="0" w:color="auto"/>
        <w:left w:val="none" w:sz="0" w:space="0" w:color="auto"/>
        <w:bottom w:val="none" w:sz="0" w:space="0" w:color="auto"/>
        <w:right w:val="none" w:sz="0" w:space="0" w:color="auto"/>
      </w:divBdr>
    </w:div>
    <w:div w:id="1477910881">
      <w:bodyDiv w:val="1"/>
      <w:marLeft w:val="0"/>
      <w:marRight w:val="0"/>
      <w:marTop w:val="0"/>
      <w:marBottom w:val="0"/>
      <w:divBdr>
        <w:top w:val="none" w:sz="0" w:space="0" w:color="auto"/>
        <w:left w:val="none" w:sz="0" w:space="0" w:color="auto"/>
        <w:bottom w:val="none" w:sz="0" w:space="0" w:color="auto"/>
        <w:right w:val="none" w:sz="0" w:space="0" w:color="auto"/>
      </w:divBdr>
    </w:div>
    <w:div w:id="1479417807">
      <w:bodyDiv w:val="1"/>
      <w:marLeft w:val="0"/>
      <w:marRight w:val="0"/>
      <w:marTop w:val="0"/>
      <w:marBottom w:val="0"/>
      <w:divBdr>
        <w:top w:val="none" w:sz="0" w:space="0" w:color="auto"/>
        <w:left w:val="none" w:sz="0" w:space="0" w:color="auto"/>
        <w:bottom w:val="none" w:sz="0" w:space="0" w:color="auto"/>
        <w:right w:val="none" w:sz="0" w:space="0" w:color="auto"/>
      </w:divBdr>
    </w:div>
    <w:div w:id="1506551991">
      <w:bodyDiv w:val="1"/>
      <w:marLeft w:val="0"/>
      <w:marRight w:val="0"/>
      <w:marTop w:val="0"/>
      <w:marBottom w:val="0"/>
      <w:divBdr>
        <w:top w:val="none" w:sz="0" w:space="0" w:color="auto"/>
        <w:left w:val="none" w:sz="0" w:space="0" w:color="auto"/>
        <w:bottom w:val="none" w:sz="0" w:space="0" w:color="auto"/>
        <w:right w:val="none" w:sz="0" w:space="0" w:color="auto"/>
      </w:divBdr>
    </w:div>
    <w:div w:id="1511676435">
      <w:bodyDiv w:val="1"/>
      <w:marLeft w:val="0"/>
      <w:marRight w:val="0"/>
      <w:marTop w:val="0"/>
      <w:marBottom w:val="0"/>
      <w:divBdr>
        <w:top w:val="none" w:sz="0" w:space="0" w:color="auto"/>
        <w:left w:val="none" w:sz="0" w:space="0" w:color="auto"/>
        <w:bottom w:val="none" w:sz="0" w:space="0" w:color="auto"/>
        <w:right w:val="none" w:sz="0" w:space="0" w:color="auto"/>
      </w:divBdr>
    </w:div>
    <w:div w:id="1526096847">
      <w:bodyDiv w:val="1"/>
      <w:marLeft w:val="0"/>
      <w:marRight w:val="0"/>
      <w:marTop w:val="0"/>
      <w:marBottom w:val="0"/>
      <w:divBdr>
        <w:top w:val="none" w:sz="0" w:space="0" w:color="auto"/>
        <w:left w:val="none" w:sz="0" w:space="0" w:color="auto"/>
        <w:bottom w:val="none" w:sz="0" w:space="0" w:color="auto"/>
        <w:right w:val="none" w:sz="0" w:space="0" w:color="auto"/>
      </w:divBdr>
    </w:div>
    <w:div w:id="1533420322">
      <w:bodyDiv w:val="1"/>
      <w:marLeft w:val="0"/>
      <w:marRight w:val="0"/>
      <w:marTop w:val="0"/>
      <w:marBottom w:val="0"/>
      <w:divBdr>
        <w:top w:val="none" w:sz="0" w:space="0" w:color="auto"/>
        <w:left w:val="none" w:sz="0" w:space="0" w:color="auto"/>
        <w:bottom w:val="none" w:sz="0" w:space="0" w:color="auto"/>
        <w:right w:val="none" w:sz="0" w:space="0" w:color="auto"/>
      </w:divBdr>
      <w:divsChild>
        <w:div w:id="2015837054">
          <w:marLeft w:val="0"/>
          <w:marRight w:val="0"/>
          <w:marTop w:val="0"/>
          <w:marBottom w:val="0"/>
          <w:divBdr>
            <w:top w:val="none" w:sz="0" w:space="0" w:color="auto"/>
            <w:left w:val="none" w:sz="0" w:space="0" w:color="auto"/>
            <w:bottom w:val="none" w:sz="0" w:space="0" w:color="auto"/>
            <w:right w:val="none" w:sz="0" w:space="0" w:color="auto"/>
          </w:divBdr>
          <w:divsChild>
            <w:div w:id="103620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06416">
      <w:bodyDiv w:val="1"/>
      <w:marLeft w:val="0"/>
      <w:marRight w:val="0"/>
      <w:marTop w:val="0"/>
      <w:marBottom w:val="0"/>
      <w:divBdr>
        <w:top w:val="none" w:sz="0" w:space="0" w:color="auto"/>
        <w:left w:val="none" w:sz="0" w:space="0" w:color="auto"/>
        <w:bottom w:val="none" w:sz="0" w:space="0" w:color="auto"/>
        <w:right w:val="none" w:sz="0" w:space="0" w:color="auto"/>
      </w:divBdr>
    </w:div>
    <w:div w:id="1545407738">
      <w:bodyDiv w:val="1"/>
      <w:marLeft w:val="0"/>
      <w:marRight w:val="0"/>
      <w:marTop w:val="0"/>
      <w:marBottom w:val="0"/>
      <w:divBdr>
        <w:top w:val="none" w:sz="0" w:space="0" w:color="auto"/>
        <w:left w:val="none" w:sz="0" w:space="0" w:color="auto"/>
        <w:bottom w:val="none" w:sz="0" w:space="0" w:color="auto"/>
        <w:right w:val="none" w:sz="0" w:space="0" w:color="auto"/>
      </w:divBdr>
    </w:div>
    <w:div w:id="1547718817">
      <w:bodyDiv w:val="1"/>
      <w:marLeft w:val="0"/>
      <w:marRight w:val="0"/>
      <w:marTop w:val="0"/>
      <w:marBottom w:val="0"/>
      <w:divBdr>
        <w:top w:val="none" w:sz="0" w:space="0" w:color="auto"/>
        <w:left w:val="none" w:sz="0" w:space="0" w:color="auto"/>
        <w:bottom w:val="none" w:sz="0" w:space="0" w:color="auto"/>
        <w:right w:val="none" w:sz="0" w:space="0" w:color="auto"/>
      </w:divBdr>
    </w:div>
    <w:div w:id="1548057337">
      <w:bodyDiv w:val="1"/>
      <w:marLeft w:val="0"/>
      <w:marRight w:val="0"/>
      <w:marTop w:val="0"/>
      <w:marBottom w:val="0"/>
      <w:divBdr>
        <w:top w:val="none" w:sz="0" w:space="0" w:color="auto"/>
        <w:left w:val="none" w:sz="0" w:space="0" w:color="auto"/>
        <w:bottom w:val="none" w:sz="0" w:space="0" w:color="auto"/>
        <w:right w:val="none" w:sz="0" w:space="0" w:color="auto"/>
      </w:divBdr>
    </w:div>
    <w:div w:id="1550334673">
      <w:bodyDiv w:val="1"/>
      <w:marLeft w:val="0"/>
      <w:marRight w:val="0"/>
      <w:marTop w:val="0"/>
      <w:marBottom w:val="0"/>
      <w:divBdr>
        <w:top w:val="none" w:sz="0" w:space="0" w:color="auto"/>
        <w:left w:val="none" w:sz="0" w:space="0" w:color="auto"/>
        <w:bottom w:val="none" w:sz="0" w:space="0" w:color="auto"/>
        <w:right w:val="none" w:sz="0" w:space="0" w:color="auto"/>
      </w:divBdr>
    </w:div>
    <w:div w:id="1551265587">
      <w:bodyDiv w:val="1"/>
      <w:marLeft w:val="0"/>
      <w:marRight w:val="0"/>
      <w:marTop w:val="0"/>
      <w:marBottom w:val="0"/>
      <w:divBdr>
        <w:top w:val="none" w:sz="0" w:space="0" w:color="auto"/>
        <w:left w:val="none" w:sz="0" w:space="0" w:color="auto"/>
        <w:bottom w:val="none" w:sz="0" w:space="0" w:color="auto"/>
        <w:right w:val="none" w:sz="0" w:space="0" w:color="auto"/>
      </w:divBdr>
    </w:div>
    <w:div w:id="1554733422">
      <w:bodyDiv w:val="1"/>
      <w:marLeft w:val="0"/>
      <w:marRight w:val="0"/>
      <w:marTop w:val="0"/>
      <w:marBottom w:val="0"/>
      <w:divBdr>
        <w:top w:val="none" w:sz="0" w:space="0" w:color="auto"/>
        <w:left w:val="none" w:sz="0" w:space="0" w:color="auto"/>
        <w:bottom w:val="none" w:sz="0" w:space="0" w:color="auto"/>
        <w:right w:val="none" w:sz="0" w:space="0" w:color="auto"/>
      </w:divBdr>
    </w:div>
    <w:div w:id="1555041863">
      <w:bodyDiv w:val="1"/>
      <w:marLeft w:val="0"/>
      <w:marRight w:val="0"/>
      <w:marTop w:val="0"/>
      <w:marBottom w:val="0"/>
      <w:divBdr>
        <w:top w:val="none" w:sz="0" w:space="0" w:color="auto"/>
        <w:left w:val="none" w:sz="0" w:space="0" w:color="auto"/>
        <w:bottom w:val="none" w:sz="0" w:space="0" w:color="auto"/>
        <w:right w:val="none" w:sz="0" w:space="0" w:color="auto"/>
      </w:divBdr>
    </w:div>
    <w:div w:id="1557662746">
      <w:bodyDiv w:val="1"/>
      <w:marLeft w:val="0"/>
      <w:marRight w:val="0"/>
      <w:marTop w:val="0"/>
      <w:marBottom w:val="0"/>
      <w:divBdr>
        <w:top w:val="none" w:sz="0" w:space="0" w:color="auto"/>
        <w:left w:val="none" w:sz="0" w:space="0" w:color="auto"/>
        <w:bottom w:val="none" w:sz="0" w:space="0" w:color="auto"/>
        <w:right w:val="none" w:sz="0" w:space="0" w:color="auto"/>
      </w:divBdr>
    </w:div>
    <w:div w:id="1569806313">
      <w:bodyDiv w:val="1"/>
      <w:marLeft w:val="0"/>
      <w:marRight w:val="0"/>
      <w:marTop w:val="0"/>
      <w:marBottom w:val="0"/>
      <w:divBdr>
        <w:top w:val="none" w:sz="0" w:space="0" w:color="auto"/>
        <w:left w:val="none" w:sz="0" w:space="0" w:color="auto"/>
        <w:bottom w:val="none" w:sz="0" w:space="0" w:color="auto"/>
        <w:right w:val="none" w:sz="0" w:space="0" w:color="auto"/>
      </w:divBdr>
    </w:div>
    <w:div w:id="1570919938">
      <w:bodyDiv w:val="1"/>
      <w:marLeft w:val="0"/>
      <w:marRight w:val="0"/>
      <w:marTop w:val="0"/>
      <w:marBottom w:val="0"/>
      <w:divBdr>
        <w:top w:val="none" w:sz="0" w:space="0" w:color="auto"/>
        <w:left w:val="none" w:sz="0" w:space="0" w:color="auto"/>
        <w:bottom w:val="none" w:sz="0" w:space="0" w:color="auto"/>
        <w:right w:val="none" w:sz="0" w:space="0" w:color="auto"/>
      </w:divBdr>
    </w:div>
    <w:div w:id="1578981510">
      <w:bodyDiv w:val="1"/>
      <w:marLeft w:val="0"/>
      <w:marRight w:val="0"/>
      <w:marTop w:val="0"/>
      <w:marBottom w:val="0"/>
      <w:divBdr>
        <w:top w:val="none" w:sz="0" w:space="0" w:color="auto"/>
        <w:left w:val="none" w:sz="0" w:space="0" w:color="auto"/>
        <w:bottom w:val="none" w:sz="0" w:space="0" w:color="auto"/>
        <w:right w:val="none" w:sz="0" w:space="0" w:color="auto"/>
      </w:divBdr>
    </w:div>
    <w:div w:id="1580793947">
      <w:bodyDiv w:val="1"/>
      <w:marLeft w:val="0"/>
      <w:marRight w:val="0"/>
      <w:marTop w:val="0"/>
      <w:marBottom w:val="0"/>
      <w:divBdr>
        <w:top w:val="none" w:sz="0" w:space="0" w:color="auto"/>
        <w:left w:val="none" w:sz="0" w:space="0" w:color="auto"/>
        <w:bottom w:val="none" w:sz="0" w:space="0" w:color="auto"/>
        <w:right w:val="none" w:sz="0" w:space="0" w:color="auto"/>
      </w:divBdr>
    </w:div>
    <w:div w:id="1581063781">
      <w:bodyDiv w:val="1"/>
      <w:marLeft w:val="0"/>
      <w:marRight w:val="0"/>
      <w:marTop w:val="0"/>
      <w:marBottom w:val="0"/>
      <w:divBdr>
        <w:top w:val="none" w:sz="0" w:space="0" w:color="auto"/>
        <w:left w:val="none" w:sz="0" w:space="0" w:color="auto"/>
        <w:bottom w:val="none" w:sz="0" w:space="0" w:color="auto"/>
        <w:right w:val="none" w:sz="0" w:space="0" w:color="auto"/>
      </w:divBdr>
    </w:div>
    <w:div w:id="1582447280">
      <w:bodyDiv w:val="1"/>
      <w:marLeft w:val="0"/>
      <w:marRight w:val="0"/>
      <w:marTop w:val="0"/>
      <w:marBottom w:val="0"/>
      <w:divBdr>
        <w:top w:val="none" w:sz="0" w:space="0" w:color="auto"/>
        <w:left w:val="none" w:sz="0" w:space="0" w:color="auto"/>
        <w:bottom w:val="none" w:sz="0" w:space="0" w:color="auto"/>
        <w:right w:val="none" w:sz="0" w:space="0" w:color="auto"/>
      </w:divBdr>
    </w:div>
    <w:div w:id="1588611239">
      <w:bodyDiv w:val="1"/>
      <w:marLeft w:val="0"/>
      <w:marRight w:val="0"/>
      <w:marTop w:val="0"/>
      <w:marBottom w:val="0"/>
      <w:divBdr>
        <w:top w:val="none" w:sz="0" w:space="0" w:color="auto"/>
        <w:left w:val="none" w:sz="0" w:space="0" w:color="auto"/>
        <w:bottom w:val="none" w:sz="0" w:space="0" w:color="auto"/>
        <w:right w:val="none" w:sz="0" w:space="0" w:color="auto"/>
      </w:divBdr>
    </w:div>
    <w:div w:id="1594897794">
      <w:bodyDiv w:val="1"/>
      <w:marLeft w:val="0"/>
      <w:marRight w:val="0"/>
      <w:marTop w:val="0"/>
      <w:marBottom w:val="0"/>
      <w:divBdr>
        <w:top w:val="none" w:sz="0" w:space="0" w:color="auto"/>
        <w:left w:val="none" w:sz="0" w:space="0" w:color="auto"/>
        <w:bottom w:val="none" w:sz="0" w:space="0" w:color="auto"/>
        <w:right w:val="none" w:sz="0" w:space="0" w:color="auto"/>
      </w:divBdr>
    </w:div>
    <w:div w:id="1595045372">
      <w:bodyDiv w:val="1"/>
      <w:marLeft w:val="0"/>
      <w:marRight w:val="0"/>
      <w:marTop w:val="0"/>
      <w:marBottom w:val="0"/>
      <w:divBdr>
        <w:top w:val="none" w:sz="0" w:space="0" w:color="auto"/>
        <w:left w:val="none" w:sz="0" w:space="0" w:color="auto"/>
        <w:bottom w:val="none" w:sz="0" w:space="0" w:color="auto"/>
        <w:right w:val="none" w:sz="0" w:space="0" w:color="auto"/>
      </w:divBdr>
      <w:divsChild>
        <w:div w:id="1249270796">
          <w:marLeft w:val="0"/>
          <w:marRight w:val="0"/>
          <w:marTop w:val="0"/>
          <w:marBottom w:val="0"/>
          <w:divBdr>
            <w:top w:val="none" w:sz="0" w:space="0" w:color="auto"/>
            <w:left w:val="none" w:sz="0" w:space="0" w:color="auto"/>
            <w:bottom w:val="none" w:sz="0" w:space="0" w:color="auto"/>
            <w:right w:val="none" w:sz="0" w:space="0" w:color="auto"/>
          </w:divBdr>
          <w:divsChild>
            <w:div w:id="1713773155">
              <w:marLeft w:val="0"/>
              <w:marRight w:val="0"/>
              <w:marTop w:val="0"/>
              <w:marBottom w:val="0"/>
              <w:divBdr>
                <w:top w:val="none" w:sz="0" w:space="0" w:color="auto"/>
                <w:left w:val="none" w:sz="0" w:space="0" w:color="auto"/>
                <w:bottom w:val="none" w:sz="0" w:space="0" w:color="auto"/>
                <w:right w:val="none" w:sz="0" w:space="0" w:color="auto"/>
              </w:divBdr>
              <w:divsChild>
                <w:div w:id="1255824326">
                  <w:marLeft w:val="0"/>
                  <w:marRight w:val="0"/>
                  <w:marTop w:val="0"/>
                  <w:marBottom w:val="0"/>
                  <w:divBdr>
                    <w:top w:val="none" w:sz="0" w:space="0" w:color="auto"/>
                    <w:left w:val="none" w:sz="0" w:space="0" w:color="auto"/>
                    <w:bottom w:val="none" w:sz="0" w:space="0" w:color="auto"/>
                    <w:right w:val="none" w:sz="0" w:space="0" w:color="auto"/>
                  </w:divBdr>
                  <w:divsChild>
                    <w:div w:id="1290623708">
                      <w:marLeft w:val="0"/>
                      <w:marRight w:val="0"/>
                      <w:marTop w:val="0"/>
                      <w:marBottom w:val="0"/>
                      <w:divBdr>
                        <w:top w:val="none" w:sz="0" w:space="0" w:color="auto"/>
                        <w:left w:val="none" w:sz="0" w:space="0" w:color="auto"/>
                        <w:bottom w:val="none" w:sz="0" w:space="0" w:color="auto"/>
                        <w:right w:val="none" w:sz="0" w:space="0" w:color="auto"/>
                      </w:divBdr>
                      <w:divsChild>
                        <w:div w:id="1636905846">
                          <w:marLeft w:val="0"/>
                          <w:marRight w:val="0"/>
                          <w:marTop w:val="0"/>
                          <w:marBottom w:val="0"/>
                          <w:divBdr>
                            <w:top w:val="none" w:sz="0" w:space="0" w:color="auto"/>
                            <w:left w:val="none" w:sz="0" w:space="0" w:color="auto"/>
                            <w:bottom w:val="none" w:sz="0" w:space="0" w:color="auto"/>
                            <w:right w:val="none" w:sz="0" w:space="0" w:color="auto"/>
                          </w:divBdr>
                          <w:divsChild>
                            <w:div w:id="34185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698480">
      <w:bodyDiv w:val="1"/>
      <w:marLeft w:val="0"/>
      <w:marRight w:val="0"/>
      <w:marTop w:val="0"/>
      <w:marBottom w:val="0"/>
      <w:divBdr>
        <w:top w:val="none" w:sz="0" w:space="0" w:color="auto"/>
        <w:left w:val="none" w:sz="0" w:space="0" w:color="auto"/>
        <w:bottom w:val="none" w:sz="0" w:space="0" w:color="auto"/>
        <w:right w:val="none" w:sz="0" w:space="0" w:color="auto"/>
      </w:divBdr>
    </w:div>
    <w:div w:id="1625036034">
      <w:bodyDiv w:val="1"/>
      <w:marLeft w:val="0"/>
      <w:marRight w:val="0"/>
      <w:marTop w:val="0"/>
      <w:marBottom w:val="0"/>
      <w:divBdr>
        <w:top w:val="none" w:sz="0" w:space="0" w:color="auto"/>
        <w:left w:val="none" w:sz="0" w:space="0" w:color="auto"/>
        <w:bottom w:val="none" w:sz="0" w:space="0" w:color="auto"/>
        <w:right w:val="none" w:sz="0" w:space="0" w:color="auto"/>
      </w:divBdr>
    </w:div>
    <w:div w:id="1636570671">
      <w:bodyDiv w:val="1"/>
      <w:marLeft w:val="0"/>
      <w:marRight w:val="0"/>
      <w:marTop w:val="0"/>
      <w:marBottom w:val="0"/>
      <w:divBdr>
        <w:top w:val="none" w:sz="0" w:space="0" w:color="auto"/>
        <w:left w:val="none" w:sz="0" w:space="0" w:color="auto"/>
        <w:bottom w:val="none" w:sz="0" w:space="0" w:color="auto"/>
        <w:right w:val="none" w:sz="0" w:space="0" w:color="auto"/>
      </w:divBdr>
    </w:div>
    <w:div w:id="1637102629">
      <w:bodyDiv w:val="1"/>
      <w:marLeft w:val="0"/>
      <w:marRight w:val="0"/>
      <w:marTop w:val="0"/>
      <w:marBottom w:val="0"/>
      <w:divBdr>
        <w:top w:val="none" w:sz="0" w:space="0" w:color="auto"/>
        <w:left w:val="none" w:sz="0" w:space="0" w:color="auto"/>
        <w:bottom w:val="none" w:sz="0" w:space="0" w:color="auto"/>
        <w:right w:val="none" w:sz="0" w:space="0" w:color="auto"/>
      </w:divBdr>
    </w:div>
    <w:div w:id="1641688140">
      <w:bodyDiv w:val="1"/>
      <w:marLeft w:val="0"/>
      <w:marRight w:val="0"/>
      <w:marTop w:val="0"/>
      <w:marBottom w:val="0"/>
      <w:divBdr>
        <w:top w:val="none" w:sz="0" w:space="0" w:color="auto"/>
        <w:left w:val="none" w:sz="0" w:space="0" w:color="auto"/>
        <w:bottom w:val="none" w:sz="0" w:space="0" w:color="auto"/>
        <w:right w:val="none" w:sz="0" w:space="0" w:color="auto"/>
      </w:divBdr>
    </w:div>
    <w:div w:id="1644041719">
      <w:bodyDiv w:val="1"/>
      <w:marLeft w:val="0"/>
      <w:marRight w:val="0"/>
      <w:marTop w:val="0"/>
      <w:marBottom w:val="0"/>
      <w:divBdr>
        <w:top w:val="none" w:sz="0" w:space="0" w:color="auto"/>
        <w:left w:val="none" w:sz="0" w:space="0" w:color="auto"/>
        <w:bottom w:val="none" w:sz="0" w:space="0" w:color="auto"/>
        <w:right w:val="none" w:sz="0" w:space="0" w:color="auto"/>
      </w:divBdr>
    </w:div>
    <w:div w:id="1647320416">
      <w:bodyDiv w:val="1"/>
      <w:marLeft w:val="0"/>
      <w:marRight w:val="0"/>
      <w:marTop w:val="0"/>
      <w:marBottom w:val="0"/>
      <w:divBdr>
        <w:top w:val="none" w:sz="0" w:space="0" w:color="auto"/>
        <w:left w:val="none" w:sz="0" w:space="0" w:color="auto"/>
        <w:bottom w:val="none" w:sz="0" w:space="0" w:color="auto"/>
        <w:right w:val="none" w:sz="0" w:space="0" w:color="auto"/>
      </w:divBdr>
    </w:div>
    <w:div w:id="1648582596">
      <w:bodyDiv w:val="1"/>
      <w:marLeft w:val="0"/>
      <w:marRight w:val="0"/>
      <w:marTop w:val="0"/>
      <w:marBottom w:val="0"/>
      <w:divBdr>
        <w:top w:val="none" w:sz="0" w:space="0" w:color="auto"/>
        <w:left w:val="none" w:sz="0" w:space="0" w:color="auto"/>
        <w:bottom w:val="none" w:sz="0" w:space="0" w:color="auto"/>
        <w:right w:val="none" w:sz="0" w:space="0" w:color="auto"/>
      </w:divBdr>
    </w:div>
    <w:div w:id="1663388201">
      <w:bodyDiv w:val="1"/>
      <w:marLeft w:val="0"/>
      <w:marRight w:val="0"/>
      <w:marTop w:val="0"/>
      <w:marBottom w:val="0"/>
      <w:divBdr>
        <w:top w:val="none" w:sz="0" w:space="0" w:color="auto"/>
        <w:left w:val="none" w:sz="0" w:space="0" w:color="auto"/>
        <w:bottom w:val="none" w:sz="0" w:space="0" w:color="auto"/>
        <w:right w:val="none" w:sz="0" w:space="0" w:color="auto"/>
      </w:divBdr>
    </w:div>
    <w:div w:id="1670282686">
      <w:bodyDiv w:val="1"/>
      <w:marLeft w:val="0"/>
      <w:marRight w:val="0"/>
      <w:marTop w:val="0"/>
      <w:marBottom w:val="0"/>
      <w:divBdr>
        <w:top w:val="none" w:sz="0" w:space="0" w:color="auto"/>
        <w:left w:val="none" w:sz="0" w:space="0" w:color="auto"/>
        <w:bottom w:val="none" w:sz="0" w:space="0" w:color="auto"/>
        <w:right w:val="none" w:sz="0" w:space="0" w:color="auto"/>
      </w:divBdr>
    </w:div>
    <w:div w:id="1671907127">
      <w:bodyDiv w:val="1"/>
      <w:marLeft w:val="0"/>
      <w:marRight w:val="0"/>
      <w:marTop w:val="0"/>
      <w:marBottom w:val="0"/>
      <w:divBdr>
        <w:top w:val="none" w:sz="0" w:space="0" w:color="auto"/>
        <w:left w:val="none" w:sz="0" w:space="0" w:color="auto"/>
        <w:bottom w:val="none" w:sz="0" w:space="0" w:color="auto"/>
        <w:right w:val="none" w:sz="0" w:space="0" w:color="auto"/>
      </w:divBdr>
    </w:div>
    <w:div w:id="1691834952">
      <w:bodyDiv w:val="1"/>
      <w:marLeft w:val="0"/>
      <w:marRight w:val="0"/>
      <w:marTop w:val="0"/>
      <w:marBottom w:val="0"/>
      <w:divBdr>
        <w:top w:val="none" w:sz="0" w:space="0" w:color="auto"/>
        <w:left w:val="none" w:sz="0" w:space="0" w:color="auto"/>
        <w:bottom w:val="none" w:sz="0" w:space="0" w:color="auto"/>
        <w:right w:val="none" w:sz="0" w:space="0" w:color="auto"/>
      </w:divBdr>
    </w:div>
    <w:div w:id="1696224781">
      <w:bodyDiv w:val="1"/>
      <w:marLeft w:val="0"/>
      <w:marRight w:val="0"/>
      <w:marTop w:val="0"/>
      <w:marBottom w:val="0"/>
      <w:divBdr>
        <w:top w:val="none" w:sz="0" w:space="0" w:color="auto"/>
        <w:left w:val="none" w:sz="0" w:space="0" w:color="auto"/>
        <w:bottom w:val="none" w:sz="0" w:space="0" w:color="auto"/>
        <w:right w:val="none" w:sz="0" w:space="0" w:color="auto"/>
      </w:divBdr>
    </w:div>
    <w:div w:id="1705596009">
      <w:bodyDiv w:val="1"/>
      <w:marLeft w:val="0"/>
      <w:marRight w:val="0"/>
      <w:marTop w:val="0"/>
      <w:marBottom w:val="0"/>
      <w:divBdr>
        <w:top w:val="none" w:sz="0" w:space="0" w:color="auto"/>
        <w:left w:val="none" w:sz="0" w:space="0" w:color="auto"/>
        <w:bottom w:val="none" w:sz="0" w:space="0" w:color="auto"/>
        <w:right w:val="none" w:sz="0" w:space="0" w:color="auto"/>
      </w:divBdr>
    </w:div>
    <w:div w:id="1708874539">
      <w:bodyDiv w:val="1"/>
      <w:marLeft w:val="0"/>
      <w:marRight w:val="0"/>
      <w:marTop w:val="0"/>
      <w:marBottom w:val="0"/>
      <w:divBdr>
        <w:top w:val="none" w:sz="0" w:space="0" w:color="auto"/>
        <w:left w:val="none" w:sz="0" w:space="0" w:color="auto"/>
        <w:bottom w:val="none" w:sz="0" w:space="0" w:color="auto"/>
        <w:right w:val="none" w:sz="0" w:space="0" w:color="auto"/>
      </w:divBdr>
    </w:div>
    <w:div w:id="1712728025">
      <w:bodyDiv w:val="1"/>
      <w:marLeft w:val="0"/>
      <w:marRight w:val="0"/>
      <w:marTop w:val="0"/>
      <w:marBottom w:val="0"/>
      <w:divBdr>
        <w:top w:val="none" w:sz="0" w:space="0" w:color="auto"/>
        <w:left w:val="none" w:sz="0" w:space="0" w:color="auto"/>
        <w:bottom w:val="none" w:sz="0" w:space="0" w:color="auto"/>
        <w:right w:val="none" w:sz="0" w:space="0" w:color="auto"/>
      </w:divBdr>
    </w:div>
    <w:div w:id="1715230463">
      <w:bodyDiv w:val="1"/>
      <w:marLeft w:val="0"/>
      <w:marRight w:val="0"/>
      <w:marTop w:val="0"/>
      <w:marBottom w:val="0"/>
      <w:divBdr>
        <w:top w:val="none" w:sz="0" w:space="0" w:color="auto"/>
        <w:left w:val="none" w:sz="0" w:space="0" w:color="auto"/>
        <w:bottom w:val="none" w:sz="0" w:space="0" w:color="auto"/>
        <w:right w:val="none" w:sz="0" w:space="0" w:color="auto"/>
      </w:divBdr>
    </w:div>
    <w:div w:id="1720668842">
      <w:bodyDiv w:val="1"/>
      <w:marLeft w:val="0"/>
      <w:marRight w:val="0"/>
      <w:marTop w:val="0"/>
      <w:marBottom w:val="0"/>
      <w:divBdr>
        <w:top w:val="none" w:sz="0" w:space="0" w:color="auto"/>
        <w:left w:val="none" w:sz="0" w:space="0" w:color="auto"/>
        <w:bottom w:val="none" w:sz="0" w:space="0" w:color="auto"/>
        <w:right w:val="none" w:sz="0" w:space="0" w:color="auto"/>
      </w:divBdr>
    </w:div>
    <w:div w:id="1722679460">
      <w:bodyDiv w:val="1"/>
      <w:marLeft w:val="0"/>
      <w:marRight w:val="0"/>
      <w:marTop w:val="0"/>
      <w:marBottom w:val="0"/>
      <w:divBdr>
        <w:top w:val="none" w:sz="0" w:space="0" w:color="auto"/>
        <w:left w:val="none" w:sz="0" w:space="0" w:color="auto"/>
        <w:bottom w:val="none" w:sz="0" w:space="0" w:color="auto"/>
        <w:right w:val="none" w:sz="0" w:space="0" w:color="auto"/>
      </w:divBdr>
    </w:div>
    <w:div w:id="1727294649">
      <w:bodyDiv w:val="1"/>
      <w:marLeft w:val="0"/>
      <w:marRight w:val="0"/>
      <w:marTop w:val="0"/>
      <w:marBottom w:val="0"/>
      <w:divBdr>
        <w:top w:val="none" w:sz="0" w:space="0" w:color="auto"/>
        <w:left w:val="none" w:sz="0" w:space="0" w:color="auto"/>
        <w:bottom w:val="none" w:sz="0" w:space="0" w:color="auto"/>
        <w:right w:val="none" w:sz="0" w:space="0" w:color="auto"/>
      </w:divBdr>
    </w:div>
    <w:div w:id="1729836301">
      <w:bodyDiv w:val="1"/>
      <w:marLeft w:val="0"/>
      <w:marRight w:val="0"/>
      <w:marTop w:val="0"/>
      <w:marBottom w:val="0"/>
      <w:divBdr>
        <w:top w:val="none" w:sz="0" w:space="0" w:color="auto"/>
        <w:left w:val="none" w:sz="0" w:space="0" w:color="auto"/>
        <w:bottom w:val="none" w:sz="0" w:space="0" w:color="auto"/>
        <w:right w:val="none" w:sz="0" w:space="0" w:color="auto"/>
      </w:divBdr>
    </w:div>
    <w:div w:id="1730805972">
      <w:bodyDiv w:val="1"/>
      <w:marLeft w:val="0"/>
      <w:marRight w:val="0"/>
      <w:marTop w:val="0"/>
      <w:marBottom w:val="0"/>
      <w:divBdr>
        <w:top w:val="none" w:sz="0" w:space="0" w:color="auto"/>
        <w:left w:val="none" w:sz="0" w:space="0" w:color="auto"/>
        <w:bottom w:val="none" w:sz="0" w:space="0" w:color="auto"/>
        <w:right w:val="none" w:sz="0" w:space="0" w:color="auto"/>
      </w:divBdr>
    </w:div>
    <w:div w:id="1736472099">
      <w:bodyDiv w:val="1"/>
      <w:marLeft w:val="0"/>
      <w:marRight w:val="0"/>
      <w:marTop w:val="0"/>
      <w:marBottom w:val="0"/>
      <w:divBdr>
        <w:top w:val="none" w:sz="0" w:space="0" w:color="auto"/>
        <w:left w:val="none" w:sz="0" w:space="0" w:color="auto"/>
        <w:bottom w:val="none" w:sz="0" w:space="0" w:color="auto"/>
        <w:right w:val="none" w:sz="0" w:space="0" w:color="auto"/>
      </w:divBdr>
    </w:div>
    <w:div w:id="1738624596">
      <w:bodyDiv w:val="1"/>
      <w:marLeft w:val="0"/>
      <w:marRight w:val="0"/>
      <w:marTop w:val="0"/>
      <w:marBottom w:val="0"/>
      <w:divBdr>
        <w:top w:val="none" w:sz="0" w:space="0" w:color="auto"/>
        <w:left w:val="none" w:sz="0" w:space="0" w:color="auto"/>
        <w:bottom w:val="none" w:sz="0" w:space="0" w:color="auto"/>
        <w:right w:val="none" w:sz="0" w:space="0" w:color="auto"/>
      </w:divBdr>
    </w:div>
    <w:div w:id="1743288869">
      <w:bodyDiv w:val="1"/>
      <w:marLeft w:val="0"/>
      <w:marRight w:val="0"/>
      <w:marTop w:val="0"/>
      <w:marBottom w:val="0"/>
      <w:divBdr>
        <w:top w:val="none" w:sz="0" w:space="0" w:color="auto"/>
        <w:left w:val="none" w:sz="0" w:space="0" w:color="auto"/>
        <w:bottom w:val="none" w:sz="0" w:space="0" w:color="auto"/>
        <w:right w:val="none" w:sz="0" w:space="0" w:color="auto"/>
      </w:divBdr>
    </w:div>
    <w:div w:id="1747916274">
      <w:bodyDiv w:val="1"/>
      <w:marLeft w:val="0"/>
      <w:marRight w:val="0"/>
      <w:marTop w:val="0"/>
      <w:marBottom w:val="0"/>
      <w:divBdr>
        <w:top w:val="none" w:sz="0" w:space="0" w:color="auto"/>
        <w:left w:val="none" w:sz="0" w:space="0" w:color="auto"/>
        <w:bottom w:val="none" w:sz="0" w:space="0" w:color="auto"/>
        <w:right w:val="none" w:sz="0" w:space="0" w:color="auto"/>
      </w:divBdr>
    </w:div>
    <w:div w:id="1748381889">
      <w:bodyDiv w:val="1"/>
      <w:marLeft w:val="0"/>
      <w:marRight w:val="0"/>
      <w:marTop w:val="0"/>
      <w:marBottom w:val="0"/>
      <w:divBdr>
        <w:top w:val="none" w:sz="0" w:space="0" w:color="auto"/>
        <w:left w:val="none" w:sz="0" w:space="0" w:color="auto"/>
        <w:bottom w:val="none" w:sz="0" w:space="0" w:color="auto"/>
        <w:right w:val="none" w:sz="0" w:space="0" w:color="auto"/>
      </w:divBdr>
    </w:div>
    <w:div w:id="1752043392">
      <w:bodyDiv w:val="1"/>
      <w:marLeft w:val="0"/>
      <w:marRight w:val="0"/>
      <w:marTop w:val="0"/>
      <w:marBottom w:val="0"/>
      <w:divBdr>
        <w:top w:val="none" w:sz="0" w:space="0" w:color="auto"/>
        <w:left w:val="none" w:sz="0" w:space="0" w:color="auto"/>
        <w:bottom w:val="none" w:sz="0" w:space="0" w:color="auto"/>
        <w:right w:val="none" w:sz="0" w:space="0" w:color="auto"/>
      </w:divBdr>
    </w:div>
    <w:div w:id="1753089353">
      <w:bodyDiv w:val="1"/>
      <w:marLeft w:val="0"/>
      <w:marRight w:val="0"/>
      <w:marTop w:val="0"/>
      <w:marBottom w:val="0"/>
      <w:divBdr>
        <w:top w:val="none" w:sz="0" w:space="0" w:color="auto"/>
        <w:left w:val="none" w:sz="0" w:space="0" w:color="auto"/>
        <w:bottom w:val="none" w:sz="0" w:space="0" w:color="auto"/>
        <w:right w:val="none" w:sz="0" w:space="0" w:color="auto"/>
      </w:divBdr>
      <w:divsChild>
        <w:div w:id="1488396730">
          <w:marLeft w:val="0"/>
          <w:marRight w:val="0"/>
          <w:marTop w:val="0"/>
          <w:marBottom w:val="0"/>
          <w:divBdr>
            <w:top w:val="none" w:sz="0" w:space="0" w:color="auto"/>
            <w:left w:val="none" w:sz="0" w:space="0" w:color="auto"/>
            <w:bottom w:val="none" w:sz="0" w:space="0" w:color="auto"/>
            <w:right w:val="none" w:sz="0" w:space="0" w:color="auto"/>
          </w:divBdr>
        </w:div>
      </w:divsChild>
    </w:div>
    <w:div w:id="1755282100">
      <w:bodyDiv w:val="1"/>
      <w:marLeft w:val="0"/>
      <w:marRight w:val="0"/>
      <w:marTop w:val="0"/>
      <w:marBottom w:val="0"/>
      <w:divBdr>
        <w:top w:val="none" w:sz="0" w:space="0" w:color="auto"/>
        <w:left w:val="none" w:sz="0" w:space="0" w:color="auto"/>
        <w:bottom w:val="none" w:sz="0" w:space="0" w:color="auto"/>
        <w:right w:val="none" w:sz="0" w:space="0" w:color="auto"/>
      </w:divBdr>
    </w:div>
    <w:div w:id="1778451189">
      <w:bodyDiv w:val="1"/>
      <w:marLeft w:val="0"/>
      <w:marRight w:val="0"/>
      <w:marTop w:val="0"/>
      <w:marBottom w:val="0"/>
      <w:divBdr>
        <w:top w:val="none" w:sz="0" w:space="0" w:color="auto"/>
        <w:left w:val="none" w:sz="0" w:space="0" w:color="auto"/>
        <w:bottom w:val="none" w:sz="0" w:space="0" w:color="auto"/>
        <w:right w:val="none" w:sz="0" w:space="0" w:color="auto"/>
      </w:divBdr>
    </w:div>
    <w:div w:id="1790315619">
      <w:bodyDiv w:val="1"/>
      <w:marLeft w:val="0"/>
      <w:marRight w:val="0"/>
      <w:marTop w:val="0"/>
      <w:marBottom w:val="0"/>
      <w:divBdr>
        <w:top w:val="none" w:sz="0" w:space="0" w:color="auto"/>
        <w:left w:val="none" w:sz="0" w:space="0" w:color="auto"/>
        <w:bottom w:val="none" w:sz="0" w:space="0" w:color="auto"/>
        <w:right w:val="none" w:sz="0" w:space="0" w:color="auto"/>
      </w:divBdr>
    </w:div>
    <w:div w:id="1790510401">
      <w:bodyDiv w:val="1"/>
      <w:marLeft w:val="0"/>
      <w:marRight w:val="0"/>
      <w:marTop w:val="0"/>
      <w:marBottom w:val="0"/>
      <w:divBdr>
        <w:top w:val="none" w:sz="0" w:space="0" w:color="auto"/>
        <w:left w:val="none" w:sz="0" w:space="0" w:color="auto"/>
        <w:bottom w:val="none" w:sz="0" w:space="0" w:color="auto"/>
        <w:right w:val="none" w:sz="0" w:space="0" w:color="auto"/>
      </w:divBdr>
    </w:div>
    <w:div w:id="1797333265">
      <w:bodyDiv w:val="1"/>
      <w:marLeft w:val="0"/>
      <w:marRight w:val="0"/>
      <w:marTop w:val="0"/>
      <w:marBottom w:val="0"/>
      <w:divBdr>
        <w:top w:val="none" w:sz="0" w:space="0" w:color="auto"/>
        <w:left w:val="none" w:sz="0" w:space="0" w:color="auto"/>
        <w:bottom w:val="none" w:sz="0" w:space="0" w:color="auto"/>
        <w:right w:val="none" w:sz="0" w:space="0" w:color="auto"/>
      </w:divBdr>
    </w:div>
    <w:div w:id="1800879100">
      <w:bodyDiv w:val="1"/>
      <w:marLeft w:val="0"/>
      <w:marRight w:val="0"/>
      <w:marTop w:val="0"/>
      <w:marBottom w:val="0"/>
      <w:divBdr>
        <w:top w:val="none" w:sz="0" w:space="0" w:color="auto"/>
        <w:left w:val="none" w:sz="0" w:space="0" w:color="auto"/>
        <w:bottom w:val="none" w:sz="0" w:space="0" w:color="auto"/>
        <w:right w:val="none" w:sz="0" w:space="0" w:color="auto"/>
      </w:divBdr>
    </w:div>
    <w:div w:id="1804232870">
      <w:bodyDiv w:val="1"/>
      <w:marLeft w:val="0"/>
      <w:marRight w:val="0"/>
      <w:marTop w:val="0"/>
      <w:marBottom w:val="0"/>
      <w:divBdr>
        <w:top w:val="none" w:sz="0" w:space="0" w:color="auto"/>
        <w:left w:val="none" w:sz="0" w:space="0" w:color="auto"/>
        <w:bottom w:val="none" w:sz="0" w:space="0" w:color="auto"/>
        <w:right w:val="none" w:sz="0" w:space="0" w:color="auto"/>
      </w:divBdr>
    </w:div>
    <w:div w:id="1806778686">
      <w:bodyDiv w:val="1"/>
      <w:marLeft w:val="0"/>
      <w:marRight w:val="0"/>
      <w:marTop w:val="0"/>
      <w:marBottom w:val="0"/>
      <w:divBdr>
        <w:top w:val="none" w:sz="0" w:space="0" w:color="auto"/>
        <w:left w:val="none" w:sz="0" w:space="0" w:color="auto"/>
        <w:bottom w:val="none" w:sz="0" w:space="0" w:color="auto"/>
        <w:right w:val="none" w:sz="0" w:space="0" w:color="auto"/>
      </w:divBdr>
    </w:div>
    <w:div w:id="1811287392">
      <w:bodyDiv w:val="1"/>
      <w:marLeft w:val="0"/>
      <w:marRight w:val="0"/>
      <w:marTop w:val="0"/>
      <w:marBottom w:val="0"/>
      <w:divBdr>
        <w:top w:val="none" w:sz="0" w:space="0" w:color="auto"/>
        <w:left w:val="none" w:sz="0" w:space="0" w:color="auto"/>
        <w:bottom w:val="none" w:sz="0" w:space="0" w:color="auto"/>
        <w:right w:val="none" w:sz="0" w:space="0" w:color="auto"/>
      </w:divBdr>
    </w:div>
    <w:div w:id="1826242405">
      <w:bodyDiv w:val="1"/>
      <w:marLeft w:val="0"/>
      <w:marRight w:val="0"/>
      <w:marTop w:val="0"/>
      <w:marBottom w:val="0"/>
      <w:divBdr>
        <w:top w:val="none" w:sz="0" w:space="0" w:color="auto"/>
        <w:left w:val="none" w:sz="0" w:space="0" w:color="auto"/>
        <w:bottom w:val="none" w:sz="0" w:space="0" w:color="auto"/>
        <w:right w:val="none" w:sz="0" w:space="0" w:color="auto"/>
      </w:divBdr>
    </w:div>
    <w:div w:id="1837258395">
      <w:bodyDiv w:val="1"/>
      <w:marLeft w:val="0"/>
      <w:marRight w:val="0"/>
      <w:marTop w:val="0"/>
      <w:marBottom w:val="0"/>
      <w:divBdr>
        <w:top w:val="none" w:sz="0" w:space="0" w:color="auto"/>
        <w:left w:val="none" w:sz="0" w:space="0" w:color="auto"/>
        <w:bottom w:val="none" w:sz="0" w:space="0" w:color="auto"/>
        <w:right w:val="none" w:sz="0" w:space="0" w:color="auto"/>
      </w:divBdr>
    </w:div>
    <w:div w:id="1840340944">
      <w:bodyDiv w:val="1"/>
      <w:marLeft w:val="0"/>
      <w:marRight w:val="0"/>
      <w:marTop w:val="0"/>
      <w:marBottom w:val="0"/>
      <w:divBdr>
        <w:top w:val="none" w:sz="0" w:space="0" w:color="auto"/>
        <w:left w:val="none" w:sz="0" w:space="0" w:color="auto"/>
        <w:bottom w:val="none" w:sz="0" w:space="0" w:color="auto"/>
        <w:right w:val="none" w:sz="0" w:space="0" w:color="auto"/>
      </w:divBdr>
    </w:div>
    <w:div w:id="1844082026">
      <w:bodyDiv w:val="1"/>
      <w:marLeft w:val="0"/>
      <w:marRight w:val="0"/>
      <w:marTop w:val="0"/>
      <w:marBottom w:val="0"/>
      <w:divBdr>
        <w:top w:val="none" w:sz="0" w:space="0" w:color="auto"/>
        <w:left w:val="none" w:sz="0" w:space="0" w:color="auto"/>
        <w:bottom w:val="none" w:sz="0" w:space="0" w:color="auto"/>
        <w:right w:val="none" w:sz="0" w:space="0" w:color="auto"/>
      </w:divBdr>
    </w:div>
    <w:div w:id="1848903585">
      <w:bodyDiv w:val="1"/>
      <w:marLeft w:val="0"/>
      <w:marRight w:val="0"/>
      <w:marTop w:val="0"/>
      <w:marBottom w:val="0"/>
      <w:divBdr>
        <w:top w:val="none" w:sz="0" w:space="0" w:color="auto"/>
        <w:left w:val="none" w:sz="0" w:space="0" w:color="auto"/>
        <w:bottom w:val="none" w:sz="0" w:space="0" w:color="auto"/>
        <w:right w:val="none" w:sz="0" w:space="0" w:color="auto"/>
      </w:divBdr>
    </w:div>
    <w:div w:id="1850947064">
      <w:bodyDiv w:val="1"/>
      <w:marLeft w:val="0"/>
      <w:marRight w:val="0"/>
      <w:marTop w:val="0"/>
      <w:marBottom w:val="0"/>
      <w:divBdr>
        <w:top w:val="none" w:sz="0" w:space="0" w:color="auto"/>
        <w:left w:val="none" w:sz="0" w:space="0" w:color="auto"/>
        <w:bottom w:val="none" w:sz="0" w:space="0" w:color="auto"/>
        <w:right w:val="none" w:sz="0" w:space="0" w:color="auto"/>
      </w:divBdr>
    </w:div>
    <w:div w:id="1851530544">
      <w:bodyDiv w:val="1"/>
      <w:marLeft w:val="0"/>
      <w:marRight w:val="0"/>
      <w:marTop w:val="0"/>
      <w:marBottom w:val="0"/>
      <w:divBdr>
        <w:top w:val="none" w:sz="0" w:space="0" w:color="auto"/>
        <w:left w:val="none" w:sz="0" w:space="0" w:color="auto"/>
        <w:bottom w:val="none" w:sz="0" w:space="0" w:color="auto"/>
        <w:right w:val="none" w:sz="0" w:space="0" w:color="auto"/>
      </w:divBdr>
    </w:div>
    <w:div w:id="1852179910">
      <w:bodyDiv w:val="1"/>
      <w:marLeft w:val="0"/>
      <w:marRight w:val="0"/>
      <w:marTop w:val="0"/>
      <w:marBottom w:val="0"/>
      <w:divBdr>
        <w:top w:val="none" w:sz="0" w:space="0" w:color="auto"/>
        <w:left w:val="none" w:sz="0" w:space="0" w:color="auto"/>
        <w:bottom w:val="none" w:sz="0" w:space="0" w:color="auto"/>
        <w:right w:val="none" w:sz="0" w:space="0" w:color="auto"/>
      </w:divBdr>
    </w:div>
    <w:div w:id="1852865837">
      <w:bodyDiv w:val="1"/>
      <w:marLeft w:val="0"/>
      <w:marRight w:val="0"/>
      <w:marTop w:val="0"/>
      <w:marBottom w:val="0"/>
      <w:divBdr>
        <w:top w:val="none" w:sz="0" w:space="0" w:color="auto"/>
        <w:left w:val="none" w:sz="0" w:space="0" w:color="auto"/>
        <w:bottom w:val="none" w:sz="0" w:space="0" w:color="auto"/>
        <w:right w:val="none" w:sz="0" w:space="0" w:color="auto"/>
      </w:divBdr>
    </w:div>
    <w:div w:id="1855265849">
      <w:bodyDiv w:val="1"/>
      <w:marLeft w:val="0"/>
      <w:marRight w:val="0"/>
      <w:marTop w:val="0"/>
      <w:marBottom w:val="0"/>
      <w:divBdr>
        <w:top w:val="none" w:sz="0" w:space="0" w:color="auto"/>
        <w:left w:val="none" w:sz="0" w:space="0" w:color="auto"/>
        <w:bottom w:val="none" w:sz="0" w:space="0" w:color="auto"/>
        <w:right w:val="none" w:sz="0" w:space="0" w:color="auto"/>
      </w:divBdr>
    </w:div>
    <w:div w:id="1869102709">
      <w:bodyDiv w:val="1"/>
      <w:marLeft w:val="0"/>
      <w:marRight w:val="0"/>
      <w:marTop w:val="0"/>
      <w:marBottom w:val="0"/>
      <w:divBdr>
        <w:top w:val="none" w:sz="0" w:space="0" w:color="auto"/>
        <w:left w:val="none" w:sz="0" w:space="0" w:color="auto"/>
        <w:bottom w:val="none" w:sz="0" w:space="0" w:color="auto"/>
        <w:right w:val="none" w:sz="0" w:space="0" w:color="auto"/>
      </w:divBdr>
    </w:div>
    <w:div w:id="1878543161">
      <w:bodyDiv w:val="1"/>
      <w:marLeft w:val="0"/>
      <w:marRight w:val="0"/>
      <w:marTop w:val="0"/>
      <w:marBottom w:val="0"/>
      <w:divBdr>
        <w:top w:val="none" w:sz="0" w:space="0" w:color="auto"/>
        <w:left w:val="none" w:sz="0" w:space="0" w:color="auto"/>
        <w:bottom w:val="none" w:sz="0" w:space="0" w:color="auto"/>
        <w:right w:val="none" w:sz="0" w:space="0" w:color="auto"/>
      </w:divBdr>
    </w:div>
    <w:div w:id="1886021948">
      <w:bodyDiv w:val="1"/>
      <w:marLeft w:val="0"/>
      <w:marRight w:val="0"/>
      <w:marTop w:val="0"/>
      <w:marBottom w:val="0"/>
      <w:divBdr>
        <w:top w:val="none" w:sz="0" w:space="0" w:color="auto"/>
        <w:left w:val="none" w:sz="0" w:space="0" w:color="auto"/>
        <w:bottom w:val="none" w:sz="0" w:space="0" w:color="auto"/>
        <w:right w:val="none" w:sz="0" w:space="0" w:color="auto"/>
      </w:divBdr>
    </w:div>
    <w:div w:id="1921256464">
      <w:bodyDiv w:val="1"/>
      <w:marLeft w:val="0"/>
      <w:marRight w:val="0"/>
      <w:marTop w:val="0"/>
      <w:marBottom w:val="0"/>
      <w:divBdr>
        <w:top w:val="none" w:sz="0" w:space="0" w:color="auto"/>
        <w:left w:val="none" w:sz="0" w:space="0" w:color="auto"/>
        <w:bottom w:val="none" w:sz="0" w:space="0" w:color="auto"/>
        <w:right w:val="none" w:sz="0" w:space="0" w:color="auto"/>
      </w:divBdr>
    </w:div>
    <w:div w:id="1936357187">
      <w:bodyDiv w:val="1"/>
      <w:marLeft w:val="0"/>
      <w:marRight w:val="0"/>
      <w:marTop w:val="0"/>
      <w:marBottom w:val="0"/>
      <w:divBdr>
        <w:top w:val="none" w:sz="0" w:space="0" w:color="auto"/>
        <w:left w:val="none" w:sz="0" w:space="0" w:color="auto"/>
        <w:bottom w:val="none" w:sz="0" w:space="0" w:color="auto"/>
        <w:right w:val="none" w:sz="0" w:space="0" w:color="auto"/>
      </w:divBdr>
    </w:div>
    <w:div w:id="1938783274">
      <w:bodyDiv w:val="1"/>
      <w:marLeft w:val="0"/>
      <w:marRight w:val="0"/>
      <w:marTop w:val="0"/>
      <w:marBottom w:val="0"/>
      <w:divBdr>
        <w:top w:val="none" w:sz="0" w:space="0" w:color="auto"/>
        <w:left w:val="none" w:sz="0" w:space="0" w:color="auto"/>
        <w:bottom w:val="none" w:sz="0" w:space="0" w:color="auto"/>
        <w:right w:val="none" w:sz="0" w:space="0" w:color="auto"/>
      </w:divBdr>
    </w:div>
    <w:div w:id="1940335580">
      <w:bodyDiv w:val="1"/>
      <w:marLeft w:val="0"/>
      <w:marRight w:val="0"/>
      <w:marTop w:val="0"/>
      <w:marBottom w:val="0"/>
      <w:divBdr>
        <w:top w:val="none" w:sz="0" w:space="0" w:color="auto"/>
        <w:left w:val="none" w:sz="0" w:space="0" w:color="auto"/>
        <w:bottom w:val="none" w:sz="0" w:space="0" w:color="auto"/>
        <w:right w:val="none" w:sz="0" w:space="0" w:color="auto"/>
      </w:divBdr>
    </w:div>
    <w:div w:id="1957760046">
      <w:bodyDiv w:val="1"/>
      <w:marLeft w:val="0"/>
      <w:marRight w:val="0"/>
      <w:marTop w:val="0"/>
      <w:marBottom w:val="0"/>
      <w:divBdr>
        <w:top w:val="none" w:sz="0" w:space="0" w:color="auto"/>
        <w:left w:val="none" w:sz="0" w:space="0" w:color="auto"/>
        <w:bottom w:val="none" w:sz="0" w:space="0" w:color="auto"/>
        <w:right w:val="none" w:sz="0" w:space="0" w:color="auto"/>
      </w:divBdr>
    </w:div>
    <w:div w:id="1958095478">
      <w:bodyDiv w:val="1"/>
      <w:marLeft w:val="0"/>
      <w:marRight w:val="0"/>
      <w:marTop w:val="0"/>
      <w:marBottom w:val="0"/>
      <w:divBdr>
        <w:top w:val="none" w:sz="0" w:space="0" w:color="auto"/>
        <w:left w:val="none" w:sz="0" w:space="0" w:color="auto"/>
        <w:bottom w:val="none" w:sz="0" w:space="0" w:color="auto"/>
        <w:right w:val="none" w:sz="0" w:space="0" w:color="auto"/>
      </w:divBdr>
    </w:div>
    <w:div w:id="1963800349">
      <w:bodyDiv w:val="1"/>
      <w:marLeft w:val="0"/>
      <w:marRight w:val="0"/>
      <w:marTop w:val="0"/>
      <w:marBottom w:val="0"/>
      <w:divBdr>
        <w:top w:val="none" w:sz="0" w:space="0" w:color="auto"/>
        <w:left w:val="none" w:sz="0" w:space="0" w:color="auto"/>
        <w:bottom w:val="none" w:sz="0" w:space="0" w:color="auto"/>
        <w:right w:val="none" w:sz="0" w:space="0" w:color="auto"/>
      </w:divBdr>
    </w:div>
    <w:div w:id="1963806468">
      <w:bodyDiv w:val="1"/>
      <w:marLeft w:val="0"/>
      <w:marRight w:val="0"/>
      <w:marTop w:val="0"/>
      <w:marBottom w:val="0"/>
      <w:divBdr>
        <w:top w:val="none" w:sz="0" w:space="0" w:color="auto"/>
        <w:left w:val="none" w:sz="0" w:space="0" w:color="auto"/>
        <w:bottom w:val="none" w:sz="0" w:space="0" w:color="auto"/>
        <w:right w:val="none" w:sz="0" w:space="0" w:color="auto"/>
      </w:divBdr>
    </w:div>
    <w:div w:id="1979724536">
      <w:bodyDiv w:val="1"/>
      <w:marLeft w:val="0"/>
      <w:marRight w:val="0"/>
      <w:marTop w:val="0"/>
      <w:marBottom w:val="0"/>
      <w:divBdr>
        <w:top w:val="none" w:sz="0" w:space="0" w:color="auto"/>
        <w:left w:val="none" w:sz="0" w:space="0" w:color="auto"/>
        <w:bottom w:val="none" w:sz="0" w:space="0" w:color="auto"/>
        <w:right w:val="none" w:sz="0" w:space="0" w:color="auto"/>
      </w:divBdr>
    </w:div>
    <w:div w:id="1987319572">
      <w:bodyDiv w:val="1"/>
      <w:marLeft w:val="0"/>
      <w:marRight w:val="0"/>
      <w:marTop w:val="0"/>
      <w:marBottom w:val="0"/>
      <w:divBdr>
        <w:top w:val="none" w:sz="0" w:space="0" w:color="auto"/>
        <w:left w:val="none" w:sz="0" w:space="0" w:color="auto"/>
        <w:bottom w:val="none" w:sz="0" w:space="0" w:color="auto"/>
        <w:right w:val="none" w:sz="0" w:space="0" w:color="auto"/>
      </w:divBdr>
    </w:div>
    <w:div w:id="1989547803">
      <w:bodyDiv w:val="1"/>
      <w:marLeft w:val="0"/>
      <w:marRight w:val="0"/>
      <w:marTop w:val="0"/>
      <w:marBottom w:val="0"/>
      <w:divBdr>
        <w:top w:val="none" w:sz="0" w:space="0" w:color="auto"/>
        <w:left w:val="none" w:sz="0" w:space="0" w:color="auto"/>
        <w:bottom w:val="none" w:sz="0" w:space="0" w:color="auto"/>
        <w:right w:val="none" w:sz="0" w:space="0" w:color="auto"/>
      </w:divBdr>
    </w:div>
    <w:div w:id="1994989024">
      <w:bodyDiv w:val="1"/>
      <w:marLeft w:val="0"/>
      <w:marRight w:val="0"/>
      <w:marTop w:val="0"/>
      <w:marBottom w:val="0"/>
      <w:divBdr>
        <w:top w:val="none" w:sz="0" w:space="0" w:color="auto"/>
        <w:left w:val="none" w:sz="0" w:space="0" w:color="auto"/>
        <w:bottom w:val="none" w:sz="0" w:space="0" w:color="auto"/>
        <w:right w:val="none" w:sz="0" w:space="0" w:color="auto"/>
      </w:divBdr>
    </w:div>
    <w:div w:id="1998455017">
      <w:bodyDiv w:val="1"/>
      <w:marLeft w:val="0"/>
      <w:marRight w:val="0"/>
      <w:marTop w:val="0"/>
      <w:marBottom w:val="0"/>
      <w:divBdr>
        <w:top w:val="none" w:sz="0" w:space="0" w:color="auto"/>
        <w:left w:val="none" w:sz="0" w:space="0" w:color="auto"/>
        <w:bottom w:val="none" w:sz="0" w:space="0" w:color="auto"/>
        <w:right w:val="none" w:sz="0" w:space="0" w:color="auto"/>
      </w:divBdr>
    </w:div>
    <w:div w:id="2008752005">
      <w:bodyDiv w:val="1"/>
      <w:marLeft w:val="0"/>
      <w:marRight w:val="0"/>
      <w:marTop w:val="0"/>
      <w:marBottom w:val="0"/>
      <w:divBdr>
        <w:top w:val="none" w:sz="0" w:space="0" w:color="auto"/>
        <w:left w:val="none" w:sz="0" w:space="0" w:color="auto"/>
        <w:bottom w:val="none" w:sz="0" w:space="0" w:color="auto"/>
        <w:right w:val="none" w:sz="0" w:space="0" w:color="auto"/>
      </w:divBdr>
    </w:div>
    <w:div w:id="2021541794">
      <w:bodyDiv w:val="1"/>
      <w:marLeft w:val="0"/>
      <w:marRight w:val="0"/>
      <w:marTop w:val="0"/>
      <w:marBottom w:val="0"/>
      <w:divBdr>
        <w:top w:val="none" w:sz="0" w:space="0" w:color="auto"/>
        <w:left w:val="none" w:sz="0" w:space="0" w:color="auto"/>
        <w:bottom w:val="none" w:sz="0" w:space="0" w:color="auto"/>
        <w:right w:val="none" w:sz="0" w:space="0" w:color="auto"/>
      </w:divBdr>
    </w:div>
    <w:div w:id="2022586702">
      <w:bodyDiv w:val="1"/>
      <w:marLeft w:val="0"/>
      <w:marRight w:val="0"/>
      <w:marTop w:val="0"/>
      <w:marBottom w:val="0"/>
      <w:divBdr>
        <w:top w:val="none" w:sz="0" w:space="0" w:color="auto"/>
        <w:left w:val="none" w:sz="0" w:space="0" w:color="auto"/>
        <w:bottom w:val="none" w:sz="0" w:space="0" w:color="auto"/>
        <w:right w:val="none" w:sz="0" w:space="0" w:color="auto"/>
      </w:divBdr>
    </w:div>
    <w:div w:id="2025815590">
      <w:bodyDiv w:val="1"/>
      <w:marLeft w:val="0"/>
      <w:marRight w:val="0"/>
      <w:marTop w:val="0"/>
      <w:marBottom w:val="0"/>
      <w:divBdr>
        <w:top w:val="none" w:sz="0" w:space="0" w:color="auto"/>
        <w:left w:val="none" w:sz="0" w:space="0" w:color="auto"/>
        <w:bottom w:val="none" w:sz="0" w:space="0" w:color="auto"/>
        <w:right w:val="none" w:sz="0" w:space="0" w:color="auto"/>
      </w:divBdr>
    </w:div>
    <w:div w:id="2031224654">
      <w:bodyDiv w:val="1"/>
      <w:marLeft w:val="0"/>
      <w:marRight w:val="0"/>
      <w:marTop w:val="0"/>
      <w:marBottom w:val="0"/>
      <w:divBdr>
        <w:top w:val="none" w:sz="0" w:space="0" w:color="auto"/>
        <w:left w:val="none" w:sz="0" w:space="0" w:color="auto"/>
        <w:bottom w:val="none" w:sz="0" w:space="0" w:color="auto"/>
        <w:right w:val="none" w:sz="0" w:space="0" w:color="auto"/>
      </w:divBdr>
    </w:div>
    <w:div w:id="2034762170">
      <w:bodyDiv w:val="1"/>
      <w:marLeft w:val="0"/>
      <w:marRight w:val="0"/>
      <w:marTop w:val="0"/>
      <w:marBottom w:val="0"/>
      <w:divBdr>
        <w:top w:val="none" w:sz="0" w:space="0" w:color="auto"/>
        <w:left w:val="none" w:sz="0" w:space="0" w:color="auto"/>
        <w:bottom w:val="none" w:sz="0" w:space="0" w:color="auto"/>
        <w:right w:val="none" w:sz="0" w:space="0" w:color="auto"/>
      </w:divBdr>
    </w:div>
    <w:div w:id="2035841924">
      <w:bodyDiv w:val="1"/>
      <w:marLeft w:val="0"/>
      <w:marRight w:val="0"/>
      <w:marTop w:val="0"/>
      <w:marBottom w:val="0"/>
      <w:divBdr>
        <w:top w:val="none" w:sz="0" w:space="0" w:color="auto"/>
        <w:left w:val="none" w:sz="0" w:space="0" w:color="auto"/>
        <w:bottom w:val="none" w:sz="0" w:space="0" w:color="auto"/>
        <w:right w:val="none" w:sz="0" w:space="0" w:color="auto"/>
      </w:divBdr>
    </w:div>
    <w:div w:id="2046130971">
      <w:bodyDiv w:val="1"/>
      <w:marLeft w:val="0"/>
      <w:marRight w:val="0"/>
      <w:marTop w:val="0"/>
      <w:marBottom w:val="0"/>
      <w:divBdr>
        <w:top w:val="none" w:sz="0" w:space="0" w:color="auto"/>
        <w:left w:val="none" w:sz="0" w:space="0" w:color="auto"/>
        <w:bottom w:val="none" w:sz="0" w:space="0" w:color="auto"/>
        <w:right w:val="none" w:sz="0" w:space="0" w:color="auto"/>
      </w:divBdr>
    </w:div>
    <w:div w:id="2052001242">
      <w:bodyDiv w:val="1"/>
      <w:marLeft w:val="0"/>
      <w:marRight w:val="0"/>
      <w:marTop w:val="0"/>
      <w:marBottom w:val="0"/>
      <w:divBdr>
        <w:top w:val="none" w:sz="0" w:space="0" w:color="auto"/>
        <w:left w:val="none" w:sz="0" w:space="0" w:color="auto"/>
        <w:bottom w:val="none" w:sz="0" w:space="0" w:color="auto"/>
        <w:right w:val="none" w:sz="0" w:space="0" w:color="auto"/>
      </w:divBdr>
    </w:div>
    <w:div w:id="2056807514">
      <w:bodyDiv w:val="1"/>
      <w:marLeft w:val="0"/>
      <w:marRight w:val="0"/>
      <w:marTop w:val="0"/>
      <w:marBottom w:val="0"/>
      <w:divBdr>
        <w:top w:val="none" w:sz="0" w:space="0" w:color="auto"/>
        <w:left w:val="none" w:sz="0" w:space="0" w:color="auto"/>
        <w:bottom w:val="none" w:sz="0" w:space="0" w:color="auto"/>
        <w:right w:val="none" w:sz="0" w:space="0" w:color="auto"/>
      </w:divBdr>
    </w:div>
    <w:div w:id="2059473870">
      <w:bodyDiv w:val="1"/>
      <w:marLeft w:val="0"/>
      <w:marRight w:val="0"/>
      <w:marTop w:val="0"/>
      <w:marBottom w:val="0"/>
      <w:divBdr>
        <w:top w:val="none" w:sz="0" w:space="0" w:color="auto"/>
        <w:left w:val="none" w:sz="0" w:space="0" w:color="auto"/>
        <w:bottom w:val="none" w:sz="0" w:space="0" w:color="auto"/>
        <w:right w:val="none" w:sz="0" w:space="0" w:color="auto"/>
      </w:divBdr>
    </w:div>
    <w:div w:id="2063214491">
      <w:bodyDiv w:val="1"/>
      <w:marLeft w:val="0"/>
      <w:marRight w:val="0"/>
      <w:marTop w:val="0"/>
      <w:marBottom w:val="0"/>
      <w:divBdr>
        <w:top w:val="none" w:sz="0" w:space="0" w:color="auto"/>
        <w:left w:val="none" w:sz="0" w:space="0" w:color="auto"/>
        <w:bottom w:val="none" w:sz="0" w:space="0" w:color="auto"/>
        <w:right w:val="none" w:sz="0" w:space="0" w:color="auto"/>
      </w:divBdr>
    </w:div>
    <w:div w:id="2077971984">
      <w:bodyDiv w:val="1"/>
      <w:marLeft w:val="0"/>
      <w:marRight w:val="0"/>
      <w:marTop w:val="0"/>
      <w:marBottom w:val="0"/>
      <w:divBdr>
        <w:top w:val="none" w:sz="0" w:space="0" w:color="auto"/>
        <w:left w:val="none" w:sz="0" w:space="0" w:color="auto"/>
        <w:bottom w:val="none" w:sz="0" w:space="0" w:color="auto"/>
        <w:right w:val="none" w:sz="0" w:space="0" w:color="auto"/>
      </w:divBdr>
    </w:div>
    <w:div w:id="2080519173">
      <w:bodyDiv w:val="1"/>
      <w:marLeft w:val="0"/>
      <w:marRight w:val="0"/>
      <w:marTop w:val="0"/>
      <w:marBottom w:val="0"/>
      <w:divBdr>
        <w:top w:val="none" w:sz="0" w:space="0" w:color="auto"/>
        <w:left w:val="none" w:sz="0" w:space="0" w:color="auto"/>
        <w:bottom w:val="none" w:sz="0" w:space="0" w:color="auto"/>
        <w:right w:val="none" w:sz="0" w:space="0" w:color="auto"/>
      </w:divBdr>
    </w:div>
    <w:div w:id="2103262824">
      <w:bodyDiv w:val="1"/>
      <w:marLeft w:val="0"/>
      <w:marRight w:val="0"/>
      <w:marTop w:val="0"/>
      <w:marBottom w:val="0"/>
      <w:divBdr>
        <w:top w:val="none" w:sz="0" w:space="0" w:color="auto"/>
        <w:left w:val="none" w:sz="0" w:space="0" w:color="auto"/>
        <w:bottom w:val="none" w:sz="0" w:space="0" w:color="auto"/>
        <w:right w:val="none" w:sz="0" w:space="0" w:color="auto"/>
      </w:divBdr>
    </w:div>
    <w:div w:id="2106999128">
      <w:bodyDiv w:val="1"/>
      <w:marLeft w:val="0"/>
      <w:marRight w:val="0"/>
      <w:marTop w:val="0"/>
      <w:marBottom w:val="0"/>
      <w:divBdr>
        <w:top w:val="none" w:sz="0" w:space="0" w:color="auto"/>
        <w:left w:val="none" w:sz="0" w:space="0" w:color="auto"/>
        <w:bottom w:val="none" w:sz="0" w:space="0" w:color="auto"/>
        <w:right w:val="none" w:sz="0" w:space="0" w:color="auto"/>
      </w:divBdr>
    </w:div>
    <w:div w:id="2113167561">
      <w:bodyDiv w:val="1"/>
      <w:marLeft w:val="0"/>
      <w:marRight w:val="0"/>
      <w:marTop w:val="0"/>
      <w:marBottom w:val="0"/>
      <w:divBdr>
        <w:top w:val="none" w:sz="0" w:space="0" w:color="auto"/>
        <w:left w:val="none" w:sz="0" w:space="0" w:color="auto"/>
        <w:bottom w:val="none" w:sz="0" w:space="0" w:color="auto"/>
        <w:right w:val="none" w:sz="0" w:space="0" w:color="auto"/>
      </w:divBdr>
    </w:div>
    <w:div w:id="2121754692">
      <w:bodyDiv w:val="1"/>
      <w:marLeft w:val="0"/>
      <w:marRight w:val="0"/>
      <w:marTop w:val="0"/>
      <w:marBottom w:val="0"/>
      <w:divBdr>
        <w:top w:val="none" w:sz="0" w:space="0" w:color="auto"/>
        <w:left w:val="none" w:sz="0" w:space="0" w:color="auto"/>
        <w:bottom w:val="none" w:sz="0" w:space="0" w:color="auto"/>
        <w:right w:val="none" w:sz="0" w:space="0" w:color="auto"/>
      </w:divBdr>
    </w:div>
    <w:div w:id="2123265009">
      <w:bodyDiv w:val="1"/>
      <w:marLeft w:val="0"/>
      <w:marRight w:val="0"/>
      <w:marTop w:val="0"/>
      <w:marBottom w:val="0"/>
      <w:divBdr>
        <w:top w:val="none" w:sz="0" w:space="0" w:color="auto"/>
        <w:left w:val="none" w:sz="0" w:space="0" w:color="auto"/>
        <w:bottom w:val="none" w:sz="0" w:space="0" w:color="auto"/>
        <w:right w:val="none" w:sz="0" w:space="0" w:color="auto"/>
      </w:divBdr>
    </w:div>
    <w:div w:id="2125541871">
      <w:bodyDiv w:val="1"/>
      <w:marLeft w:val="0"/>
      <w:marRight w:val="0"/>
      <w:marTop w:val="0"/>
      <w:marBottom w:val="0"/>
      <w:divBdr>
        <w:top w:val="none" w:sz="0" w:space="0" w:color="auto"/>
        <w:left w:val="none" w:sz="0" w:space="0" w:color="auto"/>
        <w:bottom w:val="none" w:sz="0" w:space="0" w:color="auto"/>
        <w:right w:val="none" w:sz="0" w:space="0" w:color="auto"/>
      </w:divBdr>
    </w:div>
    <w:div w:id="2131632327">
      <w:bodyDiv w:val="1"/>
      <w:marLeft w:val="0"/>
      <w:marRight w:val="0"/>
      <w:marTop w:val="0"/>
      <w:marBottom w:val="0"/>
      <w:divBdr>
        <w:top w:val="none" w:sz="0" w:space="0" w:color="auto"/>
        <w:left w:val="none" w:sz="0" w:space="0" w:color="auto"/>
        <w:bottom w:val="none" w:sz="0" w:space="0" w:color="auto"/>
        <w:right w:val="none" w:sz="0" w:space="0" w:color="auto"/>
      </w:divBdr>
    </w:div>
    <w:div w:id="2140799740">
      <w:bodyDiv w:val="1"/>
      <w:marLeft w:val="0"/>
      <w:marRight w:val="0"/>
      <w:marTop w:val="0"/>
      <w:marBottom w:val="0"/>
      <w:divBdr>
        <w:top w:val="none" w:sz="0" w:space="0" w:color="auto"/>
        <w:left w:val="none" w:sz="0" w:space="0" w:color="auto"/>
        <w:bottom w:val="none" w:sz="0" w:space="0" w:color="auto"/>
        <w:right w:val="none" w:sz="0" w:space="0" w:color="auto"/>
      </w:divBdr>
      <w:divsChild>
        <w:div w:id="1656685875">
          <w:marLeft w:val="0"/>
          <w:marRight w:val="0"/>
          <w:marTop w:val="0"/>
          <w:marBottom w:val="0"/>
          <w:divBdr>
            <w:top w:val="none" w:sz="0" w:space="0" w:color="auto"/>
            <w:left w:val="none" w:sz="0" w:space="0" w:color="auto"/>
            <w:bottom w:val="none" w:sz="0" w:space="0" w:color="auto"/>
            <w:right w:val="none" w:sz="0" w:space="0" w:color="auto"/>
          </w:divBdr>
        </w:div>
      </w:divsChild>
    </w:div>
    <w:div w:id="214291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senat.fr/compte-rendu-commissions/20200113/cult.html;" TargetMode="External"/><Relationship Id="rId13" Type="http://schemas.openxmlformats.org/officeDocument/2006/relationships/hyperlink" Target="https://www.senat.fr/rap/r02-379/r02-379_mono.html" TargetMode="External"/><Relationship Id="rId18" Type="http://schemas.openxmlformats.org/officeDocument/2006/relationships/hyperlink" Target="https://www.senat.fr/rap/r02-379/r02-3794.html" TargetMode="External"/><Relationship Id="rId26" Type="http://schemas.openxmlformats.org/officeDocument/2006/relationships/hyperlink" Target="http://questions.assemblee-nationale.fr/q14/14-83570QE.htm" TargetMode="External"/><Relationship Id="rId3" Type="http://schemas.openxmlformats.org/officeDocument/2006/relationships/hyperlink" Target="https://www.theartnewspaper.com/news/germany-returns-indigenous-remains-of-45-ancestors-to-australia-in-long-overdue-step?" TargetMode="External"/><Relationship Id="rId21" Type="http://schemas.openxmlformats.org/officeDocument/2006/relationships/hyperlink" Target="http://www.senat.fr/compte-rendu-commissions/20150316/cult.html" TargetMode="External"/><Relationship Id="rId7" Type="http://schemas.openxmlformats.org/officeDocument/2006/relationships/hyperlink" Target="http://restitutionreport2018.com/" TargetMode="External"/><Relationship Id="rId12" Type="http://schemas.openxmlformats.org/officeDocument/2006/relationships/hyperlink" Target="http://lesrapports.ladocumentationfrancaise.fr/BRP/084000071/0000.pdf" TargetMode="External"/><Relationship Id="rId17" Type="http://schemas.openxmlformats.org/officeDocument/2006/relationships/hyperlink" Target="http://www.senat.fr/seances/s200906/s20090629/s20090629.pdf" TargetMode="External"/><Relationship Id="rId25" Type="http://schemas.openxmlformats.org/officeDocument/2006/relationships/hyperlink" Target="http://www.senat.fr/compte-rendu-commissions/20200113/cult.html" TargetMode="External"/><Relationship Id="rId2" Type="http://schemas.openxmlformats.org/officeDocument/2006/relationships/hyperlink" Target="http://www.nhm.ac.uk/about-us/news/2011/march/museum-returns-remains-to-torres-strait-islands95251.html" TargetMode="External"/><Relationship Id="rId16" Type="http://schemas.openxmlformats.org/officeDocument/2006/relationships/hyperlink" Target="http://www.assemblee-nationale.fr/13/pdf/cri/2009-2010/20100172.pdf" TargetMode="External"/><Relationship Id="rId20" Type="http://schemas.openxmlformats.org/officeDocument/2006/relationships/hyperlink" Target="http://lesrapports.ladocumentationfrancaise.fr/BRP/084000071/0000.pdf" TargetMode="External"/><Relationship Id="rId1" Type="http://schemas.openxmlformats.org/officeDocument/2006/relationships/hyperlink" Target="http://www.nzherald.co.nz/nz/news/article.cfm?c_id=1&amp;objectid=11638270" TargetMode="External"/><Relationship Id="rId6" Type="http://schemas.openxmlformats.org/officeDocument/2006/relationships/hyperlink" Target="http://questions.assemblee-nationale.fr/q14/14-35855QE.htm" TargetMode="External"/><Relationship Id="rId11" Type="http://schemas.openxmlformats.org/officeDocument/2006/relationships/hyperlink" Target="http://www.assemblee-nationale.fr/11/cri/html/20020142.asp" TargetMode="External"/><Relationship Id="rId24" Type="http://schemas.openxmlformats.org/officeDocument/2006/relationships/hyperlink" Target="http://www.senat.fr/rap/l19-358/l19-3581.pdf" TargetMode="External"/><Relationship Id="rId5" Type="http://schemas.openxmlformats.org/officeDocument/2006/relationships/hyperlink" Target="http://questions.assemblee-nationale.fr/q15/15-10652QE.htm" TargetMode="External"/><Relationship Id="rId15" Type="http://schemas.openxmlformats.org/officeDocument/2006/relationships/hyperlink" Target="http://www.assemblee-nationale.fr/13/pdf/cri/2009-2010/20100176.pdf" TargetMode="External"/><Relationship Id="rId23" Type="http://schemas.openxmlformats.org/officeDocument/2006/relationships/hyperlink" Target="http://www.senat.fr/rap/l19-358/l19-3581.pdf" TargetMode="External"/><Relationship Id="rId10" Type="http://schemas.openxmlformats.org/officeDocument/2006/relationships/hyperlink" Target="http://www.assemblee-nationale.fr/11/cri/html/20020142.asp" TargetMode="External"/><Relationship Id="rId19" Type="http://schemas.openxmlformats.org/officeDocument/2006/relationships/hyperlink" Target="http://www.senat.fr/compte-rendu-commissions/20200217/cult.html" TargetMode="External"/><Relationship Id="rId4" Type="http://schemas.openxmlformats.org/officeDocument/2006/relationships/hyperlink" Target="http://questions.assemblee-nationale.fr/q15/15-3325QE.htm" TargetMode="External"/><Relationship Id="rId9" Type="http://schemas.openxmlformats.org/officeDocument/2006/relationships/hyperlink" Target="https://www.wipo.int/tk/en/databases/creative_heritage/indigenous/link0002.html" TargetMode="External"/><Relationship Id="rId14" Type="http://schemas.openxmlformats.org/officeDocument/2006/relationships/hyperlink" Target="https://www.tepapa.govt.nz/international-repatriation" TargetMode="External"/><Relationship Id="rId22" Type="http://schemas.openxmlformats.org/officeDocument/2006/relationships/hyperlink" Target="http://www.senat.fr/compte-rendu-commissions/20191202/c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7A021-E38D-43A3-B475-B44CEDF6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6872</Words>
  <Characters>39173</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vt:lpstr>
    </vt:vector>
  </TitlesOfParts>
  <Company>Kent Law School</Company>
  <LinksUpToDate>false</LinksUpToDate>
  <CharactersWithSpaces>45954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kls</dc:creator>
  <cp:keywords/>
  <dc:description/>
  <cp:lastModifiedBy>Sophie Vigneron</cp:lastModifiedBy>
  <cp:revision>3</cp:revision>
  <cp:lastPrinted>2020-06-19T11:26:00Z</cp:lastPrinted>
  <dcterms:created xsi:type="dcterms:W3CDTF">2020-06-22T16:13:00Z</dcterms:created>
  <dcterms:modified xsi:type="dcterms:W3CDTF">2020-06-22T16:13:00Z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1810</vt:lpwstr>
  </property>
  <property fmtid="{D5CDD505-2E9C-101B-9397-08002B2CF9AE}" pid="3" name="WnCSubscriberId">
    <vt:lpwstr>4283</vt:lpwstr>
  </property>
  <property fmtid="{D5CDD505-2E9C-101B-9397-08002B2CF9AE}" pid="4" name="WnCOutputStyleId">
    <vt:lpwstr>10456</vt:lpwstr>
  </property>
  <property fmtid="{D5CDD505-2E9C-101B-9397-08002B2CF9AE}" pid="5" name="RWProductId">
    <vt:lpwstr>WnC</vt:lpwstr>
  </property>
  <property fmtid="{D5CDD505-2E9C-101B-9397-08002B2CF9AE}" pid="6" name="WnC4Folder">
    <vt:lpwstr>Documents///Maori_repatriation-form-2020-03-30</vt:lpwstr>
  </property>
</Properties>
</file>