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059A4" w14:textId="1848294C" w:rsidR="00A64B1C" w:rsidRPr="00203B48" w:rsidRDefault="007D0618" w:rsidP="00A64B1C">
      <w:pPr>
        <w:pBdr>
          <w:bottom w:val="single" w:sz="4" w:space="1" w:color="auto"/>
        </w:pBdr>
        <w:rPr>
          <w:sz w:val="36"/>
          <w:szCs w:val="36"/>
        </w:rPr>
      </w:pPr>
      <w:bookmarkStart w:id="0" w:name="Introduction"/>
      <w:bookmarkStart w:id="1" w:name="_Hlk517441888"/>
      <w:r>
        <w:rPr>
          <w:sz w:val="36"/>
          <w:szCs w:val="36"/>
        </w:rPr>
        <w:t xml:space="preserve">CHAPTER ONE: </w:t>
      </w:r>
      <w:r w:rsidR="00A64B1C" w:rsidRPr="00203B48">
        <w:rPr>
          <w:sz w:val="36"/>
          <w:szCs w:val="36"/>
        </w:rPr>
        <w:t>INTRODUCTION</w:t>
      </w:r>
      <w:bookmarkEnd w:id="0"/>
    </w:p>
    <w:p w14:paraId="2FBBB335" w14:textId="77777777" w:rsidR="00A64B1C" w:rsidRDefault="00A64B1C" w:rsidP="00A64B1C">
      <w:pPr>
        <w:rPr>
          <w:b/>
          <w:sz w:val="24"/>
          <w:szCs w:val="24"/>
        </w:rPr>
      </w:pPr>
    </w:p>
    <w:p w14:paraId="4ED6CECC" w14:textId="17AED458" w:rsidR="00A64B1C" w:rsidRPr="00F40405" w:rsidRDefault="00A64B1C" w:rsidP="00F40405">
      <w:pPr>
        <w:pStyle w:val="ListParagraph"/>
        <w:numPr>
          <w:ilvl w:val="0"/>
          <w:numId w:val="40"/>
        </w:numPr>
        <w:spacing w:line="360" w:lineRule="auto"/>
        <w:rPr>
          <w:b/>
          <w:sz w:val="24"/>
          <w:szCs w:val="24"/>
        </w:rPr>
      </w:pPr>
      <w:bookmarkStart w:id="2" w:name="Motivations"/>
      <w:r w:rsidRPr="00F40405">
        <w:rPr>
          <w:b/>
          <w:sz w:val="24"/>
          <w:szCs w:val="24"/>
        </w:rPr>
        <w:t xml:space="preserve">Motivations and Objectives </w:t>
      </w:r>
      <w:bookmarkEnd w:id="1"/>
      <w:bookmarkEnd w:id="2"/>
    </w:p>
    <w:p w14:paraId="21C83A15" w14:textId="4B41F9BA" w:rsidR="00A64B1C" w:rsidRDefault="00A64B1C" w:rsidP="00A64B1C">
      <w:pPr>
        <w:spacing w:after="0" w:line="360" w:lineRule="auto"/>
        <w:ind w:firstLine="720"/>
        <w:rPr>
          <w:sz w:val="24"/>
          <w:szCs w:val="24"/>
        </w:rPr>
      </w:pPr>
      <w:r w:rsidRPr="00A2123C">
        <w:rPr>
          <w:sz w:val="24"/>
          <w:szCs w:val="24"/>
        </w:rPr>
        <w:t xml:space="preserve">As a practising criminal prosecutor, </w:t>
      </w:r>
      <w:r>
        <w:rPr>
          <w:sz w:val="24"/>
          <w:szCs w:val="24"/>
        </w:rPr>
        <w:t xml:space="preserve">I find </w:t>
      </w:r>
      <w:r w:rsidRPr="00A2123C">
        <w:rPr>
          <w:sz w:val="24"/>
          <w:szCs w:val="24"/>
        </w:rPr>
        <w:t xml:space="preserve">intimate partner abuse cases </w:t>
      </w:r>
      <w:r w:rsidR="00D07034">
        <w:rPr>
          <w:sz w:val="24"/>
          <w:szCs w:val="24"/>
        </w:rPr>
        <w:t>nota</w:t>
      </w:r>
      <w:r w:rsidRPr="00A2123C">
        <w:rPr>
          <w:sz w:val="24"/>
          <w:szCs w:val="24"/>
        </w:rPr>
        <w:t>bl</w:t>
      </w:r>
      <w:r>
        <w:rPr>
          <w:sz w:val="24"/>
          <w:szCs w:val="24"/>
        </w:rPr>
        <w:t>y prevalent</w:t>
      </w:r>
      <w:r w:rsidRPr="00A2123C">
        <w:rPr>
          <w:sz w:val="24"/>
          <w:szCs w:val="24"/>
        </w:rPr>
        <w:t xml:space="preserve"> and</w:t>
      </w:r>
      <w:r>
        <w:rPr>
          <w:sz w:val="24"/>
          <w:szCs w:val="24"/>
        </w:rPr>
        <w:t xml:space="preserve"> </w:t>
      </w:r>
      <w:r w:rsidRPr="00A2123C">
        <w:rPr>
          <w:sz w:val="24"/>
          <w:szCs w:val="24"/>
        </w:rPr>
        <w:t>the predominance of female victims</w:t>
      </w:r>
      <w:r>
        <w:rPr>
          <w:sz w:val="24"/>
          <w:szCs w:val="24"/>
        </w:rPr>
        <w:t xml:space="preserve"> striking</w:t>
      </w:r>
      <w:r w:rsidRPr="00A2123C">
        <w:rPr>
          <w:sz w:val="24"/>
          <w:szCs w:val="24"/>
        </w:rPr>
        <w:t>. In fact according to Crown Prosecution Service (CPS) figures, domestic abuse account</w:t>
      </w:r>
      <w:r w:rsidR="005D4153">
        <w:rPr>
          <w:sz w:val="24"/>
          <w:szCs w:val="24"/>
        </w:rPr>
        <w:t>s</w:t>
      </w:r>
      <w:r w:rsidRPr="00A2123C">
        <w:rPr>
          <w:sz w:val="24"/>
          <w:szCs w:val="24"/>
        </w:rPr>
        <w:t xml:space="preserve"> for nearly </w:t>
      </w:r>
      <w:r>
        <w:rPr>
          <w:sz w:val="24"/>
          <w:szCs w:val="24"/>
        </w:rPr>
        <w:t>one</w:t>
      </w:r>
      <w:r w:rsidRPr="00A2123C">
        <w:rPr>
          <w:sz w:val="24"/>
          <w:szCs w:val="24"/>
        </w:rPr>
        <w:t xml:space="preserve"> in </w:t>
      </w:r>
      <w:r>
        <w:rPr>
          <w:sz w:val="24"/>
          <w:szCs w:val="24"/>
        </w:rPr>
        <w:t>five</w:t>
      </w:r>
      <w:r w:rsidRPr="00A2123C">
        <w:rPr>
          <w:sz w:val="24"/>
          <w:szCs w:val="24"/>
        </w:rPr>
        <w:t xml:space="preserve"> CPS prosecutions and women </w:t>
      </w:r>
      <w:r w:rsidR="005D4153">
        <w:rPr>
          <w:sz w:val="24"/>
          <w:szCs w:val="24"/>
        </w:rPr>
        <w:t>a</w:t>
      </w:r>
      <w:r w:rsidRPr="00A2123C">
        <w:rPr>
          <w:sz w:val="24"/>
          <w:szCs w:val="24"/>
        </w:rPr>
        <w:t>re the victim in 83</w:t>
      </w:r>
      <w:r>
        <w:rPr>
          <w:sz w:val="24"/>
          <w:szCs w:val="24"/>
        </w:rPr>
        <w:t>%</w:t>
      </w:r>
      <w:r w:rsidRPr="00A2123C">
        <w:rPr>
          <w:sz w:val="24"/>
          <w:szCs w:val="24"/>
        </w:rPr>
        <w:t xml:space="preserve"> of such cases.</w:t>
      </w:r>
      <w:r w:rsidRPr="00A2123C">
        <w:rPr>
          <w:rStyle w:val="FootnoteReference"/>
        </w:rPr>
        <w:footnoteReference w:id="1"/>
      </w:r>
      <w:r w:rsidRPr="00A2123C">
        <w:rPr>
          <w:sz w:val="24"/>
          <w:szCs w:val="24"/>
        </w:rPr>
        <w:t xml:space="preserve"> Having previously been a defence advocate, I joined the CPS in 2007 at a time when new domestic violence policy and guidance, paired with mandatory training across the service was being implemented.</w:t>
      </w:r>
      <w:r w:rsidR="008A105C">
        <w:rPr>
          <w:rStyle w:val="FootnoteReference"/>
        </w:rPr>
        <w:footnoteReference w:id="2"/>
      </w:r>
      <w:r w:rsidRPr="00A2123C">
        <w:rPr>
          <w:sz w:val="24"/>
          <w:szCs w:val="24"/>
        </w:rPr>
        <w:t xml:space="preserve"> It marked the service’s </w:t>
      </w:r>
      <w:r>
        <w:rPr>
          <w:sz w:val="24"/>
          <w:szCs w:val="24"/>
        </w:rPr>
        <w:t>h</w:t>
      </w:r>
      <w:r w:rsidR="00D07034">
        <w:rPr>
          <w:sz w:val="24"/>
          <w:szCs w:val="24"/>
        </w:rPr>
        <w:t>enceforth</w:t>
      </w:r>
      <w:r>
        <w:rPr>
          <w:sz w:val="24"/>
          <w:szCs w:val="24"/>
        </w:rPr>
        <w:t xml:space="preserve"> </w:t>
      </w:r>
      <w:r w:rsidRPr="00A2123C">
        <w:rPr>
          <w:sz w:val="24"/>
          <w:szCs w:val="24"/>
        </w:rPr>
        <w:t>commitment to dealing with domestic abuse ‘within a gendered framework’ and as a ‘particularly serious’ crime.</w:t>
      </w:r>
      <w:r w:rsidR="00E675F1" w:rsidRPr="00A2123C">
        <w:rPr>
          <w:rStyle w:val="FootnoteReference"/>
        </w:rPr>
        <w:footnoteReference w:id="3"/>
      </w:r>
      <w:r w:rsidRPr="00A2123C">
        <w:rPr>
          <w:sz w:val="24"/>
          <w:szCs w:val="24"/>
        </w:rPr>
        <w:t xml:space="preserve"> Improving the conviction rate and bringing ‘more perpetrators to justice’</w:t>
      </w:r>
      <w:r w:rsidRPr="00A2123C">
        <w:rPr>
          <w:rStyle w:val="FootnoteReference"/>
        </w:rPr>
        <w:footnoteReference w:id="4"/>
      </w:r>
      <w:r w:rsidRPr="00A2123C">
        <w:rPr>
          <w:sz w:val="24"/>
          <w:szCs w:val="24"/>
        </w:rPr>
        <w:t xml:space="preserve"> became the </w:t>
      </w:r>
      <w:r>
        <w:rPr>
          <w:sz w:val="24"/>
          <w:szCs w:val="24"/>
        </w:rPr>
        <w:t xml:space="preserve">organisation’s </w:t>
      </w:r>
      <w:r w:rsidRPr="00A2123C">
        <w:rPr>
          <w:sz w:val="24"/>
          <w:szCs w:val="24"/>
        </w:rPr>
        <w:t xml:space="preserve">priority. </w:t>
      </w:r>
      <w:r>
        <w:rPr>
          <w:sz w:val="24"/>
          <w:szCs w:val="24"/>
        </w:rPr>
        <w:tab/>
      </w:r>
      <w:r>
        <w:rPr>
          <w:sz w:val="24"/>
          <w:szCs w:val="24"/>
        </w:rPr>
        <w:tab/>
      </w:r>
    </w:p>
    <w:p w14:paraId="7582473C" w14:textId="4FE983BB" w:rsidR="005D4153" w:rsidRDefault="00A64B1C" w:rsidP="00A64B1C">
      <w:pPr>
        <w:spacing w:after="0" w:line="360" w:lineRule="auto"/>
        <w:ind w:firstLine="720"/>
        <w:rPr>
          <w:sz w:val="24"/>
          <w:szCs w:val="24"/>
        </w:rPr>
      </w:pPr>
      <w:r>
        <w:rPr>
          <w:sz w:val="24"/>
          <w:szCs w:val="24"/>
        </w:rPr>
        <w:t>T</w:t>
      </w:r>
      <w:r w:rsidRPr="00A2123C">
        <w:rPr>
          <w:sz w:val="24"/>
          <w:szCs w:val="24"/>
        </w:rPr>
        <w:t xml:space="preserve">his </w:t>
      </w:r>
      <w:r>
        <w:rPr>
          <w:sz w:val="24"/>
          <w:szCs w:val="24"/>
        </w:rPr>
        <w:t>book is</w:t>
      </w:r>
      <w:r w:rsidRPr="00A2123C">
        <w:rPr>
          <w:sz w:val="24"/>
          <w:szCs w:val="24"/>
        </w:rPr>
        <w:t xml:space="preserve"> inspired by my experience of that </w:t>
      </w:r>
      <w:r>
        <w:rPr>
          <w:sz w:val="24"/>
          <w:szCs w:val="24"/>
        </w:rPr>
        <w:t>policy implementation and</w:t>
      </w:r>
      <w:r w:rsidR="00D07034">
        <w:rPr>
          <w:sz w:val="24"/>
          <w:szCs w:val="24"/>
        </w:rPr>
        <w:t xml:space="preserve"> the </w:t>
      </w:r>
      <w:r w:rsidRPr="00A2123C">
        <w:rPr>
          <w:sz w:val="24"/>
          <w:szCs w:val="24"/>
        </w:rPr>
        <w:t xml:space="preserve">subsequent delivery of </w:t>
      </w:r>
      <w:r w:rsidR="00D07034">
        <w:rPr>
          <w:sz w:val="24"/>
          <w:szCs w:val="24"/>
        </w:rPr>
        <w:t xml:space="preserve">the </w:t>
      </w:r>
      <w:r w:rsidRPr="00A2123C">
        <w:rPr>
          <w:sz w:val="24"/>
          <w:szCs w:val="24"/>
        </w:rPr>
        <w:t>prosecuti</w:t>
      </w:r>
      <w:r w:rsidR="00D07034">
        <w:rPr>
          <w:sz w:val="24"/>
          <w:szCs w:val="24"/>
        </w:rPr>
        <w:t>on of</w:t>
      </w:r>
      <w:r w:rsidRPr="00A2123C">
        <w:rPr>
          <w:sz w:val="24"/>
          <w:szCs w:val="24"/>
        </w:rPr>
        <w:t xml:space="preserve"> intimate partner abuse</w:t>
      </w:r>
      <w:r>
        <w:rPr>
          <w:sz w:val="24"/>
          <w:szCs w:val="24"/>
        </w:rPr>
        <w:t>, particularly at the point a woman withdraws her support for the criminal prosecution</w:t>
      </w:r>
      <w:r w:rsidRPr="00A2123C">
        <w:rPr>
          <w:sz w:val="24"/>
          <w:szCs w:val="24"/>
        </w:rPr>
        <w:t xml:space="preserve">. On the one hand I </w:t>
      </w:r>
      <w:r>
        <w:rPr>
          <w:sz w:val="24"/>
          <w:szCs w:val="24"/>
        </w:rPr>
        <w:t xml:space="preserve">have </w:t>
      </w:r>
      <w:r w:rsidRPr="00A2123C">
        <w:rPr>
          <w:sz w:val="24"/>
          <w:szCs w:val="24"/>
        </w:rPr>
        <w:t xml:space="preserve">observed CPS policy and guidance that ostensibly </w:t>
      </w:r>
      <w:r>
        <w:rPr>
          <w:sz w:val="24"/>
          <w:szCs w:val="24"/>
        </w:rPr>
        <w:t xml:space="preserve">sets out to </w:t>
      </w:r>
      <w:r w:rsidRPr="00A2123C">
        <w:rPr>
          <w:sz w:val="24"/>
          <w:szCs w:val="24"/>
        </w:rPr>
        <w:t xml:space="preserve">serve </w:t>
      </w:r>
      <w:r>
        <w:rPr>
          <w:sz w:val="24"/>
          <w:szCs w:val="24"/>
        </w:rPr>
        <w:t xml:space="preserve">the state’s </w:t>
      </w:r>
      <w:r w:rsidRPr="00A2123C">
        <w:rPr>
          <w:sz w:val="24"/>
          <w:szCs w:val="24"/>
        </w:rPr>
        <w:t>self-</w:t>
      </w:r>
      <w:r w:rsidRPr="00A2123C">
        <w:rPr>
          <w:sz w:val="24"/>
          <w:szCs w:val="24"/>
        </w:rPr>
        <w:lastRenderedPageBreak/>
        <w:t xml:space="preserve">consciously feminist agendas </w:t>
      </w:r>
      <w:r>
        <w:rPr>
          <w:sz w:val="24"/>
          <w:szCs w:val="24"/>
        </w:rPr>
        <w:t>and,</w:t>
      </w:r>
      <w:r w:rsidRPr="00A2123C">
        <w:rPr>
          <w:sz w:val="24"/>
          <w:szCs w:val="24"/>
        </w:rPr>
        <w:t xml:space="preserve"> on the other, execution of the policy which bows to neoliberal stratagems and New Public Managerial</w:t>
      </w:r>
      <w:r>
        <w:rPr>
          <w:sz w:val="24"/>
          <w:szCs w:val="24"/>
        </w:rPr>
        <w:t xml:space="preserve"> </w:t>
      </w:r>
      <w:r w:rsidRPr="00A2123C">
        <w:rPr>
          <w:sz w:val="24"/>
          <w:szCs w:val="24"/>
        </w:rPr>
        <w:t>demands.</w:t>
      </w:r>
      <w:r w:rsidR="005714A2" w:rsidRPr="00A2123C">
        <w:rPr>
          <w:rStyle w:val="FootnoteReference"/>
        </w:rPr>
        <w:footnoteReference w:id="5"/>
      </w:r>
      <w:r w:rsidRPr="00A2123C">
        <w:rPr>
          <w:sz w:val="24"/>
          <w:szCs w:val="24"/>
        </w:rPr>
        <w:t xml:space="preserve"> </w:t>
      </w:r>
    </w:p>
    <w:p w14:paraId="06CB9EED" w14:textId="4B178CB6" w:rsidR="00A64B1C" w:rsidRDefault="00A64B1C" w:rsidP="00050DA6">
      <w:pPr>
        <w:spacing w:after="100" w:afterAutospacing="1" w:line="360" w:lineRule="auto"/>
        <w:ind w:firstLine="720"/>
        <w:rPr>
          <w:sz w:val="24"/>
          <w:szCs w:val="24"/>
        </w:rPr>
      </w:pPr>
      <w:r>
        <w:rPr>
          <w:sz w:val="24"/>
          <w:szCs w:val="24"/>
        </w:rPr>
        <w:t>I</w:t>
      </w:r>
      <w:r w:rsidR="005D4153">
        <w:rPr>
          <w:sz w:val="24"/>
          <w:szCs w:val="24"/>
        </w:rPr>
        <w:t>n this book, I</w:t>
      </w:r>
      <w:r>
        <w:rPr>
          <w:sz w:val="24"/>
          <w:szCs w:val="24"/>
        </w:rPr>
        <w:t xml:space="preserve"> </w:t>
      </w:r>
      <w:r w:rsidR="006C45BD">
        <w:rPr>
          <w:sz w:val="24"/>
          <w:szCs w:val="24"/>
        </w:rPr>
        <w:t xml:space="preserve">want to </w:t>
      </w:r>
      <w:r w:rsidRPr="00A2123C">
        <w:rPr>
          <w:sz w:val="24"/>
          <w:szCs w:val="24"/>
        </w:rPr>
        <w:t>prob</w:t>
      </w:r>
      <w:r>
        <w:rPr>
          <w:sz w:val="24"/>
          <w:szCs w:val="24"/>
        </w:rPr>
        <w:t>e</w:t>
      </w:r>
      <w:r w:rsidRPr="00A2123C">
        <w:rPr>
          <w:sz w:val="24"/>
          <w:szCs w:val="24"/>
        </w:rPr>
        <w:t xml:space="preserve"> and excavat</w:t>
      </w:r>
      <w:r>
        <w:rPr>
          <w:sz w:val="24"/>
          <w:szCs w:val="24"/>
        </w:rPr>
        <w:t>e the</w:t>
      </w:r>
      <w:r w:rsidRPr="00A2123C">
        <w:rPr>
          <w:sz w:val="24"/>
          <w:szCs w:val="24"/>
        </w:rPr>
        <w:t xml:space="preserve"> narratives and discourses that underpin</w:t>
      </w:r>
      <w:r w:rsidR="00EF634A">
        <w:rPr>
          <w:sz w:val="24"/>
          <w:szCs w:val="24"/>
        </w:rPr>
        <w:t xml:space="preserve"> </w:t>
      </w:r>
      <w:r w:rsidR="006C45BD">
        <w:rPr>
          <w:sz w:val="24"/>
          <w:szCs w:val="24"/>
        </w:rPr>
        <w:t xml:space="preserve">the </w:t>
      </w:r>
      <w:r>
        <w:rPr>
          <w:sz w:val="24"/>
          <w:szCs w:val="24"/>
        </w:rPr>
        <w:t xml:space="preserve">CPS </w:t>
      </w:r>
      <w:r w:rsidR="00E7631B">
        <w:rPr>
          <w:sz w:val="24"/>
          <w:szCs w:val="24"/>
        </w:rPr>
        <w:t xml:space="preserve">priority contained in both CPS </w:t>
      </w:r>
      <w:r w:rsidRPr="00A2123C">
        <w:rPr>
          <w:sz w:val="24"/>
          <w:szCs w:val="24"/>
        </w:rPr>
        <w:t>policy and</w:t>
      </w:r>
      <w:r w:rsidR="00EF634A">
        <w:rPr>
          <w:sz w:val="24"/>
          <w:szCs w:val="24"/>
        </w:rPr>
        <w:t xml:space="preserve"> the</w:t>
      </w:r>
      <w:r w:rsidR="006C45BD">
        <w:rPr>
          <w:sz w:val="24"/>
          <w:szCs w:val="24"/>
        </w:rPr>
        <w:t xml:space="preserve"> daily</w:t>
      </w:r>
      <w:r w:rsidR="00EF634A">
        <w:rPr>
          <w:sz w:val="24"/>
          <w:szCs w:val="24"/>
        </w:rPr>
        <w:t xml:space="preserve"> </w:t>
      </w:r>
      <w:r w:rsidR="006C45BD">
        <w:rPr>
          <w:sz w:val="24"/>
          <w:szCs w:val="24"/>
        </w:rPr>
        <w:t xml:space="preserve">working </w:t>
      </w:r>
      <w:r w:rsidRPr="00A2123C">
        <w:rPr>
          <w:sz w:val="24"/>
          <w:szCs w:val="24"/>
        </w:rPr>
        <w:t>practice</w:t>
      </w:r>
      <w:r w:rsidR="006C45BD">
        <w:rPr>
          <w:sz w:val="24"/>
          <w:szCs w:val="24"/>
        </w:rPr>
        <w:t>s</w:t>
      </w:r>
      <w:r w:rsidR="00EF634A">
        <w:rPr>
          <w:sz w:val="24"/>
          <w:szCs w:val="24"/>
        </w:rPr>
        <w:t xml:space="preserve"> of prosecutors</w:t>
      </w:r>
      <w:r w:rsidR="006C45BD">
        <w:rPr>
          <w:sz w:val="24"/>
          <w:szCs w:val="24"/>
        </w:rPr>
        <w:t xml:space="preserve">. Specifically, I </w:t>
      </w:r>
      <w:r>
        <w:rPr>
          <w:sz w:val="24"/>
          <w:szCs w:val="24"/>
        </w:rPr>
        <w:t>co</w:t>
      </w:r>
      <w:r w:rsidRPr="00A2123C">
        <w:rPr>
          <w:sz w:val="24"/>
          <w:szCs w:val="24"/>
        </w:rPr>
        <w:t xml:space="preserve">nsider </w:t>
      </w:r>
      <w:r w:rsidR="00050DA6">
        <w:rPr>
          <w:sz w:val="24"/>
          <w:szCs w:val="24"/>
        </w:rPr>
        <w:t xml:space="preserve">domestic abuse prosecutions in the context of two key discourses </w:t>
      </w:r>
      <w:r w:rsidR="008374A6">
        <w:rPr>
          <w:sz w:val="24"/>
          <w:szCs w:val="24"/>
        </w:rPr>
        <w:t>located in</w:t>
      </w:r>
      <w:r w:rsidR="00050DA6">
        <w:rPr>
          <w:sz w:val="24"/>
          <w:szCs w:val="24"/>
        </w:rPr>
        <w:t xml:space="preserve"> the state treatment of violence against women</w:t>
      </w:r>
      <w:r w:rsidR="006C45BD">
        <w:rPr>
          <w:sz w:val="24"/>
          <w:szCs w:val="24"/>
        </w:rPr>
        <w:t xml:space="preserve">; </w:t>
      </w:r>
      <w:r w:rsidRPr="00A2123C">
        <w:rPr>
          <w:sz w:val="24"/>
          <w:szCs w:val="24"/>
        </w:rPr>
        <w:t>‘feminism’ and ‘neoliberalism’</w:t>
      </w:r>
      <w:r>
        <w:rPr>
          <w:sz w:val="24"/>
          <w:szCs w:val="24"/>
        </w:rPr>
        <w:t xml:space="preserve">. </w:t>
      </w:r>
      <w:r w:rsidR="006C45BD">
        <w:rPr>
          <w:sz w:val="24"/>
          <w:szCs w:val="24"/>
        </w:rPr>
        <w:t>Against the backdrop of th</w:t>
      </w:r>
      <w:r w:rsidR="00050DA6">
        <w:rPr>
          <w:sz w:val="24"/>
          <w:szCs w:val="24"/>
        </w:rPr>
        <w:t>eir potentially strained union</w:t>
      </w:r>
      <w:r w:rsidR="006C45BD">
        <w:rPr>
          <w:sz w:val="24"/>
          <w:szCs w:val="24"/>
        </w:rPr>
        <w:t>,</w:t>
      </w:r>
      <w:r>
        <w:rPr>
          <w:sz w:val="24"/>
          <w:szCs w:val="24"/>
        </w:rPr>
        <w:t xml:space="preserve"> I</w:t>
      </w:r>
      <w:r w:rsidRPr="00A2123C">
        <w:rPr>
          <w:sz w:val="24"/>
          <w:szCs w:val="24"/>
        </w:rPr>
        <w:t xml:space="preserve"> set the vocalised concerns and </w:t>
      </w:r>
      <w:r>
        <w:rPr>
          <w:sz w:val="24"/>
          <w:szCs w:val="24"/>
        </w:rPr>
        <w:t>exigencies</w:t>
      </w:r>
      <w:r w:rsidRPr="00A2123C">
        <w:rPr>
          <w:sz w:val="24"/>
          <w:szCs w:val="24"/>
        </w:rPr>
        <w:t xml:space="preserve"> of women</w:t>
      </w:r>
      <w:r w:rsidR="006C45BD">
        <w:rPr>
          <w:sz w:val="24"/>
          <w:szCs w:val="24"/>
        </w:rPr>
        <w:t>,</w:t>
      </w:r>
      <w:r>
        <w:rPr>
          <w:sz w:val="24"/>
          <w:szCs w:val="24"/>
        </w:rPr>
        <w:t xml:space="preserve"> noting t</w:t>
      </w:r>
      <w:r w:rsidR="006C45BD">
        <w:rPr>
          <w:sz w:val="24"/>
          <w:szCs w:val="24"/>
        </w:rPr>
        <w:t>he occasions when</w:t>
      </w:r>
      <w:r>
        <w:rPr>
          <w:sz w:val="24"/>
          <w:szCs w:val="24"/>
        </w:rPr>
        <w:t xml:space="preserve"> contemporary criminal justice responses </w:t>
      </w:r>
      <w:r w:rsidR="00EF634A">
        <w:rPr>
          <w:sz w:val="24"/>
          <w:szCs w:val="24"/>
        </w:rPr>
        <w:t xml:space="preserve">do not </w:t>
      </w:r>
      <w:r>
        <w:rPr>
          <w:sz w:val="24"/>
          <w:szCs w:val="24"/>
        </w:rPr>
        <w:t xml:space="preserve">serve women </w:t>
      </w:r>
      <w:r w:rsidR="00050DA6">
        <w:rPr>
          <w:sz w:val="24"/>
          <w:szCs w:val="24"/>
        </w:rPr>
        <w:t>as intended</w:t>
      </w:r>
      <w:r>
        <w:rPr>
          <w:sz w:val="24"/>
          <w:szCs w:val="24"/>
        </w:rPr>
        <w:t>.</w:t>
      </w:r>
      <w:r w:rsidR="005D4153">
        <w:rPr>
          <w:sz w:val="24"/>
          <w:szCs w:val="24"/>
        </w:rPr>
        <w:t xml:space="preserve"> </w:t>
      </w:r>
    </w:p>
    <w:p w14:paraId="30ECA467" w14:textId="26B445B5" w:rsidR="00F40405" w:rsidRPr="00F40405" w:rsidRDefault="00F40405" w:rsidP="00777E07">
      <w:pPr>
        <w:pStyle w:val="ListParagraph"/>
        <w:numPr>
          <w:ilvl w:val="0"/>
          <w:numId w:val="40"/>
        </w:numPr>
        <w:spacing w:after="100" w:afterAutospacing="1" w:line="360" w:lineRule="auto"/>
        <w:rPr>
          <w:b/>
          <w:bCs/>
          <w:sz w:val="24"/>
          <w:szCs w:val="24"/>
        </w:rPr>
      </w:pPr>
      <w:r w:rsidRPr="00F40405">
        <w:rPr>
          <w:b/>
          <w:bCs/>
          <w:sz w:val="24"/>
          <w:szCs w:val="24"/>
        </w:rPr>
        <w:t xml:space="preserve"> </w:t>
      </w:r>
      <w:r w:rsidR="00A91C1F">
        <w:rPr>
          <w:b/>
          <w:bCs/>
          <w:sz w:val="24"/>
          <w:szCs w:val="24"/>
        </w:rPr>
        <w:t>Prosecuting Domestic Abuse at the CPS</w:t>
      </w:r>
    </w:p>
    <w:p w14:paraId="20675902" w14:textId="376C473B" w:rsidR="00F40405" w:rsidRPr="00F40405" w:rsidRDefault="00F40405" w:rsidP="00F40405">
      <w:pPr>
        <w:shd w:val="clear" w:color="auto" w:fill="FFFFFF"/>
        <w:spacing w:before="120" w:after="0" w:line="360" w:lineRule="auto"/>
        <w:ind w:firstLine="720"/>
        <w:rPr>
          <w:b/>
          <w:sz w:val="24"/>
          <w:szCs w:val="24"/>
        </w:rPr>
      </w:pPr>
      <w:bookmarkStart w:id="7" w:name="Two_Guiding"/>
      <w:r w:rsidRPr="00F40405">
        <w:rPr>
          <w:bCs/>
          <w:sz w:val="24"/>
          <w:szCs w:val="24"/>
          <w:lang w:val="en-US"/>
        </w:rPr>
        <w:t>Victims of domestic abuse</w:t>
      </w:r>
      <w:r w:rsidR="005A5A89">
        <w:rPr>
          <w:rStyle w:val="FootnoteReference"/>
          <w:bCs/>
          <w:sz w:val="24"/>
          <w:szCs w:val="24"/>
          <w:lang w:val="en-US"/>
        </w:rPr>
        <w:footnoteReference w:id="6"/>
      </w:r>
      <w:r w:rsidRPr="00F40405">
        <w:rPr>
          <w:bCs/>
          <w:sz w:val="24"/>
          <w:szCs w:val="24"/>
          <w:lang w:val="en-US"/>
        </w:rPr>
        <w:t xml:space="preserve"> are considerably more likely to retract their support for the criminal prosecution, or fail to attend trial to give evidence, as compared to</w:t>
      </w:r>
      <w:r w:rsidR="00D07034">
        <w:rPr>
          <w:bCs/>
          <w:sz w:val="24"/>
          <w:szCs w:val="24"/>
          <w:lang w:val="en-US"/>
        </w:rPr>
        <w:t xml:space="preserve"> victims of</w:t>
      </w:r>
      <w:r w:rsidRPr="00F40405">
        <w:rPr>
          <w:bCs/>
          <w:sz w:val="24"/>
          <w:szCs w:val="24"/>
          <w:lang w:val="en-US"/>
        </w:rPr>
        <w:t xml:space="preserve"> other criminal offences. One in three domestic abuse prosecutions fail in this way,</w:t>
      </w:r>
      <w:r w:rsidRPr="00F40405">
        <w:rPr>
          <w:rStyle w:val="FootnoteReference"/>
          <w:sz w:val="24"/>
          <w:szCs w:val="24"/>
        </w:rPr>
        <w:t xml:space="preserve"> </w:t>
      </w:r>
      <w:r w:rsidRPr="00D90904">
        <w:rPr>
          <w:rStyle w:val="FootnoteReference"/>
          <w:sz w:val="24"/>
          <w:szCs w:val="24"/>
        </w:rPr>
        <w:footnoteReference w:id="7"/>
      </w:r>
      <w:r w:rsidRPr="00F40405">
        <w:rPr>
          <w:bCs/>
          <w:sz w:val="24"/>
          <w:szCs w:val="24"/>
          <w:lang w:val="en-US"/>
        </w:rPr>
        <w:t xml:space="preserve"> accounting for over 7</w:t>
      </w:r>
      <w:r w:rsidR="005714A2">
        <w:rPr>
          <w:bCs/>
          <w:sz w:val="24"/>
          <w:szCs w:val="24"/>
          <w:lang w:val="en-US"/>
        </w:rPr>
        <w:t>,</w:t>
      </w:r>
      <w:r w:rsidRPr="00F40405">
        <w:rPr>
          <w:bCs/>
          <w:sz w:val="24"/>
          <w:szCs w:val="24"/>
          <w:lang w:val="en-US"/>
        </w:rPr>
        <w:t>500 cases annually.</w:t>
      </w:r>
      <w:r w:rsidRPr="00D90904">
        <w:rPr>
          <w:rStyle w:val="FootnoteReference"/>
          <w:bCs/>
          <w:sz w:val="24"/>
          <w:szCs w:val="24"/>
          <w:lang w:val="en-US"/>
        </w:rPr>
        <w:footnoteReference w:id="8"/>
      </w:r>
      <w:r w:rsidRPr="00F40405">
        <w:rPr>
          <w:bCs/>
          <w:sz w:val="24"/>
          <w:szCs w:val="24"/>
          <w:lang w:val="en-US"/>
        </w:rPr>
        <w:t xml:space="preserve"> This compares to one in ten prosecutions generally.</w:t>
      </w:r>
      <w:r w:rsidRPr="00D90904">
        <w:rPr>
          <w:rStyle w:val="FootnoteReference"/>
          <w:sz w:val="24"/>
          <w:szCs w:val="24"/>
        </w:rPr>
        <w:footnoteReference w:id="9"/>
      </w:r>
      <w:r w:rsidRPr="00F40405">
        <w:rPr>
          <w:sz w:val="24"/>
          <w:szCs w:val="24"/>
        </w:rPr>
        <w:t xml:space="preserve"> The reasons that women request </w:t>
      </w:r>
      <w:r w:rsidR="00D45226">
        <w:rPr>
          <w:sz w:val="24"/>
          <w:szCs w:val="24"/>
        </w:rPr>
        <w:t xml:space="preserve">the </w:t>
      </w:r>
      <w:r w:rsidRPr="00F40405">
        <w:rPr>
          <w:sz w:val="24"/>
          <w:szCs w:val="24"/>
        </w:rPr>
        <w:t xml:space="preserve">termination of proceedings against their current or former partner are myriad and diverse. They will include both </w:t>
      </w:r>
      <w:r w:rsidR="00AA7A63">
        <w:rPr>
          <w:sz w:val="24"/>
          <w:szCs w:val="24"/>
        </w:rPr>
        <w:t>material</w:t>
      </w:r>
      <w:r w:rsidRPr="00F40405">
        <w:rPr>
          <w:sz w:val="24"/>
          <w:szCs w:val="24"/>
        </w:rPr>
        <w:t xml:space="preserve"> and relational considerations that do not apply to other general offences.</w:t>
      </w:r>
      <w:r>
        <w:rPr>
          <w:rStyle w:val="FootnoteReference"/>
        </w:rPr>
        <w:footnoteReference w:id="10"/>
      </w:r>
      <w:r w:rsidRPr="00F40405">
        <w:rPr>
          <w:sz w:val="24"/>
          <w:szCs w:val="24"/>
        </w:rPr>
        <w:t xml:space="preserve"> Prosecutors must </w:t>
      </w:r>
      <w:r w:rsidRPr="00F40405">
        <w:rPr>
          <w:sz w:val="24"/>
          <w:szCs w:val="24"/>
        </w:rPr>
        <w:lastRenderedPageBreak/>
        <w:t xml:space="preserve">therefore regularly confront the sensitive question of how to </w:t>
      </w:r>
      <w:r w:rsidR="00EF634A">
        <w:rPr>
          <w:sz w:val="24"/>
          <w:szCs w:val="24"/>
        </w:rPr>
        <w:t>proceed</w:t>
      </w:r>
      <w:r w:rsidR="00050DA6">
        <w:rPr>
          <w:sz w:val="24"/>
          <w:szCs w:val="24"/>
        </w:rPr>
        <w:t xml:space="preserve"> in these circumstances</w:t>
      </w:r>
      <w:r w:rsidRPr="00F40405">
        <w:rPr>
          <w:sz w:val="24"/>
          <w:szCs w:val="24"/>
        </w:rPr>
        <w:t>.</w:t>
      </w:r>
    </w:p>
    <w:bookmarkEnd w:id="7"/>
    <w:p w14:paraId="5630441E" w14:textId="571E8C76" w:rsidR="00D90904" w:rsidRDefault="00F40405" w:rsidP="00D90904">
      <w:pPr>
        <w:shd w:val="clear" w:color="auto" w:fill="FFFFFF"/>
        <w:spacing w:after="0" w:line="360" w:lineRule="auto"/>
        <w:ind w:firstLine="720"/>
        <w:rPr>
          <w:sz w:val="24"/>
          <w:szCs w:val="24"/>
        </w:rPr>
      </w:pPr>
      <w:r>
        <w:rPr>
          <w:sz w:val="24"/>
          <w:szCs w:val="24"/>
        </w:rPr>
        <w:t>T</w:t>
      </w:r>
      <w:r w:rsidR="00A64B1C">
        <w:rPr>
          <w:sz w:val="24"/>
          <w:szCs w:val="24"/>
        </w:rPr>
        <w:t>asked with implementing the prosecutive power of the state</w:t>
      </w:r>
      <w:r>
        <w:rPr>
          <w:sz w:val="24"/>
          <w:szCs w:val="24"/>
        </w:rPr>
        <w:t>,</w:t>
      </w:r>
      <w:r w:rsidR="00A64B1C">
        <w:rPr>
          <w:sz w:val="24"/>
          <w:szCs w:val="24"/>
        </w:rPr>
        <w:t xml:space="preserve"> </w:t>
      </w:r>
      <w:r>
        <w:rPr>
          <w:sz w:val="24"/>
          <w:szCs w:val="24"/>
        </w:rPr>
        <w:t>prosecutors</w:t>
      </w:r>
      <w:r w:rsidR="00A64B1C">
        <w:rPr>
          <w:sz w:val="24"/>
          <w:szCs w:val="24"/>
        </w:rPr>
        <w:t xml:space="preserve"> </w:t>
      </w:r>
      <w:r w:rsidR="00D07034">
        <w:rPr>
          <w:sz w:val="24"/>
          <w:szCs w:val="24"/>
        </w:rPr>
        <w:t>act</w:t>
      </w:r>
      <w:r w:rsidR="00A64B1C">
        <w:rPr>
          <w:sz w:val="24"/>
          <w:szCs w:val="24"/>
        </w:rPr>
        <w:t xml:space="preserve"> on behalf of the ‘public’ and not individual victims.</w:t>
      </w:r>
      <w:r w:rsidR="00606193">
        <w:rPr>
          <w:rStyle w:val="FootnoteReference"/>
        </w:rPr>
        <w:footnoteReference w:id="11"/>
      </w:r>
      <w:r w:rsidR="00A64B1C">
        <w:rPr>
          <w:sz w:val="24"/>
          <w:szCs w:val="24"/>
        </w:rPr>
        <w:t xml:space="preserve"> </w:t>
      </w:r>
      <w:r w:rsidR="00A64B1C" w:rsidRPr="005D0E3E">
        <w:rPr>
          <w:sz w:val="24"/>
          <w:szCs w:val="24"/>
        </w:rPr>
        <w:t xml:space="preserve">The Code for Prosecutors </w:t>
      </w:r>
      <w:r w:rsidR="00A64B1C">
        <w:rPr>
          <w:sz w:val="24"/>
          <w:szCs w:val="24"/>
        </w:rPr>
        <w:t xml:space="preserve">(The Code) </w:t>
      </w:r>
      <w:r w:rsidR="00A64B1C" w:rsidRPr="005D0E3E">
        <w:rPr>
          <w:sz w:val="24"/>
          <w:szCs w:val="24"/>
        </w:rPr>
        <w:t xml:space="preserve">sets out the two stage test that must be met before prosecutions are pursued; </w:t>
      </w:r>
      <w:r w:rsidR="00A64B1C">
        <w:rPr>
          <w:sz w:val="24"/>
          <w:szCs w:val="24"/>
        </w:rPr>
        <w:t>the first is to consider whether</w:t>
      </w:r>
      <w:r w:rsidR="00A64B1C" w:rsidRPr="005D0E3E">
        <w:rPr>
          <w:sz w:val="24"/>
          <w:szCs w:val="24"/>
        </w:rPr>
        <w:t xml:space="preserve"> there </w:t>
      </w:r>
      <w:r w:rsidR="00A64B1C">
        <w:rPr>
          <w:sz w:val="24"/>
          <w:szCs w:val="24"/>
        </w:rPr>
        <w:t xml:space="preserve">is </w:t>
      </w:r>
      <w:r w:rsidR="00A64B1C" w:rsidRPr="005D0E3E">
        <w:rPr>
          <w:sz w:val="24"/>
          <w:szCs w:val="24"/>
        </w:rPr>
        <w:t>a ‘realistic prospect of conviction’ on the available evidence</w:t>
      </w:r>
      <w:r w:rsidR="00A64B1C">
        <w:rPr>
          <w:sz w:val="24"/>
          <w:szCs w:val="24"/>
        </w:rPr>
        <w:t xml:space="preserve"> </w:t>
      </w:r>
      <w:r w:rsidR="00A64B1C" w:rsidRPr="005D0E3E">
        <w:rPr>
          <w:sz w:val="24"/>
          <w:szCs w:val="24"/>
        </w:rPr>
        <w:t>-</w:t>
      </w:r>
      <w:r w:rsidR="006C2B8E">
        <w:rPr>
          <w:sz w:val="24"/>
          <w:szCs w:val="24"/>
        </w:rPr>
        <w:t xml:space="preserve"> </w:t>
      </w:r>
      <w:r w:rsidR="00A64B1C" w:rsidRPr="005D0E3E">
        <w:rPr>
          <w:sz w:val="24"/>
          <w:szCs w:val="24"/>
        </w:rPr>
        <w:t xml:space="preserve">the ‘evidential test’- </w:t>
      </w:r>
      <w:r w:rsidR="00A64B1C">
        <w:rPr>
          <w:sz w:val="24"/>
          <w:szCs w:val="24"/>
        </w:rPr>
        <w:t>the second is to ask whether</w:t>
      </w:r>
      <w:r w:rsidR="00A64B1C" w:rsidRPr="005D0E3E">
        <w:rPr>
          <w:sz w:val="24"/>
          <w:szCs w:val="24"/>
        </w:rPr>
        <w:t xml:space="preserve"> the public </w:t>
      </w:r>
      <w:r w:rsidR="00DA2B04">
        <w:rPr>
          <w:sz w:val="24"/>
          <w:szCs w:val="24"/>
        </w:rPr>
        <w:t xml:space="preserve">interest </w:t>
      </w:r>
      <w:r w:rsidR="00A64B1C">
        <w:rPr>
          <w:sz w:val="24"/>
          <w:szCs w:val="24"/>
        </w:rPr>
        <w:t xml:space="preserve">will </w:t>
      </w:r>
      <w:r w:rsidR="00A64B1C" w:rsidRPr="005D0E3E">
        <w:rPr>
          <w:sz w:val="24"/>
          <w:szCs w:val="24"/>
        </w:rPr>
        <w:t>be best served by bringing the prosecution</w:t>
      </w:r>
      <w:r w:rsidR="00A64B1C">
        <w:rPr>
          <w:sz w:val="24"/>
          <w:szCs w:val="24"/>
        </w:rPr>
        <w:t xml:space="preserve"> - </w:t>
      </w:r>
      <w:r w:rsidR="00A64B1C" w:rsidRPr="005D0E3E">
        <w:rPr>
          <w:sz w:val="24"/>
          <w:szCs w:val="24"/>
        </w:rPr>
        <w:t>the ‘public interest test’.</w:t>
      </w:r>
      <w:r w:rsidR="00EF634A" w:rsidRPr="005D0E3E">
        <w:rPr>
          <w:rStyle w:val="FootnoteReference"/>
        </w:rPr>
        <w:footnoteReference w:id="12"/>
      </w:r>
      <w:r w:rsidR="00A64B1C">
        <w:t xml:space="preserve"> </w:t>
      </w:r>
      <w:r w:rsidR="00A64B1C">
        <w:rPr>
          <w:sz w:val="24"/>
          <w:szCs w:val="24"/>
        </w:rPr>
        <w:t xml:space="preserve">Where a victim of domestic abuse is supportive of criminalisation and, evidentially, there is a realistic prospect of conviction, the prosecutor’s decision to charge or proceed is straightforward; the victim’s wants align with the ‘public interest’ which almost invariably expects domestic abuse to be prosecuted. </w:t>
      </w:r>
      <w:r w:rsidR="00A64B1C" w:rsidRPr="005D0E3E">
        <w:rPr>
          <w:sz w:val="24"/>
          <w:szCs w:val="24"/>
        </w:rPr>
        <w:t>Indeed, CPS policy confirms that, ‘[</w:t>
      </w:r>
      <w:proofErr w:type="spellStart"/>
      <w:r w:rsidR="00A64B1C" w:rsidRPr="005D0E3E">
        <w:rPr>
          <w:sz w:val="24"/>
          <w:szCs w:val="24"/>
        </w:rPr>
        <w:t>i</w:t>
      </w:r>
      <w:proofErr w:type="spellEnd"/>
      <w:r w:rsidR="00A64B1C" w:rsidRPr="005D0E3E">
        <w:rPr>
          <w:sz w:val="24"/>
          <w:szCs w:val="24"/>
        </w:rPr>
        <w:t>]t will be rare for the public interest not to be met’ in domestic abuse cases.</w:t>
      </w:r>
      <w:r w:rsidR="00A64B1C">
        <w:rPr>
          <w:rStyle w:val="FootnoteReference"/>
        </w:rPr>
        <w:footnoteReference w:id="13"/>
      </w:r>
      <w:r w:rsidR="00A64B1C">
        <w:rPr>
          <w:sz w:val="24"/>
          <w:szCs w:val="24"/>
        </w:rPr>
        <w:t xml:space="preserve"> </w:t>
      </w:r>
      <w:r w:rsidR="00A64B1C">
        <w:rPr>
          <w:sz w:val="24"/>
          <w:szCs w:val="24"/>
        </w:rPr>
        <w:tab/>
      </w:r>
      <w:r w:rsidR="00A64B1C">
        <w:rPr>
          <w:sz w:val="24"/>
          <w:szCs w:val="24"/>
        </w:rPr>
        <w:tab/>
      </w:r>
      <w:r w:rsidR="00A64B1C">
        <w:rPr>
          <w:sz w:val="24"/>
          <w:szCs w:val="24"/>
        </w:rPr>
        <w:tab/>
      </w:r>
      <w:r w:rsidR="00A64B1C">
        <w:rPr>
          <w:sz w:val="24"/>
          <w:szCs w:val="24"/>
        </w:rPr>
        <w:tab/>
      </w:r>
      <w:r w:rsidR="00A64B1C">
        <w:rPr>
          <w:sz w:val="24"/>
          <w:szCs w:val="24"/>
        </w:rPr>
        <w:tab/>
      </w:r>
      <w:r w:rsidR="00A64B1C">
        <w:rPr>
          <w:sz w:val="24"/>
          <w:szCs w:val="24"/>
        </w:rPr>
        <w:tab/>
      </w:r>
    </w:p>
    <w:p w14:paraId="4C995128" w14:textId="0C26139B" w:rsidR="00923E3C" w:rsidRDefault="00F40405" w:rsidP="00F40405">
      <w:pPr>
        <w:shd w:val="clear" w:color="auto" w:fill="FFFFFF"/>
        <w:spacing w:after="0" w:line="360" w:lineRule="auto"/>
        <w:ind w:firstLine="720"/>
        <w:rPr>
          <w:sz w:val="24"/>
          <w:szCs w:val="24"/>
        </w:rPr>
      </w:pPr>
      <w:r>
        <w:rPr>
          <w:sz w:val="24"/>
          <w:szCs w:val="24"/>
        </w:rPr>
        <w:t>Where a victim is unsupportive, p</w:t>
      </w:r>
      <w:r w:rsidR="00A64B1C">
        <w:rPr>
          <w:sz w:val="24"/>
          <w:szCs w:val="24"/>
        </w:rPr>
        <w:t>rosecutors can either accede to her request to discontinue proceedings or decide to pursue the prosecution, absent her support</w:t>
      </w:r>
      <w:r w:rsidR="009C2340">
        <w:rPr>
          <w:sz w:val="24"/>
          <w:szCs w:val="24"/>
        </w:rPr>
        <w:t>.</w:t>
      </w:r>
      <w:r w:rsidR="009C2340">
        <w:rPr>
          <w:rStyle w:val="FootnoteReference"/>
        </w:rPr>
        <w:footnoteReference w:id="14"/>
      </w:r>
      <w:r w:rsidR="00A64B1C">
        <w:rPr>
          <w:sz w:val="24"/>
          <w:szCs w:val="24"/>
        </w:rPr>
        <w:t xml:space="preserve"> ‘Victimless’ prosecutions can be achieved where a realistic prospect of conviction exists without requiring the victim to give evidence. This might be feasible if additional corroborative evidence such as police 999 calls, third party testimony, medical evidence of her injuries or police body-worn video footage is available. It might also be possible</w:t>
      </w:r>
      <w:r w:rsidR="00923E3C">
        <w:rPr>
          <w:sz w:val="24"/>
          <w:szCs w:val="24"/>
        </w:rPr>
        <w:t>, exceptionally,</w:t>
      </w:r>
      <w:r w:rsidR="00A64B1C">
        <w:rPr>
          <w:sz w:val="24"/>
          <w:szCs w:val="24"/>
        </w:rPr>
        <w:t xml:space="preserve"> to make a successful hearsay application to have the complainant’s </w:t>
      </w:r>
      <w:r w:rsidR="005A5A89">
        <w:rPr>
          <w:sz w:val="24"/>
          <w:szCs w:val="24"/>
        </w:rPr>
        <w:t xml:space="preserve">written </w:t>
      </w:r>
      <w:r w:rsidR="00D07034">
        <w:rPr>
          <w:sz w:val="24"/>
          <w:szCs w:val="24"/>
        </w:rPr>
        <w:lastRenderedPageBreak/>
        <w:t xml:space="preserve">statement </w:t>
      </w:r>
      <w:r w:rsidR="00A64B1C">
        <w:rPr>
          <w:sz w:val="24"/>
          <w:szCs w:val="24"/>
        </w:rPr>
        <w:t>read at trial.</w:t>
      </w:r>
      <w:r w:rsidR="00A64B1C">
        <w:rPr>
          <w:rStyle w:val="FootnoteReference"/>
        </w:rPr>
        <w:footnoteReference w:id="15"/>
      </w:r>
      <w:r w:rsidR="00A64B1C">
        <w:rPr>
          <w:sz w:val="24"/>
          <w:szCs w:val="24"/>
        </w:rPr>
        <w:t xml:space="preserve"> However, the opportunity to prosecute intimate partner abuse absent the victim, </w:t>
      </w:r>
      <w:r w:rsidR="00E9401C">
        <w:rPr>
          <w:sz w:val="24"/>
          <w:szCs w:val="24"/>
        </w:rPr>
        <w:t>relying on third party</w:t>
      </w:r>
      <w:r w:rsidR="00A64B1C">
        <w:rPr>
          <w:sz w:val="24"/>
          <w:szCs w:val="24"/>
        </w:rPr>
        <w:t xml:space="preserve"> evidence, is an uphill challenge. So, alternatively, as a ‘last resort’,</w:t>
      </w:r>
      <w:r w:rsidR="00A64B1C">
        <w:rPr>
          <w:rStyle w:val="FootnoteReference"/>
        </w:rPr>
        <w:footnoteReference w:id="16"/>
      </w:r>
      <w:r w:rsidR="00A64B1C">
        <w:rPr>
          <w:sz w:val="24"/>
          <w:szCs w:val="24"/>
        </w:rPr>
        <w:t xml:space="preserve"> prosecutors may request the court </w:t>
      </w:r>
      <w:r w:rsidR="00D07034">
        <w:rPr>
          <w:sz w:val="24"/>
          <w:szCs w:val="24"/>
        </w:rPr>
        <w:t xml:space="preserve">to </w:t>
      </w:r>
      <w:r w:rsidR="00A64B1C">
        <w:rPr>
          <w:sz w:val="24"/>
          <w:szCs w:val="24"/>
        </w:rPr>
        <w:t>issue a summons to secure the victim’s attendance at trial against her stated wishes.</w:t>
      </w:r>
      <w:r w:rsidR="00A64B1C">
        <w:rPr>
          <w:rStyle w:val="FootnoteReference"/>
        </w:rPr>
        <w:footnoteReference w:id="17"/>
      </w:r>
    </w:p>
    <w:p w14:paraId="14AB966E" w14:textId="4941C985" w:rsidR="004F5A65" w:rsidRDefault="005425FE" w:rsidP="004F5A65">
      <w:pPr>
        <w:shd w:val="clear" w:color="auto" w:fill="FFFFFF"/>
        <w:spacing w:after="0" w:line="360" w:lineRule="auto"/>
        <w:ind w:firstLine="720"/>
        <w:rPr>
          <w:sz w:val="24"/>
          <w:szCs w:val="24"/>
        </w:rPr>
      </w:pPr>
      <w:r>
        <w:rPr>
          <w:sz w:val="24"/>
          <w:szCs w:val="24"/>
        </w:rPr>
        <w:t>It is clear that the CPS is committed to taking domestic abuse ‘seriously’.</w:t>
      </w:r>
      <w:r>
        <w:rPr>
          <w:rStyle w:val="FootnoteReference"/>
        </w:rPr>
        <w:footnoteReference w:id="18"/>
      </w:r>
      <w:r>
        <w:rPr>
          <w:sz w:val="24"/>
          <w:szCs w:val="24"/>
        </w:rPr>
        <w:t xml:space="preserve"> Th</w:t>
      </w:r>
      <w:r w:rsidR="00E52822">
        <w:rPr>
          <w:sz w:val="24"/>
          <w:szCs w:val="24"/>
        </w:rPr>
        <w:t>e current</w:t>
      </w:r>
      <w:r>
        <w:rPr>
          <w:sz w:val="24"/>
          <w:szCs w:val="24"/>
        </w:rPr>
        <w:t xml:space="preserve"> approach to</w:t>
      </w:r>
      <w:r w:rsidRPr="00E44D6E">
        <w:rPr>
          <w:sz w:val="24"/>
          <w:szCs w:val="24"/>
        </w:rPr>
        <w:t xml:space="preserve"> intimate partner abuse </w:t>
      </w:r>
      <w:r>
        <w:rPr>
          <w:sz w:val="24"/>
          <w:szCs w:val="24"/>
        </w:rPr>
        <w:t>was triggered</w:t>
      </w:r>
      <w:r w:rsidR="00EF634A">
        <w:rPr>
          <w:sz w:val="24"/>
          <w:szCs w:val="24"/>
        </w:rPr>
        <w:t xml:space="preserve"> in 2005</w:t>
      </w:r>
      <w:r>
        <w:rPr>
          <w:sz w:val="24"/>
          <w:szCs w:val="24"/>
        </w:rPr>
        <w:t xml:space="preserve"> by</w:t>
      </w:r>
      <w:r w:rsidRPr="00E44D6E">
        <w:rPr>
          <w:sz w:val="24"/>
          <w:szCs w:val="24"/>
        </w:rPr>
        <w:t xml:space="preserve"> revised policy and guidelines, and mandatory service wide training </w:t>
      </w:r>
      <w:r>
        <w:rPr>
          <w:sz w:val="24"/>
          <w:szCs w:val="24"/>
        </w:rPr>
        <w:t>which was rolled out and completed by 200</w:t>
      </w:r>
      <w:r w:rsidRPr="00E44D6E">
        <w:rPr>
          <w:sz w:val="24"/>
          <w:szCs w:val="24"/>
        </w:rPr>
        <w:t>8</w:t>
      </w:r>
      <w:r>
        <w:rPr>
          <w:sz w:val="24"/>
          <w:szCs w:val="24"/>
        </w:rPr>
        <w:t xml:space="preserve"> (training which I undertook).</w:t>
      </w:r>
      <w:r w:rsidRPr="00E44D6E">
        <w:rPr>
          <w:sz w:val="24"/>
          <w:szCs w:val="24"/>
        </w:rPr>
        <w:t xml:space="preserve"> </w:t>
      </w:r>
      <w:r>
        <w:rPr>
          <w:sz w:val="24"/>
          <w:szCs w:val="24"/>
        </w:rPr>
        <w:t>My own anecdotal observation in practice was that th</w:t>
      </w:r>
      <w:r w:rsidR="00E52822">
        <w:rPr>
          <w:sz w:val="24"/>
          <w:szCs w:val="24"/>
        </w:rPr>
        <w:t>e</w:t>
      </w:r>
      <w:r>
        <w:rPr>
          <w:sz w:val="24"/>
          <w:szCs w:val="24"/>
        </w:rPr>
        <w:t xml:space="preserve"> commitment </w:t>
      </w:r>
      <w:r w:rsidR="00EF634A">
        <w:rPr>
          <w:sz w:val="24"/>
          <w:szCs w:val="24"/>
        </w:rPr>
        <w:t xml:space="preserve">to taking the offence seriously </w:t>
      </w:r>
      <w:r>
        <w:rPr>
          <w:sz w:val="24"/>
          <w:szCs w:val="24"/>
        </w:rPr>
        <w:t xml:space="preserve">was </w:t>
      </w:r>
      <w:r w:rsidR="00E52822">
        <w:rPr>
          <w:sz w:val="24"/>
          <w:szCs w:val="24"/>
        </w:rPr>
        <w:t>manifesting as</w:t>
      </w:r>
      <w:r>
        <w:rPr>
          <w:sz w:val="24"/>
          <w:szCs w:val="24"/>
        </w:rPr>
        <w:t xml:space="preserve"> a</w:t>
      </w:r>
      <w:r w:rsidR="00E9401C">
        <w:rPr>
          <w:sz w:val="24"/>
          <w:szCs w:val="24"/>
        </w:rPr>
        <w:t xml:space="preserve"> tendency on the part of prosecutors to summons </w:t>
      </w:r>
      <w:r>
        <w:rPr>
          <w:sz w:val="24"/>
          <w:szCs w:val="24"/>
        </w:rPr>
        <w:t>unsupportive</w:t>
      </w:r>
      <w:r w:rsidR="00E9401C">
        <w:rPr>
          <w:sz w:val="24"/>
          <w:szCs w:val="24"/>
        </w:rPr>
        <w:t xml:space="preserve"> victim</w:t>
      </w:r>
      <w:r w:rsidR="00E52822">
        <w:rPr>
          <w:sz w:val="24"/>
          <w:szCs w:val="24"/>
        </w:rPr>
        <w:t>s</w:t>
      </w:r>
      <w:r w:rsidR="00E9401C">
        <w:rPr>
          <w:sz w:val="24"/>
          <w:szCs w:val="24"/>
        </w:rPr>
        <w:t xml:space="preserve"> to trial. </w:t>
      </w:r>
      <w:r w:rsidR="00E52822">
        <w:rPr>
          <w:sz w:val="24"/>
          <w:szCs w:val="24"/>
        </w:rPr>
        <w:t>My</w:t>
      </w:r>
      <w:r w:rsidR="00D216C1">
        <w:rPr>
          <w:sz w:val="24"/>
          <w:szCs w:val="24"/>
        </w:rPr>
        <w:t xml:space="preserve"> </w:t>
      </w:r>
      <w:r w:rsidR="00E9401C">
        <w:rPr>
          <w:sz w:val="24"/>
          <w:szCs w:val="24"/>
        </w:rPr>
        <w:t>in-depth interviews</w:t>
      </w:r>
      <w:r w:rsidR="00D216C1">
        <w:rPr>
          <w:sz w:val="24"/>
          <w:szCs w:val="24"/>
        </w:rPr>
        <w:t xml:space="preserve"> with prosecutors, conducted in 2017, </w:t>
      </w:r>
      <w:r w:rsidR="00E52822">
        <w:rPr>
          <w:sz w:val="24"/>
          <w:szCs w:val="24"/>
        </w:rPr>
        <w:t>do not contradict</w:t>
      </w:r>
      <w:r w:rsidR="00EA1B85">
        <w:rPr>
          <w:sz w:val="24"/>
          <w:szCs w:val="24"/>
        </w:rPr>
        <w:t xml:space="preserve"> that</w:t>
      </w:r>
      <w:r w:rsidR="00EF634A">
        <w:rPr>
          <w:sz w:val="24"/>
          <w:szCs w:val="24"/>
        </w:rPr>
        <w:t xml:space="preserve"> </w:t>
      </w:r>
      <w:r w:rsidR="00E52822">
        <w:rPr>
          <w:sz w:val="24"/>
          <w:szCs w:val="24"/>
        </w:rPr>
        <w:t>perception</w:t>
      </w:r>
      <w:r w:rsidR="00D216C1">
        <w:rPr>
          <w:sz w:val="24"/>
          <w:szCs w:val="24"/>
        </w:rPr>
        <w:t xml:space="preserve">. </w:t>
      </w:r>
      <w:r w:rsidR="00EF634A">
        <w:rPr>
          <w:sz w:val="24"/>
          <w:szCs w:val="24"/>
        </w:rPr>
        <w:t>However, t</w:t>
      </w:r>
      <w:r w:rsidR="00A64B1C" w:rsidRPr="00E44D6E">
        <w:rPr>
          <w:sz w:val="24"/>
          <w:szCs w:val="24"/>
        </w:rPr>
        <w:t xml:space="preserve">he </w:t>
      </w:r>
      <w:r w:rsidR="00D216C1">
        <w:rPr>
          <w:sz w:val="24"/>
          <w:szCs w:val="24"/>
        </w:rPr>
        <w:t xml:space="preserve">primary research </w:t>
      </w:r>
      <w:r w:rsidR="00777E07">
        <w:rPr>
          <w:sz w:val="24"/>
          <w:szCs w:val="24"/>
        </w:rPr>
        <w:t xml:space="preserve">in Chapter Four </w:t>
      </w:r>
      <w:r w:rsidR="00D216C1">
        <w:rPr>
          <w:sz w:val="24"/>
          <w:szCs w:val="24"/>
        </w:rPr>
        <w:t>indicates that</w:t>
      </w:r>
      <w:r w:rsidR="00EA1B85">
        <w:rPr>
          <w:sz w:val="24"/>
          <w:szCs w:val="24"/>
        </w:rPr>
        <w:t>,</w:t>
      </w:r>
      <w:r w:rsidR="00EA1B85" w:rsidRPr="00EA1B85">
        <w:rPr>
          <w:sz w:val="24"/>
          <w:szCs w:val="24"/>
        </w:rPr>
        <w:t xml:space="preserve"> </w:t>
      </w:r>
      <w:r w:rsidR="00EA1B85">
        <w:rPr>
          <w:sz w:val="24"/>
          <w:szCs w:val="24"/>
        </w:rPr>
        <w:t xml:space="preserve">following further training which was delivered by the service in 2016- 17, </w:t>
      </w:r>
      <w:r w:rsidR="00E52822">
        <w:rPr>
          <w:sz w:val="24"/>
          <w:szCs w:val="24"/>
        </w:rPr>
        <w:t xml:space="preserve">the </w:t>
      </w:r>
      <w:r w:rsidR="00A64B1C" w:rsidRPr="00E44D6E">
        <w:rPr>
          <w:sz w:val="24"/>
          <w:szCs w:val="24"/>
        </w:rPr>
        <w:t xml:space="preserve">preference for summons </w:t>
      </w:r>
      <w:r w:rsidR="00A64B1C">
        <w:rPr>
          <w:sz w:val="24"/>
          <w:szCs w:val="24"/>
        </w:rPr>
        <w:t xml:space="preserve">may be </w:t>
      </w:r>
      <w:r w:rsidR="00A64B1C" w:rsidRPr="00E44D6E">
        <w:rPr>
          <w:sz w:val="24"/>
          <w:szCs w:val="24"/>
        </w:rPr>
        <w:t xml:space="preserve">beginning to </w:t>
      </w:r>
      <w:r w:rsidR="00A64B1C">
        <w:rPr>
          <w:sz w:val="24"/>
          <w:szCs w:val="24"/>
        </w:rPr>
        <w:t>wane</w:t>
      </w:r>
      <w:r w:rsidR="004E47AC">
        <w:rPr>
          <w:sz w:val="24"/>
          <w:szCs w:val="24"/>
        </w:rPr>
        <w:t xml:space="preserve"> in favour of </w:t>
      </w:r>
      <w:bookmarkStart w:id="14" w:name="_Hlk518649215"/>
      <w:r w:rsidR="00A64B1C" w:rsidRPr="00BC5E73">
        <w:rPr>
          <w:sz w:val="24"/>
          <w:szCs w:val="24"/>
        </w:rPr>
        <w:t>evidence-led (or victimless) prosecutions</w:t>
      </w:r>
      <w:r w:rsidR="004E47AC">
        <w:rPr>
          <w:sz w:val="24"/>
          <w:szCs w:val="24"/>
        </w:rPr>
        <w:t>.</w:t>
      </w:r>
      <w:r w:rsidR="004E47AC">
        <w:rPr>
          <w:rStyle w:val="FootnoteReference"/>
        </w:rPr>
        <w:footnoteReference w:id="19"/>
      </w:r>
      <w:r w:rsidR="00A64B1C" w:rsidRPr="00BC5E73">
        <w:rPr>
          <w:sz w:val="24"/>
          <w:szCs w:val="24"/>
        </w:rPr>
        <w:t xml:space="preserve"> </w:t>
      </w:r>
      <w:r w:rsidR="004E47AC">
        <w:rPr>
          <w:sz w:val="24"/>
          <w:szCs w:val="24"/>
        </w:rPr>
        <w:t>W</w:t>
      </w:r>
      <w:r w:rsidR="00A64B1C" w:rsidRPr="00BC5E73">
        <w:rPr>
          <w:sz w:val="24"/>
          <w:szCs w:val="24"/>
        </w:rPr>
        <w:t>here the victim is no longer supportive</w:t>
      </w:r>
      <w:bookmarkEnd w:id="14"/>
      <w:r w:rsidR="004E47AC">
        <w:rPr>
          <w:sz w:val="24"/>
          <w:szCs w:val="24"/>
        </w:rPr>
        <w:t>, v</w:t>
      </w:r>
      <w:r w:rsidR="00A64B1C">
        <w:rPr>
          <w:sz w:val="24"/>
          <w:szCs w:val="24"/>
        </w:rPr>
        <w:t xml:space="preserve">ictimless prosecutions are arguably less controversial </w:t>
      </w:r>
      <w:r w:rsidR="00EA1B85">
        <w:rPr>
          <w:sz w:val="24"/>
          <w:szCs w:val="24"/>
        </w:rPr>
        <w:t xml:space="preserve">than summons </w:t>
      </w:r>
      <w:r w:rsidR="00A64B1C">
        <w:rPr>
          <w:sz w:val="24"/>
          <w:szCs w:val="24"/>
        </w:rPr>
        <w:t xml:space="preserve">because the victim is not coerced into </w:t>
      </w:r>
      <w:r w:rsidR="00DA2B04">
        <w:rPr>
          <w:sz w:val="24"/>
          <w:szCs w:val="24"/>
        </w:rPr>
        <w:t xml:space="preserve">physical </w:t>
      </w:r>
      <w:r w:rsidR="00A64B1C">
        <w:rPr>
          <w:sz w:val="24"/>
          <w:szCs w:val="24"/>
        </w:rPr>
        <w:t xml:space="preserve">court attendance but they are not without implications for women’s autonomy. </w:t>
      </w:r>
      <w:r w:rsidR="004F5A65">
        <w:rPr>
          <w:sz w:val="24"/>
          <w:szCs w:val="24"/>
        </w:rPr>
        <w:t xml:space="preserve">I refer </w:t>
      </w:r>
      <w:r w:rsidR="00E52822">
        <w:rPr>
          <w:sz w:val="24"/>
          <w:szCs w:val="24"/>
        </w:rPr>
        <w:t>collectively to</w:t>
      </w:r>
      <w:r w:rsidR="004F5A65">
        <w:rPr>
          <w:sz w:val="24"/>
          <w:szCs w:val="24"/>
        </w:rPr>
        <w:t xml:space="preserve"> these </w:t>
      </w:r>
      <w:r w:rsidR="00E52822">
        <w:rPr>
          <w:sz w:val="24"/>
          <w:szCs w:val="24"/>
        </w:rPr>
        <w:t xml:space="preserve">two </w:t>
      </w:r>
      <w:r w:rsidR="00A91C1F">
        <w:rPr>
          <w:sz w:val="24"/>
          <w:szCs w:val="24"/>
        </w:rPr>
        <w:t xml:space="preserve">preferred </w:t>
      </w:r>
      <w:r w:rsidR="009E6049">
        <w:rPr>
          <w:sz w:val="24"/>
          <w:szCs w:val="24"/>
        </w:rPr>
        <w:t>approaches</w:t>
      </w:r>
      <w:r w:rsidR="004F5A65">
        <w:rPr>
          <w:sz w:val="24"/>
          <w:szCs w:val="24"/>
        </w:rPr>
        <w:t xml:space="preserve"> – summons and evidence-led - as </w:t>
      </w:r>
      <w:r w:rsidR="00E52822">
        <w:rPr>
          <w:sz w:val="24"/>
          <w:szCs w:val="24"/>
        </w:rPr>
        <w:t xml:space="preserve">the emergence of </w:t>
      </w:r>
      <w:r w:rsidR="004F5A65">
        <w:rPr>
          <w:sz w:val="24"/>
          <w:szCs w:val="24"/>
        </w:rPr>
        <w:t>‘tenacious prosecutions’</w:t>
      </w:r>
      <w:r w:rsidR="00DA2B04">
        <w:rPr>
          <w:sz w:val="24"/>
          <w:szCs w:val="24"/>
        </w:rPr>
        <w:t xml:space="preserve"> at the CPS.</w:t>
      </w:r>
    </w:p>
    <w:p w14:paraId="346741DB" w14:textId="3EF8CC3C" w:rsidR="0050052E" w:rsidRDefault="009E6049" w:rsidP="005D6D47">
      <w:pPr>
        <w:shd w:val="clear" w:color="auto" w:fill="FFFFFF"/>
        <w:spacing w:after="0" w:line="360" w:lineRule="auto"/>
        <w:ind w:firstLine="720"/>
        <w:rPr>
          <w:sz w:val="24"/>
          <w:szCs w:val="24"/>
        </w:rPr>
      </w:pPr>
      <w:r>
        <w:rPr>
          <w:sz w:val="24"/>
          <w:szCs w:val="24"/>
        </w:rPr>
        <w:t xml:space="preserve">‘Tenacious prosecutions’ are </w:t>
      </w:r>
      <w:r w:rsidR="00A91C1F">
        <w:rPr>
          <w:sz w:val="24"/>
          <w:szCs w:val="24"/>
        </w:rPr>
        <w:t xml:space="preserve">traceable to </w:t>
      </w:r>
      <w:r w:rsidR="004F5A65">
        <w:rPr>
          <w:sz w:val="24"/>
          <w:szCs w:val="24"/>
        </w:rPr>
        <w:t>CPS domestic abuse policy</w:t>
      </w:r>
      <w:r w:rsidR="00A91C1F">
        <w:rPr>
          <w:sz w:val="24"/>
          <w:szCs w:val="24"/>
        </w:rPr>
        <w:t xml:space="preserve"> and</w:t>
      </w:r>
      <w:r w:rsidR="004F5A65">
        <w:rPr>
          <w:sz w:val="24"/>
          <w:szCs w:val="24"/>
        </w:rPr>
        <w:t xml:space="preserve"> the CPS training emphasis</w:t>
      </w:r>
      <w:r w:rsidR="00A91C1F">
        <w:rPr>
          <w:sz w:val="24"/>
          <w:szCs w:val="24"/>
        </w:rPr>
        <w:t>, they are evidenced in</w:t>
      </w:r>
      <w:r w:rsidR="004F5A65">
        <w:rPr>
          <w:sz w:val="24"/>
          <w:szCs w:val="24"/>
        </w:rPr>
        <w:t xml:space="preserve"> my primary research</w:t>
      </w:r>
      <w:r w:rsidR="00A91C1F" w:rsidRPr="00A91C1F">
        <w:rPr>
          <w:sz w:val="24"/>
          <w:szCs w:val="24"/>
        </w:rPr>
        <w:t xml:space="preserve"> </w:t>
      </w:r>
      <w:r w:rsidR="00A91C1F">
        <w:rPr>
          <w:sz w:val="24"/>
          <w:szCs w:val="24"/>
        </w:rPr>
        <w:t>and in CPS performance statistics</w:t>
      </w:r>
      <w:r w:rsidR="002A486F">
        <w:rPr>
          <w:sz w:val="24"/>
          <w:szCs w:val="24"/>
        </w:rPr>
        <w:t xml:space="preserve"> that have reported year on year increases to the domestic abuse conviction rate between 2010- 19.</w:t>
      </w:r>
      <w:r w:rsidR="00A91C1F">
        <w:rPr>
          <w:rStyle w:val="FootnoteReference"/>
          <w:sz w:val="24"/>
          <w:szCs w:val="24"/>
        </w:rPr>
        <w:footnoteReference w:id="20"/>
      </w:r>
      <w:r w:rsidR="002A486F">
        <w:rPr>
          <w:sz w:val="24"/>
          <w:szCs w:val="24"/>
        </w:rPr>
        <w:t xml:space="preserve"> </w:t>
      </w:r>
      <w:r w:rsidR="00DA2B04">
        <w:rPr>
          <w:sz w:val="24"/>
          <w:szCs w:val="24"/>
        </w:rPr>
        <w:t>If a tenacious prosecutorial approach has emerged, I am concerned in t</w:t>
      </w:r>
      <w:r w:rsidR="004F5A65">
        <w:rPr>
          <w:sz w:val="24"/>
          <w:szCs w:val="24"/>
        </w:rPr>
        <w:t xml:space="preserve">his book </w:t>
      </w:r>
      <w:r w:rsidR="00DA2B04">
        <w:rPr>
          <w:sz w:val="24"/>
          <w:szCs w:val="24"/>
        </w:rPr>
        <w:t xml:space="preserve">to answer the question </w:t>
      </w:r>
      <w:r w:rsidR="00DA2B04">
        <w:rPr>
          <w:i/>
          <w:iCs/>
          <w:sz w:val="24"/>
          <w:szCs w:val="24"/>
        </w:rPr>
        <w:t xml:space="preserve">how </w:t>
      </w:r>
      <w:r w:rsidR="00DA2B04">
        <w:rPr>
          <w:sz w:val="24"/>
          <w:szCs w:val="24"/>
        </w:rPr>
        <w:t>it has</w:t>
      </w:r>
      <w:r w:rsidR="00D07034">
        <w:rPr>
          <w:sz w:val="24"/>
          <w:szCs w:val="24"/>
        </w:rPr>
        <w:t xml:space="preserve"> done so</w:t>
      </w:r>
      <w:r w:rsidR="002D2096">
        <w:rPr>
          <w:sz w:val="24"/>
          <w:szCs w:val="24"/>
        </w:rPr>
        <w:t xml:space="preserve">, specifically </w:t>
      </w:r>
      <w:r w:rsidR="00A64B1C">
        <w:rPr>
          <w:sz w:val="24"/>
          <w:szCs w:val="24"/>
        </w:rPr>
        <w:t xml:space="preserve">in the context of </w:t>
      </w:r>
      <w:r w:rsidR="00E52822">
        <w:rPr>
          <w:sz w:val="24"/>
          <w:szCs w:val="24"/>
        </w:rPr>
        <w:t xml:space="preserve">the </w:t>
      </w:r>
      <w:r>
        <w:rPr>
          <w:sz w:val="24"/>
          <w:szCs w:val="24"/>
        </w:rPr>
        <w:lastRenderedPageBreak/>
        <w:t>violence against women</w:t>
      </w:r>
      <w:r w:rsidR="00E52822">
        <w:rPr>
          <w:sz w:val="24"/>
          <w:szCs w:val="24"/>
        </w:rPr>
        <w:t xml:space="preserve"> movement and an era of </w:t>
      </w:r>
      <w:r w:rsidR="00A64B1C">
        <w:rPr>
          <w:sz w:val="24"/>
          <w:szCs w:val="24"/>
        </w:rPr>
        <w:t>neoliberalism</w:t>
      </w:r>
      <w:r w:rsidR="004F5A65">
        <w:rPr>
          <w:sz w:val="24"/>
          <w:szCs w:val="24"/>
        </w:rPr>
        <w:t>. I</w:t>
      </w:r>
      <w:r w:rsidR="00E52822">
        <w:rPr>
          <w:sz w:val="24"/>
          <w:szCs w:val="24"/>
        </w:rPr>
        <w:t xml:space="preserve"> also</w:t>
      </w:r>
      <w:r w:rsidR="004F5A65">
        <w:rPr>
          <w:sz w:val="24"/>
          <w:szCs w:val="24"/>
        </w:rPr>
        <w:t xml:space="preserve"> explore</w:t>
      </w:r>
      <w:r w:rsidR="002D2096">
        <w:rPr>
          <w:sz w:val="24"/>
          <w:szCs w:val="24"/>
        </w:rPr>
        <w:t xml:space="preserve"> the</w:t>
      </w:r>
      <w:r w:rsidR="00A64B1C">
        <w:rPr>
          <w:sz w:val="24"/>
          <w:szCs w:val="24"/>
        </w:rPr>
        <w:t xml:space="preserve"> </w:t>
      </w:r>
      <w:r w:rsidR="00A64B1C" w:rsidRPr="005D6D47">
        <w:rPr>
          <w:i/>
          <w:iCs/>
          <w:sz w:val="24"/>
          <w:szCs w:val="24"/>
        </w:rPr>
        <w:t xml:space="preserve">consequences </w:t>
      </w:r>
      <w:r w:rsidR="002D2096">
        <w:rPr>
          <w:sz w:val="24"/>
          <w:szCs w:val="24"/>
        </w:rPr>
        <w:t xml:space="preserve">that </w:t>
      </w:r>
      <w:r w:rsidR="00A64B1C">
        <w:rPr>
          <w:sz w:val="24"/>
          <w:szCs w:val="24"/>
        </w:rPr>
        <w:t>arise for women from the state’s commitment to criminalis</w:t>
      </w:r>
      <w:r w:rsidR="00E52822">
        <w:rPr>
          <w:sz w:val="24"/>
          <w:szCs w:val="24"/>
        </w:rPr>
        <w:t xml:space="preserve">ation and the CPS drive to achieve convictions in matters of intimate partner abuse. </w:t>
      </w:r>
      <w:r w:rsidR="00EA1B85">
        <w:rPr>
          <w:sz w:val="24"/>
          <w:szCs w:val="24"/>
        </w:rPr>
        <w:t>In light of th</w:t>
      </w:r>
      <w:r w:rsidR="002A486F">
        <w:rPr>
          <w:sz w:val="24"/>
          <w:szCs w:val="24"/>
        </w:rPr>
        <w:t>ese consequences</w:t>
      </w:r>
      <w:r w:rsidR="00EA1B85">
        <w:rPr>
          <w:sz w:val="24"/>
          <w:szCs w:val="24"/>
        </w:rPr>
        <w:t xml:space="preserve">, the book also </w:t>
      </w:r>
      <w:r w:rsidR="00E52822">
        <w:rPr>
          <w:sz w:val="24"/>
          <w:szCs w:val="24"/>
        </w:rPr>
        <w:t>c</w:t>
      </w:r>
      <w:r w:rsidR="00D07A3E">
        <w:rPr>
          <w:sz w:val="24"/>
          <w:szCs w:val="24"/>
        </w:rPr>
        <w:t>ontemplates</w:t>
      </w:r>
      <w:r w:rsidR="00E52822">
        <w:rPr>
          <w:sz w:val="24"/>
          <w:szCs w:val="24"/>
        </w:rPr>
        <w:t xml:space="preserve"> how prosecutors might think about </w:t>
      </w:r>
      <w:r w:rsidR="00DA2B04">
        <w:rPr>
          <w:sz w:val="24"/>
          <w:szCs w:val="24"/>
        </w:rPr>
        <w:t>making decisions in domestic abuse cases where the victim is reluctant</w:t>
      </w:r>
      <w:r w:rsidR="00D07034">
        <w:rPr>
          <w:sz w:val="24"/>
          <w:szCs w:val="24"/>
        </w:rPr>
        <w:t>,</w:t>
      </w:r>
      <w:r w:rsidR="00DA2B04">
        <w:rPr>
          <w:sz w:val="24"/>
          <w:szCs w:val="24"/>
        </w:rPr>
        <w:t xml:space="preserve"> </w:t>
      </w:r>
      <w:r w:rsidR="00E52822">
        <w:rPr>
          <w:sz w:val="24"/>
          <w:szCs w:val="24"/>
        </w:rPr>
        <w:t xml:space="preserve">in ways that might best support her </w:t>
      </w:r>
      <w:r w:rsidR="002D2096">
        <w:rPr>
          <w:sz w:val="24"/>
          <w:szCs w:val="24"/>
        </w:rPr>
        <w:t>‘</w:t>
      </w:r>
      <w:proofErr w:type="spellStart"/>
      <w:r w:rsidR="002D2096">
        <w:rPr>
          <w:sz w:val="24"/>
          <w:szCs w:val="24"/>
        </w:rPr>
        <w:t>thrivership</w:t>
      </w:r>
      <w:proofErr w:type="spellEnd"/>
      <w:r w:rsidR="002D2096">
        <w:rPr>
          <w:sz w:val="24"/>
          <w:szCs w:val="24"/>
        </w:rPr>
        <w:t>’</w:t>
      </w:r>
      <w:bookmarkStart w:id="16" w:name="_Hlk517441982"/>
      <w:bookmarkStart w:id="17" w:name="Why_feminism"/>
      <w:r w:rsidR="00D07034">
        <w:rPr>
          <w:sz w:val="24"/>
          <w:szCs w:val="24"/>
        </w:rPr>
        <w:t xml:space="preserve"> (a concept I discuss in Chapter Six).</w:t>
      </w:r>
    </w:p>
    <w:p w14:paraId="4FA90445" w14:textId="0AB5F478" w:rsidR="000642E9" w:rsidRDefault="000642E9" w:rsidP="00777E07">
      <w:pPr>
        <w:shd w:val="clear" w:color="auto" w:fill="FFFFFF"/>
        <w:spacing w:after="100" w:afterAutospacing="1" w:line="360" w:lineRule="auto"/>
        <w:ind w:firstLine="720"/>
        <w:rPr>
          <w:sz w:val="24"/>
          <w:szCs w:val="24"/>
        </w:rPr>
      </w:pPr>
      <w:r w:rsidRPr="0050052E">
        <w:rPr>
          <w:rFonts w:ascii="Calibri" w:hAnsi="Calibri" w:cs="Calibri"/>
          <w:color w:val="000000"/>
          <w:sz w:val="24"/>
          <w:szCs w:val="24"/>
        </w:rPr>
        <w:t xml:space="preserve">The </w:t>
      </w:r>
      <w:r w:rsidR="00B33CAE" w:rsidRPr="0050052E">
        <w:rPr>
          <w:rFonts w:ascii="Calibri" w:hAnsi="Calibri" w:cs="Calibri"/>
          <w:color w:val="000000"/>
          <w:sz w:val="24"/>
          <w:szCs w:val="24"/>
        </w:rPr>
        <w:t xml:space="preserve">remainder of this </w:t>
      </w:r>
      <w:r w:rsidRPr="0050052E">
        <w:rPr>
          <w:rFonts w:ascii="Calibri" w:hAnsi="Calibri" w:cs="Calibri"/>
          <w:color w:val="000000"/>
          <w:sz w:val="24"/>
          <w:szCs w:val="24"/>
        </w:rPr>
        <w:t xml:space="preserve">introductory chapter </w:t>
      </w:r>
      <w:r w:rsidR="00855FF2">
        <w:rPr>
          <w:sz w:val="24"/>
          <w:szCs w:val="24"/>
        </w:rPr>
        <w:t xml:space="preserve">proceeds by looking at three possible prosecutorial approaches when a woman indicates her preference for case discontinuance and draws out the consequences of each. It then </w:t>
      </w:r>
      <w:r w:rsidRPr="0050052E">
        <w:rPr>
          <w:rFonts w:ascii="Calibri" w:hAnsi="Calibri" w:cs="Calibri"/>
          <w:color w:val="000000"/>
          <w:sz w:val="24"/>
          <w:szCs w:val="24"/>
        </w:rPr>
        <w:t>outline</w:t>
      </w:r>
      <w:r w:rsidR="00B33CAE" w:rsidRPr="0050052E">
        <w:rPr>
          <w:rFonts w:ascii="Calibri" w:hAnsi="Calibri" w:cs="Calibri"/>
          <w:color w:val="000000"/>
          <w:sz w:val="24"/>
          <w:szCs w:val="24"/>
        </w:rPr>
        <w:t xml:space="preserve">s </w:t>
      </w:r>
      <w:r w:rsidR="0050052E" w:rsidRPr="0050052E">
        <w:rPr>
          <w:rFonts w:ascii="Calibri" w:hAnsi="Calibri" w:cs="Calibri"/>
          <w:color w:val="000000"/>
          <w:sz w:val="24"/>
          <w:szCs w:val="24"/>
        </w:rPr>
        <w:t>some of the central</w:t>
      </w:r>
      <w:r w:rsidRPr="0050052E">
        <w:rPr>
          <w:rFonts w:ascii="Calibri" w:hAnsi="Calibri" w:cs="Calibri"/>
          <w:color w:val="000000"/>
          <w:sz w:val="24"/>
          <w:szCs w:val="24"/>
        </w:rPr>
        <w:t xml:space="preserve"> themes found in the literature pertaining to </w:t>
      </w:r>
      <w:r w:rsidR="005A5A89">
        <w:rPr>
          <w:rFonts w:ascii="Calibri" w:hAnsi="Calibri" w:cs="Calibri"/>
          <w:color w:val="000000"/>
          <w:sz w:val="24"/>
          <w:szCs w:val="24"/>
        </w:rPr>
        <w:t xml:space="preserve">the </w:t>
      </w:r>
      <w:r w:rsidRPr="0050052E">
        <w:rPr>
          <w:rFonts w:ascii="Calibri" w:hAnsi="Calibri" w:cs="Calibri"/>
          <w:color w:val="000000"/>
          <w:sz w:val="24"/>
          <w:szCs w:val="24"/>
        </w:rPr>
        <w:t>state treatment of violence against women</w:t>
      </w:r>
      <w:r w:rsidR="005D6D47">
        <w:rPr>
          <w:rFonts w:ascii="Calibri" w:hAnsi="Calibri" w:cs="Calibri"/>
          <w:color w:val="000000"/>
          <w:sz w:val="24"/>
          <w:szCs w:val="24"/>
        </w:rPr>
        <w:t xml:space="preserve"> and e</w:t>
      </w:r>
      <w:r w:rsidRPr="0050052E">
        <w:rPr>
          <w:rFonts w:ascii="Calibri" w:hAnsi="Calibri" w:cs="Calibri"/>
          <w:color w:val="000000"/>
          <w:sz w:val="24"/>
          <w:szCs w:val="24"/>
        </w:rPr>
        <w:t>xplain</w:t>
      </w:r>
      <w:r w:rsidR="005D6D47">
        <w:rPr>
          <w:rFonts w:ascii="Calibri" w:hAnsi="Calibri" w:cs="Calibri"/>
          <w:color w:val="000000"/>
          <w:sz w:val="24"/>
          <w:szCs w:val="24"/>
        </w:rPr>
        <w:t>s</w:t>
      </w:r>
      <w:r w:rsidRPr="0050052E">
        <w:rPr>
          <w:rFonts w:ascii="Calibri" w:hAnsi="Calibri" w:cs="Calibri"/>
          <w:color w:val="000000"/>
          <w:sz w:val="24"/>
          <w:szCs w:val="24"/>
        </w:rPr>
        <w:t xml:space="preserve"> why the two theoretical frames – feminism and neoliberalism – have been chosen</w:t>
      </w:r>
      <w:r w:rsidR="005D6D47">
        <w:rPr>
          <w:rFonts w:ascii="Calibri" w:hAnsi="Calibri" w:cs="Calibri"/>
          <w:color w:val="000000"/>
          <w:sz w:val="24"/>
          <w:szCs w:val="24"/>
        </w:rPr>
        <w:t xml:space="preserve">. I </w:t>
      </w:r>
      <w:r w:rsidRPr="0050052E">
        <w:rPr>
          <w:rFonts w:ascii="Calibri" w:hAnsi="Calibri" w:cs="Calibri"/>
          <w:color w:val="000000"/>
          <w:sz w:val="24"/>
          <w:szCs w:val="24"/>
        </w:rPr>
        <w:t xml:space="preserve">reflect on the advantages and disadvantages of </w:t>
      </w:r>
      <w:r w:rsidR="00DA2B04">
        <w:rPr>
          <w:rFonts w:ascii="Calibri" w:hAnsi="Calibri" w:cs="Calibri"/>
          <w:color w:val="000000"/>
          <w:sz w:val="24"/>
          <w:szCs w:val="24"/>
        </w:rPr>
        <w:t xml:space="preserve">prioritising </w:t>
      </w:r>
      <w:r w:rsidRPr="0050052E">
        <w:rPr>
          <w:rFonts w:ascii="Calibri" w:hAnsi="Calibri" w:cs="Calibri"/>
          <w:color w:val="000000"/>
          <w:sz w:val="24"/>
          <w:szCs w:val="24"/>
        </w:rPr>
        <w:t>a criminal justice response to domestic abuse</w:t>
      </w:r>
      <w:r w:rsidR="005D6D47">
        <w:rPr>
          <w:rFonts w:ascii="Calibri" w:hAnsi="Calibri" w:cs="Calibri"/>
          <w:color w:val="000000"/>
          <w:sz w:val="24"/>
          <w:szCs w:val="24"/>
        </w:rPr>
        <w:t xml:space="preserve"> and </w:t>
      </w:r>
      <w:r w:rsidRPr="0050052E">
        <w:rPr>
          <w:sz w:val="24"/>
          <w:szCs w:val="24"/>
        </w:rPr>
        <w:t>draw out the paradoxical ‘successes’ of feminism’s cooperation with the neoliberal state</w:t>
      </w:r>
      <w:r w:rsidR="00DA2B04">
        <w:rPr>
          <w:sz w:val="24"/>
          <w:szCs w:val="24"/>
        </w:rPr>
        <w:t xml:space="preserve">. </w:t>
      </w:r>
      <w:r w:rsidR="001150FB">
        <w:rPr>
          <w:sz w:val="24"/>
          <w:szCs w:val="24"/>
        </w:rPr>
        <w:t>I note</w:t>
      </w:r>
      <w:r w:rsidR="00576E6F">
        <w:rPr>
          <w:sz w:val="24"/>
          <w:szCs w:val="24"/>
        </w:rPr>
        <w:t>, on the one hand,</w:t>
      </w:r>
      <w:r w:rsidR="001150FB">
        <w:rPr>
          <w:sz w:val="24"/>
          <w:szCs w:val="24"/>
        </w:rPr>
        <w:t xml:space="preserve"> the potential of the law to validate women’s account and </w:t>
      </w:r>
      <w:r w:rsidR="00777E07">
        <w:rPr>
          <w:sz w:val="24"/>
          <w:szCs w:val="24"/>
        </w:rPr>
        <w:t xml:space="preserve">the </w:t>
      </w:r>
      <w:r w:rsidR="001150FB">
        <w:rPr>
          <w:sz w:val="24"/>
          <w:szCs w:val="24"/>
        </w:rPr>
        <w:t xml:space="preserve">pivotal role </w:t>
      </w:r>
      <w:r w:rsidR="00777E07">
        <w:rPr>
          <w:sz w:val="24"/>
          <w:szCs w:val="24"/>
        </w:rPr>
        <w:t xml:space="preserve">law can play </w:t>
      </w:r>
      <w:r w:rsidR="001150FB">
        <w:rPr>
          <w:sz w:val="24"/>
          <w:szCs w:val="24"/>
        </w:rPr>
        <w:t>in moving women towards living abuse free, yet</w:t>
      </w:r>
      <w:r w:rsidR="0050052E" w:rsidRPr="0050052E">
        <w:rPr>
          <w:sz w:val="24"/>
          <w:szCs w:val="24"/>
        </w:rPr>
        <w:t xml:space="preserve"> the union has </w:t>
      </w:r>
      <w:r w:rsidR="001150FB">
        <w:rPr>
          <w:sz w:val="24"/>
          <w:szCs w:val="24"/>
        </w:rPr>
        <w:t xml:space="preserve">also </w:t>
      </w:r>
      <w:r w:rsidR="0050052E" w:rsidRPr="0050052E">
        <w:rPr>
          <w:sz w:val="24"/>
          <w:szCs w:val="24"/>
        </w:rPr>
        <w:t>been</w:t>
      </w:r>
      <w:r w:rsidRPr="0050052E">
        <w:rPr>
          <w:sz w:val="24"/>
          <w:szCs w:val="24"/>
        </w:rPr>
        <w:t xml:space="preserve"> signal</w:t>
      </w:r>
      <w:r w:rsidR="0050052E" w:rsidRPr="0050052E">
        <w:rPr>
          <w:sz w:val="24"/>
          <w:szCs w:val="24"/>
        </w:rPr>
        <w:t>l</w:t>
      </w:r>
      <w:r w:rsidRPr="0050052E">
        <w:rPr>
          <w:sz w:val="24"/>
          <w:szCs w:val="24"/>
        </w:rPr>
        <w:t xml:space="preserve">ed as ‘a betrayal of … emancipatory </w:t>
      </w:r>
      <w:r w:rsidR="005D6D47">
        <w:rPr>
          <w:sz w:val="24"/>
          <w:szCs w:val="24"/>
        </w:rPr>
        <w:t xml:space="preserve">[feminist] </w:t>
      </w:r>
      <w:r w:rsidRPr="0050052E">
        <w:rPr>
          <w:sz w:val="24"/>
          <w:szCs w:val="24"/>
        </w:rPr>
        <w:t>roots’</w:t>
      </w:r>
      <w:r w:rsidR="00EA1B85">
        <w:rPr>
          <w:rStyle w:val="FootnoteReference"/>
          <w:sz w:val="24"/>
          <w:szCs w:val="24"/>
        </w:rPr>
        <w:footnoteReference w:id="21"/>
      </w:r>
      <w:r w:rsidR="002A486F">
        <w:rPr>
          <w:sz w:val="24"/>
          <w:szCs w:val="24"/>
        </w:rPr>
        <w:t xml:space="preserve"> and</w:t>
      </w:r>
      <w:r w:rsidRPr="0050052E">
        <w:rPr>
          <w:sz w:val="24"/>
          <w:szCs w:val="24"/>
        </w:rPr>
        <w:t xml:space="preserve"> </w:t>
      </w:r>
      <w:r w:rsidR="00576E6F">
        <w:rPr>
          <w:sz w:val="24"/>
          <w:szCs w:val="24"/>
        </w:rPr>
        <w:t>as deeply flawed because</w:t>
      </w:r>
      <w:r w:rsidR="00296688">
        <w:rPr>
          <w:sz w:val="24"/>
          <w:szCs w:val="24"/>
        </w:rPr>
        <w:t xml:space="preserve"> ‘the law is simply not a one size fits all solution’.</w:t>
      </w:r>
      <w:r w:rsidR="00296688">
        <w:rPr>
          <w:rStyle w:val="FootnoteReference"/>
          <w:sz w:val="24"/>
          <w:szCs w:val="24"/>
        </w:rPr>
        <w:footnoteReference w:id="22"/>
      </w:r>
      <w:r w:rsidR="00D07A3E">
        <w:rPr>
          <w:sz w:val="24"/>
          <w:szCs w:val="24"/>
        </w:rPr>
        <w:t xml:space="preserve"> </w:t>
      </w:r>
    </w:p>
    <w:p w14:paraId="5B5BB352" w14:textId="77777777" w:rsidR="00D07A3E" w:rsidRPr="00137B22" w:rsidRDefault="00D07A3E" w:rsidP="00D07A3E">
      <w:pPr>
        <w:numPr>
          <w:ilvl w:val="0"/>
          <w:numId w:val="40"/>
        </w:numPr>
        <w:spacing w:line="360" w:lineRule="auto"/>
        <w:rPr>
          <w:b/>
          <w:sz w:val="24"/>
          <w:szCs w:val="24"/>
        </w:rPr>
      </w:pPr>
      <w:bookmarkStart w:id="18" w:name="_Hlk517442232"/>
      <w:bookmarkStart w:id="19" w:name="Three_approaches"/>
      <w:r>
        <w:rPr>
          <w:b/>
          <w:sz w:val="24"/>
          <w:szCs w:val="24"/>
        </w:rPr>
        <w:t>Prosecutorial Discretion in</w:t>
      </w:r>
      <w:r w:rsidRPr="00137B22">
        <w:rPr>
          <w:b/>
          <w:sz w:val="24"/>
          <w:szCs w:val="24"/>
        </w:rPr>
        <w:t xml:space="preserve"> </w:t>
      </w:r>
      <w:r>
        <w:rPr>
          <w:b/>
          <w:sz w:val="24"/>
          <w:szCs w:val="24"/>
        </w:rPr>
        <w:t>D</w:t>
      </w:r>
      <w:r w:rsidRPr="00137B22">
        <w:rPr>
          <w:b/>
          <w:sz w:val="24"/>
          <w:szCs w:val="24"/>
        </w:rPr>
        <w:t xml:space="preserve">omestic </w:t>
      </w:r>
      <w:r>
        <w:rPr>
          <w:b/>
          <w:sz w:val="24"/>
          <w:szCs w:val="24"/>
        </w:rPr>
        <w:t>A</w:t>
      </w:r>
      <w:r w:rsidRPr="00137B22">
        <w:rPr>
          <w:b/>
          <w:sz w:val="24"/>
          <w:szCs w:val="24"/>
        </w:rPr>
        <w:t>buse</w:t>
      </w:r>
      <w:r>
        <w:rPr>
          <w:b/>
          <w:sz w:val="24"/>
          <w:szCs w:val="24"/>
        </w:rPr>
        <w:t xml:space="preserve"> Cases: Three Approaches</w:t>
      </w:r>
    </w:p>
    <w:bookmarkEnd w:id="18"/>
    <w:bookmarkEnd w:id="19"/>
    <w:p w14:paraId="67FB2DA0" w14:textId="73C58CBD" w:rsidR="00D07A3E" w:rsidRDefault="00C702FB" w:rsidP="00D07A3E">
      <w:pPr>
        <w:spacing w:after="100" w:afterAutospacing="1" w:line="360" w:lineRule="auto"/>
        <w:ind w:firstLine="720"/>
        <w:rPr>
          <w:sz w:val="24"/>
          <w:szCs w:val="24"/>
        </w:rPr>
      </w:pPr>
      <w:r>
        <w:rPr>
          <w:sz w:val="24"/>
          <w:szCs w:val="24"/>
        </w:rPr>
        <w:t xml:space="preserve">The first approach a prosecuting authority might take when </w:t>
      </w:r>
      <w:r w:rsidR="00D07A3E">
        <w:rPr>
          <w:sz w:val="24"/>
          <w:szCs w:val="24"/>
        </w:rPr>
        <w:t xml:space="preserve">discontinuance </w:t>
      </w:r>
      <w:r>
        <w:rPr>
          <w:sz w:val="24"/>
          <w:szCs w:val="24"/>
        </w:rPr>
        <w:t xml:space="preserve">is </w:t>
      </w:r>
      <w:r w:rsidR="00D07A3E">
        <w:rPr>
          <w:sz w:val="24"/>
          <w:szCs w:val="24"/>
        </w:rPr>
        <w:t xml:space="preserve">requested by </w:t>
      </w:r>
      <w:r w:rsidR="00D60026">
        <w:rPr>
          <w:sz w:val="24"/>
          <w:szCs w:val="24"/>
        </w:rPr>
        <w:t>a</w:t>
      </w:r>
      <w:r w:rsidR="00D07A3E">
        <w:rPr>
          <w:sz w:val="24"/>
          <w:szCs w:val="24"/>
        </w:rPr>
        <w:t xml:space="preserve"> victim</w:t>
      </w:r>
      <w:r w:rsidR="00D60026">
        <w:rPr>
          <w:sz w:val="24"/>
          <w:szCs w:val="24"/>
        </w:rPr>
        <w:t xml:space="preserve"> of domestic abuse</w:t>
      </w:r>
      <w:r>
        <w:rPr>
          <w:sz w:val="24"/>
          <w:szCs w:val="24"/>
        </w:rPr>
        <w:t>, is to accede to the request</w:t>
      </w:r>
      <w:r w:rsidR="00D07A3E">
        <w:rPr>
          <w:sz w:val="24"/>
          <w:szCs w:val="24"/>
        </w:rPr>
        <w:t>, or what has been called ‘automatic drop’.</w:t>
      </w:r>
      <w:r w:rsidR="00D07A3E">
        <w:rPr>
          <w:rStyle w:val="FootnoteReference"/>
        </w:rPr>
        <w:footnoteReference w:id="23"/>
      </w:r>
      <w:r w:rsidR="00D07A3E">
        <w:rPr>
          <w:sz w:val="24"/>
          <w:szCs w:val="24"/>
        </w:rPr>
        <w:t xml:space="preserve"> This appears to have been the CPS approach prior to 2008 when complainant retraction in the context of prosecuting domestic abuse appeared to have ‘an almost singular effect; namely, discontinuance’.</w:t>
      </w:r>
      <w:r w:rsidR="00D07A3E">
        <w:rPr>
          <w:rStyle w:val="FootnoteReference"/>
        </w:rPr>
        <w:footnoteReference w:id="24"/>
      </w:r>
      <w:r w:rsidR="00D07A3E">
        <w:rPr>
          <w:sz w:val="24"/>
          <w:szCs w:val="24"/>
        </w:rPr>
        <w:t xml:space="preserve"> Secondly, there is pursuance of the prosecution irrespective of the woman’s request or whether her personal interests are best met by that course. Nichols has called this ‘no-drop’ approach to prosecution a ‘social </w:t>
      </w:r>
      <w:r w:rsidR="00D07A3E">
        <w:rPr>
          <w:sz w:val="24"/>
          <w:szCs w:val="24"/>
        </w:rPr>
        <w:lastRenderedPageBreak/>
        <w:t>change’ approach because of its potential to challenge the social structures that permit violence against women.</w:t>
      </w:r>
      <w:r w:rsidR="00D07A3E">
        <w:rPr>
          <w:rStyle w:val="FootnoteReference"/>
        </w:rPr>
        <w:footnoteReference w:id="25"/>
      </w:r>
      <w:r w:rsidR="00D07A3E">
        <w:rPr>
          <w:sz w:val="24"/>
          <w:szCs w:val="24"/>
        </w:rPr>
        <w:t xml:space="preserve"> This was the approach operating in CPS practice in 2009 immediately following revised guidelines, policy and mandatory training aimed at addressing the preceding praxis of ‘automatic drop’.</w:t>
      </w:r>
      <w:r w:rsidR="00D07A3E">
        <w:rPr>
          <w:rStyle w:val="FootnoteReference"/>
        </w:rPr>
        <w:footnoteReference w:id="26"/>
      </w:r>
      <w:r w:rsidR="00D07A3E" w:rsidRPr="00A2123C">
        <w:rPr>
          <w:sz w:val="24"/>
          <w:szCs w:val="24"/>
        </w:rPr>
        <w:t xml:space="preserve"> Or thirdly, prosecutors may weigh up factors to determine whether the woman’s safety and/ or sense of autonomy might be best met through either course. This third approach has variously been called a ‘</w:t>
      </w:r>
      <w:r w:rsidR="00D07A3E" w:rsidRPr="00A2123C">
        <w:rPr>
          <w:rFonts w:eastAsia="Times New Roman"/>
          <w:iCs/>
          <w:sz w:val="24"/>
          <w:szCs w:val="24"/>
          <w:lang w:eastAsia="en-GB"/>
        </w:rPr>
        <w:t>victim-informed’</w:t>
      </w:r>
      <w:r w:rsidR="00D07A3E">
        <w:rPr>
          <w:rFonts w:eastAsia="Times New Roman"/>
          <w:iCs/>
          <w:sz w:val="24"/>
          <w:szCs w:val="24"/>
          <w:lang w:eastAsia="en-GB"/>
        </w:rPr>
        <w:t>,</w:t>
      </w:r>
      <w:r w:rsidR="00D07A3E">
        <w:rPr>
          <w:rStyle w:val="FootnoteReference"/>
          <w:rFonts w:eastAsia="Times New Roman"/>
          <w:iCs/>
          <w:lang w:eastAsia="en-GB"/>
        </w:rPr>
        <w:footnoteReference w:id="27"/>
      </w:r>
      <w:r w:rsidR="00D07A3E" w:rsidRPr="00A2123C">
        <w:t xml:space="preserve"> </w:t>
      </w:r>
      <w:r w:rsidR="00D07A3E" w:rsidRPr="00A2123C">
        <w:rPr>
          <w:rFonts w:eastAsia="Times New Roman"/>
          <w:iCs/>
          <w:sz w:val="24"/>
          <w:szCs w:val="24"/>
          <w:lang w:eastAsia="en-GB"/>
        </w:rPr>
        <w:t>‘survivor-defined’</w:t>
      </w:r>
      <w:r w:rsidR="00D07A3E">
        <w:rPr>
          <w:rStyle w:val="FootnoteReference"/>
          <w:rFonts w:eastAsia="Times New Roman"/>
          <w:iCs/>
          <w:lang w:eastAsia="en-GB"/>
        </w:rPr>
        <w:footnoteReference w:id="28"/>
      </w:r>
      <w:r w:rsidR="00D07A3E" w:rsidRPr="00A2123C">
        <w:rPr>
          <w:rFonts w:eastAsia="Times New Roman"/>
          <w:iCs/>
          <w:sz w:val="24"/>
          <w:szCs w:val="24"/>
          <w:lang w:eastAsia="en-GB"/>
        </w:rPr>
        <w:t xml:space="preserve"> or ‘victim empowerment’</w:t>
      </w:r>
      <w:r w:rsidR="00D07A3E">
        <w:rPr>
          <w:rStyle w:val="FootnoteReference"/>
          <w:rFonts w:eastAsia="Times New Roman"/>
          <w:iCs/>
          <w:lang w:eastAsia="en-GB"/>
        </w:rPr>
        <w:footnoteReference w:id="29"/>
      </w:r>
      <w:r w:rsidR="00D07A3E">
        <w:rPr>
          <w:rFonts w:eastAsia="Times New Roman"/>
          <w:iCs/>
          <w:sz w:val="24"/>
          <w:szCs w:val="24"/>
          <w:lang w:eastAsia="en-GB"/>
        </w:rPr>
        <w:t xml:space="preserve"> </w:t>
      </w:r>
      <w:r w:rsidR="00D07A3E" w:rsidRPr="00A2123C">
        <w:rPr>
          <w:sz w:val="24"/>
          <w:szCs w:val="24"/>
        </w:rPr>
        <w:t xml:space="preserve">approach. The CPS has never named the approach but </w:t>
      </w:r>
      <w:r w:rsidR="00D07A3E">
        <w:rPr>
          <w:sz w:val="24"/>
          <w:szCs w:val="24"/>
        </w:rPr>
        <w:t>current</w:t>
      </w:r>
      <w:r w:rsidR="00D07A3E" w:rsidRPr="00A2123C">
        <w:rPr>
          <w:sz w:val="24"/>
          <w:szCs w:val="24"/>
        </w:rPr>
        <w:t xml:space="preserve"> </w:t>
      </w:r>
      <w:r w:rsidR="00D07A3E">
        <w:rPr>
          <w:sz w:val="24"/>
          <w:szCs w:val="24"/>
        </w:rPr>
        <w:t>d</w:t>
      </w:r>
      <w:r w:rsidR="00D07A3E" w:rsidRPr="00A2123C">
        <w:rPr>
          <w:sz w:val="24"/>
          <w:szCs w:val="24"/>
        </w:rPr>
        <w:t xml:space="preserve">omestic </w:t>
      </w:r>
      <w:r w:rsidR="00D07A3E">
        <w:rPr>
          <w:sz w:val="24"/>
          <w:szCs w:val="24"/>
        </w:rPr>
        <w:t>a</w:t>
      </w:r>
      <w:r w:rsidR="00D07A3E" w:rsidRPr="00A2123C">
        <w:rPr>
          <w:sz w:val="24"/>
          <w:szCs w:val="24"/>
        </w:rPr>
        <w:t>buse policy most closely advocates prosecutors emulate this ‘survivor-defined’ way</w:t>
      </w:r>
      <w:bookmarkStart w:id="26" w:name="Automatic"/>
      <w:r w:rsidR="00D60026">
        <w:rPr>
          <w:sz w:val="24"/>
          <w:szCs w:val="24"/>
        </w:rPr>
        <w:t xml:space="preserve"> (whilst the</w:t>
      </w:r>
      <w:r>
        <w:rPr>
          <w:sz w:val="24"/>
          <w:szCs w:val="24"/>
        </w:rPr>
        <w:t xml:space="preserve"> primary research in this </w:t>
      </w:r>
      <w:r w:rsidR="00D60026">
        <w:rPr>
          <w:sz w:val="24"/>
          <w:szCs w:val="24"/>
        </w:rPr>
        <w:t>book explores to what extent the policy plays out in working practice)</w:t>
      </w:r>
      <w:r>
        <w:rPr>
          <w:sz w:val="24"/>
          <w:szCs w:val="24"/>
        </w:rPr>
        <w:t>.</w:t>
      </w:r>
    </w:p>
    <w:p w14:paraId="2A122EFD" w14:textId="60437A44" w:rsidR="00D07A3E" w:rsidRPr="00E95160" w:rsidRDefault="00561126" w:rsidP="00D07A3E">
      <w:pPr>
        <w:spacing w:after="100" w:afterAutospacing="1" w:line="360" w:lineRule="auto"/>
        <w:ind w:firstLine="720"/>
        <w:rPr>
          <w:b/>
          <w:sz w:val="24"/>
          <w:szCs w:val="24"/>
        </w:rPr>
      </w:pPr>
      <w:r>
        <w:rPr>
          <w:b/>
          <w:sz w:val="24"/>
          <w:szCs w:val="24"/>
        </w:rPr>
        <w:t>3</w:t>
      </w:r>
      <w:r w:rsidR="00D07A3E">
        <w:rPr>
          <w:b/>
          <w:sz w:val="24"/>
          <w:szCs w:val="24"/>
        </w:rPr>
        <w:t xml:space="preserve"> (</w:t>
      </w:r>
      <w:proofErr w:type="spellStart"/>
      <w:r w:rsidR="00D07A3E">
        <w:rPr>
          <w:b/>
          <w:sz w:val="24"/>
          <w:szCs w:val="24"/>
        </w:rPr>
        <w:t>i</w:t>
      </w:r>
      <w:proofErr w:type="spellEnd"/>
      <w:r w:rsidR="00D07A3E">
        <w:rPr>
          <w:b/>
          <w:sz w:val="24"/>
          <w:szCs w:val="24"/>
        </w:rPr>
        <w:t>) ‘</w:t>
      </w:r>
      <w:r w:rsidR="00D07A3E" w:rsidRPr="00E95160">
        <w:rPr>
          <w:b/>
          <w:sz w:val="24"/>
          <w:szCs w:val="24"/>
        </w:rPr>
        <w:t>Automatic Drop</w:t>
      </w:r>
      <w:r w:rsidR="00D07A3E">
        <w:rPr>
          <w:b/>
          <w:sz w:val="24"/>
          <w:szCs w:val="24"/>
        </w:rPr>
        <w:t xml:space="preserve">’: Discontinuing </w:t>
      </w:r>
      <w:r w:rsidR="00D07A3E" w:rsidRPr="00E95160">
        <w:rPr>
          <w:b/>
          <w:sz w:val="24"/>
          <w:szCs w:val="24"/>
        </w:rPr>
        <w:t>Cases on Victim Request</w:t>
      </w:r>
    </w:p>
    <w:bookmarkEnd w:id="26"/>
    <w:p w14:paraId="16A16DEA" w14:textId="45A584C6" w:rsidR="00D07A3E" w:rsidRDefault="002814E7" w:rsidP="00E12FA1">
      <w:pPr>
        <w:spacing w:after="0" w:line="360" w:lineRule="auto"/>
        <w:ind w:firstLine="720"/>
        <w:rPr>
          <w:iCs/>
          <w:sz w:val="24"/>
          <w:szCs w:val="24"/>
        </w:rPr>
      </w:pPr>
      <w:r>
        <w:rPr>
          <w:iCs/>
          <w:sz w:val="24"/>
          <w:szCs w:val="24"/>
        </w:rPr>
        <w:t>The first approach, routinely acceding to a reluctant victim’s wishes and dropping the case accordingly</w:t>
      </w:r>
      <w:r w:rsidR="00D07A3E" w:rsidRPr="00BA3D6C">
        <w:rPr>
          <w:iCs/>
          <w:sz w:val="24"/>
          <w:szCs w:val="24"/>
        </w:rPr>
        <w:t>, can be advantageous to the extent that it demonstrates that the criminal justice system is responsive. Winick, founder of the therapeutic jurisprudence movement, has argued that ‘being heard’ in this way is ‘vital to an individual’s sense of her own locus of control [and] emotional well-being’.</w:t>
      </w:r>
      <w:r w:rsidR="00D07A3E" w:rsidRPr="00BA3D6C">
        <w:rPr>
          <w:rStyle w:val="FootnoteReference"/>
          <w:iCs/>
        </w:rPr>
        <w:footnoteReference w:id="30"/>
      </w:r>
      <w:r w:rsidR="00D07A3E" w:rsidRPr="00BA3D6C">
        <w:rPr>
          <w:iCs/>
          <w:sz w:val="24"/>
          <w:szCs w:val="24"/>
        </w:rPr>
        <w:t xml:space="preserve"> She may withdraw from the prosecution because arrest alone achieved cessation of the immediate behaviour as intended or she may have weighed up that the costs of prosecution (breakdown of the family structure, loss of financial support, increased risk of violent retaliation) outweigh the potential benefit of prosecution outcomes (where </w:t>
      </w:r>
      <w:r w:rsidR="00D07A3E">
        <w:rPr>
          <w:iCs/>
          <w:sz w:val="24"/>
          <w:szCs w:val="24"/>
        </w:rPr>
        <w:t xml:space="preserve">the legal process is stressful, </w:t>
      </w:r>
      <w:r w:rsidR="00D07A3E" w:rsidRPr="00BA3D6C">
        <w:rPr>
          <w:iCs/>
          <w:sz w:val="24"/>
          <w:szCs w:val="24"/>
        </w:rPr>
        <w:t xml:space="preserve">probation sentences might be ineffective, fines impact the family as a whole or custody would take him away from childcare or earning responsibilities). Having her wishes actioned is likely to instil a sense that the Criminal Justice System is not impersonal, impervious or even coercive, rather it is </w:t>
      </w:r>
      <w:r w:rsidR="00D07A3E" w:rsidRPr="00BA3D6C">
        <w:rPr>
          <w:iCs/>
          <w:sz w:val="24"/>
          <w:szCs w:val="24"/>
        </w:rPr>
        <w:lastRenderedPageBreak/>
        <w:t xml:space="preserve">sensitive and respectful to the victim. Moreover, being victim reactive might forge a sense of trust in the victim to call on the </w:t>
      </w:r>
      <w:r w:rsidR="005A5A89">
        <w:rPr>
          <w:iCs/>
          <w:sz w:val="24"/>
          <w:szCs w:val="24"/>
        </w:rPr>
        <w:t>criminal justice system</w:t>
      </w:r>
      <w:r w:rsidR="00D07A3E" w:rsidRPr="00BA3D6C">
        <w:rPr>
          <w:iCs/>
          <w:sz w:val="24"/>
          <w:szCs w:val="24"/>
        </w:rPr>
        <w:t xml:space="preserve"> in the future in the knowledge that victim preference is recognised</w:t>
      </w:r>
      <w:r w:rsidR="00561126">
        <w:rPr>
          <w:iCs/>
          <w:sz w:val="24"/>
          <w:szCs w:val="24"/>
        </w:rPr>
        <w:t xml:space="preserve"> and that her autonomy (or self-governance) is valued</w:t>
      </w:r>
      <w:r w:rsidR="00D07A3E" w:rsidRPr="00BA3D6C">
        <w:rPr>
          <w:iCs/>
          <w:sz w:val="24"/>
          <w:szCs w:val="24"/>
        </w:rPr>
        <w:t>.</w:t>
      </w:r>
      <w:r w:rsidR="00D07A3E" w:rsidRPr="00BA3D6C">
        <w:rPr>
          <w:rStyle w:val="FootnoteReference"/>
          <w:iCs/>
        </w:rPr>
        <w:footnoteReference w:id="31"/>
      </w:r>
    </w:p>
    <w:p w14:paraId="50072A68" w14:textId="6C70FA50" w:rsidR="00E12FA1" w:rsidRPr="00BA3D6C" w:rsidRDefault="00E12FA1" w:rsidP="00D07A3E">
      <w:pPr>
        <w:spacing w:after="100" w:afterAutospacing="1" w:line="360" w:lineRule="auto"/>
        <w:ind w:firstLine="720"/>
        <w:rPr>
          <w:b/>
          <w:sz w:val="24"/>
          <w:szCs w:val="24"/>
        </w:rPr>
      </w:pPr>
      <w:r w:rsidRPr="00BA3D6C">
        <w:rPr>
          <w:sz w:val="24"/>
          <w:szCs w:val="24"/>
        </w:rPr>
        <w:t>Unques</w:t>
      </w:r>
      <w:r w:rsidRPr="00BA3D6C">
        <w:rPr>
          <w:iCs/>
          <w:sz w:val="24"/>
          <w:szCs w:val="24"/>
        </w:rPr>
        <w:t xml:space="preserve">tioningly acceding to the victim’s request, however, is not without notable shortcomings. </w:t>
      </w:r>
      <w:r>
        <w:rPr>
          <w:iCs/>
          <w:sz w:val="24"/>
          <w:szCs w:val="24"/>
        </w:rPr>
        <w:t>I</w:t>
      </w:r>
      <w:r w:rsidRPr="00BA3D6C">
        <w:rPr>
          <w:iCs/>
          <w:sz w:val="24"/>
          <w:szCs w:val="24"/>
        </w:rPr>
        <w:t>f victim withdrawal is habitually assented</w:t>
      </w:r>
      <w:r>
        <w:rPr>
          <w:iCs/>
          <w:sz w:val="24"/>
          <w:szCs w:val="24"/>
        </w:rPr>
        <w:t xml:space="preserve">, </w:t>
      </w:r>
      <w:r w:rsidRPr="00BA3D6C">
        <w:rPr>
          <w:iCs/>
          <w:sz w:val="24"/>
          <w:szCs w:val="24"/>
        </w:rPr>
        <w:t>the</w:t>
      </w:r>
      <w:r>
        <w:rPr>
          <w:iCs/>
          <w:sz w:val="24"/>
          <w:szCs w:val="24"/>
        </w:rPr>
        <w:t>re is a risk of a</w:t>
      </w:r>
      <w:r w:rsidRPr="00BA3D6C">
        <w:rPr>
          <w:iCs/>
          <w:sz w:val="24"/>
          <w:szCs w:val="24"/>
        </w:rPr>
        <w:t xml:space="preserve"> transfer of power to the abuser. He </w:t>
      </w:r>
      <w:r>
        <w:rPr>
          <w:iCs/>
          <w:sz w:val="24"/>
          <w:szCs w:val="24"/>
        </w:rPr>
        <w:t xml:space="preserve">(or his associates) </w:t>
      </w:r>
      <w:r w:rsidRPr="00BA3D6C">
        <w:rPr>
          <w:iCs/>
          <w:sz w:val="24"/>
          <w:szCs w:val="24"/>
        </w:rPr>
        <w:t>may pursue violence</w:t>
      </w:r>
      <w:r w:rsidR="00923BE9">
        <w:rPr>
          <w:iCs/>
          <w:sz w:val="24"/>
          <w:szCs w:val="24"/>
        </w:rPr>
        <w:t xml:space="preserve"> or</w:t>
      </w:r>
      <w:r w:rsidRPr="00BA3D6C">
        <w:rPr>
          <w:iCs/>
          <w:sz w:val="24"/>
          <w:szCs w:val="24"/>
        </w:rPr>
        <w:t xml:space="preserve"> intimidating tactics </w:t>
      </w:r>
      <w:r w:rsidR="00923BE9" w:rsidRPr="00BA3D6C">
        <w:rPr>
          <w:iCs/>
          <w:sz w:val="24"/>
          <w:szCs w:val="24"/>
        </w:rPr>
        <w:t xml:space="preserve">in an effort to coerce </w:t>
      </w:r>
      <w:r w:rsidR="00923BE9">
        <w:rPr>
          <w:iCs/>
          <w:sz w:val="24"/>
          <w:szCs w:val="24"/>
        </w:rPr>
        <w:t>the victim into retracting. Or he may make</w:t>
      </w:r>
      <w:r w:rsidRPr="00BA3D6C">
        <w:rPr>
          <w:iCs/>
          <w:sz w:val="24"/>
          <w:szCs w:val="24"/>
        </w:rPr>
        <w:t xml:space="preserve"> ‘apologetic manipulations’</w:t>
      </w:r>
      <w:r w:rsidR="00923BE9">
        <w:rPr>
          <w:iCs/>
          <w:sz w:val="24"/>
          <w:szCs w:val="24"/>
        </w:rPr>
        <w:t xml:space="preserve"> which </w:t>
      </w:r>
      <w:r>
        <w:rPr>
          <w:iCs/>
          <w:sz w:val="24"/>
          <w:szCs w:val="24"/>
        </w:rPr>
        <w:t>minimis</w:t>
      </w:r>
      <w:r w:rsidR="00923BE9">
        <w:rPr>
          <w:iCs/>
          <w:sz w:val="24"/>
          <w:szCs w:val="24"/>
        </w:rPr>
        <w:t>e</w:t>
      </w:r>
      <w:r>
        <w:rPr>
          <w:iCs/>
          <w:sz w:val="24"/>
          <w:szCs w:val="24"/>
        </w:rPr>
        <w:t xml:space="preserve"> his abusive behaviour and maximis</w:t>
      </w:r>
      <w:r w:rsidR="00923BE9">
        <w:rPr>
          <w:iCs/>
          <w:sz w:val="24"/>
          <w:szCs w:val="24"/>
        </w:rPr>
        <w:t>e</w:t>
      </w:r>
      <w:r>
        <w:rPr>
          <w:iCs/>
          <w:sz w:val="24"/>
          <w:szCs w:val="24"/>
        </w:rPr>
        <w:t xml:space="preserve"> the intensity of their </w:t>
      </w:r>
      <w:r w:rsidR="00923BE9">
        <w:rPr>
          <w:iCs/>
          <w:sz w:val="24"/>
          <w:szCs w:val="24"/>
        </w:rPr>
        <w:t>bond to persuade</w:t>
      </w:r>
      <w:r w:rsidRPr="00BA3D6C">
        <w:rPr>
          <w:iCs/>
          <w:sz w:val="24"/>
          <w:szCs w:val="24"/>
        </w:rPr>
        <w:t xml:space="preserve"> the victim into retracting, knowing that her retraction will have the effect of terminating his prosecution.</w:t>
      </w:r>
      <w:r w:rsidRPr="00BA3D6C">
        <w:rPr>
          <w:rStyle w:val="FootnoteReference"/>
          <w:iCs/>
        </w:rPr>
        <w:footnoteReference w:id="32"/>
      </w:r>
      <w:r w:rsidR="00923BE9">
        <w:rPr>
          <w:iCs/>
          <w:sz w:val="24"/>
          <w:szCs w:val="24"/>
        </w:rPr>
        <w:t xml:space="preserve"> </w:t>
      </w:r>
      <w:r w:rsidR="002814E7">
        <w:rPr>
          <w:iCs/>
          <w:sz w:val="24"/>
          <w:szCs w:val="24"/>
        </w:rPr>
        <w:t xml:space="preserve">The risk that her stated request is not actually her preferred choice is </w:t>
      </w:r>
      <w:r w:rsidR="00D60026">
        <w:rPr>
          <w:iCs/>
          <w:sz w:val="24"/>
          <w:szCs w:val="24"/>
        </w:rPr>
        <w:t xml:space="preserve">therefore </w:t>
      </w:r>
      <w:r w:rsidR="002814E7">
        <w:rPr>
          <w:iCs/>
          <w:sz w:val="24"/>
          <w:szCs w:val="24"/>
        </w:rPr>
        <w:t xml:space="preserve">real. </w:t>
      </w:r>
      <w:r w:rsidR="00923BE9">
        <w:rPr>
          <w:iCs/>
          <w:sz w:val="24"/>
          <w:szCs w:val="24"/>
        </w:rPr>
        <w:t xml:space="preserve">The automatic drop approach also engenders in </w:t>
      </w:r>
      <w:r w:rsidR="00D60026">
        <w:rPr>
          <w:iCs/>
          <w:sz w:val="24"/>
          <w:szCs w:val="24"/>
        </w:rPr>
        <w:t xml:space="preserve">police, </w:t>
      </w:r>
      <w:r w:rsidR="00923BE9">
        <w:rPr>
          <w:iCs/>
          <w:sz w:val="24"/>
          <w:szCs w:val="24"/>
        </w:rPr>
        <w:t xml:space="preserve">prosecutors and </w:t>
      </w:r>
      <w:r w:rsidR="00D60026">
        <w:rPr>
          <w:iCs/>
          <w:sz w:val="24"/>
          <w:szCs w:val="24"/>
        </w:rPr>
        <w:t>other agents of the criminal justice system</w:t>
      </w:r>
      <w:r w:rsidR="00923BE9">
        <w:rPr>
          <w:iCs/>
          <w:sz w:val="24"/>
          <w:szCs w:val="24"/>
        </w:rPr>
        <w:t xml:space="preserve"> an impatience and cynicism about </w:t>
      </w:r>
      <w:r w:rsidR="005A5A89">
        <w:rPr>
          <w:iCs/>
          <w:sz w:val="24"/>
          <w:szCs w:val="24"/>
        </w:rPr>
        <w:t xml:space="preserve">the </w:t>
      </w:r>
      <w:r w:rsidR="00923BE9">
        <w:rPr>
          <w:iCs/>
          <w:sz w:val="24"/>
          <w:szCs w:val="24"/>
        </w:rPr>
        <w:t>victim</w:t>
      </w:r>
      <w:r w:rsidR="005A5A89">
        <w:rPr>
          <w:iCs/>
          <w:sz w:val="24"/>
          <w:szCs w:val="24"/>
        </w:rPr>
        <w:t>’s</w:t>
      </w:r>
      <w:r w:rsidR="00923BE9">
        <w:rPr>
          <w:iCs/>
          <w:sz w:val="24"/>
          <w:szCs w:val="24"/>
        </w:rPr>
        <w:t xml:space="preserve"> reliability and even her credibility.  </w:t>
      </w:r>
    </w:p>
    <w:p w14:paraId="4A0260DB" w14:textId="4A98CBB4" w:rsidR="00D07A3E" w:rsidRPr="00BA3D6C" w:rsidRDefault="00561126" w:rsidP="00D07A3E">
      <w:pPr>
        <w:spacing w:after="100" w:afterAutospacing="1" w:line="360" w:lineRule="auto"/>
        <w:ind w:firstLine="720"/>
        <w:rPr>
          <w:b/>
          <w:sz w:val="24"/>
          <w:szCs w:val="24"/>
        </w:rPr>
      </w:pPr>
      <w:bookmarkStart w:id="29" w:name="No_drop"/>
      <w:r>
        <w:rPr>
          <w:b/>
          <w:sz w:val="24"/>
          <w:szCs w:val="24"/>
        </w:rPr>
        <w:t>3</w:t>
      </w:r>
      <w:r w:rsidR="00D07A3E" w:rsidRPr="00BA3D6C">
        <w:rPr>
          <w:b/>
          <w:sz w:val="24"/>
          <w:szCs w:val="24"/>
        </w:rPr>
        <w:t xml:space="preserve"> (ii) ‘No-Drop’ Prosecution: Refusal to Discontinue Cases on Request</w:t>
      </w:r>
    </w:p>
    <w:bookmarkEnd w:id="29"/>
    <w:p w14:paraId="584A89E6" w14:textId="795D5DCE" w:rsidR="00D07A3E" w:rsidRDefault="00E12FA1" w:rsidP="00D95EEE">
      <w:pPr>
        <w:spacing w:after="0" w:line="360" w:lineRule="auto"/>
        <w:ind w:firstLine="720"/>
        <w:rPr>
          <w:rFonts w:eastAsia="Times New Roman"/>
          <w:iCs/>
          <w:sz w:val="24"/>
          <w:szCs w:val="24"/>
          <w:lang w:eastAsia="en-GB"/>
        </w:rPr>
      </w:pPr>
      <w:r w:rsidRPr="00BA3D6C">
        <w:rPr>
          <w:iCs/>
          <w:sz w:val="24"/>
          <w:szCs w:val="24"/>
        </w:rPr>
        <w:t xml:space="preserve">Advocates of no-drop prosecutions </w:t>
      </w:r>
      <w:r w:rsidR="002814E7">
        <w:rPr>
          <w:iCs/>
          <w:sz w:val="24"/>
          <w:szCs w:val="24"/>
        </w:rPr>
        <w:t>cite</w:t>
      </w:r>
      <w:r w:rsidR="000F5787">
        <w:rPr>
          <w:iCs/>
          <w:sz w:val="24"/>
          <w:szCs w:val="24"/>
        </w:rPr>
        <w:t xml:space="preserve"> that the approach</w:t>
      </w:r>
      <w:r w:rsidR="00D07A3E" w:rsidRPr="00BA3D6C">
        <w:rPr>
          <w:iCs/>
          <w:sz w:val="24"/>
          <w:szCs w:val="24"/>
        </w:rPr>
        <w:t xml:space="preserve"> averts the potential for th</w:t>
      </w:r>
      <w:r w:rsidR="000F5787">
        <w:rPr>
          <w:iCs/>
          <w:sz w:val="24"/>
          <w:szCs w:val="24"/>
        </w:rPr>
        <w:t>e transfer of</w:t>
      </w:r>
      <w:r w:rsidR="00D07A3E" w:rsidRPr="00BA3D6C">
        <w:rPr>
          <w:iCs/>
          <w:sz w:val="24"/>
          <w:szCs w:val="24"/>
        </w:rPr>
        <w:t xml:space="preserve"> power to the perpetrator, ensuring that the burden of whether or not to prosecute is taken out of the victim’s </w:t>
      </w:r>
      <w:r w:rsidR="000F5787">
        <w:rPr>
          <w:iCs/>
          <w:sz w:val="24"/>
          <w:szCs w:val="24"/>
        </w:rPr>
        <w:t xml:space="preserve">(and indirectly the perpetrator’s) </w:t>
      </w:r>
      <w:r w:rsidR="00D07A3E" w:rsidRPr="00BA3D6C">
        <w:rPr>
          <w:iCs/>
          <w:sz w:val="24"/>
          <w:szCs w:val="24"/>
        </w:rPr>
        <w:t>hands.</w:t>
      </w:r>
      <w:r w:rsidR="000F5787" w:rsidRPr="00BA3D6C">
        <w:rPr>
          <w:rStyle w:val="FootnoteReference"/>
          <w:iCs/>
        </w:rPr>
        <w:footnoteReference w:id="33"/>
      </w:r>
      <w:r w:rsidR="00D07A3E" w:rsidRPr="00BA3D6C">
        <w:rPr>
          <w:iCs/>
          <w:sz w:val="24"/>
          <w:szCs w:val="24"/>
        </w:rPr>
        <w:t xml:space="preserve"> </w:t>
      </w:r>
      <w:r w:rsidR="000F5787">
        <w:rPr>
          <w:iCs/>
          <w:sz w:val="24"/>
          <w:szCs w:val="24"/>
        </w:rPr>
        <w:t>N</w:t>
      </w:r>
      <w:r w:rsidR="00D07A3E" w:rsidRPr="00BA3D6C">
        <w:rPr>
          <w:iCs/>
          <w:sz w:val="24"/>
          <w:szCs w:val="24"/>
        </w:rPr>
        <w:t>o-drop prosecutions which remove, or largely remove, the prosecutor’s exercise of discretion to discontinue the case</w:t>
      </w:r>
      <w:r w:rsidR="000F5787">
        <w:rPr>
          <w:iCs/>
          <w:sz w:val="24"/>
          <w:szCs w:val="24"/>
        </w:rPr>
        <w:t xml:space="preserve"> also</w:t>
      </w:r>
      <w:r w:rsidR="00D07A3E" w:rsidRPr="00BA3D6C">
        <w:rPr>
          <w:iCs/>
          <w:sz w:val="24"/>
          <w:szCs w:val="24"/>
        </w:rPr>
        <w:t xml:space="preserve"> recognise that, often, victims cannot be relied upon to bring offenders to account; </w:t>
      </w:r>
      <w:r w:rsidR="00E613EA">
        <w:rPr>
          <w:iCs/>
          <w:sz w:val="24"/>
          <w:szCs w:val="24"/>
        </w:rPr>
        <w:t>retracting or failing to attend court because they</w:t>
      </w:r>
      <w:r w:rsidR="00D07A3E" w:rsidRPr="00BA3D6C">
        <w:rPr>
          <w:iCs/>
          <w:sz w:val="24"/>
          <w:szCs w:val="24"/>
        </w:rPr>
        <w:t xml:space="preserve"> </w:t>
      </w:r>
      <w:r w:rsidR="00D07A3E">
        <w:rPr>
          <w:iCs/>
          <w:sz w:val="24"/>
          <w:szCs w:val="24"/>
        </w:rPr>
        <w:t xml:space="preserve">wrongly </w:t>
      </w:r>
      <w:r w:rsidR="00D07A3E" w:rsidRPr="00BA3D6C">
        <w:rPr>
          <w:iCs/>
          <w:sz w:val="24"/>
          <w:szCs w:val="24"/>
        </w:rPr>
        <w:t>minimise</w:t>
      </w:r>
      <w:r w:rsidR="00D07A3E">
        <w:rPr>
          <w:iCs/>
          <w:sz w:val="24"/>
          <w:szCs w:val="24"/>
        </w:rPr>
        <w:t xml:space="preserve"> or blame themselves</w:t>
      </w:r>
      <w:r w:rsidR="00D07A3E" w:rsidRPr="00BA3D6C">
        <w:rPr>
          <w:iCs/>
          <w:sz w:val="24"/>
          <w:szCs w:val="24"/>
        </w:rPr>
        <w:t xml:space="preserve">. </w:t>
      </w:r>
      <w:r w:rsidR="000F5787">
        <w:rPr>
          <w:iCs/>
          <w:sz w:val="24"/>
          <w:szCs w:val="24"/>
        </w:rPr>
        <w:t xml:space="preserve">The psychological consequences of </w:t>
      </w:r>
      <w:r w:rsidR="00E613EA">
        <w:rPr>
          <w:iCs/>
          <w:sz w:val="24"/>
          <w:szCs w:val="24"/>
        </w:rPr>
        <w:t xml:space="preserve">a </w:t>
      </w:r>
      <w:r w:rsidR="000F5787">
        <w:rPr>
          <w:iCs/>
          <w:sz w:val="24"/>
          <w:szCs w:val="24"/>
        </w:rPr>
        <w:t xml:space="preserve">coercively controlling relationship can </w:t>
      </w:r>
      <w:r w:rsidR="00E613EA">
        <w:rPr>
          <w:iCs/>
          <w:sz w:val="24"/>
          <w:szCs w:val="24"/>
        </w:rPr>
        <w:t>contribute to</w:t>
      </w:r>
      <w:r w:rsidR="000F5787">
        <w:rPr>
          <w:iCs/>
          <w:sz w:val="24"/>
          <w:szCs w:val="24"/>
        </w:rPr>
        <w:t xml:space="preserve"> a woman’s loss of self-confidence, self-esteem and </w:t>
      </w:r>
      <w:r w:rsidR="00E613EA">
        <w:rPr>
          <w:iCs/>
          <w:sz w:val="24"/>
          <w:szCs w:val="24"/>
        </w:rPr>
        <w:t xml:space="preserve">a failure to </w:t>
      </w:r>
      <w:r w:rsidR="000F5787">
        <w:rPr>
          <w:iCs/>
          <w:sz w:val="24"/>
          <w:szCs w:val="24"/>
        </w:rPr>
        <w:t>belie</w:t>
      </w:r>
      <w:r w:rsidR="00E613EA">
        <w:rPr>
          <w:iCs/>
          <w:sz w:val="24"/>
          <w:szCs w:val="24"/>
        </w:rPr>
        <w:t>ve</w:t>
      </w:r>
      <w:r w:rsidR="000F5787">
        <w:rPr>
          <w:iCs/>
          <w:sz w:val="24"/>
          <w:szCs w:val="24"/>
        </w:rPr>
        <w:t xml:space="preserve"> in her own </w:t>
      </w:r>
      <w:r w:rsidR="00E613EA">
        <w:rPr>
          <w:iCs/>
          <w:sz w:val="24"/>
          <w:szCs w:val="24"/>
        </w:rPr>
        <w:t xml:space="preserve">capacity for </w:t>
      </w:r>
      <w:r w:rsidR="000F5787">
        <w:rPr>
          <w:iCs/>
          <w:sz w:val="24"/>
          <w:szCs w:val="24"/>
        </w:rPr>
        <w:t>agency</w:t>
      </w:r>
      <w:r w:rsidR="00E613EA">
        <w:rPr>
          <w:iCs/>
          <w:sz w:val="24"/>
          <w:szCs w:val="24"/>
        </w:rPr>
        <w:t xml:space="preserve"> to bring about change in what Lenore Walker </w:t>
      </w:r>
      <w:r w:rsidR="00D60026">
        <w:rPr>
          <w:iCs/>
          <w:sz w:val="24"/>
          <w:szCs w:val="24"/>
        </w:rPr>
        <w:t xml:space="preserve">has </w:t>
      </w:r>
      <w:r w:rsidR="00E613EA">
        <w:rPr>
          <w:iCs/>
          <w:sz w:val="24"/>
          <w:szCs w:val="24"/>
        </w:rPr>
        <w:t>called ‘learned helplessness’.</w:t>
      </w:r>
      <w:r w:rsidR="00D95EEE">
        <w:rPr>
          <w:rStyle w:val="FootnoteReference"/>
          <w:iCs/>
          <w:sz w:val="24"/>
          <w:szCs w:val="24"/>
        </w:rPr>
        <w:footnoteReference w:id="34"/>
      </w:r>
      <w:r w:rsidR="000F5787">
        <w:rPr>
          <w:iCs/>
          <w:sz w:val="24"/>
          <w:szCs w:val="24"/>
        </w:rPr>
        <w:t xml:space="preserve"> </w:t>
      </w:r>
      <w:r w:rsidR="00E613EA">
        <w:rPr>
          <w:iCs/>
          <w:sz w:val="24"/>
          <w:szCs w:val="24"/>
        </w:rPr>
        <w:t>The effects of gaslighting (where a perpetrator</w:t>
      </w:r>
      <w:r w:rsidR="00555CC7">
        <w:rPr>
          <w:iCs/>
          <w:sz w:val="24"/>
          <w:szCs w:val="24"/>
        </w:rPr>
        <w:t>'s</w:t>
      </w:r>
      <w:r w:rsidR="00E613EA">
        <w:rPr>
          <w:iCs/>
          <w:sz w:val="24"/>
          <w:szCs w:val="24"/>
        </w:rPr>
        <w:t xml:space="preserve"> behaviours might include lying about events or </w:t>
      </w:r>
      <w:r w:rsidR="00555CC7">
        <w:rPr>
          <w:iCs/>
          <w:sz w:val="24"/>
          <w:szCs w:val="24"/>
        </w:rPr>
        <w:t>the victim’s</w:t>
      </w:r>
      <w:r w:rsidR="00E613EA">
        <w:rPr>
          <w:iCs/>
          <w:sz w:val="24"/>
          <w:szCs w:val="24"/>
        </w:rPr>
        <w:t xml:space="preserve"> abilities, manipulat</w:t>
      </w:r>
      <w:r w:rsidR="00555CC7">
        <w:rPr>
          <w:iCs/>
          <w:sz w:val="24"/>
          <w:szCs w:val="24"/>
        </w:rPr>
        <w:t>ing</w:t>
      </w:r>
      <w:r w:rsidR="00E613EA">
        <w:rPr>
          <w:iCs/>
          <w:sz w:val="24"/>
          <w:szCs w:val="24"/>
        </w:rPr>
        <w:t xml:space="preserve"> </w:t>
      </w:r>
      <w:r w:rsidR="00555CC7">
        <w:rPr>
          <w:iCs/>
          <w:sz w:val="24"/>
          <w:szCs w:val="24"/>
        </w:rPr>
        <w:t>the victim’s decision-</w:t>
      </w:r>
      <w:r w:rsidR="00555CC7">
        <w:rPr>
          <w:iCs/>
          <w:sz w:val="24"/>
          <w:szCs w:val="24"/>
        </w:rPr>
        <w:lastRenderedPageBreak/>
        <w:t>making and choices and</w:t>
      </w:r>
      <w:r w:rsidR="00E613EA">
        <w:rPr>
          <w:iCs/>
          <w:sz w:val="24"/>
          <w:szCs w:val="24"/>
        </w:rPr>
        <w:t xml:space="preserve"> minimis</w:t>
      </w:r>
      <w:r w:rsidR="00555CC7">
        <w:rPr>
          <w:iCs/>
          <w:sz w:val="24"/>
          <w:szCs w:val="24"/>
        </w:rPr>
        <w:t>ing or denying hi</w:t>
      </w:r>
      <w:r w:rsidR="00E613EA">
        <w:rPr>
          <w:iCs/>
          <w:sz w:val="24"/>
          <w:szCs w:val="24"/>
        </w:rPr>
        <w:t xml:space="preserve">s </w:t>
      </w:r>
      <w:r w:rsidR="00555CC7">
        <w:rPr>
          <w:iCs/>
          <w:sz w:val="24"/>
          <w:szCs w:val="24"/>
        </w:rPr>
        <w:t xml:space="preserve">own abusive </w:t>
      </w:r>
      <w:r w:rsidR="00E613EA">
        <w:rPr>
          <w:iCs/>
          <w:sz w:val="24"/>
          <w:szCs w:val="24"/>
        </w:rPr>
        <w:t>behaviours</w:t>
      </w:r>
      <w:r w:rsidR="00D95EEE">
        <w:rPr>
          <w:iCs/>
          <w:sz w:val="24"/>
          <w:szCs w:val="24"/>
        </w:rPr>
        <w:t xml:space="preserve">) can </w:t>
      </w:r>
      <w:r w:rsidR="00555CC7">
        <w:rPr>
          <w:iCs/>
          <w:sz w:val="24"/>
          <w:szCs w:val="24"/>
        </w:rPr>
        <w:t xml:space="preserve">undermine </w:t>
      </w:r>
      <w:r w:rsidR="00D95EEE">
        <w:rPr>
          <w:iCs/>
          <w:sz w:val="24"/>
          <w:szCs w:val="24"/>
        </w:rPr>
        <w:t>a</w:t>
      </w:r>
      <w:r w:rsidR="00555CC7">
        <w:rPr>
          <w:iCs/>
          <w:sz w:val="24"/>
          <w:szCs w:val="24"/>
        </w:rPr>
        <w:t xml:space="preserve"> victim’s</w:t>
      </w:r>
      <w:r w:rsidR="00D60026">
        <w:rPr>
          <w:iCs/>
          <w:sz w:val="24"/>
          <w:szCs w:val="24"/>
        </w:rPr>
        <w:t xml:space="preserve"> </w:t>
      </w:r>
      <w:r w:rsidR="00555CC7" w:rsidRPr="00D60026">
        <w:rPr>
          <w:iCs/>
          <w:sz w:val="24"/>
          <w:szCs w:val="24"/>
        </w:rPr>
        <w:t>perception, judg</w:t>
      </w:r>
      <w:r w:rsidR="00A612B7">
        <w:rPr>
          <w:iCs/>
          <w:sz w:val="24"/>
          <w:szCs w:val="24"/>
        </w:rPr>
        <w:t>e</w:t>
      </w:r>
      <w:r w:rsidR="00555CC7" w:rsidRPr="00D60026">
        <w:rPr>
          <w:iCs/>
          <w:sz w:val="24"/>
          <w:szCs w:val="24"/>
        </w:rPr>
        <w:t>ment</w:t>
      </w:r>
      <w:r w:rsidR="00D60026" w:rsidRPr="00D60026">
        <w:rPr>
          <w:iCs/>
          <w:sz w:val="24"/>
          <w:szCs w:val="24"/>
        </w:rPr>
        <w:t xml:space="preserve"> or even memory</w:t>
      </w:r>
      <w:r w:rsidR="00D60026">
        <w:rPr>
          <w:iCs/>
          <w:sz w:val="24"/>
          <w:szCs w:val="24"/>
        </w:rPr>
        <w:t>.</w:t>
      </w:r>
      <w:r w:rsidR="00D95EEE" w:rsidRPr="00D60026">
        <w:rPr>
          <w:iCs/>
          <w:sz w:val="24"/>
          <w:szCs w:val="24"/>
        </w:rPr>
        <w:t xml:space="preserve"> </w:t>
      </w:r>
      <w:r w:rsidR="00D60026">
        <w:rPr>
          <w:iCs/>
          <w:sz w:val="24"/>
          <w:szCs w:val="24"/>
        </w:rPr>
        <w:t xml:space="preserve">As a consequence, </w:t>
      </w:r>
      <w:r w:rsidR="00D95EEE">
        <w:rPr>
          <w:rFonts w:ascii="Segoe UI" w:hAnsi="Segoe UI" w:cs="Segoe UI"/>
          <w:color w:val="111111"/>
          <w:shd w:val="clear" w:color="auto" w:fill="FFFFFF"/>
        </w:rPr>
        <w:t xml:space="preserve">victims </w:t>
      </w:r>
      <w:r w:rsidR="00D60026">
        <w:rPr>
          <w:rFonts w:ascii="Segoe UI" w:hAnsi="Segoe UI" w:cs="Segoe UI"/>
          <w:color w:val="111111"/>
          <w:shd w:val="clear" w:color="auto" w:fill="FFFFFF"/>
        </w:rPr>
        <w:t>can be</w:t>
      </w:r>
      <w:r w:rsidR="00D95EEE">
        <w:rPr>
          <w:rFonts w:ascii="Segoe UI" w:hAnsi="Segoe UI" w:cs="Segoe UI"/>
          <w:color w:val="111111"/>
          <w:shd w:val="clear" w:color="auto" w:fill="FFFFFF"/>
        </w:rPr>
        <w:t xml:space="preserve"> </w:t>
      </w:r>
      <w:r w:rsidR="00D07A3E" w:rsidRPr="00BA3D6C">
        <w:rPr>
          <w:iCs/>
          <w:sz w:val="24"/>
          <w:szCs w:val="24"/>
        </w:rPr>
        <w:t>reluctan</w:t>
      </w:r>
      <w:r w:rsidR="00D07A3E">
        <w:rPr>
          <w:iCs/>
          <w:sz w:val="24"/>
          <w:szCs w:val="24"/>
        </w:rPr>
        <w:t>t</w:t>
      </w:r>
      <w:r w:rsidR="00D07A3E" w:rsidRPr="00BA3D6C">
        <w:rPr>
          <w:iCs/>
          <w:sz w:val="24"/>
          <w:szCs w:val="24"/>
        </w:rPr>
        <w:t xml:space="preserve"> to cooperate with a prosecution </w:t>
      </w:r>
      <w:r w:rsidR="00D07A3E">
        <w:rPr>
          <w:iCs/>
          <w:sz w:val="24"/>
          <w:szCs w:val="24"/>
        </w:rPr>
        <w:t>because they</w:t>
      </w:r>
      <w:r w:rsidR="00D60026">
        <w:rPr>
          <w:iCs/>
          <w:sz w:val="24"/>
          <w:szCs w:val="24"/>
        </w:rPr>
        <w:t xml:space="preserve"> </w:t>
      </w:r>
      <w:r w:rsidR="00D07A3E">
        <w:rPr>
          <w:iCs/>
          <w:sz w:val="24"/>
          <w:szCs w:val="24"/>
        </w:rPr>
        <w:t>‘</w:t>
      </w:r>
      <w:r w:rsidR="00D07A3E" w:rsidRPr="00BA3D6C">
        <w:rPr>
          <w:iCs/>
          <w:sz w:val="24"/>
          <w:szCs w:val="24"/>
        </w:rPr>
        <w:t xml:space="preserve">fail to see that criminal intervention can assist in the shared goal of getting </w:t>
      </w:r>
      <w:r w:rsidR="00D07A3E">
        <w:rPr>
          <w:iCs/>
          <w:sz w:val="24"/>
          <w:szCs w:val="24"/>
        </w:rPr>
        <w:t>t</w:t>
      </w:r>
      <w:r w:rsidR="00D07A3E" w:rsidRPr="00BA3D6C">
        <w:rPr>
          <w:iCs/>
          <w:sz w:val="24"/>
          <w:szCs w:val="24"/>
        </w:rPr>
        <w:t>heir abuser to stop the violence’.</w:t>
      </w:r>
      <w:r w:rsidR="00D07A3E" w:rsidRPr="00BA3D6C">
        <w:rPr>
          <w:rStyle w:val="FootnoteReference"/>
          <w:iCs/>
        </w:rPr>
        <w:footnoteReference w:id="35"/>
      </w:r>
      <w:r w:rsidR="00D07A3E" w:rsidRPr="00BA3D6C">
        <w:rPr>
          <w:iCs/>
          <w:sz w:val="24"/>
          <w:szCs w:val="24"/>
        </w:rPr>
        <w:t xml:space="preserve"> </w:t>
      </w:r>
      <w:r w:rsidR="00D07A3E" w:rsidRPr="00EB4777">
        <w:rPr>
          <w:i/>
          <w:sz w:val="24"/>
          <w:szCs w:val="24"/>
        </w:rPr>
        <w:t>Requiring</w:t>
      </w:r>
      <w:r w:rsidR="00D07A3E" w:rsidRPr="00BA3D6C">
        <w:rPr>
          <w:iCs/>
          <w:sz w:val="24"/>
          <w:szCs w:val="24"/>
        </w:rPr>
        <w:t xml:space="preserve"> criminal intervention </w:t>
      </w:r>
      <w:r w:rsidR="00D60026">
        <w:rPr>
          <w:iCs/>
          <w:sz w:val="24"/>
          <w:szCs w:val="24"/>
        </w:rPr>
        <w:t xml:space="preserve">through a no-drop approach </w:t>
      </w:r>
      <w:r w:rsidR="00D07A3E">
        <w:rPr>
          <w:iCs/>
          <w:sz w:val="24"/>
          <w:szCs w:val="24"/>
        </w:rPr>
        <w:t>ensures that</w:t>
      </w:r>
      <w:r w:rsidR="00D07A3E" w:rsidRPr="00BA3D6C">
        <w:rPr>
          <w:iCs/>
          <w:sz w:val="24"/>
          <w:szCs w:val="24"/>
        </w:rPr>
        <w:t xml:space="preserve"> any benefit that the victim might receive from the </w:t>
      </w:r>
      <w:r w:rsidR="00D07A3E">
        <w:rPr>
          <w:iCs/>
          <w:sz w:val="24"/>
          <w:szCs w:val="24"/>
        </w:rPr>
        <w:t>criminal process</w:t>
      </w:r>
      <w:r w:rsidR="00D07A3E" w:rsidRPr="00BA3D6C">
        <w:rPr>
          <w:iCs/>
          <w:sz w:val="24"/>
          <w:szCs w:val="24"/>
        </w:rPr>
        <w:t xml:space="preserve"> is </w:t>
      </w:r>
      <w:r w:rsidR="00D07A3E" w:rsidRPr="00BA3D6C">
        <w:rPr>
          <w:rFonts w:eastAsia="Times New Roman"/>
          <w:iCs/>
          <w:sz w:val="24"/>
          <w:szCs w:val="24"/>
          <w:lang w:eastAsia="en-GB"/>
        </w:rPr>
        <w:t>facilitated.</w:t>
      </w:r>
    </w:p>
    <w:p w14:paraId="2ED12A0E" w14:textId="709A7A18" w:rsidR="00D95EEE" w:rsidRDefault="00D95EEE" w:rsidP="00561126">
      <w:pPr>
        <w:spacing w:after="100" w:afterAutospacing="1" w:line="360" w:lineRule="auto"/>
        <w:ind w:firstLine="720"/>
        <w:rPr>
          <w:rFonts w:eastAsia="Times New Roman"/>
          <w:iCs/>
          <w:sz w:val="24"/>
          <w:szCs w:val="24"/>
          <w:lang w:eastAsia="en-GB"/>
        </w:rPr>
      </w:pPr>
      <w:r w:rsidRPr="00A2123C">
        <w:rPr>
          <w:rFonts w:eastAsia="Times New Roman"/>
          <w:iCs/>
          <w:sz w:val="24"/>
          <w:szCs w:val="24"/>
          <w:lang w:eastAsia="en-GB"/>
        </w:rPr>
        <w:t xml:space="preserve">However, if the </w:t>
      </w:r>
      <w:r>
        <w:rPr>
          <w:rFonts w:eastAsia="Times New Roman"/>
          <w:iCs/>
          <w:sz w:val="24"/>
          <w:szCs w:val="24"/>
          <w:lang w:eastAsia="en-GB"/>
        </w:rPr>
        <w:t>s</w:t>
      </w:r>
      <w:r w:rsidRPr="00A2123C">
        <w:rPr>
          <w:rFonts w:eastAsia="Times New Roman"/>
          <w:iCs/>
          <w:sz w:val="24"/>
          <w:szCs w:val="24"/>
          <w:lang w:eastAsia="en-GB"/>
        </w:rPr>
        <w:t>tate</w:t>
      </w:r>
      <w:r>
        <w:rPr>
          <w:rFonts w:eastAsia="Times New Roman"/>
          <w:iCs/>
          <w:sz w:val="24"/>
          <w:szCs w:val="24"/>
          <w:lang w:eastAsia="en-GB"/>
        </w:rPr>
        <w:t xml:space="preserve"> wishes to help </w:t>
      </w:r>
      <w:r w:rsidRPr="00A2123C">
        <w:rPr>
          <w:rFonts w:eastAsia="Times New Roman"/>
          <w:iCs/>
          <w:sz w:val="24"/>
          <w:szCs w:val="24"/>
          <w:lang w:eastAsia="en-GB"/>
        </w:rPr>
        <w:t xml:space="preserve">keep women safe, no-drop prosecutions </w:t>
      </w:r>
      <w:r w:rsidR="00D60026">
        <w:rPr>
          <w:rFonts w:eastAsia="Times New Roman"/>
          <w:iCs/>
          <w:sz w:val="24"/>
          <w:szCs w:val="24"/>
          <w:lang w:eastAsia="en-GB"/>
        </w:rPr>
        <w:t>can</w:t>
      </w:r>
      <w:r w:rsidRPr="00020582">
        <w:rPr>
          <w:rFonts w:eastAsia="Times New Roman"/>
          <w:iCs/>
          <w:sz w:val="24"/>
          <w:szCs w:val="24"/>
          <w:lang w:eastAsia="en-GB"/>
        </w:rPr>
        <w:t xml:space="preserve"> contradict the effort. </w:t>
      </w:r>
      <w:r>
        <w:rPr>
          <w:rFonts w:eastAsia="Times New Roman"/>
          <w:iCs/>
          <w:sz w:val="24"/>
          <w:szCs w:val="24"/>
          <w:lang w:eastAsia="en-GB"/>
        </w:rPr>
        <w:t>I</w:t>
      </w:r>
      <w:r w:rsidRPr="00020582">
        <w:rPr>
          <w:rFonts w:eastAsia="Times New Roman"/>
          <w:iCs/>
          <w:sz w:val="24"/>
          <w:szCs w:val="24"/>
          <w:lang w:eastAsia="en-GB"/>
        </w:rPr>
        <w:t>nflexibly pursuing the prosecution has disadvantages</w:t>
      </w:r>
      <w:r w:rsidR="00A612B7">
        <w:rPr>
          <w:rFonts w:eastAsia="Times New Roman"/>
          <w:iCs/>
          <w:sz w:val="24"/>
          <w:szCs w:val="24"/>
          <w:lang w:eastAsia="en-GB"/>
        </w:rPr>
        <w:t xml:space="preserve">. </w:t>
      </w:r>
      <w:r w:rsidR="00D57086">
        <w:rPr>
          <w:rFonts w:eastAsia="Times New Roman"/>
          <w:iCs/>
          <w:sz w:val="24"/>
          <w:szCs w:val="24"/>
          <w:lang w:eastAsia="en-GB"/>
        </w:rPr>
        <w:t>First</w:t>
      </w:r>
      <w:r w:rsidR="007B219B">
        <w:rPr>
          <w:rFonts w:eastAsia="Times New Roman"/>
          <w:iCs/>
          <w:sz w:val="24"/>
          <w:szCs w:val="24"/>
          <w:lang w:eastAsia="en-GB"/>
        </w:rPr>
        <w:t>, in the absence of protections such as safe housing or the defendant’s remand into custody, the v</w:t>
      </w:r>
      <w:r w:rsidRPr="00020582">
        <w:rPr>
          <w:rFonts w:eastAsia="Times New Roman"/>
          <w:iCs/>
          <w:sz w:val="24"/>
          <w:szCs w:val="24"/>
          <w:lang w:eastAsia="en-GB"/>
        </w:rPr>
        <w:t>ictim</w:t>
      </w:r>
      <w:r w:rsidR="007B219B">
        <w:rPr>
          <w:rFonts w:eastAsia="Times New Roman"/>
          <w:iCs/>
          <w:sz w:val="24"/>
          <w:szCs w:val="24"/>
          <w:lang w:eastAsia="en-GB"/>
        </w:rPr>
        <w:t xml:space="preserve"> is at (increased)</w:t>
      </w:r>
      <w:r w:rsidRPr="00020582">
        <w:rPr>
          <w:rFonts w:eastAsia="Times New Roman"/>
          <w:iCs/>
          <w:sz w:val="24"/>
          <w:szCs w:val="24"/>
          <w:lang w:eastAsia="en-GB"/>
        </w:rPr>
        <w:t xml:space="preserve"> risk of</w:t>
      </w:r>
      <w:r>
        <w:rPr>
          <w:rFonts w:eastAsia="Times New Roman"/>
          <w:iCs/>
          <w:sz w:val="24"/>
          <w:szCs w:val="24"/>
          <w:lang w:eastAsia="en-GB"/>
        </w:rPr>
        <w:t xml:space="preserve"> violence </w:t>
      </w:r>
      <w:r w:rsidRPr="00020582">
        <w:rPr>
          <w:rFonts w:eastAsia="Times New Roman"/>
          <w:iCs/>
          <w:sz w:val="24"/>
          <w:szCs w:val="24"/>
          <w:lang w:eastAsia="en-GB"/>
        </w:rPr>
        <w:t>whilst being involved in proceedings</w:t>
      </w:r>
      <w:r w:rsidR="007B219B">
        <w:rPr>
          <w:rFonts w:eastAsia="Times New Roman"/>
          <w:iCs/>
          <w:sz w:val="24"/>
          <w:szCs w:val="24"/>
          <w:lang w:eastAsia="en-GB"/>
        </w:rPr>
        <w:t>.</w:t>
      </w:r>
      <w:r>
        <w:rPr>
          <w:rStyle w:val="FootnoteReference"/>
          <w:rFonts w:eastAsia="Times New Roman"/>
          <w:iCs/>
          <w:lang w:eastAsia="en-GB"/>
        </w:rPr>
        <w:footnoteReference w:id="36"/>
      </w:r>
      <w:r w:rsidR="007B219B">
        <w:rPr>
          <w:rFonts w:eastAsia="Times New Roman"/>
          <w:iCs/>
          <w:sz w:val="24"/>
          <w:szCs w:val="24"/>
          <w:lang w:eastAsia="en-GB"/>
        </w:rPr>
        <w:t xml:space="preserve"> This is because of the potential for retaliatory abuse</w:t>
      </w:r>
      <w:r w:rsidR="00A612B7">
        <w:rPr>
          <w:rFonts w:eastAsia="Times New Roman"/>
          <w:iCs/>
          <w:sz w:val="24"/>
          <w:szCs w:val="24"/>
          <w:lang w:eastAsia="en-GB"/>
        </w:rPr>
        <w:t>. E</w:t>
      </w:r>
      <w:r w:rsidR="007B219B">
        <w:rPr>
          <w:rFonts w:eastAsia="Times New Roman"/>
          <w:iCs/>
          <w:sz w:val="24"/>
          <w:szCs w:val="24"/>
          <w:lang w:eastAsia="en-GB"/>
        </w:rPr>
        <w:t xml:space="preserve">specially in the context of </w:t>
      </w:r>
      <w:r w:rsidR="00D30AB8">
        <w:rPr>
          <w:rFonts w:eastAsia="Times New Roman"/>
          <w:iCs/>
          <w:sz w:val="24"/>
          <w:szCs w:val="24"/>
          <w:lang w:eastAsia="en-GB"/>
        </w:rPr>
        <w:t>a survivor asserting themselves by invoking the law, a perpetrator may attack as a means of trying to reassert control in the relationship.</w:t>
      </w:r>
      <w:r w:rsidR="00D30AB8">
        <w:rPr>
          <w:rStyle w:val="FootnoteReference"/>
          <w:rFonts w:eastAsia="Times New Roman"/>
          <w:iCs/>
          <w:sz w:val="24"/>
          <w:szCs w:val="24"/>
          <w:lang w:eastAsia="en-GB"/>
        </w:rPr>
        <w:footnoteReference w:id="37"/>
      </w:r>
      <w:r w:rsidRPr="00020582">
        <w:rPr>
          <w:rFonts w:eastAsia="Times New Roman"/>
          <w:iCs/>
          <w:sz w:val="24"/>
          <w:szCs w:val="24"/>
          <w:lang w:eastAsia="en-GB"/>
        </w:rPr>
        <w:t xml:space="preserve"> </w:t>
      </w:r>
      <w:r w:rsidR="00D57086">
        <w:rPr>
          <w:rFonts w:eastAsia="Times New Roman"/>
          <w:iCs/>
          <w:sz w:val="24"/>
          <w:szCs w:val="24"/>
          <w:lang w:eastAsia="en-GB"/>
        </w:rPr>
        <w:t>Second</w:t>
      </w:r>
      <w:r w:rsidR="00D30AB8">
        <w:rPr>
          <w:rFonts w:eastAsia="Times New Roman"/>
          <w:iCs/>
          <w:sz w:val="24"/>
          <w:szCs w:val="24"/>
          <w:lang w:eastAsia="en-GB"/>
        </w:rPr>
        <w:t>, if the victim’s situation and stated wishes are ignored it can</w:t>
      </w:r>
      <w:r w:rsidRPr="00020582">
        <w:rPr>
          <w:rFonts w:eastAsia="Times New Roman"/>
          <w:iCs/>
          <w:sz w:val="24"/>
          <w:szCs w:val="24"/>
          <w:lang w:eastAsia="en-GB"/>
        </w:rPr>
        <w:t xml:space="preserve"> cause victims to lose confidence in criminal justice agents’ ability to act in their best interests</w:t>
      </w:r>
      <w:r>
        <w:rPr>
          <w:rFonts w:eastAsia="Times New Roman"/>
          <w:iCs/>
          <w:sz w:val="24"/>
          <w:szCs w:val="24"/>
          <w:lang w:eastAsia="en-GB"/>
        </w:rPr>
        <w:t>,</w:t>
      </w:r>
      <w:r w:rsidRPr="00020582">
        <w:rPr>
          <w:rFonts w:eastAsia="Times New Roman"/>
          <w:iCs/>
          <w:sz w:val="24"/>
          <w:szCs w:val="24"/>
          <w:lang w:eastAsia="en-GB"/>
        </w:rPr>
        <w:t xml:space="preserve"> instil</w:t>
      </w:r>
      <w:r>
        <w:rPr>
          <w:rFonts w:eastAsia="Times New Roman"/>
          <w:iCs/>
          <w:sz w:val="24"/>
          <w:szCs w:val="24"/>
          <w:lang w:eastAsia="en-GB"/>
        </w:rPr>
        <w:t>ling</w:t>
      </w:r>
      <w:r w:rsidRPr="00020582">
        <w:rPr>
          <w:rFonts w:eastAsia="Times New Roman"/>
          <w:iCs/>
          <w:sz w:val="24"/>
          <w:szCs w:val="24"/>
          <w:lang w:eastAsia="en-GB"/>
        </w:rPr>
        <w:t xml:space="preserve"> </w:t>
      </w:r>
      <w:r>
        <w:rPr>
          <w:rFonts w:eastAsia="Times New Roman"/>
          <w:iCs/>
          <w:sz w:val="24"/>
          <w:szCs w:val="24"/>
          <w:lang w:eastAsia="en-GB"/>
        </w:rPr>
        <w:t>in them</w:t>
      </w:r>
      <w:r w:rsidRPr="00020582">
        <w:rPr>
          <w:rFonts w:eastAsia="Times New Roman"/>
          <w:iCs/>
          <w:sz w:val="24"/>
          <w:szCs w:val="24"/>
          <w:lang w:eastAsia="en-GB"/>
        </w:rPr>
        <w:t xml:space="preserve"> reluctance to call </w:t>
      </w:r>
      <w:r>
        <w:rPr>
          <w:rFonts w:eastAsia="Times New Roman"/>
          <w:iCs/>
          <w:sz w:val="24"/>
          <w:szCs w:val="24"/>
          <w:lang w:eastAsia="en-GB"/>
        </w:rPr>
        <w:t>police in an emergency</w:t>
      </w:r>
      <w:r w:rsidRPr="00020582">
        <w:rPr>
          <w:rFonts w:eastAsia="Times New Roman"/>
          <w:iCs/>
          <w:sz w:val="24"/>
          <w:szCs w:val="24"/>
          <w:lang w:eastAsia="en-GB"/>
        </w:rPr>
        <w:t xml:space="preserve"> in the future.</w:t>
      </w:r>
      <w:r w:rsidRPr="00020582">
        <w:rPr>
          <w:rStyle w:val="FootnoteReference"/>
          <w:rFonts w:eastAsia="Times New Roman"/>
          <w:iCs/>
          <w:lang w:eastAsia="en-GB"/>
        </w:rPr>
        <w:footnoteReference w:id="38"/>
      </w:r>
      <w:r w:rsidRPr="00020582">
        <w:rPr>
          <w:rFonts w:eastAsia="Times New Roman"/>
          <w:iCs/>
          <w:sz w:val="24"/>
          <w:szCs w:val="24"/>
          <w:lang w:eastAsia="en-GB"/>
        </w:rPr>
        <w:t xml:space="preserve"> </w:t>
      </w:r>
      <w:r w:rsidR="000948DA">
        <w:rPr>
          <w:rFonts w:eastAsia="Times New Roman"/>
          <w:iCs/>
          <w:sz w:val="24"/>
          <w:szCs w:val="24"/>
          <w:lang w:eastAsia="en-GB"/>
        </w:rPr>
        <w:t xml:space="preserve">Third, </w:t>
      </w:r>
      <w:r w:rsidR="000948DA" w:rsidRPr="00A2123C">
        <w:rPr>
          <w:rFonts w:eastAsia="Times New Roman"/>
          <w:iCs/>
          <w:sz w:val="24"/>
          <w:szCs w:val="24"/>
          <w:lang w:eastAsia="en-GB"/>
        </w:rPr>
        <w:t>no-drop prosecutions can have the effect of overlooking women’s agency</w:t>
      </w:r>
      <w:r w:rsidR="000948DA">
        <w:rPr>
          <w:rFonts w:eastAsia="Times New Roman"/>
          <w:iCs/>
          <w:sz w:val="24"/>
          <w:szCs w:val="24"/>
          <w:lang w:eastAsia="en-GB"/>
        </w:rPr>
        <w:t xml:space="preserve">, leaving them with a reduced sense of personal control over their lives, confirming messages that a perpetrator may have instilled </w:t>
      </w:r>
      <w:r w:rsidR="00A612B7">
        <w:rPr>
          <w:rFonts w:eastAsia="Times New Roman"/>
          <w:iCs/>
          <w:sz w:val="24"/>
          <w:szCs w:val="24"/>
          <w:lang w:eastAsia="en-GB"/>
        </w:rPr>
        <w:t xml:space="preserve">throughout the relationship </w:t>
      </w:r>
      <w:r w:rsidR="000948DA">
        <w:rPr>
          <w:rFonts w:eastAsia="Times New Roman"/>
          <w:iCs/>
          <w:sz w:val="24"/>
          <w:szCs w:val="24"/>
          <w:lang w:eastAsia="en-GB"/>
        </w:rPr>
        <w:t>about her self-efficacy. The approach runs the risk of replacing perpetrator coercion with state coercion</w:t>
      </w:r>
      <w:r w:rsidR="00A612B7">
        <w:rPr>
          <w:rFonts w:eastAsia="Times New Roman"/>
          <w:iCs/>
          <w:sz w:val="24"/>
          <w:szCs w:val="24"/>
          <w:lang w:eastAsia="en-GB"/>
        </w:rPr>
        <w:t xml:space="preserve">. </w:t>
      </w:r>
    </w:p>
    <w:p w14:paraId="3E991C50" w14:textId="115BC301" w:rsidR="00D07A3E" w:rsidRDefault="00561126" w:rsidP="00D07A3E">
      <w:pPr>
        <w:spacing w:after="100" w:afterAutospacing="1" w:line="360" w:lineRule="auto"/>
        <w:ind w:firstLine="720"/>
        <w:rPr>
          <w:rFonts w:eastAsia="Times New Roman"/>
          <w:b/>
          <w:iCs/>
          <w:sz w:val="24"/>
          <w:szCs w:val="24"/>
          <w:lang w:eastAsia="en-GB"/>
        </w:rPr>
      </w:pPr>
      <w:bookmarkStart w:id="36" w:name="Survivor_defined"/>
      <w:r>
        <w:rPr>
          <w:rFonts w:eastAsia="Times New Roman"/>
          <w:b/>
          <w:iCs/>
          <w:sz w:val="24"/>
          <w:szCs w:val="24"/>
          <w:lang w:eastAsia="en-GB"/>
        </w:rPr>
        <w:t>3</w:t>
      </w:r>
      <w:r w:rsidR="00D07A3E">
        <w:rPr>
          <w:rFonts w:eastAsia="Times New Roman"/>
          <w:b/>
          <w:iCs/>
          <w:sz w:val="24"/>
          <w:szCs w:val="24"/>
          <w:lang w:eastAsia="en-GB"/>
        </w:rPr>
        <w:t xml:space="preserve"> </w:t>
      </w:r>
      <w:r w:rsidR="00D07A3E" w:rsidRPr="00FF3BAC">
        <w:rPr>
          <w:rFonts w:eastAsia="Times New Roman"/>
          <w:b/>
          <w:iCs/>
          <w:sz w:val="24"/>
          <w:szCs w:val="24"/>
          <w:lang w:eastAsia="en-GB"/>
        </w:rPr>
        <w:t>(iii) Survivor-defined Approach</w:t>
      </w:r>
      <w:r w:rsidR="00A612B7">
        <w:rPr>
          <w:rFonts w:eastAsia="Times New Roman"/>
          <w:b/>
          <w:iCs/>
          <w:sz w:val="24"/>
          <w:szCs w:val="24"/>
          <w:lang w:eastAsia="en-GB"/>
        </w:rPr>
        <w:t>: Balancing Interests</w:t>
      </w:r>
    </w:p>
    <w:p w14:paraId="7972BB68" w14:textId="035EB0F1" w:rsidR="005C5784" w:rsidRDefault="00D57086" w:rsidP="005C5784">
      <w:pPr>
        <w:spacing w:after="0" w:line="360" w:lineRule="auto"/>
        <w:ind w:firstLine="720"/>
        <w:rPr>
          <w:rFonts w:eastAsia="Times New Roman"/>
          <w:iCs/>
          <w:sz w:val="24"/>
          <w:szCs w:val="24"/>
          <w:lang w:eastAsia="en-GB"/>
        </w:rPr>
      </w:pPr>
      <w:r>
        <w:rPr>
          <w:rFonts w:eastAsia="Times New Roman"/>
          <w:iCs/>
          <w:sz w:val="24"/>
          <w:szCs w:val="24"/>
          <w:lang w:eastAsia="en-GB"/>
        </w:rPr>
        <w:t>T</w:t>
      </w:r>
      <w:r w:rsidR="00D95EEE">
        <w:rPr>
          <w:rFonts w:eastAsia="Times New Roman"/>
          <w:iCs/>
          <w:sz w:val="24"/>
          <w:szCs w:val="24"/>
          <w:lang w:eastAsia="en-GB"/>
        </w:rPr>
        <w:t>he third strategy</w:t>
      </w:r>
      <w:bookmarkEnd w:id="36"/>
      <w:r w:rsidR="00D07A3E" w:rsidRPr="00A2123C">
        <w:rPr>
          <w:rFonts w:eastAsia="Times New Roman"/>
          <w:iCs/>
          <w:sz w:val="24"/>
          <w:szCs w:val="24"/>
          <w:lang w:eastAsia="en-GB"/>
        </w:rPr>
        <w:t>,</w:t>
      </w:r>
      <w:r w:rsidR="00D07A3E">
        <w:rPr>
          <w:rFonts w:eastAsia="Times New Roman"/>
          <w:iCs/>
          <w:sz w:val="24"/>
          <w:szCs w:val="24"/>
          <w:lang w:eastAsia="en-GB"/>
        </w:rPr>
        <w:t xml:space="preserve"> the</w:t>
      </w:r>
      <w:r w:rsidR="00D07A3E" w:rsidRPr="00A2123C">
        <w:rPr>
          <w:rFonts w:eastAsia="Times New Roman"/>
          <w:iCs/>
          <w:sz w:val="24"/>
          <w:szCs w:val="24"/>
          <w:lang w:eastAsia="en-GB"/>
        </w:rPr>
        <w:t xml:space="preserve"> ‘survivor</w:t>
      </w:r>
      <w:r w:rsidR="00D07A3E">
        <w:rPr>
          <w:rFonts w:eastAsia="Times New Roman"/>
          <w:iCs/>
          <w:sz w:val="24"/>
          <w:szCs w:val="24"/>
          <w:lang w:eastAsia="en-GB"/>
        </w:rPr>
        <w:t>-</w:t>
      </w:r>
      <w:r w:rsidR="00D07A3E" w:rsidRPr="00A2123C">
        <w:rPr>
          <w:rFonts w:eastAsia="Times New Roman"/>
          <w:iCs/>
          <w:sz w:val="24"/>
          <w:szCs w:val="24"/>
          <w:lang w:eastAsia="en-GB"/>
        </w:rPr>
        <w:t>defined’ approach</w:t>
      </w:r>
      <w:r>
        <w:rPr>
          <w:rFonts w:eastAsia="Times New Roman"/>
          <w:iCs/>
          <w:sz w:val="24"/>
          <w:szCs w:val="24"/>
          <w:lang w:eastAsia="en-GB"/>
        </w:rPr>
        <w:t>,</w:t>
      </w:r>
      <w:r w:rsidR="00D07A3E" w:rsidRPr="00A2123C">
        <w:rPr>
          <w:rFonts w:eastAsia="Times New Roman"/>
          <w:iCs/>
          <w:sz w:val="24"/>
          <w:szCs w:val="24"/>
          <w:lang w:eastAsia="en-GB"/>
        </w:rPr>
        <w:t xml:space="preserve"> </w:t>
      </w:r>
      <w:r w:rsidR="00910117">
        <w:rPr>
          <w:rFonts w:eastAsia="Times New Roman"/>
          <w:iCs/>
          <w:sz w:val="24"/>
          <w:szCs w:val="24"/>
          <w:lang w:eastAsia="en-GB"/>
        </w:rPr>
        <w:t xml:space="preserve">endeavours to </w:t>
      </w:r>
      <w:r w:rsidR="00A612B7">
        <w:rPr>
          <w:rFonts w:eastAsia="Times New Roman"/>
          <w:iCs/>
          <w:sz w:val="24"/>
          <w:szCs w:val="24"/>
          <w:lang w:eastAsia="en-GB"/>
        </w:rPr>
        <w:t>combine</w:t>
      </w:r>
      <w:r w:rsidR="00910117">
        <w:rPr>
          <w:rFonts w:eastAsia="Times New Roman"/>
          <w:iCs/>
          <w:sz w:val="24"/>
          <w:szCs w:val="24"/>
          <w:lang w:eastAsia="en-GB"/>
        </w:rPr>
        <w:t xml:space="preserve"> the advantages of the other two approaches. It therefore </w:t>
      </w:r>
      <w:r w:rsidR="00D07A3E" w:rsidRPr="00A2123C">
        <w:rPr>
          <w:rFonts w:eastAsia="Times New Roman"/>
          <w:iCs/>
          <w:sz w:val="24"/>
          <w:szCs w:val="24"/>
          <w:lang w:eastAsia="en-GB"/>
        </w:rPr>
        <w:t xml:space="preserve">recognises that </w:t>
      </w:r>
      <w:r w:rsidR="005C5784">
        <w:rPr>
          <w:rFonts w:eastAsia="Times New Roman"/>
          <w:iCs/>
          <w:sz w:val="24"/>
          <w:szCs w:val="24"/>
          <w:lang w:eastAsia="en-GB"/>
        </w:rPr>
        <w:t>w</w:t>
      </w:r>
      <w:r w:rsidR="00D07A3E" w:rsidRPr="00A2123C">
        <w:rPr>
          <w:rFonts w:eastAsia="Times New Roman"/>
          <w:iCs/>
          <w:sz w:val="24"/>
          <w:szCs w:val="24"/>
          <w:lang w:eastAsia="en-GB"/>
        </w:rPr>
        <w:t xml:space="preserve">hilst </w:t>
      </w:r>
      <w:r w:rsidR="005C5784">
        <w:rPr>
          <w:rFonts w:eastAsia="Times New Roman"/>
          <w:iCs/>
          <w:sz w:val="24"/>
          <w:szCs w:val="24"/>
          <w:lang w:eastAsia="en-GB"/>
        </w:rPr>
        <w:t>a</w:t>
      </w:r>
      <w:r w:rsidR="00D07A3E" w:rsidRPr="00A2123C">
        <w:rPr>
          <w:rFonts w:eastAsia="Times New Roman"/>
          <w:iCs/>
          <w:sz w:val="24"/>
          <w:szCs w:val="24"/>
          <w:lang w:eastAsia="en-GB"/>
        </w:rPr>
        <w:t xml:space="preserve"> woman’s decision may not be entirely free because it is formed in coerced circumstances, the decision might still be entirely considered. For that reason, a woman’s wishes ought not to </w:t>
      </w:r>
      <w:r w:rsidR="00D07A3E" w:rsidRPr="00A2123C">
        <w:rPr>
          <w:rFonts w:eastAsia="Times New Roman"/>
          <w:iCs/>
          <w:sz w:val="24"/>
          <w:szCs w:val="24"/>
          <w:lang w:eastAsia="en-GB"/>
        </w:rPr>
        <w:lastRenderedPageBreak/>
        <w:t>be immediately discounted as arising from perpetrator manipulations on the one hand or ‘learned helplessness’</w:t>
      </w:r>
      <w:r w:rsidR="00D07A3E">
        <w:rPr>
          <w:rFonts w:eastAsia="Times New Roman"/>
          <w:iCs/>
          <w:sz w:val="24"/>
          <w:szCs w:val="24"/>
          <w:lang w:eastAsia="en-GB"/>
        </w:rPr>
        <w:t xml:space="preserve"> </w:t>
      </w:r>
      <w:r w:rsidR="00D07A3E" w:rsidRPr="00A2123C">
        <w:rPr>
          <w:rFonts w:eastAsia="Times New Roman"/>
          <w:iCs/>
          <w:sz w:val="24"/>
          <w:szCs w:val="24"/>
          <w:lang w:eastAsia="en-GB"/>
        </w:rPr>
        <w:t>on the other. The decision may be formed by someone acting with astute awareness</w:t>
      </w:r>
      <w:r w:rsidR="00D07A3E">
        <w:rPr>
          <w:rFonts w:eastAsia="Times New Roman"/>
          <w:iCs/>
          <w:sz w:val="24"/>
          <w:szCs w:val="24"/>
          <w:lang w:eastAsia="en-GB"/>
        </w:rPr>
        <w:t xml:space="preserve"> or</w:t>
      </w:r>
      <w:r w:rsidR="00D07A3E" w:rsidRPr="00A2123C">
        <w:rPr>
          <w:rFonts w:eastAsia="Times New Roman"/>
          <w:iCs/>
          <w:sz w:val="24"/>
          <w:szCs w:val="24"/>
          <w:lang w:eastAsia="en-GB"/>
        </w:rPr>
        <w:t xml:space="preserve"> wisely in the circumstances bearing in mind personal, </w:t>
      </w:r>
      <w:r w:rsidR="00D07A3E">
        <w:rPr>
          <w:rFonts w:eastAsia="Times New Roman"/>
          <w:iCs/>
          <w:sz w:val="24"/>
          <w:szCs w:val="24"/>
          <w:lang w:eastAsia="en-GB"/>
        </w:rPr>
        <w:t>material</w:t>
      </w:r>
      <w:r w:rsidR="00D07A3E" w:rsidRPr="00A2123C">
        <w:rPr>
          <w:rFonts w:eastAsia="Times New Roman"/>
          <w:iCs/>
          <w:sz w:val="24"/>
          <w:szCs w:val="24"/>
          <w:lang w:eastAsia="en-GB"/>
        </w:rPr>
        <w:t xml:space="preserve"> or safety factors, particularly if she intends to maintain the relationship. The victim’s request and reasons should therefore, ordinarily, form part of the prosecutor’s determination, bearing in mind the autonomy enhancing potential of effecting the</w:t>
      </w:r>
      <w:r w:rsidR="00D07A3E">
        <w:rPr>
          <w:rFonts w:eastAsia="Times New Roman"/>
          <w:iCs/>
          <w:sz w:val="24"/>
          <w:szCs w:val="24"/>
          <w:lang w:eastAsia="en-GB"/>
        </w:rPr>
        <w:t xml:space="preserve">m. </w:t>
      </w:r>
    </w:p>
    <w:p w14:paraId="7D916BE4" w14:textId="3AE9D944" w:rsidR="00712E6D" w:rsidRDefault="00910117" w:rsidP="005C5784">
      <w:pPr>
        <w:spacing w:after="0" w:line="360" w:lineRule="auto"/>
        <w:ind w:firstLine="720"/>
        <w:rPr>
          <w:rFonts w:eastAsia="Times New Roman"/>
          <w:iCs/>
          <w:sz w:val="24"/>
          <w:szCs w:val="24"/>
          <w:lang w:eastAsia="en-GB"/>
        </w:rPr>
      </w:pPr>
      <w:r>
        <w:rPr>
          <w:rFonts w:eastAsia="Times New Roman"/>
          <w:iCs/>
          <w:sz w:val="24"/>
          <w:szCs w:val="24"/>
          <w:lang w:eastAsia="en-GB"/>
        </w:rPr>
        <w:t>As t</w:t>
      </w:r>
      <w:r w:rsidR="00E456A3">
        <w:rPr>
          <w:rFonts w:eastAsia="Times New Roman"/>
          <w:iCs/>
          <w:sz w:val="24"/>
          <w:szCs w:val="24"/>
          <w:lang w:eastAsia="en-GB"/>
        </w:rPr>
        <w:t xml:space="preserve">he ‘survivor-defined’ approach encourages prosecutors to make their decision being cognisant of </w:t>
      </w:r>
      <w:r w:rsidR="00712E6D" w:rsidRPr="00712E6D">
        <w:rPr>
          <w:rFonts w:eastAsia="Times New Roman"/>
          <w:iCs/>
          <w:sz w:val="24"/>
          <w:szCs w:val="24"/>
          <w:lang w:eastAsia="en-GB"/>
        </w:rPr>
        <w:t>women’s individual situations and needs</w:t>
      </w:r>
      <w:r>
        <w:rPr>
          <w:rFonts w:eastAsia="Times New Roman"/>
          <w:iCs/>
          <w:sz w:val="24"/>
          <w:szCs w:val="24"/>
          <w:lang w:eastAsia="en-GB"/>
        </w:rPr>
        <w:t xml:space="preserve">, this </w:t>
      </w:r>
      <w:r w:rsidR="00BF0AA0">
        <w:rPr>
          <w:rFonts w:eastAsia="Times New Roman"/>
          <w:iCs/>
          <w:sz w:val="24"/>
          <w:szCs w:val="24"/>
          <w:lang w:eastAsia="en-GB"/>
        </w:rPr>
        <w:t>may</w:t>
      </w:r>
      <w:r w:rsidR="00E456A3">
        <w:rPr>
          <w:rFonts w:eastAsia="Times New Roman"/>
          <w:iCs/>
          <w:sz w:val="24"/>
          <w:szCs w:val="24"/>
          <w:lang w:eastAsia="en-GB"/>
        </w:rPr>
        <w:t xml:space="preserve"> also require prosecutors to </w:t>
      </w:r>
      <w:r w:rsidR="00F47BD6">
        <w:rPr>
          <w:rFonts w:eastAsia="Times New Roman"/>
          <w:iCs/>
          <w:sz w:val="24"/>
          <w:szCs w:val="24"/>
          <w:lang w:eastAsia="en-GB"/>
        </w:rPr>
        <w:t>proceed with the case</w:t>
      </w:r>
      <w:r w:rsidR="00E456A3">
        <w:rPr>
          <w:rFonts w:eastAsia="Times New Roman"/>
          <w:iCs/>
          <w:sz w:val="24"/>
          <w:szCs w:val="24"/>
          <w:lang w:eastAsia="en-GB"/>
        </w:rPr>
        <w:t xml:space="preserve"> </w:t>
      </w:r>
      <w:r>
        <w:rPr>
          <w:rFonts w:eastAsia="Times New Roman"/>
          <w:iCs/>
          <w:sz w:val="24"/>
          <w:szCs w:val="24"/>
          <w:lang w:eastAsia="en-GB"/>
        </w:rPr>
        <w:t>despite a woman’s stated wishes</w:t>
      </w:r>
      <w:r w:rsidR="00E456A3">
        <w:rPr>
          <w:rFonts w:eastAsia="Times New Roman"/>
          <w:iCs/>
          <w:sz w:val="24"/>
          <w:szCs w:val="24"/>
          <w:lang w:eastAsia="en-GB"/>
        </w:rPr>
        <w:t xml:space="preserve">. </w:t>
      </w:r>
      <w:r w:rsidR="00BF0AA0">
        <w:rPr>
          <w:rFonts w:eastAsia="Times New Roman"/>
          <w:iCs/>
          <w:sz w:val="24"/>
          <w:szCs w:val="24"/>
          <w:lang w:eastAsia="en-GB"/>
        </w:rPr>
        <w:t>The approach encourages prosecutors to obtain as full information about the situation as possible – from risk assessments, Independent Domestic Violence Advocates engaged with the victim in the community and by insisting that the police take comprehensive retraction statements</w:t>
      </w:r>
      <w:r w:rsidR="00F47BD6">
        <w:rPr>
          <w:rFonts w:eastAsia="Times New Roman"/>
          <w:iCs/>
          <w:sz w:val="24"/>
          <w:szCs w:val="24"/>
          <w:lang w:eastAsia="en-GB"/>
        </w:rPr>
        <w:t xml:space="preserve"> from the victim to explore her reluctance</w:t>
      </w:r>
      <w:r w:rsidR="00BF0AA0">
        <w:rPr>
          <w:rFonts w:eastAsia="Times New Roman"/>
          <w:iCs/>
          <w:sz w:val="24"/>
          <w:szCs w:val="24"/>
          <w:lang w:eastAsia="en-GB"/>
        </w:rPr>
        <w:t>. W</w:t>
      </w:r>
      <w:r w:rsidR="00E456A3">
        <w:rPr>
          <w:rFonts w:eastAsia="Times New Roman"/>
          <w:iCs/>
          <w:sz w:val="24"/>
          <w:szCs w:val="24"/>
          <w:lang w:eastAsia="en-GB"/>
        </w:rPr>
        <w:t>he</w:t>
      </w:r>
      <w:r w:rsidR="00BF0AA0">
        <w:rPr>
          <w:rFonts w:eastAsia="Times New Roman"/>
          <w:iCs/>
          <w:sz w:val="24"/>
          <w:szCs w:val="24"/>
          <w:lang w:eastAsia="en-GB"/>
        </w:rPr>
        <w:t>re</w:t>
      </w:r>
      <w:r w:rsidR="00E456A3">
        <w:rPr>
          <w:rFonts w:eastAsia="Times New Roman"/>
          <w:iCs/>
          <w:sz w:val="24"/>
          <w:szCs w:val="24"/>
          <w:lang w:eastAsia="en-GB"/>
        </w:rPr>
        <w:t xml:space="preserve"> the danger posed by the perpetrator presents a high risk of further harm to the victim, </w:t>
      </w:r>
      <w:r w:rsidR="00BF0AA0">
        <w:rPr>
          <w:rFonts w:eastAsia="Times New Roman"/>
          <w:iCs/>
          <w:sz w:val="24"/>
          <w:szCs w:val="24"/>
          <w:lang w:eastAsia="en-GB"/>
        </w:rPr>
        <w:t xml:space="preserve">the potential of </w:t>
      </w:r>
      <w:r w:rsidR="00E456A3">
        <w:rPr>
          <w:rFonts w:eastAsia="Times New Roman"/>
          <w:iCs/>
          <w:sz w:val="24"/>
          <w:szCs w:val="24"/>
          <w:lang w:eastAsia="en-GB"/>
        </w:rPr>
        <w:t xml:space="preserve">a remand into custody or a rehabilitative sentencing outcome might </w:t>
      </w:r>
      <w:r w:rsidR="00BF0AA0">
        <w:rPr>
          <w:rFonts w:eastAsia="Times New Roman"/>
          <w:iCs/>
          <w:sz w:val="24"/>
          <w:szCs w:val="24"/>
          <w:lang w:eastAsia="en-GB"/>
        </w:rPr>
        <w:t xml:space="preserve">merit ongoing prosecution. </w:t>
      </w:r>
      <w:r>
        <w:rPr>
          <w:rFonts w:eastAsia="Times New Roman"/>
          <w:iCs/>
          <w:sz w:val="24"/>
          <w:szCs w:val="24"/>
          <w:lang w:eastAsia="en-GB"/>
        </w:rPr>
        <w:t>If the decision is taken out of the victim’s hands, the possibility that the perpetrator will pursue retaliatory violence is reduced</w:t>
      </w:r>
      <w:r w:rsidR="00F47BD6">
        <w:rPr>
          <w:rFonts w:eastAsia="Times New Roman"/>
          <w:iCs/>
          <w:sz w:val="24"/>
          <w:szCs w:val="24"/>
          <w:lang w:eastAsia="en-GB"/>
        </w:rPr>
        <w:t>, though not extinguished</w:t>
      </w:r>
      <w:r>
        <w:rPr>
          <w:rFonts w:eastAsia="Times New Roman"/>
          <w:iCs/>
          <w:sz w:val="24"/>
          <w:szCs w:val="24"/>
          <w:lang w:eastAsia="en-GB"/>
        </w:rPr>
        <w:t>.</w:t>
      </w:r>
      <w:r w:rsidR="00E456A3">
        <w:rPr>
          <w:rFonts w:eastAsia="Times New Roman"/>
          <w:iCs/>
          <w:sz w:val="24"/>
          <w:szCs w:val="24"/>
          <w:lang w:eastAsia="en-GB"/>
        </w:rPr>
        <w:t xml:space="preserve"> </w:t>
      </w:r>
      <w:r>
        <w:rPr>
          <w:rFonts w:eastAsia="Times New Roman"/>
          <w:iCs/>
          <w:sz w:val="24"/>
          <w:szCs w:val="24"/>
          <w:lang w:eastAsia="en-GB"/>
        </w:rPr>
        <w:t>A</w:t>
      </w:r>
      <w:r w:rsidR="00BF0AA0">
        <w:rPr>
          <w:rFonts w:eastAsia="Times New Roman"/>
          <w:iCs/>
          <w:sz w:val="24"/>
          <w:szCs w:val="24"/>
          <w:lang w:eastAsia="en-GB"/>
        </w:rPr>
        <w:t xml:space="preserve"> ‘survivor-centred’ approach ought to trigger open communication </w:t>
      </w:r>
      <w:r>
        <w:rPr>
          <w:rFonts w:eastAsia="Times New Roman"/>
          <w:iCs/>
          <w:sz w:val="24"/>
          <w:szCs w:val="24"/>
          <w:lang w:eastAsia="en-GB"/>
        </w:rPr>
        <w:t>between</w:t>
      </w:r>
      <w:r w:rsidR="00BF0AA0">
        <w:rPr>
          <w:rFonts w:eastAsia="Times New Roman"/>
          <w:iCs/>
          <w:sz w:val="24"/>
          <w:szCs w:val="24"/>
          <w:lang w:eastAsia="en-GB"/>
        </w:rPr>
        <w:t xml:space="preserve"> the victim </w:t>
      </w:r>
      <w:r>
        <w:rPr>
          <w:rFonts w:eastAsia="Times New Roman"/>
          <w:iCs/>
          <w:sz w:val="24"/>
          <w:szCs w:val="24"/>
          <w:lang w:eastAsia="en-GB"/>
        </w:rPr>
        <w:t xml:space="preserve">and prosecuting authority </w:t>
      </w:r>
      <w:r w:rsidR="00BF0AA0">
        <w:rPr>
          <w:rFonts w:eastAsia="Times New Roman"/>
          <w:iCs/>
          <w:sz w:val="24"/>
          <w:szCs w:val="24"/>
          <w:lang w:eastAsia="en-GB"/>
        </w:rPr>
        <w:t>to explain the decision being made on her behalf</w:t>
      </w:r>
      <w:r w:rsidR="00F47BD6">
        <w:rPr>
          <w:rFonts w:eastAsia="Times New Roman"/>
          <w:iCs/>
          <w:sz w:val="24"/>
          <w:szCs w:val="24"/>
          <w:lang w:eastAsia="en-GB"/>
        </w:rPr>
        <w:t xml:space="preserve"> and why. This open communication might also include signposting her to other agencies that can support her</w:t>
      </w:r>
      <w:r w:rsidR="00BF0AA0">
        <w:rPr>
          <w:rFonts w:eastAsia="Times New Roman"/>
          <w:iCs/>
          <w:sz w:val="24"/>
          <w:szCs w:val="24"/>
          <w:lang w:eastAsia="en-GB"/>
        </w:rPr>
        <w:t xml:space="preserve">. </w:t>
      </w:r>
      <w:r w:rsidR="00372C82">
        <w:rPr>
          <w:rFonts w:eastAsia="Times New Roman"/>
          <w:iCs/>
          <w:sz w:val="24"/>
          <w:szCs w:val="24"/>
          <w:lang w:eastAsia="en-GB"/>
        </w:rPr>
        <w:t>A ‘survivor-defined’</w:t>
      </w:r>
      <w:r w:rsidR="00BF0AA0">
        <w:rPr>
          <w:rFonts w:eastAsia="Times New Roman"/>
          <w:iCs/>
          <w:sz w:val="24"/>
          <w:szCs w:val="24"/>
          <w:lang w:eastAsia="en-GB"/>
        </w:rPr>
        <w:t xml:space="preserve"> approach</w:t>
      </w:r>
      <w:r w:rsidR="00712E6D" w:rsidRPr="00712E6D">
        <w:rPr>
          <w:rFonts w:eastAsia="Times New Roman"/>
          <w:iCs/>
          <w:sz w:val="24"/>
          <w:szCs w:val="24"/>
          <w:lang w:eastAsia="en-GB"/>
        </w:rPr>
        <w:t xml:space="preserve"> </w:t>
      </w:r>
      <w:r w:rsidR="00BF0AA0">
        <w:rPr>
          <w:rFonts w:eastAsia="Times New Roman"/>
          <w:iCs/>
          <w:sz w:val="24"/>
          <w:szCs w:val="24"/>
          <w:lang w:eastAsia="en-GB"/>
        </w:rPr>
        <w:t xml:space="preserve">can </w:t>
      </w:r>
      <w:r w:rsidR="00712E6D" w:rsidRPr="00712E6D">
        <w:rPr>
          <w:rFonts w:eastAsia="Times New Roman"/>
          <w:iCs/>
          <w:sz w:val="24"/>
          <w:szCs w:val="24"/>
          <w:lang w:eastAsia="en-GB"/>
        </w:rPr>
        <w:t xml:space="preserve">yield positive outcomes for victims, </w:t>
      </w:r>
      <w:r w:rsidR="00BF0AA0">
        <w:rPr>
          <w:rFonts w:eastAsia="Times New Roman"/>
          <w:iCs/>
          <w:sz w:val="24"/>
          <w:szCs w:val="24"/>
          <w:lang w:eastAsia="en-GB"/>
        </w:rPr>
        <w:t>such as</w:t>
      </w:r>
      <w:r w:rsidR="00712E6D" w:rsidRPr="00712E6D">
        <w:rPr>
          <w:rFonts w:eastAsia="Times New Roman"/>
          <w:iCs/>
          <w:sz w:val="24"/>
          <w:szCs w:val="24"/>
          <w:lang w:eastAsia="en-GB"/>
        </w:rPr>
        <w:t xml:space="preserve"> higher satisfaction with the justice system, greater </w:t>
      </w:r>
      <w:r w:rsidR="00F47BD6">
        <w:rPr>
          <w:rFonts w:eastAsia="Times New Roman"/>
          <w:iCs/>
          <w:sz w:val="24"/>
          <w:szCs w:val="24"/>
          <w:lang w:eastAsia="en-GB"/>
        </w:rPr>
        <w:t xml:space="preserve">physical and emotional </w:t>
      </w:r>
      <w:r w:rsidR="00712E6D" w:rsidRPr="00712E6D">
        <w:rPr>
          <w:rFonts w:eastAsia="Times New Roman"/>
          <w:iCs/>
          <w:sz w:val="24"/>
          <w:szCs w:val="24"/>
          <w:lang w:eastAsia="en-GB"/>
        </w:rPr>
        <w:t>well-being</w:t>
      </w:r>
      <w:r w:rsidR="00BF0AA0">
        <w:rPr>
          <w:rFonts w:eastAsia="Times New Roman"/>
          <w:iCs/>
          <w:sz w:val="24"/>
          <w:szCs w:val="24"/>
          <w:lang w:eastAsia="en-GB"/>
        </w:rPr>
        <w:t xml:space="preserve"> </w:t>
      </w:r>
      <w:r w:rsidR="00712E6D" w:rsidRPr="00712E6D">
        <w:rPr>
          <w:rFonts w:eastAsia="Times New Roman"/>
          <w:iCs/>
          <w:sz w:val="24"/>
          <w:szCs w:val="24"/>
          <w:lang w:eastAsia="en-GB"/>
        </w:rPr>
        <w:t xml:space="preserve">and </w:t>
      </w:r>
      <w:r w:rsidR="00372C82">
        <w:rPr>
          <w:rFonts w:eastAsia="Times New Roman"/>
          <w:iCs/>
          <w:sz w:val="24"/>
          <w:szCs w:val="24"/>
          <w:lang w:eastAsia="en-GB"/>
        </w:rPr>
        <w:t xml:space="preserve">a </w:t>
      </w:r>
      <w:r w:rsidR="00712E6D" w:rsidRPr="00712E6D">
        <w:rPr>
          <w:rFonts w:eastAsia="Times New Roman"/>
          <w:iCs/>
          <w:sz w:val="24"/>
          <w:szCs w:val="24"/>
          <w:lang w:eastAsia="en-GB"/>
        </w:rPr>
        <w:t>willingness to use the justice system in the future</w:t>
      </w:r>
      <w:r w:rsidR="00372C82">
        <w:rPr>
          <w:rFonts w:eastAsia="Times New Roman"/>
          <w:iCs/>
          <w:sz w:val="24"/>
          <w:szCs w:val="24"/>
          <w:lang w:eastAsia="en-GB"/>
        </w:rPr>
        <w:t>.</w:t>
      </w:r>
      <w:r w:rsidR="00372C82">
        <w:rPr>
          <w:rStyle w:val="FootnoteReference"/>
          <w:rFonts w:eastAsia="Times New Roman"/>
          <w:iCs/>
          <w:sz w:val="24"/>
          <w:szCs w:val="24"/>
          <w:lang w:eastAsia="en-GB"/>
        </w:rPr>
        <w:footnoteReference w:id="39"/>
      </w:r>
    </w:p>
    <w:p w14:paraId="5E755397" w14:textId="3A84C261" w:rsidR="00D07A3E" w:rsidRDefault="00D07A3E" w:rsidP="00D07A3E">
      <w:pPr>
        <w:spacing w:after="100" w:afterAutospacing="1" w:line="360" w:lineRule="auto"/>
        <w:ind w:firstLine="720"/>
        <w:rPr>
          <w:rFonts w:eastAsia="Times New Roman"/>
          <w:iCs/>
          <w:sz w:val="24"/>
          <w:szCs w:val="24"/>
          <w:lang w:eastAsia="en-GB"/>
        </w:rPr>
      </w:pPr>
      <w:r>
        <w:rPr>
          <w:rFonts w:eastAsia="Times New Roman"/>
          <w:iCs/>
          <w:sz w:val="24"/>
          <w:szCs w:val="24"/>
          <w:lang w:eastAsia="en-GB"/>
        </w:rPr>
        <w:t>This third way or</w:t>
      </w:r>
      <w:r w:rsidRPr="003A6AEB">
        <w:rPr>
          <w:rFonts w:eastAsia="Times New Roman"/>
          <w:iCs/>
          <w:sz w:val="24"/>
          <w:szCs w:val="24"/>
          <w:lang w:eastAsia="en-GB"/>
        </w:rPr>
        <w:t xml:space="preserve"> ‘victim</w:t>
      </w:r>
      <w:r>
        <w:rPr>
          <w:rFonts w:eastAsia="Times New Roman"/>
          <w:iCs/>
          <w:sz w:val="24"/>
          <w:szCs w:val="24"/>
          <w:lang w:eastAsia="en-GB"/>
        </w:rPr>
        <w:t>-</w:t>
      </w:r>
      <w:r w:rsidRPr="003A6AEB">
        <w:rPr>
          <w:rFonts w:eastAsia="Times New Roman"/>
          <w:iCs/>
          <w:sz w:val="24"/>
          <w:szCs w:val="24"/>
          <w:lang w:eastAsia="en-GB"/>
        </w:rPr>
        <w:t xml:space="preserve">informed’ </w:t>
      </w:r>
      <w:r>
        <w:rPr>
          <w:rFonts w:eastAsia="Times New Roman"/>
          <w:iCs/>
          <w:sz w:val="24"/>
          <w:szCs w:val="24"/>
          <w:lang w:eastAsia="en-GB"/>
        </w:rPr>
        <w:t xml:space="preserve">approach, which takes each offence </w:t>
      </w:r>
      <w:r w:rsidRPr="003A6AEB">
        <w:rPr>
          <w:rFonts w:eastAsia="Times New Roman"/>
          <w:iCs/>
          <w:sz w:val="24"/>
          <w:szCs w:val="24"/>
          <w:lang w:eastAsia="en-GB"/>
        </w:rPr>
        <w:t>on a case by case basis</w:t>
      </w:r>
      <w:r>
        <w:rPr>
          <w:rFonts w:eastAsia="Times New Roman"/>
          <w:iCs/>
          <w:sz w:val="24"/>
          <w:szCs w:val="24"/>
          <w:lang w:eastAsia="en-GB"/>
        </w:rPr>
        <w:t xml:space="preserve"> (once a presumption to prosecute has been made), is what the CPS ostensibly adopts in its policy</w:t>
      </w:r>
      <w:r w:rsidR="00F47BD6">
        <w:rPr>
          <w:rFonts w:eastAsia="Times New Roman"/>
          <w:iCs/>
          <w:lang w:eastAsia="en-GB"/>
        </w:rPr>
        <w:t xml:space="preserve"> </w:t>
      </w:r>
      <w:r>
        <w:rPr>
          <w:rFonts w:eastAsia="Times New Roman"/>
          <w:iCs/>
          <w:sz w:val="24"/>
          <w:szCs w:val="24"/>
          <w:lang w:eastAsia="en-GB"/>
        </w:rPr>
        <w:t>and guidelines.</w:t>
      </w:r>
      <w:r>
        <w:rPr>
          <w:rStyle w:val="FootnoteReference"/>
          <w:rFonts w:eastAsia="Times New Roman"/>
          <w:iCs/>
          <w:lang w:eastAsia="en-GB"/>
        </w:rPr>
        <w:footnoteReference w:id="40"/>
      </w:r>
      <w:r>
        <w:rPr>
          <w:rFonts w:eastAsia="Times New Roman"/>
          <w:iCs/>
          <w:sz w:val="24"/>
          <w:szCs w:val="24"/>
          <w:lang w:eastAsia="en-GB"/>
        </w:rPr>
        <w:t xml:space="preserve"> CPS Guidelines for Prosecutors confirm that before deciding whether or not to summons an unsupportive victim, </w:t>
      </w:r>
      <w:r w:rsidRPr="006745F6">
        <w:rPr>
          <w:rFonts w:eastAsia="Times New Roman"/>
          <w:iCs/>
          <w:sz w:val="24"/>
          <w:szCs w:val="24"/>
          <w:lang w:eastAsia="en-GB"/>
        </w:rPr>
        <w:t>‘[f]</w:t>
      </w:r>
      <w:proofErr w:type="spellStart"/>
      <w:r w:rsidRPr="006745F6">
        <w:rPr>
          <w:rFonts w:eastAsia="Times New Roman"/>
          <w:iCs/>
          <w:sz w:val="24"/>
          <w:szCs w:val="24"/>
          <w:lang w:eastAsia="en-GB"/>
        </w:rPr>
        <w:t>ull</w:t>
      </w:r>
      <w:proofErr w:type="spellEnd"/>
      <w:r w:rsidRPr="006745F6">
        <w:rPr>
          <w:rFonts w:eastAsia="Times New Roman"/>
          <w:iCs/>
          <w:sz w:val="24"/>
          <w:szCs w:val="24"/>
          <w:lang w:eastAsia="en-GB"/>
        </w:rPr>
        <w:t xml:space="preserve"> consideration should be given to the specific facts of the case and impact on the complainant's safety and wellbeing’.</w:t>
      </w:r>
      <w:r>
        <w:rPr>
          <w:rStyle w:val="FootnoteReference"/>
          <w:rFonts w:eastAsia="Times New Roman"/>
          <w:iCs/>
          <w:lang w:eastAsia="en-GB"/>
        </w:rPr>
        <w:footnoteReference w:id="41"/>
      </w:r>
      <w:r>
        <w:rPr>
          <w:rFonts w:ascii="Arial" w:hAnsi="Arial" w:cs="Arial"/>
          <w:color w:val="444444"/>
          <w:shd w:val="clear" w:color="auto" w:fill="FFFFFF"/>
        </w:rPr>
        <w:t> </w:t>
      </w:r>
      <w:r w:rsidRPr="00F47BD6">
        <w:rPr>
          <w:rFonts w:eastAsia="Times New Roman"/>
          <w:iCs/>
          <w:sz w:val="24"/>
          <w:szCs w:val="24"/>
          <w:lang w:eastAsia="en-GB"/>
        </w:rPr>
        <w:t xml:space="preserve">I examine the </w:t>
      </w:r>
      <w:r>
        <w:rPr>
          <w:rFonts w:eastAsia="Times New Roman"/>
          <w:iCs/>
          <w:sz w:val="24"/>
          <w:szCs w:val="24"/>
          <w:lang w:eastAsia="en-GB"/>
        </w:rPr>
        <w:t xml:space="preserve">extent to which this is deployed in practice in Chapter Four, </w:t>
      </w:r>
      <w:r>
        <w:rPr>
          <w:rFonts w:eastAsia="Times New Roman"/>
          <w:iCs/>
          <w:sz w:val="24"/>
          <w:szCs w:val="24"/>
          <w:lang w:eastAsia="en-GB"/>
        </w:rPr>
        <w:lastRenderedPageBreak/>
        <w:t>bearing in mind the influences on prosecutors of both feminist expectations and the present neoliberal climate.</w:t>
      </w:r>
    </w:p>
    <w:p w14:paraId="0F42956B" w14:textId="789E0298" w:rsidR="00A64B1C" w:rsidRPr="004E47AC" w:rsidRDefault="00A64B1C" w:rsidP="00777E07">
      <w:pPr>
        <w:pStyle w:val="ListParagraph"/>
        <w:numPr>
          <w:ilvl w:val="0"/>
          <w:numId w:val="40"/>
        </w:numPr>
        <w:shd w:val="clear" w:color="auto" w:fill="FFFFFF"/>
        <w:spacing w:after="100" w:afterAutospacing="1" w:line="360" w:lineRule="auto"/>
        <w:rPr>
          <w:b/>
          <w:sz w:val="24"/>
          <w:szCs w:val="24"/>
        </w:rPr>
      </w:pPr>
      <w:r w:rsidRPr="004E47AC">
        <w:rPr>
          <w:b/>
          <w:sz w:val="24"/>
          <w:szCs w:val="24"/>
        </w:rPr>
        <w:t>The Gendered Nature of Domestic Abuse</w:t>
      </w:r>
      <w:bookmarkEnd w:id="16"/>
      <w:r w:rsidR="00C82F42">
        <w:rPr>
          <w:b/>
          <w:sz w:val="24"/>
          <w:szCs w:val="24"/>
        </w:rPr>
        <w:t>: Feminist Explanations</w:t>
      </w:r>
    </w:p>
    <w:bookmarkEnd w:id="17"/>
    <w:p w14:paraId="2BAFEA76" w14:textId="23AD20E7" w:rsidR="00F47BD6" w:rsidRDefault="00B26532" w:rsidP="007D25E3">
      <w:pPr>
        <w:shd w:val="clear" w:color="auto" w:fill="FFFFFF"/>
        <w:spacing w:after="0" w:line="360" w:lineRule="auto"/>
        <w:ind w:firstLine="720"/>
        <w:rPr>
          <w:sz w:val="24"/>
          <w:szCs w:val="24"/>
        </w:rPr>
      </w:pPr>
      <w:r>
        <w:rPr>
          <w:sz w:val="24"/>
          <w:szCs w:val="24"/>
        </w:rPr>
        <w:t xml:space="preserve">In this section, I </w:t>
      </w:r>
      <w:r w:rsidR="007D25E3">
        <w:rPr>
          <w:sz w:val="24"/>
          <w:szCs w:val="24"/>
        </w:rPr>
        <w:t>argue</w:t>
      </w:r>
      <w:r w:rsidR="009831FC">
        <w:rPr>
          <w:sz w:val="24"/>
          <w:szCs w:val="24"/>
        </w:rPr>
        <w:t xml:space="preserve"> </w:t>
      </w:r>
      <w:r w:rsidR="00C82F42">
        <w:rPr>
          <w:sz w:val="24"/>
          <w:szCs w:val="24"/>
        </w:rPr>
        <w:t>that</w:t>
      </w:r>
      <w:r w:rsidR="001C4DA2">
        <w:rPr>
          <w:sz w:val="24"/>
          <w:szCs w:val="24"/>
        </w:rPr>
        <w:t xml:space="preserve"> domestic </w:t>
      </w:r>
      <w:r>
        <w:rPr>
          <w:sz w:val="24"/>
          <w:szCs w:val="24"/>
        </w:rPr>
        <w:t>abuse</w:t>
      </w:r>
      <w:r w:rsidR="001C4DA2">
        <w:rPr>
          <w:sz w:val="24"/>
          <w:szCs w:val="24"/>
        </w:rPr>
        <w:t xml:space="preserve"> </w:t>
      </w:r>
      <w:r w:rsidR="00C82F42">
        <w:rPr>
          <w:sz w:val="24"/>
          <w:szCs w:val="24"/>
        </w:rPr>
        <w:t>is</w:t>
      </w:r>
      <w:r w:rsidR="001C4DA2">
        <w:rPr>
          <w:sz w:val="24"/>
          <w:szCs w:val="24"/>
        </w:rPr>
        <w:t xml:space="preserve"> </w:t>
      </w:r>
      <w:r w:rsidR="005A5A89">
        <w:rPr>
          <w:sz w:val="24"/>
          <w:szCs w:val="24"/>
        </w:rPr>
        <w:t>experienced predominantly by women</w:t>
      </w:r>
      <w:r w:rsidR="007D25E3">
        <w:rPr>
          <w:sz w:val="24"/>
          <w:szCs w:val="24"/>
        </w:rPr>
        <w:t xml:space="preserve"> and</w:t>
      </w:r>
      <w:r w:rsidR="008F2C25">
        <w:rPr>
          <w:sz w:val="24"/>
          <w:szCs w:val="24"/>
        </w:rPr>
        <w:t xml:space="preserve"> </w:t>
      </w:r>
      <w:r w:rsidR="007D25E3">
        <w:rPr>
          <w:sz w:val="24"/>
          <w:szCs w:val="24"/>
        </w:rPr>
        <w:t>that the</w:t>
      </w:r>
      <w:r w:rsidR="009831FC">
        <w:rPr>
          <w:sz w:val="24"/>
          <w:szCs w:val="24"/>
        </w:rPr>
        <w:t xml:space="preserve"> CPS </w:t>
      </w:r>
      <w:r w:rsidR="007D25E3">
        <w:rPr>
          <w:sz w:val="24"/>
          <w:szCs w:val="24"/>
        </w:rPr>
        <w:t>ha</w:t>
      </w:r>
      <w:r w:rsidR="00540321">
        <w:rPr>
          <w:sz w:val="24"/>
          <w:szCs w:val="24"/>
        </w:rPr>
        <w:t>ve</w:t>
      </w:r>
      <w:r w:rsidR="005A5A89">
        <w:rPr>
          <w:sz w:val="24"/>
          <w:szCs w:val="24"/>
        </w:rPr>
        <w:t>, accordingly,</w:t>
      </w:r>
      <w:r w:rsidR="007D25E3">
        <w:rPr>
          <w:sz w:val="24"/>
          <w:szCs w:val="24"/>
        </w:rPr>
        <w:t xml:space="preserve"> </w:t>
      </w:r>
      <w:r w:rsidR="00540321">
        <w:rPr>
          <w:sz w:val="24"/>
          <w:szCs w:val="24"/>
        </w:rPr>
        <w:t>adopted</w:t>
      </w:r>
      <w:r w:rsidR="007D25E3">
        <w:rPr>
          <w:sz w:val="24"/>
          <w:szCs w:val="24"/>
        </w:rPr>
        <w:t xml:space="preserve"> feminist accounts of </w:t>
      </w:r>
      <w:r w:rsidR="00540321">
        <w:rPr>
          <w:sz w:val="24"/>
          <w:szCs w:val="24"/>
        </w:rPr>
        <w:t>the crime’s</w:t>
      </w:r>
      <w:r w:rsidR="00C82F42">
        <w:rPr>
          <w:sz w:val="24"/>
          <w:szCs w:val="24"/>
        </w:rPr>
        <w:t xml:space="preserve"> </w:t>
      </w:r>
      <w:r w:rsidR="007F7FBD">
        <w:rPr>
          <w:sz w:val="24"/>
          <w:szCs w:val="24"/>
        </w:rPr>
        <w:t>a</w:t>
      </w:r>
      <w:r w:rsidR="00C82F42">
        <w:rPr>
          <w:sz w:val="24"/>
          <w:szCs w:val="24"/>
        </w:rPr>
        <w:t xml:space="preserve">etiology </w:t>
      </w:r>
      <w:r w:rsidR="007D25E3">
        <w:rPr>
          <w:sz w:val="24"/>
          <w:szCs w:val="24"/>
        </w:rPr>
        <w:t xml:space="preserve">based </w:t>
      </w:r>
      <w:r w:rsidR="00540321">
        <w:rPr>
          <w:sz w:val="24"/>
          <w:szCs w:val="24"/>
        </w:rPr>
        <w:t>i</w:t>
      </w:r>
      <w:r w:rsidR="007D25E3">
        <w:rPr>
          <w:sz w:val="24"/>
          <w:szCs w:val="24"/>
        </w:rPr>
        <w:t>n gender inequality</w:t>
      </w:r>
      <w:r w:rsidR="00FF1D02">
        <w:rPr>
          <w:sz w:val="24"/>
          <w:szCs w:val="24"/>
        </w:rPr>
        <w:t>. Th</w:t>
      </w:r>
      <w:r w:rsidR="00540321">
        <w:rPr>
          <w:sz w:val="24"/>
          <w:szCs w:val="24"/>
        </w:rPr>
        <w:t>ese feminist</w:t>
      </w:r>
      <w:r w:rsidR="00FF1D02">
        <w:rPr>
          <w:sz w:val="24"/>
          <w:szCs w:val="24"/>
        </w:rPr>
        <w:t xml:space="preserve"> account</w:t>
      </w:r>
      <w:r w:rsidR="00540321">
        <w:rPr>
          <w:sz w:val="24"/>
          <w:szCs w:val="24"/>
        </w:rPr>
        <w:t>s</w:t>
      </w:r>
      <w:r w:rsidR="00FF1D02">
        <w:rPr>
          <w:sz w:val="24"/>
          <w:szCs w:val="24"/>
        </w:rPr>
        <w:t xml:space="preserve"> ha</w:t>
      </w:r>
      <w:r w:rsidR="00540321">
        <w:rPr>
          <w:sz w:val="24"/>
          <w:szCs w:val="24"/>
        </w:rPr>
        <w:t>ve</w:t>
      </w:r>
      <w:r w:rsidR="00FF1D02">
        <w:rPr>
          <w:sz w:val="24"/>
          <w:szCs w:val="24"/>
        </w:rPr>
        <w:t xml:space="preserve"> laid the groundwork for the CPS commitment to ‘tenacious prosecutions’.</w:t>
      </w:r>
    </w:p>
    <w:p w14:paraId="7688C340" w14:textId="437AFB3B" w:rsidR="00835B47" w:rsidRDefault="003D4358" w:rsidP="00CB1726">
      <w:pPr>
        <w:shd w:val="clear" w:color="auto" w:fill="FFFFFF"/>
        <w:spacing w:after="0" w:line="360" w:lineRule="auto"/>
        <w:ind w:firstLine="720"/>
        <w:rPr>
          <w:sz w:val="24"/>
          <w:szCs w:val="24"/>
        </w:rPr>
      </w:pPr>
      <w:r>
        <w:rPr>
          <w:sz w:val="24"/>
          <w:szCs w:val="24"/>
        </w:rPr>
        <w:t xml:space="preserve">Gender is a significant causal pathway to the commission of domestic abuse and, since 2009, its prevalence in England and Wales has remained </w:t>
      </w:r>
      <w:r w:rsidR="00A64B1C" w:rsidRPr="00B93782">
        <w:rPr>
          <w:sz w:val="24"/>
          <w:szCs w:val="24"/>
        </w:rPr>
        <w:t>broadly unchanged</w:t>
      </w:r>
      <w:r>
        <w:rPr>
          <w:sz w:val="24"/>
          <w:szCs w:val="24"/>
        </w:rPr>
        <w:t>.</w:t>
      </w:r>
      <w:r w:rsidR="00A64B1C" w:rsidRPr="00B93782">
        <w:rPr>
          <w:rStyle w:val="FootnoteReference"/>
        </w:rPr>
        <w:footnoteReference w:id="42"/>
      </w:r>
      <w:r w:rsidR="00A64B1C" w:rsidRPr="00B93782">
        <w:rPr>
          <w:sz w:val="24"/>
          <w:szCs w:val="24"/>
        </w:rPr>
        <w:t xml:space="preserve"> Women are the predominant victims of intimate partner abuse with 26% of women and 15% of men having experienced ‘some form of domestic abuse’ on at least one occasion since the age of 16.</w:t>
      </w:r>
      <w:r w:rsidR="00A64B1C" w:rsidRPr="00B93782">
        <w:rPr>
          <w:rStyle w:val="FootnoteReference"/>
        </w:rPr>
        <w:footnoteReference w:id="43"/>
      </w:r>
      <w:r w:rsidR="00A64B1C">
        <w:rPr>
          <w:sz w:val="24"/>
          <w:szCs w:val="24"/>
        </w:rPr>
        <w:t xml:space="preserve"> </w:t>
      </w:r>
      <w:r>
        <w:rPr>
          <w:sz w:val="24"/>
          <w:szCs w:val="24"/>
        </w:rPr>
        <w:t>Yet, the</w:t>
      </w:r>
      <w:r w:rsidR="00A64B1C" w:rsidRPr="00B93782">
        <w:rPr>
          <w:sz w:val="24"/>
          <w:szCs w:val="24"/>
        </w:rPr>
        <w:t xml:space="preserve"> gender</w:t>
      </w:r>
      <w:r w:rsidR="00A64B1C">
        <w:rPr>
          <w:sz w:val="24"/>
          <w:szCs w:val="24"/>
        </w:rPr>
        <w:t>ed nature of abuse becomes more</w:t>
      </w:r>
      <w:r w:rsidR="00A64B1C" w:rsidRPr="00B93782">
        <w:rPr>
          <w:sz w:val="24"/>
          <w:szCs w:val="24"/>
        </w:rPr>
        <w:t xml:space="preserve"> </w:t>
      </w:r>
      <w:r w:rsidR="00A64B1C">
        <w:rPr>
          <w:sz w:val="24"/>
          <w:szCs w:val="24"/>
        </w:rPr>
        <w:t xml:space="preserve">marked </w:t>
      </w:r>
      <w:r w:rsidR="00A64B1C" w:rsidRPr="00B93782">
        <w:rPr>
          <w:sz w:val="24"/>
          <w:szCs w:val="24"/>
        </w:rPr>
        <w:t xml:space="preserve">when one considers who is most </w:t>
      </w:r>
      <w:r w:rsidR="00A64B1C">
        <w:rPr>
          <w:sz w:val="24"/>
          <w:szCs w:val="24"/>
        </w:rPr>
        <w:t>frequently</w:t>
      </w:r>
      <w:r w:rsidR="00A64B1C" w:rsidRPr="00B93782">
        <w:rPr>
          <w:sz w:val="24"/>
          <w:szCs w:val="24"/>
        </w:rPr>
        <w:t xml:space="preserve"> abused.</w:t>
      </w:r>
      <w:r w:rsidR="00A64B1C" w:rsidRPr="00B93782">
        <w:rPr>
          <w:rFonts w:cs="Ìf’'F"/>
          <w:sz w:val="24"/>
          <w:szCs w:val="24"/>
          <w:lang w:val="en-US"/>
        </w:rPr>
        <w:t xml:space="preserve"> </w:t>
      </w:r>
      <w:r w:rsidR="00A64B1C" w:rsidRPr="00B93782">
        <w:rPr>
          <w:sz w:val="24"/>
          <w:szCs w:val="24"/>
        </w:rPr>
        <w:t>Of those who have experienced four or more incidents of intimate partner abuse, the overwhelming majority are women; 89% compared to only 11% of men.</w:t>
      </w:r>
      <w:r w:rsidR="00A64B1C">
        <w:rPr>
          <w:rStyle w:val="FootnoteReference"/>
        </w:rPr>
        <w:footnoteReference w:id="44"/>
      </w:r>
      <w:r w:rsidR="00A64B1C">
        <w:rPr>
          <w:sz w:val="24"/>
          <w:szCs w:val="24"/>
        </w:rPr>
        <w:t xml:space="preserve"> Moreover, not only is </w:t>
      </w:r>
      <w:r w:rsidR="00A64B1C" w:rsidRPr="00B93782">
        <w:rPr>
          <w:rFonts w:cs="Ìf’'F"/>
          <w:sz w:val="24"/>
          <w:szCs w:val="24"/>
          <w:lang w:val="en-US"/>
        </w:rPr>
        <w:t xml:space="preserve">men’s </w:t>
      </w:r>
      <w:r w:rsidR="00A64B1C">
        <w:rPr>
          <w:rFonts w:cs="Ìf’'F"/>
          <w:sz w:val="24"/>
          <w:szCs w:val="24"/>
          <w:lang w:val="en-US"/>
        </w:rPr>
        <w:t>abuse</w:t>
      </w:r>
      <w:r w:rsidR="00A64B1C" w:rsidRPr="00B93782">
        <w:rPr>
          <w:rFonts w:cs="Ìf’'F"/>
          <w:sz w:val="24"/>
          <w:szCs w:val="24"/>
          <w:lang w:val="en-US"/>
        </w:rPr>
        <w:t xml:space="preserve"> </w:t>
      </w:r>
      <w:r w:rsidR="00A64B1C">
        <w:rPr>
          <w:rFonts w:cs="Ìf’'F"/>
          <w:sz w:val="24"/>
          <w:szCs w:val="24"/>
          <w:lang w:val="en-US"/>
        </w:rPr>
        <w:t>likely to be more recurrent, it is also</w:t>
      </w:r>
      <w:r w:rsidR="00A64B1C" w:rsidRPr="00B93782">
        <w:rPr>
          <w:rFonts w:cs="Ìf’'F"/>
          <w:sz w:val="24"/>
          <w:szCs w:val="24"/>
          <w:lang w:val="en-US"/>
        </w:rPr>
        <w:t xml:space="preserve"> likely to be more physically injurious</w:t>
      </w:r>
      <w:r>
        <w:rPr>
          <w:rFonts w:cs="Ìf’'F"/>
          <w:sz w:val="24"/>
          <w:szCs w:val="24"/>
          <w:lang w:val="en-US"/>
        </w:rPr>
        <w:t>.</w:t>
      </w:r>
      <w:r w:rsidR="00A64B1C" w:rsidRPr="00B93782">
        <w:rPr>
          <w:rStyle w:val="FootnoteReference"/>
          <w:rFonts w:cs="Ìf’'F"/>
          <w:lang w:val="en-US"/>
        </w:rPr>
        <w:footnoteReference w:id="45"/>
      </w:r>
      <w:r>
        <w:rPr>
          <w:rFonts w:cs="Ìf’'F"/>
          <w:sz w:val="24"/>
          <w:szCs w:val="24"/>
          <w:lang w:val="en-US"/>
        </w:rPr>
        <w:t xml:space="preserve"> </w:t>
      </w:r>
      <w:r w:rsidR="00A64B1C">
        <w:rPr>
          <w:rFonts w:cs="Ìf’'F"/>
          <w:sz w:val="24"/>
          <w:szCs w:val="24"/>
          <w:lang w:val="en-US"/>
        </w:rPr>
        <w:t xml:space="preserve">Even Murray Straus, the controversial ‘family violence’ sociologist whose work </w:t>
      </w:r>
      <w:r w:rsidR="00296688">
        <w:rPr>
          <w:rFonts w:cs="Ìf’'F"/>
          <w:sz w:val="24"/>
          <w:szCs w:val="24"/>
          <w:lang w:val="en-US"/>
        </w:rPr>
        <w:t xml:space="preserve">has </w:t>
      </w:r>
      <w:r w:rsidR="00A64B1C">
        <w:rPr>
          <w:rFonts w:cs="Ìf’'F"/>
          <w:sz w:val="24"/>
          <w:szCs w:val="24"/>
          <w:lang w:val="en-US"/>
        </w:rPr>
        <w:t xml:space="preserve">sought to expose </w:t>
      </w:r>
      <w:r w:rsidR="00A64B1C" w:rsidRPr="00B93782">
        <w:rPr>
          <w:rFonts w:cs="Ìf’'F"/>
          <w:sz w:val="24"/>
          <w:szCs w:val="24"/>
          <w:lang w:val="en-US"/>
        </w:rPr>
        <w:t xml:space="preserve">the extent of violence perpetrated by women in intimate relationships, </w:t>
      </w:r>
      <w:r w:rsidR="00A64B1C" w:rsidRPr="00B93782">
        <w:rPr>
          <w:sz w:val="24"/>
          <w:szCs w:val="24"/>
        </w:rPr>
        <w:t>concedes that ‘because of the greater physical, financial and emotional injury suffered by women, they are the predominant victims’.</w:t>
      </w:r>
      <w:r w:rsidR="00A64B1C" w:rsidRPr="00B93782">
        <w:rPr>
          <w:rStyle w:val="FootnoteReference"/>
        </w:rPr>
        <w:footnoteReference w:id="46"/>
      </w:r>
      <w:r w:rsidR="00A64B1C" w:rsidRPr="00B93782">
        <w:rPr>
          <w:sz w:val="24"/>
          <w:szCs w:val="24"/>
        </w:rPr>
        <w:t xml:space="preserve"> </w:t>
      </w:r>
      <w:r w:rsidR="004F3A11">
        <w:rPr>
          <w:sz w:val="24"/>
          <w:szCs w:val="24"/>
        </w:rPr>
        <w:t xml:space="preserve">Marianne Hester’s longitudinal </w:t>
      </w:r>
      <w:r w:rsidR="004F3A11">
        <w:rPr>
          <w:sz w:val="24"/>
          <w:szCs w:val="24"/>
        </w:rPr>
        <w:lastRenderedPageBreak/>
        <w:t xml:space="preserve">study </w:t>
      </w:r>
      <w:r w:rsidR="001C4DA2">
        <w:rPr>
          <w:sz w:val="24"/>
          <w:szCs w:val="24"/>
        </w:rPr>
        <w:t xml:space="preserve">confirms that men are significantly more likely to be repeat offenders and that the </w:t>
      </w:r>
      <w:r w:rsidR="001C4DA2" w:rsidRPr="001C4DA2">
        <w:rPr>
          <w:sz w:val="24"/>
          <w:szCs w:val="24"/>
        </w:rPr>
        <w:t xml:space="preserve">intensity and severity of violence </w:t>
      </w:r>
      <w:r w:rsidR="001C4DA2">
        <w:rPr>
          <w:sz w:val="24"/>
          <w:szCs w:val="24"/>
        </w:rPr>
        <w:t>they use is</w:t>
      </w:r>
      <w:r w:rsidR="001C4DA2" w:rsidRPr="001C4DA2">
        <w:rPr>
          <w:sz w:val="24"/>
          <w:szCs w:val="24"/>
        </w:rPr>
        <w:t xml:space="preserve"> much more extreme</w:t>
      </w:r>
      <w:r w:rsidR="004F3A11">
        <w:rPr>
          <w:sz w:val="24"/>
          <w:szCs w:val="24"/>
        </w:rPr>
        <w:t>.</w:t>
      </w:r>
      <w:r w:rsidR="004F3A11">
        <w:rPr>
          <w:rStyle w:val="FootnoteReference"/>
          <w:sz w:val="24"/>
          <w:szCs w:val="24"/>
        </w:rPr>
        <w:footnoteReference w:id="47"/>
      </w:r>
    </w:p>
    <w:p w14:paraId="09C72AA8" w14:textId="4EBF1509" w:rsidR="00835B47" w:rsidRDefault="00835B47" w:rsidP="00835B47">
      <w:pPr>
        <w:spacing w:after="0" w:line="360" w:lineRule="auto"/>
        <w:ind w:firstLine="720"/>
        <w:rPr>
          <w:sz w:val="24"/>
          <w:szCs w:val="24"/>
        </w:rPr>
      </w:pPr>
      <w:r>
        <w:rPr>
          <w:sz w:val="24"/>
          <w:szCs w:val="24"/>
        </w:rPr>
        <w:t>S</w:t>
      </w:r>
      <w:r w:rsidR="004F3A11">
        <w:rPr>
          <w:sz w:val="24"/>
          <w:szCs w:val="24"/>
        </w:rPr>
        <w:t>ome s</w:t>
      </w:r>
      <w:r>
        <w:rPr>
          <w:sz w:val="24"/>
          <w:szCs w:val="24"/>
        </w:rPr>
        <w:t>cholars, particularly in the field of men and masculinities have</w:t>
      </w:r>
      <w:r w:rsidR="001C4DA2">
        <w:rPr>
          <w:sz w:val="24"/>
          <w:szCs w:val="24"/>
        </w:rPr>
        <w:t>,</w:t>
      </w:r>
      <w:r w:rsidR="007F7FBD">
        <w:rPr>
          <w:sz w:val="24"/>
          <w:szCs w:val="24"/>
        </w:rPr>
        <w:t xml:space="preserve"> nonetheless,</w:t>
      </w:r>
      <w:r>
        <w:rPr>
          <w:sz w:val="24"/>
          <w:szCs w:val="24"/>
        </w:rPr>
        <w:t xml:space="preserve"> asserted equivalent rates of men’s and women’s violence in intimate relationships. Kimmel suggests this may have been ‘motivated by a desire to undermine or dismantle initiatives that administer to female victims [of domestic abuse]’.</w:t>
      </w:r>
      <w:r>
        <w:rPr>
          <w:rStyle w:val="FootnoteReference"/>
        </w:rPr>
        <w:footnoteReference w:id="48"/>
      </w:r>
      <w:r>
        <w:rPr>
          <w:sz w:val="24"/>
          <w:szCs w:val="24"/>
        </w:rPr>
        <w:t xml:space="preserve"> The gender </w:t>
      </w:r>
      <w:proofErr w:type="spellStart"/>
      <w:r>
        <w:rPr>
          <w:sz w:val="24"/>
          <w:szCs w:val="24"/>
        </w:rPr>
        <w:t>symmetrists</w:t>
      </w:r>
      <w:proofErr w:type="spellEnd"/>
      <w:r>
        <w:rPr>
          <w:sz w:val="24"/>
          <w:szCs w:val="24"/>
        </w:rPr>
        <w:t xml:space="preserve">’ contention has invariably been based on the ‘Conflict Tactics Scale’ (CTS), a questionnaire designed by ‘family violence scholar’, Murray Straus, to assess </w:t>
      </w:r>
      <w:r w:rsidR="004F3A11">
        <w:rPr>
          <w:sz w:val="24"/>
          <w:szCs w:val="24"/>
        </w:rPr>
        <w:t>both men’s and women’s perpetration of physical violence</w:t>
      </w:r>
      <w:r w:rsidR="00540321">
        <w:rPr>
          <w:sz w:val="24"/>
          <w:szCs w:val="24"/>
        </w:rPr>
        <w:t xml:space="preserve">. Yet the scale </w:t>
      </w:r>
      <w:r w:rsidR="008F2C25">
        <w:rPr>
          <w:sz w:val="24"/>
          <w:szCs w:val="24"/>
        </w:rPr>
        <w:t>has b</w:t>
      </w:r>
      <w:r w:rsidR="00F47BD6">
        <w:rPr>
          <w:sz w:val="24"/>
          <w:szCs w:val="24"/>
        </w:rPr>
        <w:t>een roundly critic</w:t>
      </w:r>
      <w:r w:rsidR="00540321">
        <w:rPr>
          <w:sz w:val="24"/>
          <w:szCs w:val="24"/>
        </w:rPr>
        <w:t>i</w:t>
      </w:r>
      <w:r w:rsidR="00F47BD6">
        <w:rPr>
          <w:sz w:val="24"/>
          <w:szCs w:val="24"/>
        </w:rPr>
        <w:t>sed for its methodological problems.</w:t>
      </w:r>
      <w:r>
        <w:rPr>
          <w:rStyle w:val="FootnoteReference"/>
        </w:rPr>
        <w:footnoteReference w:id="49"/>
      </w:r>
      <w:r>
        <w:rPr>
          <w:sz w:val="24"/>
          <w:szCs w:val="24"/>
        </w:rPr>
        <w:t xml:space="preserve"> </w:t>
      </w:r>
    </w:p>
    <w:p w14:paraId="6F8509E2" w14:textId="6CB25811" w:rsidR="00D2102D" w:rsidRDefault="007D25E3" w:rsidP="00D2102D">
      <w:pPr>
        <w:spacing w:after="100" w:afterAutospacing="1" w:line="360" w:lineRule="auto"/>
        <w:ind w:firstLine="720"/>
        <w:rPr>
          <w:sz w:val="24"/>
          <w:szCs w:val="24"/>
        </w:rPr>
      </w:pPr>
      <w:r>
        <w:rPr>
          <w:sz w:val="24"/>
          <w:szCs w:val="24"/>
        </w:rPr>
        <w:t>T</w:t>
      </w:r>
      <w:r w:rsidR="008429E4" w:rsidRPr="00117F5D">
        <w:rPr>
          <w:sz w:val="24"/>
          <w:szCs w:val="24"/>
        </w:rPr>
        <w:t xml:space="preserve">he CPS Guidance </w:t>
      </w:r>
      <w:r w:rsidR="001A0038">
        <w:rPr>
          <w:sz w:val="24"/>
          <w:szCs w:val="24"/>
        </w:rPr>
        <w:t xml:space="preserve">for prosecutors </w:t>
      </w:r>
      <w:r w:rsidR="008429E4" w:rsidRPr="00117F5D">
        <w:rPr>
          <w:sz w:val="24"/>
          <w:szCs w:val="24"/>
        </w:rPr>
        <w:t>de</w:t>
      </w:r>
      <w:r w:rsidR="00B06398">
        <w:rPr>
          <w:sz w:val="24"/>
          <w:szCs w:val="24"/>
        </w:rPr>
        <w:t>scribe</w:t>
      </w:r>
      <w:r w:rsidR="008429E4" w:rsidRPr="00117F5D">
        <w:rPr>
          <w:sz w:val="24"/>
          <w:szCs w:val="24"/>
        </w:rPr>
        <w:t>s that, ‘domestic abuse is rarely a one-off incident</w:t>
      </w:r>
      <w:r w:rsidR="00540321">
        <w:rPr>
          <w:sz w:val="24"/>
          <w:szCs w:val="24"/>
        </w:rPr>
        <w:t>’ and that it includes</w:t>
      </w:r>
      <w:r w:rsidR="008429E4" w:rsidRPr="00117F5D">
        <w:rPr>
          <w:sz w:val="24"/>
          <w:szCs w:val="24"/>
        </w:rPr>
        <w:t xml:space="preserve"> </w:t>
      </w:r>
      <w:r w:rsidR="00540321">
        <w:rPr>
          <w:sz w:val="24"/>
          <w:szCs w:val="24"/>
        </w:rPr>
        <w:t>‘</w:t>
      </w:r>
      <w:r w:rsidR="008429E4" w:rsidRPr="00117F5D">
        <w:rPr>
          <w:sz w:val="24"/>
          <w:szCs w:val="24"/>
        </w:rPr>
        <w:t>cumulative and interlinked physical, psychological, sexual, emotional or financial</w:t>
      </w:r>
      <w:r w:rsidR="00540321">
        <w:rPr>
          <w:sz w:val="24"/>
          <w:szCs w:val="24"/>
        </w:rPr>
        <w:t>’</w:t>
      </w:r>
      <w:r w:rsidR="008429E4" w:rsidRPr="00117F5D">
        <w:rPr>
          <w:sz w:val="24"/>
          <w:szCs w:val="24"/>
        </w:rPr>
        <w:t xml:space="preserve"> abuse</w:t>
      </w:r>
      <w:r w:rsidR="00540321">
        <w:rPr>
          <w:sz w:val="24"/>
          <w:szCs w:val="24"/>
        </w:rPr>
        <w:t>s</w:t>
      </w:r>
      <w:r w:rsidR="008429E4" w:rsidRPr="00117F5D">
        <w:rPr>
          <w:sz w:val="24"/>
          <w:szCs w:val="24"/>
        </w:rPr>
        <w:t xml:space="preserve"> that </w:t>
      </w:r>
      <w:r w:rsidR="00540321">
        <w:rPr>
          <w:sz w:val="24"/>
          <w:szCs w:val="24"/>
        </w:rPr>
        <w:t>can have</w:t>
      </w:r>
      <w:r w:rsidR="008429E4" w:rsidRPr="00117F5D">
        <w:rPr>
          <w:sz w:val="24"/>
          <w:szCs w:val="24"/>
        </w:rPr>
        <w:t xml:space="preserve"> a </w:t>
      </w:r>
      <w:r w:rsidR="00540321">
        <w:rPr>
          <w:sz w:val="24"/>
          <w:szCs w:val="24"/>
        </w:rPr>
        <w:t>‘</w:t>
      </w:r>
      <w:r w:rsidR="008429E4" w:rsidRPr="00117F5D">
        <w:rPr>
          <w:sz w:val="24"/>
          <w:szCs w:val="24"/>
        </w:rPr>
        <w:t>particularly damaging effect on the victim’</w:t>
      </w:r>
      <w:r w:rsidR="00841BBD">
        <w:rPr>
          <w:sz w:val="24"/>
          <w:szCs w:val="24"/>
        </w:rPr>
        <w:t>.</w:t>
      </w:r>
      <w:r w:rsidR="00886A5A">
        <w:rPr>
          <w:rStyle w:val="FootnoteReference"/>
          <w:sz w:val="24"/>
          <w:szCs w:val="24"/>
        </w:rPr>
        <w:footnoteReference w:id="50"/>
      </w:r>
      <w:r w:rsidR="00841BBD">
        <w:rPr>
          <w:sz w:val="24"/>
          <w:szCs w:val="24"/>
        </w:rPr>
        <w:t xml:space="preserve"> </w:t>
      </w:r>
      <w:r>
        <w:rPr>
          <w:sz w:val="24"/>
          <w:szCs w:val="24"/>
        </w:rPr>
        <w:t>T</w:t>
      </w:r>
      <w:r w:rsidR="00EC42C5">
        <w:rPr>
          <w:sz w:val="24"/>
          <w:szCs w:val="24"/>
        </w:rPr>
        <w:t>he CPS</w:t>
      </w:r>
      <w:r w:rsidR="00841BBD">
        <w:rPr>
          <w:sz w:val="24"/>
          <w:szCs w:val="24"/>
        </w:rPr>
        <w:t xml:space="preserve"> </w:t>
      </w:r>
      <w:r w:rsidR="00D2102D">
        <w:rPr>
          <w:sz w:val="24"/>
          <w:szCs w:val="24"/>
        </w:rPr>
        <w:t>recognise</w:t>
      </w:r>
      <w:r w:rsidR="00EC42C5">
        <w:rPr>
          <w:sz w:val="24"/>
          <w:szCs w:val="24"/>
        </w:rPr>
        <w:t>s</w:t>
      </w:r>
      <w:r w:rsidR="00D2102D">
        <w:rPr>
          <w:sz w:val="24"/>
          <w:szCs w:val="24"/>
        </w:rPr>
        <w:t xml:space="preserve"> that</w:t>
      </w:r>
      <w:r w:rsidR="00117F5D">
        <w:rPr>
          <w:sz w:val="24"/>
          <w:szCs w:val="24"/>
        </w:rPr>
        <w:t xml:space="preserve"> </w:t>
      </w:r>
      <w:r w:rsidR="00EC42C5">
        <w:rPr>
          <w:sz w:val="24"/>
          <w:szCs w:val="24"/>
        </w:rPr>
        <w:t xml:space="preserve">when </w:t>
      </w:r>
      <w:r w:rsidR="00117F5D">
        <w:rPr>
          <w:sz w:val="24"/>
          <w:szCs w:val="24"/>
        </w:rPr>
        <w:t xml:space="preserve">domestic abuse is </w:t>
      </w:r>
      <w:r w:rsidR="00EC42C5">
        <w:rPr>
          <w:sz w:val="24"/>
          <w:szCs w:val="24"/>
        </w:rPr>
        <w:t xml:space="preserve">committed within a pattern of coercion, power or control it is </w:t>
      </w:r>
      <w:r w:rsidR="00835B47" w:rsidRPr="0052554A">
        <w:rPr>
          <w:sz w:val="24"/>
          <w:szCs w:val="24"/>
        </w:rPr>
        <w:t>primarily, but not exclusively</w:t>
      </w:r>
      <w:r>
        <w:rPr>
          <w:sz w:val="24"/>
          <w:szCs w:val="24"/>
        </w:rPr>
        <w:t>,</w:t>
      </w:r>
      <w:r w:rsidR="00EC42C5">
        <w:rPr>
          <w:sz w:val="24"/>
          <w:szCs w:val="24"/>
        </w:rPr>
        <w:t xml:space="preserve"> committed </w:t>
      </w:r>
      <w:r w:rsidR="00835B47" w:rsidRPr="0052554A">
        <w:rPr>
          <w:sz w:val="24"/>
          <w:szCs w:val="24"/>
        </w:rPr>
        <w:t>by men against women</w:t>
      </w:r>
      <w:r w:rsidR="00EC42C5">
        <w:rPr>
          <w:sz w:val="24"/>
          <w:szCs w:val="24"/>
        </w:rPr>
        <w:t>.</w:t>
      </w:r>
      <w:r w:rsidR="00835B47" w:rsidRPr="0052554A">
        <w:rPr>
          <w:rStyle w:val="FootnoteReference"/>
        </w:rPr>
        <w:footnoteReference w:id="51"/>
      </w:r>
      <w:r w:rsidR="005A5A89" w:rsidRPr="005A5A89">
        <w:rPr>
          <w:sz w:val="24"/>
          <w:szCs w:val="24"/>
        </w:rPr>
        <w:t xml:space="preserve"> </w:t>
      </w:r>
      <w:r w:rsidR="005A5A89">
        <w:rPr>
          <w:sz w:val="24"/>
          <w:szCs w:val="24"/>
        </w:rPr>
        <w:t xml:space="preserve">Whilst still acknowledging that domestic abuse victims can be men and that the perpetrators can be women, given the overall gender asymmetry of the behaviour, particularly when it comes to repeated abuse, </w:t>
      </w:r>
      <w:r w:rsidR="00C27834">
        <w:rPr>
          <w:sz w:val="24"/>
          <w:szCs w:val="24"/>
        </w:rPr>
        <w:t>the</w:t>
      </w:r>
      <w:r w:rsidR="00835B47">
        <w:rPr>
          <w:sz w:val="24"/>
          <w:szCs w:val="24"/>
        </w:rPr>
        <w:t xml:space="preserve"> </w:t>
      </w:r>
      <w:r w:rsidR="00835B47" w:rsidRPr="0052554A">
        <w:rPr>
          <w:sz w:val="24"/>
          <w:szCs w:val="24"/>
        </w:rPr>
        <w:t>CPS adopt</w:t>
      </w:r>
      <w:r w:rsidR="00D2102D">
        <w:rPr>
          <w:sz w:val="24"/>
          <w:szCs w:val="24"/>
        </w:rPr>
        <w:t>s</w:t>
      </w:r>
      <w:r w:rsidR="00835B47" w:rsidRPr="0052554A">
        <w:rPr>
          <w:sz w:val="24"/>
          <w:szCs w:val="24"/>
        </w:rPr>
        <w:t xml:space="preserve"> the United Nations position</w:t>
      </w:r>
      <w:r w:rsidR="005A5A89">
        <w:rPr>
          <w:sz w:val="24"/>
          <w:szCs w:val="24"/>
        </w:rPr>
        <w:t>. This</w:t>
      </w:r>
      <w:r w:rsidR="00835B47" w:rsidRPr="0052554A">
        <w:rPr>
          <w:sz w:val="24"/>
          <w:szCs w:val="24"/>
        </w:rPr>
        <w:t xml:space="preserve"> describe</w:t>
      </w:r>
      <w:r w:rsidR="00835B47">
        <w:rPr>
          <w:sz w:val="24"/>
          <w:szCs w:val="24"/>
        </w:rPr>
        <w:t>s</w:t>
      </w:r>
      <w:r w:rsidR="00835B47" w:rsidRPr="0052554A">
        <w:rPr>
          <w:sz w:val="24"/>
          <w:szCs w:val="24"/>
        </w:rPr>
        <w:t xml:space="preserve"> </w:t>
      </w:r>
      <w:r w:rsidR="00886A5A">
        <w:rPr>
          <w:sz w:val="24"/>
          <w:szCs w:val="24"/>
        </w:rPr>
        <w:t>‘</w:t>
      </w:r>
      <w:r w:rsidR="00835B47" w:rsidRPr="0052554A">
        <w:rPr>
          <w:sz w:val="24"/>
          <w:szCs w:val="24"/>
        </w:rPr>
        <w:t>domestic abuse</w:t>
      </w:r>
      <w:r w:rsidR="00886A5A">
        <w:rPr>
          <w:sz w:val="24"/>
          <w:szCs w:val="24"/>
        </w:rPr>
        <w:t>’</w:t>
      </w:r>
      <w:r w:rsidR="00835B47" w:rsidRPr="0052554A">
        <w:rPr>
          <w:sz w:val="24"/>
          <w:szCs w:val="24"/>
        </w:rPr>
        <w:t xml:space="preserve"> as</w:t>
      </w:r>
      <w:r w:rsidR="00841BBD">
        <w:rPr>
          <w:sz w:val="24"/>
          <w:szCs w:val="24"/>
        </w:rPr>
        <w:t>:</w:t>
      </w:r>
    </w:p>
    <w:p w14:paraId="0AC3D10F" w14:textId="0B564F78" w:rsidR="00835B47" w:rsidRDefault="00835B47" w:rsidP="00D2102D">
      <w:pPr>
        <w:spacing w:after="100" w:afterAutospacing="1" w:line="360" w:lineRule="auto"/>
        <w:ind w:left="360"/>
        <w:rPr>
          <w:sz w:val="24"/>
          <w:szCs w:val="24"/>
        </w:rPr>
      </w:pPr>
      <w:r>
        <w:rPr>
          <w:sz w:val="24"/>
          <w:szCs w:val="24"/>
        </w:rPr>
        <w:t>‘</w:t>
      </w:r>
      <w:r w:rsidR="00841BBD">
        <w:rPr>
          <w:sz w:val="24"/>
          <w:szCs w:val="24"/>
        </w:rPr>
        <w:t>A</w:t>
      </w:r>
      <w:r w:rsidRPr="0052554A">
        <w:rPr>
          <w:sz w:val="24"/>
          <w:szCs w:val="24"/>
        </w:rPr>
        <w:t xml:space="preserve"> manifestation of historically unequal power relations between men and women, which have led to domination over and discrimination against women by men and to the </w:t>
      </w:r>
      <w:r w:rsidRPr="0052554A">
        <w:rPr>
          <w:sz w:val="24"/>
          <w:szCs w:val="24"/>
        </w:rPr>
        <w:lastRenderedPageBreak/>
        <w:t>prevention of the full advancement of women, and … violence against women is one of the crucial social mechanisms by which women are forced into a subordinate position compared with men</w:t>
      </w:r>
      <w:r>
        <w:rPr>
          <w:sz w:val="24"/>
          <w:szCs w:val="24"/>
        </w:rPr>
        <w:t>’</w:t>
      </w:r>
      <w:r w:rsidRPr="0052554A">
        <w:rPr>
          <w:sz w:val="24"/>
          <w:szCs w:val="24"/>
        </w:rPr>
        <w:t>.</w:t>
      </w:r>
      <w:r w:rsidR="0094164B">
        <w:rPr>
          <w:rStyle w:val="FootnoteReference"/>
          <w:sz w:val="24"/>
          <w:szCs w:val="24"/>
        </w:rPr>
        <w:footnoteReference w:id="52"/>
      </w:r>
    </w:p>
    <w:p w14:paraId="7B08B278" w14:textId="60398A4D" w:rsidR="004E6478" w:rsidRDefault="005A5A89" w:rsidP="00CB1726">
      <w:pPr>
        <w:shd w:val="clear" w:color="auto" w:fill="FFFFFF"/>
        <w:spacing w:after="0" w:line="360" w:lineRule="auto"/>
        <w:ind w:firstLine="720"/>
        <w:rPr>
          <w:color w:val="000000"/>
          <w:sz w:val="24"/>
          <w:szCs w:val="24"/>
        </w:rPr>
      </w:pPr>
      <w:r>
        <w:rPr>
          <w:sz w:val="24"/>
          <w:szCs w:val="24"/>
        </w:rPr>
        <w:t>I</w:t>
      </w:r>
      <w:r w:rsidR="00D2102D">
        <w:rPr>
          <w:sz w:val="24"/>
          <w:szCs w:val="24"/>
        </w:rPr>
        <w:t>t is not surprising that</w:t>
      </w:r>
      <w:r w:rsidR="00A64B1C" w:rsidRPr="007B7B08">
        <w:rPr>
          <w:sz w:val="24"/>
          <w:szCs w:val="24"/>
        </w:rPr>
        <w:t xml:space="preserve"> feminists</w:t>
      </w:r>
      <w:r w:rsidR="00343FF2">
        <w:rPr>
          <w:sz w:val="24"/>
          <w:szCs w:val="24"/>
        </w:rPr>
        <w:t xml:space="preserve"> </w:t>
      </w:r>
      <w:r w:rsidR="00A64B1C" w:rsidRPr="007B7B08">
        <w:rPr>
          <w:sz w:val="24"/>
          <w:szCs w:val="24"/>
        </w:rPr>
        <w:t xml:space="preserve">took on the subject and </w:t>
      </w:r>
      <w:r w:rsidR="005551EB">
        <w:rPr>
          <w:sz w:val="24"/>
          <w:szCs w:val="24"/>
        </w:rPr>
        <w:t>uncovere</w:t>
      </w:r>
      <w:r w:rsidR="002672C5">
        <w:rPr>
          <w:sz w:val="24"/>
          <w:szCs w:val="24"/>
        </w:rPr>
        <w:t>d</w:t>
      </w:r>
      <w:r w:rsidR="00343FF2">
        <w:rPr>
          <w:sz w:val="24"/>
          <w:szCs w:val="24"/>
        </w:rPr>
        <w:t xml:space="preserve"> explanations about both </w:t>
      </w:r>
      <w:r w:rsidR="00D2102D">
        <w:rPr>
          <w:sz w:val="24"/>
          <w:szCs w:val="24"/>
        </w:rPr>
        <w:t>its</w:t>
      </w:r>
      <w:r w:rsidR="00343FF2">
        <w:rPr>
          <w:sz w:val="24"/>
          <w:szCs w:val="24"/>
        </w:rPr>
        <w:t xml:space="preserve"> </w:t>
      </w:r>
      <w:r w:rsidR="00A64B1C" w:rsidRPr="007B7B08">
        <w:rPr>
          <w:sz w:val="24"/>
          <w:szCs w:val="24"/>
        </w:rPr>
        <w:t>causes and solutions.</w:t>
      </w:r>
      <w:r w:rsidR="00343FF2">
        <w:rPr>
          <w:sz w:val="24"/>
          <w:szCs w:val="24"/>
        </w:rPr>
        <w:t xml:space="preserve"> </w:t>
      </w:r>
      <w:r w:rsidR="00A64B1C" w:rsidRPr="00DF34BF">
        <w:rPr>
          <w:color w:val="000000"/>
          <w:sz w:val="24"/>
          <w:szCs w:val="24"/>
        </w:rPr>
        <w:t xml:space="preserve">Houston describes </w:t>
      </w:r>
      <w:r w:rsidR="002C3D15">
        <w:rPr>
          <w:color w:val="000000"/>
          <w:sz w:val="24"/>
          <w:szCs w:val="24"/>
        </w:rPr>
        <w:t xml:space="preserve">that the dominant feminist account </w:t>
      </w:r>
      <w:r w:rsidR="00FA30ED">
        <w:rPr>
          <w:color w:val="000000"/>
          <w:sz w:val="24"/>
          <w:szCs w:val="24"/>
        </w:rPr>
        <w:t>has been</w:t>
      </w:r>
      <w:r w:rsidR="002C3D15">
        <w:rPr>
          <w:color w:val="000000"/>
          <w:sz w:val="24"/>
          <w:szCs w:val="24"/>
        </w:rPr>
        <w:t xml:space="preserve"> the </w:t>
      </w:r>
      <w:r w:rsidR="00343FF2">
        <w:rPr>
          <w:color w:val="000000"/>
          <w:sz w:val="24"/>
          <w:szCs w:val="24"/>
        </w:rPr>
        <w:t>‘</w:t>
      </w:r>
      <w:r w:rsidR="00A64B1C" w:rsidRPr="00DF34BF">
        <w:rPr>
          <w:color w:val="000000"/>
          <w:sz w:val="24"/>
          <w:szCs w:val="24"/>
        </w:rPr>
        <w:t>radical</w:t>
      </w:r>
      <w:r w:rsidR="00343FF2">
        <w:rPr>
          <w:color w:val="000000"/>
          <w:sz w:val="24"/>
          <w:szCs w:val="24"/>
        </w:rPr>
        <w:t>’</w:t>
      </w:r>
      <w:r w:rsidR="00A64B1C" w:rsidRPr="00DF34BF">
        <w:rPr>
          <w:color w:val="000000"/>
          <w:sz w:val="24"/>
          <w:szCs w:val="24"/>
        </w:rPr>
        <w:t xml:space="preserve"> </w:t>
      </w:r>
      <w:r w:rsidR="002C53E0">
        <w:rPr>
          <w:color w:val="000000"/>
          <w:sz w:val="24"/>
          <w:szCs w:val="24"/>
        </w:rPr>
        <w:t xml:space="preserve">feminist </w:t>
      </w:r>
      <w:r w:rsidR="00A64B1C" w:rsidRPr="00DF34BF">
        <w:rPr>
          <w:color w:val="000000"/>
          <w:sz w:val="24"/>
          <w:szCs w:val="24"/>
        </w:rPr>
        <w:t xml:space="preserve">thesis </w:t>
      </w:r>
      <w:r w:rsidR="002C3D15">
        <w:rPr>
          <w:color w:val="000000"/>
          <w:sz w:val="24"/>
          <w:szCs w:val="24"/>
        </w:rPr>
        <w:t xml:space="preserve">that </w:t>
      </w:r>
      <w:r w:rsidR="00FA30ED">
        <w:rPr>
          <w:color w:val="000000"/>
          <w:sz w:val="24"/>
          <w:szCs w:val="24"/>
        </w:rPr>
        <w:t>was</w:t>
      </w:r>
      <w:r w:rsidR="002C3D15">
        <w:rPr>
          <w:color w:val="000000"/>
          <w:sz w:val="24"/>
          <w:szCs w:val="24"/>
        </w:rPr>
        <w:t xml:space="preserve"> initially</w:t>
      </w:r>
      <w:r w:rsidR="002672C5">
        <w:rPr>
          <w:color w:val="000000"/>
          <w:sz w:val="24"/>
          <w:szCs w:val="24"/>
        </w:rPr>
        <w:t xml:space="preserve"> </w:t>
      </w:r>
      <w:r w:rsidR="002C3D15">
        <w:rPr>
          <w:color w:val="000000"/>
          <w:sz w:val="24"/>
          <w:szCs w:val="24"/>
        </w:rPr>
        <w:t>used to theori</w:t>
      </w:r>
      <w:r w:rsidR="00C8759D">
        <w:rPr>
          <w:color w:val="000000"/>
          <w:sz w:val="24"/>
          <w:szCs w:val="24"/>
        </w:rPr>
        <w:t>s</w:t>
      </w:r>
      <w:r w:rsidR="002C3D15">
        <w:rPr>
          <w:color w:val="000000"/>
          <w:sz w:val="24"/>
          <w:szCs w:val="24"/>
        </w:rPr>
        <w:t xml:space="preserve">e rape. In this conception, domestic abuse in the home was considered both reflective and reinforcing of both individual and systemic male domination in society. </w:t>
      </w:r>
      <w:r w:rsidR="002672C5">
        <w:rPr>
          <w:color w:val="000000"/>
          <w:sz w:val="24"/>
          <w:szCs w:val="24"/>
        </w:rPr>
        <w:t>Houston</w:t>
      </w:r>
      <w:r w:rsidR="002C3D15">
        <w:rPr>
          <w:color w:val="000000"/>
          <w:sz w:val="24"/>
          <w:szCs w:val="24"/>
        </w:rPr>
        <w:t xml:space="preserve"> describes this account </w:t>
      </w:r>
      <w:r w:rsidR="00A64B1C" w:rsidRPr="00DF34BF">
        <w:rPr>
          <w:color w:val="000000"/>
          <w:sz w:val="24"/>
          <w:szCs w:val="24"/>
        </w:rPr>
        <w:t>as an understanding of domestic abuse as ‘patriarchal force’.</w:t>
      </w:r>
      <w:r w:rsidR="00A64B1C" w:rsidRPr="00DF34BF">
        <w:rPr>
          <w:rStyle w:val="FootnoteReference"/>
          <w:color w:val="000000"/>
        </w:rPr>
        <w:footnoteReference w:id="53"/>
      </w:r>
      <w:r w:rsidR="00A64B1C" w:rsidRPr="00DF34BF">
        <w:rPr>
          <w:color w:val="000000"/>
          <w:sz w:val="24"/>
          <w:szCs w:val="24"/>
        </w:rPr>
        <w:t xml:space="preserve"> </w:t>
      </w:r>
      <w:r w:rsidR="00C27834">
        <w:rPr>
          <w:color w:val="000000"/>
          <w:sz w:val="24"/>
          <w:szCs w:val="24"/>
        </w:rPr>
        <w:t>S</w:t>
      </w:r>
      <w:r w:rsidR="004E6478">
        <w:rPr>
          <w:color w:val="000000"/>
          <w:sz w:val="24"/>
          <w:szCs w:val="24"/>
        </w:rPr>
        <w:t xml:space="preserve">tudies </w:t>
      </w:r>
      <w:r w:rsidR="00C27834">
        <w:rPr>
          <w:color w:val="000000"/>
          <w:sz w:val="24"/>
          <w:szCs w:val="24"/>
        </w:rPr>
        <w:t xml:space="preserve">support this account and </w:t>
      </w:r>
      <w:r w:rsidR="00540321">
        <w:rPr>
          <w:color w:val="000000"/>
          <w:sz w:val="24"/>
          <w:szCs w:val="24"/>
        </w:rPr>
        <w:t>reveal that impulsive men</w:t>
      </w:r>
      <w:r w:rsidR="004E6478">
        <w:rPr>
          <w:color w:val="000000"/>
          <w:sz w:val="24"/>
          <w:szCs w:val="24"/>
        </w:rPr>
        <w:t xml:space="preserve">, generally accepting of violence, frequently engage in domestic abuse where their behaviour is </w:t>
      </w:r>
      <w:r w:rsidR="00C27834">
        <w:rPr>
          <w:color w:val="000000"/>
          <w:sz w:val="24"/>
          <w:szCs w:val="24"/>
        </w:rPr>
        <w:t>buoyed</w:t>
      </w:r>
      <w:r w:rsidR="004E6478">
        <w:rPr>
          <w:color w:val="000000"/>
          <w:sz w:val="24"/>
          <w:szCs w:val="24"/>
        </w:rPr>
        <w:t xml:space="preserve"> by traditionally held attitudes towards women (for example attachment to gender roles) or feelings of hostility towards women generally.</w:t>
      </w:r>
      <w:r w:rsidR="004E6478">
        <w:rPr>
          <w:rStyle w:val="FootnoteReference"/>
          <w:color w:val="000000"/>
          <w:sz w:val="24"/>
          <w:szCs w:val="24"/>
        </w:rPr>
        <w:footnoteReference w:id="54"/>
      </w:r>
      <w:r w:rsidR="004E6478">
        <w:rPr>
          <w:color w:val="000000"/>
          <w:sz w:val="24"/>
          <w:szCs w:val="24"/>
        </w:rPr>
        <w:t xml:space="preserve"> </w:t>
      </w:r>
    </w:p>
    <w:p w14:paraId="70EB4083" w14:textId="68D4FA71" w:rsidR="00CB1726" w:rsidRDefault="00841BBD" w:rsidP="00CB1726">
      <w:pPr>
        <w:shd w:val="clear" w:color="auto" w:fill="FFFFFF"/>
        <w:spacing w:after="0" w:line="360" w:lineRule="auto"/>
        <w:ind w:firstLine="720"/>
        <w:rPr>
          <w:sz w:val="24"/>
          <w:szCs w:val="24"/>
        </w:rPr>
      </w:pPr>
      <w:r>
        <w:rPr>
          <w:color w:val="000000"/>
          <w:sz w:val="24"/>
          <w:szCs w:val="24"/>
        </w:rPr>
        <w:t xml:space="preserve">As outlined, </w:t>
      </w:r>
      <w:r w:rsidR="00041EFA">
        <w:rPr>
          <w:color w:val="000000"/>
          <w:sz w:val="24"/>
          <w:szCs w:val="24"/>
        </w:rPr>
        <w:t xml:space="preserve">the </w:t>
      </w:r>
      <w:r w:rsidR="00A64B1C" w:rsidRPr="007B7B08">
        <w:rPr>
          <w:sz w:val="24"/>
          <w:szCs w:val="24"/>
        </w:rPr>
        <w:t xml:space="preserve">CPS </w:t>
      </w:r>
      <w:r w:rsidR="00041EFA">
        <w:rPr>
          <w:sz w:val="24"/>
          <w:szCs w:val="24"/>
        </w:rPr>
        <w:t>v</w:t>
      </w:r>
      <w:r w:rsidR="001A0038">
        <w:rPr>
          <w:sz w:val="24"/>
          <w:szCs w:val="24"/>
        </w:rPr>
        <w:t xml:space="preserve">iolence </w:t>
      </w:r>
      <w:r w:rsidR="00041EFA">
        <w:rPr>
          <w:sz w:val="24"/>
          <w:szCs w:val="24"/>
        </w:rPr>
        <w:t>a</w:t>
      </w:r>
      <w:r w:rsidR="001A0038">
        <w:rPr>
          <w:sz w:val="24"/>
          <w:szCs w:val="24"/>
        </w:rPr>
        <w:t xml:space="preserve">gainst </w:t>
      </w:r>
      <w:r w:rsidR="00041EFA">
        <w:rPr>
          <w:sz w:val="24"/>
          <w:szCs w:val="24"/>
        </w:rPr>
        <w:t>w</w:t>
      </w:r>
      <w:r w:rsidR="001A0038">
        <w:rPr>
          <w:sz w:val="24"/>
          <w:szCs w:val="24"/>
        </w:rPr>
        <w:t>omen strategy</w:t>
      </w:r>
      <w:r w:rsidR="001A0038" w:rsidRPr="007B7B08">
        <w:rPr>
          <w:sz w:val="24"/>
          <w:szCs w:val="24"/>
        </w:rPr>
        <w:t xml:space="preserve"> </w:t>
      </w:r>
      <w:r w:rsidR="00A64B1C">
        <w:rPr>
          <w:sz w:val="24"/>
          <w:szCs w:val="24"/>
        </w:rPr>
        <w:t xml:space="preserve">now plainly </w:t>
      </w:r>
      <w:r w:rsidR="00A64B1C" w:rsidRPr="007B7B08">
        <w:rPr>
          <w:sz w:val="24"/>
          <w:szCs w:val="24"/>
        </w:rPr>
        <w:t>adopts this</w:t>
      </w:r>
      <w:r w:rsidR="00A64B1C">
        <w:rPr>
          <w:sz w:val="24"/>
          <w:szCs w:val="24"/>
        </w:rPr>
        <w:t xml:space="preserve"> </w:t>
      </w:r>
      <w:r w:rsidR="00A64B1C" w:rsidRPr="007B7B08">
        <w:rPr>
          <w:sz w:val="24"/>
          <w:szCs w:val="24"/>
        </w:rPr>
        <w:t>feminist understanding of the dynamic of abus</w:t>
      </w:r>
      <w:r w:rsidR="001A0038">
        <w:rPr>
          <w:sz w:val="24"/>
          <w:szCs w:val="24"/>
        </w:rPr>
        <w:t xml:space="preserve">e </w:t>
      </w:r>
      <w:r w:rsidR="004E6478">
        <w:rPr>
          <w:sz w:val="24"/>
          <w:szCs w:val="24"/>
        </w:rPr>
        <w:t xml:space="preserve">as ‘patriarchal force’ </w:t>
      </w:r>
      <w:r w:rsidR="001A0038">
        <w:rPr>
          <w:sz w:val="24"/>
          <w:szCs w:val="24"/>
        </w:rPr>
        <w:t>and</w:t>
      </w:r>
      <w:r w:rsidR="00A64B1C">
        <w:rPr>
          <w:sz w:val="24"/>
          <w:szCs w:val="24"/>
        </w:rPr>
        <w:t xml:space="preserve"> </w:t>
      </w:r>
      <w:r w:rsidR="00A64B1C" w:rsidRPr="007B7B08">
        <w:rPr>
          <w:sz w:val="24"/>
          <w:szCs w:val="24"/>
        </w:rPr>
        <w:t>referenc</w:t>
      </w:r>
      <w:r w:rsidR="00A64B1C">
        <w:rPr>
          <w:sz w:val="24"/>
          <w:szCs w:val="24"/>
        </w:rPr>
        <w:t>es</w:t>
      </w:r>
      <w:r w:rsidR="00A64B1C" w:rsidRPr="007B7B08">
        <w:rPr>
          <w:sz w:val="24"/>
          <w:szCs w:val="24"/>
        </w:rPr>
        <w:t xml:space="preserve"> the work of</w:t>
      </w:r>
      <w:r w:rsidR="00A64B1C">
        <w:rPr>
          <w:sz w:val="24"/>
          <w:szCs w:val="24"/>
        </w:rPr>
        <w:t xml:space="preserve"> feminist</w:t>
      </w:r>
      <w:r w:rsidR="00A64B1C" w:rsidRPr="007B7B08">
        <w:rPr>
          <w:sz w:val="24"/>
          <w:szCs w:val="24"/>
        </w:rPr>
        <w:t xml:space="preserve"> Michelle Madden-Dempsey </w:t>
      </w:r>
      <w:r w:rsidR="00A64B1C">
        <w:rPr>
          <w:sz w:val="24"/>
          <w:szCs w:val="24"/>
        </w:rPr>
        <w:t>to urge</w:t>
      </w:r>
      <w:r w:rsidR="00A64B1C" w:rsidRPr="007B7B08">
        <w:rPr>
          <w:sz w:val="24"/>
          <w:szCs w:val="24"/>
        </w:rPr>
        <w:t xml:space="preserve"> prosecutorial pursuit to combat intimate partner abuse</w:t>
      </w:r>
      <w:r w:rsidR="00A64B1C">
        <w:rPr>
          <w:sz w:val="24"/>
          <w:szCs w:val="24"/>
        </w:rPr>
        <w:t xml:space="preserve"> as a means of ‘</w:t>
      </w:r>
      <w:proofErr w:type="spellStart"/>
      <w:r w:rsidR="00A64B1C">
        <w:rPr>
          <w:sz w:val="24"/>
          <w:szCs w:val="24"/>
        </w:rPr>
        <w:t>characteris</w:t>
      </w:r>
      <w:proofErr w:type="spellEnd"/>
      <w:r w:rsidR="00A64B1C">
        <w:rPr>
          <w:sz w:val="24"/>
          <w:szCs w:val="24"/>
        </w:rPr>
        <w:t>[</w:t>
      </w:r>
      <w:proofErr w:type="spellStart"/>
      <w:r w:rsidR="00A64B1C">
        <w:rPr>
          <w:sz w:val="24"/>
          <w:szCs w:val="24"/>
        </w:rPr>
        <w:t>ing</w:t>
      </w:r>
      <w:proofErr w:type="spellEnd"/>
      <w:r w:rsidR="00A64B1C">
        <w:rPr>
          <w:sz w:val="24"/>
          <w:szCs w:val="24"/>
        </w:rPr>
        <w:t>]</w:t>
      </w:r>
      <w:r w:rsidR="00A64B1C" w:rsidRPr="007B7B08">
        <w:rPr>
          <w:sz w:val="24"/>
          <w:szCs w:val="24"/>
        </w:rPr>
        <w:t xml:space="preserve"> the state as having values that lessen patriarchy’.</w:t>
      </w:r>
      <w:r w:rsidR="001A0038" w:rsidRPr="001A0038">
        <w:rPr>
          <w:rStyle w:val="FootnoteReference"/>
        </w:rPr>
        <w:t xml:space="preserve"> </w:t>
      </w:r>
      <w:r w:rsidR="001A0038" w:rsidRPr="007B7B08">
        <w:rPr>
          <w:rStyle w:val="FootnoteReference"/>
        </w:rPr>
        <w:footnoteReference w:id="55"/>
      </w:r>
      <w:r w:rsidR="00A64B1C" w:rsidRPr="0083068B">
        <w:rPr>
          <w:sz w:val="24"/>
          <w:szCs w:val="24"/>
        </w:rPr>
        <w:t xml:space="preserve"> </w:t>
      </w:r>
      <w:r>
        <w:rPr>
          <w:sz w:val="24"/>
          <w:szCs w:val="24"/>
        </w:rPr>
        <w:t>Such a commitment to prosecutions speaks to the ‘intrinsic’ (expressive o</w:t>
      </w:r>
      <w:r w:rsidR="00F1584C">
        <w:rPr>
          <w:sz w:val="24"/>
          <w:szCs w:val="24"/>
        </w:rPr>
        <w:t>r</w:t>
      </w:r>
      <w:r>
        <w:rPr>
          <w:sz w:val="24"/>
          <w:szCs w:val="24"/>
        </w:rPr>
        <w:t xml:space="preserve"> symbolic </w:t>
      </w:r>
      <w:r w:rsidR="00F1584C">
        <w:rPr>
          <w:sz w:val="24"/>
          <w:szCs w:val="24"/>
        </w:rPr>
        <w:t>d</w:t>
      </w:r>
      <w:r>
        <w:rPr>
          <w:sz w:val="24"/>
          <w:szCs w:val="24"/>
        </w:rPr>
        <w:t xml:space="preserve">enouncement) and ‘consequential’ (actual behaviour changing) value of prosecutions and their potential to render society </w:t>
      </w:r>
      <w:r w:rsidR="001A0038">
        <w:rPr>
          <w:sz w:val="24"/>
          <w:szCs w:val="24"/>
        </w:rPr>
        <w:t>less patriarchal by setting and evolving norms.</w:t>
      </w:r>
    </w:p>
    <w:p w14:paraId="5227ABA3" w14:textId="31CAC28B" w:rsidR="00C8759D" w:rsidRPr="0063777D" w:rsidRDefault="006C233B" w:rsidP="00C8759D">
      <w:pPr>
        <w:spacing w:after="0" w:line="360" w:lineRule="auto"/>
        <w:ind w:firstLine="720"/>
        <w:rPr>
          <w:sz w:val="24"/>
          <w:szCs w:val="24"/>
        </w:rPr>
      </w:pPr>
      <w:r>
        <w:rPr>
          <w:sz w:val="24"/>
          <w:szCs w:val="24"/>
        </w:rPr>
        <w:t xml:space="preserve">The government’s </w:t>
      </w:r>
      <w:r w:rsidR="00041EFA">
        <w:rPr>
          <w:sz w:val="24"/>
          <w:szCs w:val="24"/>
        </w:rPr>
        <w:t>reliance on</w:t>
      </w:r>
      <w:r>
        <w:rPr>
          <w:sz w:val="24"/>
          <w:szCs w:val="24"/>
        </w:rPr>
        <w:t xml:space="preserve"> the criminal law </w:t>
      </w:r>
      <w:r w:rsidR="00041EFA">
        <w:rPr>
          <w:sz w:val="24"/>
          <w:szCs w:val="24"/>
        </w:rPr>
        <w:t xml:space="preserve">as a means to address and </w:t>
      </w:r>
      <w:r>
        <w:rPr>
          <w:sz w:val="24"/>
          <w:szCs w:val="24"/>
        </w:rPr>
        <w:t>to end domestic abuse has also given rise to</w:t>
      </w:r>
      <w:r w:rsidR="00041EFA">
        <w:rPr>
          <w:sz w:val="24"/>
          <w:szCs w:val="24"/>
        </w:rPr>
        <w:t xml:space="preserve"> s</w:t>
      </w:r>
      <w:r w:rsidR="00041EFA" w:rsidRPr="00A3245C">
        <w:rPr>
          <w:sz w:val="24"/>
          <w:szCs w:val="24"/>
        </w:rPr>
        <w:t>76 Serious Crime Act 2015</w:t>
      </w:r>
      <w:r w:rsidR="00041EFA">
        <w:rPr>
          <w:sz w:val="24"/>
          <w:szCs w:val="24"/>
        </w:rPr>
        <w:t xml:space="preserve"> which </w:t>
      </w:r>
      <w:r>
        <w:rPr>
          <w:sz w:val="24"/>
          <w:szCs w:val="24"/>
        </w:rPr>
        <w:t>criminalis</w:t>
      </w:r>
      <w:r w:rsidR="00041EFA">
        <w:rPr>
          <w:sz w:val="24"/>
          <w:szCs w:val="24"/>
        </w:rPr>
        <w:t xml:space="preserve">es, for the </w:t>
      </w:r>
      <w:r w:rsidR="00041EFA">
        <w:rPr>
          <w:sz w:val="24"/>
          <w:szCs w:val="24"/>
        </w:rPr>
        <w:lastRenderedPageBreak/>
        <w:t>first time,</w:t>
      </w:r>
      <w:r w:rsidRPr="00A3245C">
        <w:rPr>
          <w:sz w:val="24"/>
          <w:szCs w:val="24"/>
        </w:rPr>
        <w:t xml:space="preserve"> coercive</w:t>
      </w:r>
      <w:r>
        <w:rPr>
          <w:sz w:val="24"/>
          <w:szCs w:val="24"/>
        </w:rPr>
        <w:t xml:space="preserve"> and controlling</w:t>
      </w:r>
      <w:r w:rsidRPr="00A3245C">
        <w:rPr>
          <w:sz w:val="24"/>
          <w:szCs w:val="24"/>
        </w:rPr>
        <w:t xml:space="preserve"> behaviours</w:t>
      </w:r>
      <w:r>
        <w:rPr>
          <w:sz w:val="24"/>
          <w:szCs w:val="24"/>
        </w:rPr>
        <w:t xml:space="preserve"> which may or may not include physical assault. </w:t>
      </w:r>
      <w:r w:rsidRPr="0063777D">
        <w:rPr>
          <w:sz w:val="24"/>
          <w:szCs w:val="24"/>
        </w:rPr>
        <w:t>Moreover the commitment to</w:t>
      </w:r>
      <w:r w:rsidR="00F1584C" w:rsidRPr="0063777D">
        <w:rPr>
          <w:sz w:val="24"/>
          <w:szCs w:val="24"/>
        </w:rPr>
        <w:t xml:space="preserve"> end</w:t>
      </w:r>
      <w:r w:rsidR="00C8759D" w:rsidRPr="0063777D">
        <w:rPr>
          <w:sz w:val="24"/>
          <w:szCs w:val="24"/>
        </w:rPr>
        <w:t xml:space="preserve"> to </w:t>
      </w:r>
      <w:r w:rsidR="00CD67DB" w:rsidRPr="0063777D">
        <w:rPr>
          <w:sz w:val="24"/>
          <w:szCs w:val="24"/>
        </w:rPr>
        <w:t xml:space="preserve">VAWG paved the way for </w:t>
      </w:r>
      <w:r w:rsidR="00C8759D" w:rsidRPr="0063777D">
        <w:rPr>
          <w:sz w:val="24"/>
          <w:szCs w:val="24"/>
        </w:rPr>
        <w:t>Clare’s Law</w:t>
      </w:r>
      <w:r w:rsidR="00C8759D" w:rsidRPr="0063777D">
        <w:rPr>
          <w:rStyle w:val="FootnoteReference"/>
        </w:rPr>
        <w:footnoteReference w:id="56"/>
      </w:r>
      <w:r w:rsidR="00C8759D" w:rsidRPr="0063777D">
        <w:rPr>
          <w:sz w:val="24"/>
          <w:szCs w:val="24"/>
        </w:rPr>
        <w:t xml:space="preserve"> (which </w:t>
      </w:r>
      <w:r w:rsidR="00EB77D0" w:rsidRPr="00EB77D0">
        <w:rPr>
          <w:sz w:val="24"/>
          <w:szCs w:val="24"/>
        </w:rPr>
        <w:t>gives any member of the public the right to</w:t>
      </w:r>
      <w:r w:rsidR="003D4DFD">
        <w:rPr>
          <w:sz w:val="24"/>
          <w:szCs w:val="24"/>
        </w:rPr>
        <w:t xml:space="preserve"> request</w:t>
      </w:r>
      <w:r w:rsidR="00EB77D0" w:rsidRPr="00EB77D0">
        <w:rPr>
          <w:sz w:val="24"/>
          <w:szCs w:val="24"/>
        </w:rPr>
        <w:t xml:space="preserve"> </w:t>
      </w:r>
      <w:r w:rsidR="003D4DFD">
        <w:rPr>
          <w:sz w:val="24"/>
          <w:szCs w:val="24"/>
        </w:rPr>
        <w:t>information contained in police records regarding their</w:t>
      </w:r>
      <w:r w:rsidR="00EB77D0" w:rsidRPr="00EB77D0">
        <w:rPr>
          <w:sz w:val="24"/>
          <w:szCs w:val="24"/>
        </w:rPr>
        <w:t xml:space="preserve"> partner</w:t>
      </w:r>
      <w:r w:rsidR="003D4DFD">
        <w:rPr>
          <w:sz w:val="24"/>
          <w:szCs w:val="24"/>
        </w:rPr>
        <w:t>’s potential</w:t>
      </w:r>
      <w:r w:rsidR="00EB77D0" w:rsidRPr="00EB77D0">
        <w:rPr>
          <w:sz w:val="24"/>
          <w:szCs w:val="24"/>
        </w:rPr>
        <w:t xml:space="preserve"> risk to them</w:t>
      </w:r>
      <w:r w:rsidR="00C8759D" w:rsidRPr="0063777D">
        <w:rPr>
          <w:sz w:val="24"/>
          <w:szCs w:val="24"/>
        </w:rPr>
        <w:t>) and Domestic Violence Pr</w:t>
      </w:r>
      <w:r w:rsidR="000C3450">
        <w:rPr>
          <w:sz w:val="24"/>
          <w:szCs w:val="24"/>
        </w:rPr>
        <w:t>otection</w:t>
      </w:r>
      <w:r w:rsidR="00C8759D" w:rsidRPr="0063777D">
        <w:rPr>
          <w:sz w:val="24"/>
          <w:szCs w:val="24"/>
        </w:rPr>
        <w:t xml:space="preserve"> Orders</w:t>
      </w:r>
      <w:r w:rsidR="00C8759D" w:rsidRPr="0063777D">
        <w:rPr>
          <w:rStyle w:val="FootnoteReference"/>
        </w:rPr>
        <w:footnoteReference w:id="57"/>
      </w:r>
      <w:r w:rsidR="00C8759D" w:rsidRPr="0063777D">
        <w:rPr>
          <w:sz w:val="24"/>
          <w:szCs w:val="24"/>
        </w:rPr>
        <w:t xml:space="preserve"> (</w:t>
      </w:r>
      <w:r w:rsidR="00EB77D0">
        <w:rPr>
          <w:sz w:val="24"/>
          <w:szCs w:val="24"/>
        </w:rPr>
        <w:t>which allows the</w:t>
      </w:r>
      <w:r w:rsidR="00041EFA">
        <w:rPr>
          <w:sz w:val="24"/>
          <w:szCs w:val="24"/>
        </w:rPr>
        <w:t xml:space="preserve"> police </w:t>
      </w:r>
      <w:r w:rsidR="00EB77D0">
        <w:rPr>
          <w:sz w:val="24"/>
          <w:szCs w:val="24"/>
        </w:rPr>
        <w:t xml:space="preserve">to </w:t>
      </w:r>
      <w:r w:rsidR="00041EFA">
        <w:rPr>
          <w:sz w:val="24"/>
          <w:szCs w:val="24"/>
        </w:rPr>
        <w:t>apply for a m</w:t>
      </w:r>
      <w:r w:rsidR="00F1584C" w:rsidRPr="0063777D">
        <w:rPr>
          <w:sz w:val="24"/>
          <w:szCs w:val="24"/>
        </w:rPr>
        <w:t xml:space="preserve">agistrates’ court </w:t>
      </w:r>
      <w:r w:rsidR="003D4DFD">
        <w:rPr>
          <w:sz w:val="24"/>
          <w:szCs w:val="24"/>
        </w:rPr>
        <w:t xml:space="preserve">‘non-contact’ </w:t>
      </w:r>
      <w:r w:rsidR="00041EFA">
        <w:rPr>
          <w:sz w:val="24"/>
          <w:szCs w:val="24"/>
        </w:rPr>
        <w:t xml:space="preserve">order </w:t>
      </w:r>
      <w:r w:rsidR="00EB77D0">
        <w:rPr>
          <w:sz w:val="24"/>
          <w:szCs w:val="24"/>
        </w:rPr>
        <w:t>to obtain</w:t>
      </w:r>
      <w:r w:rsidR="000C3450">
        <w:rPr>
          <w:sz w:val="24"/>
          <w:szCs w:val="24"/>
        </w:rPr>
        <w:t xml:space="preserve"> </w:t>
      </w:r>
      <w:r w:rsidR="00C8759D" w:rsidRPr="0063777D">
        <w:rPr>
          <w:sz w:val="24"/>
          <w:szCs w:val="24"/>
        </w:rPr>
        <w:t xml:space="preserve">short-term protection for </w:t>
      </w:r>
      <w:r w:rsidR="00EB77D0">
        <w:rPr>
          <w:sz w:val="24"/>
          <w:szCs w:val="24"/>
        </w:rPr>
        <w:t>an alleged</w:t>
      </w:r>
      <w:r w:rsidR="00C8759D" w:rsidRPr="0063777D">
        <w:rPr>
          <w:sz w:val="24"/>
          <w:szCs w:val="24"/>
        </w:rPr>
        <w:t xml:space="preserve"> victim)</w:t>
      </w:r>
      <w:r w:rsidR="00A30A93" w:rsidRPr="0063777D">
        <w:rPr>
          <w:sz w:val="24"/>
          <w:szCs w:val="24"/>
        </w:rPr>
        <w:t>.</w:t>
      </w:r>
    </w:p>
    <w:p w14:paraId="1B5538B8" w14:textId="22CF6D89" w:rsidR="00DC2627" w:rsidRDefault="00DA5F38" w:rsidP="00CB1726">
      <w:pPr>
        <w:shd w:val="clear" w:color="auto" w:fill="FFFFFF"/>
        <w:spacing w:after="0" w:line="360" w:lineRule="auto"/>
        <w:ind w:firstLine="720"/>
        <w:rPr>
          <w:sz w:val="24"/>
          <w:szCs w:val="24"/>
        </w:rPr>
      </w:pPr>
      <w:r>
        <w:rPr>
          <w:sz w:val="24"/>
          <w:szCs w:val="24"/>
        </w:rPr>
        <w:t xml:space="preserve">Noting </w:t>
      </w:r>
      <w:r w:rsidR="003D4DFD">
        <w:rPr>
          <w:sz w:val="24"/>
          <w:szCs w:val="24"/>
        </w:rPr>
        <w:t>how</w:t>
      </w:r>
      <w:r w:rsidR="00343FF2">
        <w:rPr>
          <w:sz w:val="24"/>
          <w:szCs w:val="24"/>
        </w:rPr>
        <w:t xml:space="preserve"> </w:t>
      </w:r>
      <w:r w:rsidR="005A5A89">
        <w:rPr>
          <w:sz w:val="24"/>
          <w:szCs w:val="24"/>
        </w:rPr>
        <w:t xml:space="preserve">recent </w:t>
      </w:r>
      <w:r w:rsidR="00343FF2">
        <w:rPr>
          <w:sz w:val="24"/>
          <w:szCs w:val="24"/>
        </w:rPr>
        <w:t>governmental policy</w:t>
      </w:r>
      <w:r w:rsidR="003D4DFD">
        <w:rPr>
          <w:sz w:val="24"/>
          <w:szCs w:val="24"/>
        </w:rPr>
        <w:t xml:space="preserve"> </w:t>
      </w:r>
      <w:r w:rsidR="005A5A89">
        <w:rPr>
          <w:sz w:val="24"/>
          <w:szCs w:val="24"/>
        </w:rPr>
        <w:t xml:space="preserve">and legislation </w:t>
      </w:r>
      <w:r w:rsidR="003D4DFD">
        <w:rPr>
          <w:sz w:val="24"/>
          <w:szCs w:val="24"/>
        </w:rPr>
        <w:t xml:space="preserve">appears to reflect certain demands made by </w:t>
      </w:r>
      <w:r w:rsidR="00C27834">
        <w:rPr>
          <w:sz w:val="24"/>
          <w:szCs w:val="24"/>
        </w:rPr>
        <w:t xml:space="preserve">certain </w:t>
      </w:r>
      <w:r w:rsidR="003D4DFD">
        <w:rPr>
          <w:sz w:val="24"/>
          <w:szCs w:val="24"/>
        </w:rPr>
        <w:t>feminist groups</w:t>
      </w:r>
      <w:r w:rsidR="00343FF2">
        <w:rPr>
          <w:sz w:val="24"/>
          <w:szCs w:val="24"/>
        </w:rPr>
        <w:t xml:space="preserve">, </w:t>
      </w:r>
      <w:r w:rsidR="00A64B1C">
        <w:rPr>
          <w:sz w:val="24"/>
          <w:szCs w:val="24"/>
        </w:rPr>
        <w:t>Halley</w:t>
      </w:r>
      <w:r>
        <w:rPr>
          <w:sz w:val="24"/>
          <w:szCs w:val="24"/>
        </w:rPr>
        <w:t xml:space="preserve"> and others</w:t>
      </w:r>
      <w:r w:rsidR="00343FF2">
        <w:rPr>
          <w:sz w:val="24"/>
          <w:szCs w:val="24"/>
        </w:rPr>
        <w:t xml:space="preserve"> ha</w:t>
      </w:r>
      <w:r>
        <w:rPr>
          <w:sz w:val="24"/>
          <w:szCs w:val="24"/>
        </w:rPr>
        <w:t>ve</w:t>
      </w:r>
      <w:r w:rsidR="002672C5">
        <w:rPr>
          <w:sz w:val="24"/>
          <w:szCs w:val="24"/>
        </w:rPr>
        <w:t xml:space="preserve"> been quick to</w:t>
      </w:r>
      <w:r w:rsidR="00A64B1C">
        <w:rPr>
          <w:sz w:val="24"/>
          <w:szCs w:val="24"/>
        </w:rPr>
        <w:t xml:space="preserve"> claim that </w:t>
      </w:r>
      <w:r w:rsidR="006D511D">
        <w:rPr>
          <w:sz w:val="24"/>
          <w:szCs w:val="24"/>
        </w:rPr>
        <w:t>‘</w:t>
      </w:r>
      <w:r w:rsidR="00A64B1C" w:rsidRPr="007B7B08">
        <w:rPr>
          <w:sz w:val="24"/>
          <w:szCs w:val="24"/>
        </w:rPr>
        <w:t>feminism</w:t>
      </w:r>
      <w:r w:rsidR="006D511D">
        <w:rPr>
          <w:sz w:val="24"/>
          <w:szCs w:val="24"/>
        </w:rPr>
        <w:t>’</w:t>
      </w:r>
      <w:r w:rsidR="00A64B1C" w:rsidRPr="007B7B08">
        <w:rPr>
          <w:sz w:val="24"/>
          <w:szCs w:val="24"/>
        </w:rPr>
        <w:t xml:space="preserve"> has come to ‘walk the halls of power’ by virtue</w:t>
      </w:r>
      <w:r w:rsidR="00A64B1C">
        <w:rPr>
          <w:sz w:val="24"/>
          <w:szCs w:val="24"/>
        </w:rPr>
        <w:t xml:space="preserve"> of a breed of ‘governance feminist</w:t>
      </w:r>
      <w:r w:rsidR="00A64B1C" w:rsidRPr="007B7B08">
        <w:rPr>
          <w:sz w:val="24"/>
          <w:szCs w:val="24"/>
        </w:rPr>
        <w:t xml:space="preserve">’ </w:t>
      </w:r>
      <w:r w:rsidR="00A64B1C">
        <w:rPr>
          <w:sz w:val="24"/>
          <w:szCs w:val="24"/>
        </w:rPr>
        <w:t>who</w:t>
      </w:r>
      <w:r w:rsidR="00A64B1C" w:rsidRPr="007B7B08">
        <w:rPr>
          <w:sz w:val="24"/>
          <w:szCs w:val="24"/>
        </w:rPr>
        <w:t xml:space="preserve"> </w:t>
      </w:r>
      <w:r w:rsidR="00A64B1C">
        <w:rPr>
          <w:sz w:val="24"/>
          <w:szCs w:val="24"/>
        </w:rPr>
        <w:t xml:space="preserve">has effectively </w:t>
      </w:r>
      <w:r>
        <w:rPr>
          <w:sz w:val="24"/>
          <w:szCs w:val="24"/>
        </w:rPr>
        <w:t>engaged in</w:t>
      </w:r>
      <w:r w:rsidR="002672C5">
        <w:rPr>
          <w:sz w:val="24"/>
          <w:szCs w:val="24"/>
        </w:rPr>
        <w:t xml:space="preserve"> our</w:t>
      </w:r>
      <w:r>
        <w:rPr>
          <w:sz w:val="24"/>
          <w:szCs w:val="24"/>
        </w:rPr>
        <w:t xml:space="preserve"> governing power structures</w:t>
      </w:r>
      <w:r w:rsidR="00A64B1C" w:rsidRPr="007B7B08">
        <w:rPr>
          <w:sz w:val="24"/>
          <w:szCs w:val="24"/>
        </w:rPr>
        <w:t>.</w:t>
      </w:r>
      <w:r w:rsidR="00A64B1C" w:rsidRPr="007B7B08">
        <w:rPr>
          <w:rStyle w:val="FootnoteReference"/>
        </w:rPr>
        <w:footnoteReference w:id="58"/>
      </w:r>
      <w:r w:rsidR="00A64B1C">
        <w:rPr>
          <w:sz w:val="24"/>
          <w:szCs w:val="24"/>
        </w:rPr>
        <w:t xml:space="preserve"> ‘Governance feminists’</w:t>
      </w:r>
      <w:r w:rsidR="00777E07">
        <w:rPr>
          <w:sz w:val="24"/>
          <w:szCs w:val="24"/>
        </w:rPr>
        <w:t xml:space="preserve">, according to Halley, </w:t>
      </w:r>
      <w:r w:rsidR="00A64B1C">
        <w:rPr>
          <w:sz w:val="24"/>
          <w:szCs w:val="24"/>
        </w:rPr>
        <w:t xml:space="preserve">combine </w:t>
      </w:r>
      <w:r w:rsidR="00A64B1C" w:rsidRPr="00897910">
        <w:rPr>
          <w:sz w:val="24"/>
          <w:szCs w:val="24"/>
        </w:rPr>
        <w:t>the ostensibly liberal feminist strategy of targeting state institutions and legal reform to achieve equality</w:t>
      </w:r>
      <w:r w:rsidR="00FD3597">
        <w:rPr>
          <w:sz w:val="24"/>
          <w:szCs w:val="24"/>
        </w:rPr>
        <w:t>,</w:t>
      </w:r>
      <w:r w:rsidR="00A64B1C">
        <w:rPr>
          <w:sz w:val="24"/>
          <w:szCs w:val="24"/>
        </w:rPr>
        <w:t xml:space="preserve"> with</w:t>
      </w:r>
      <w:r w:rsidR="00A64B1C" w:rsidRPr="00897910">
        <w:rPr>
          <w:sz w:val="24"/>
          <w:szCs w:val="24"/>
        </w:rPr>
        <w:t xml:space="preserve"> the </w:t>
      </w:r>
      <w:r w:rsidR="00A64B1C" w:rsidRPr="006D511D">
        <w:rPr>
          <w:sz w:val="24"/>
          <w:szCs w:val="24"/>
        </w:rPr>
        <w:t xml:space="preserve">highly emotive </w:t>
      </w:r>
      <w:r w:rsidR="00A64B1C" w:rsidRPr="00897910">
        <w:rPr>
          <w:sz w:val="24"/>
          <w:szCs w:val="24"/>
        </w:rPr>
        <w:t>and charged discourse of radical and</w:t>
      </w:r>
      <w:r w:rsidR="00CB1726">
        <w:rPr>
          <w:sz w:val="24"/>
          <w:szCs w:val="24"/>
        </w:rPr>
        <w:t>/ or</w:t>
      </w:r>
      <w:r w:rsidR="00A64B1C" w:rsidRPr="00897910">
        <w:rPr>
          <w:sz w:val="24"/>
          <w:szCs w:val="24"/>
        </w:rPr>
        <w:t xml:space="preserve"> dominance feminism</w:t>
      </w:r>
      <w:r w:rsidR="00A30A93">
        <w:rPr>
          <w:sz w:val="24"/>
          <w:szCs w:val="24"/>
        </w:rPr>
        <w:t xml:space="preserve"> (</w:t>
      </w:r>
      <w:r w:rsidR="00137204">
        <w:rPr>
          <w:sz w:val="24"/>
          <w:szCs w:val="24"/>
        </w:rPr>
        <w:t>in which</w:t>
      </w:r>
      <w:r w:rsidR="00A30A93">
        <w:rPr>
          <w:sz w:val="24"/>
          <w:szCs w:val="24"/>
        </w:rPr>
        <w:t xml:space="preserve"> women are </w:t>
      </w:r>
      <w:r w:rsidR="00137204">
        <w:rPr>
          <w:sz w:val="24"/>
          <w:szCs w:val="24"/>
        </w:rPr>
        <w:t>depic</w:t>
      </w:r>
      <w:r w:rsidR="004F1612">
        <w:rPr>
          <w:sz w:val="24"/>
          <w:szCs w:val="24"/>
        </w:rPr>
        <w:t>ted as oppressed</w:t>
      </w:r>
      <w:r w:rsidR="00137204">
        <w:rPr>
          <w:sz w:val="24"/>
          <w:szCs w:val="24"/>
        </w:rPr>
        <w:t>, victimised</w:t>
      </w:r>
      <w:r w:rsidR="00463F86">
        <w:rPr>
          <w:sz w:val="24"/>
          <w:szCs w:val="24"/>
        </w:rPr>
        <w:t xml:space="preserve"> and </w:t>
      </w:r>
      <w:r w:rsidR="00A30A93">
        <w:rPr>
          <w:sz w:val="24"/>
          <w:szCs w:val="24"/>
        </w:rPr>
        <w:t xml:space="preserve">vulnerable to </w:t>
      </w:r>
      <w:r w:rsidR="000C3450">
        <w:rPr>
          <w:sz w:val="24"/>
          <w:szCs w:val="24"/>
        </w:rPr>
        <w:t>m</w:t>
      </w:r>
      <w:r w:rsidR="00DC2627">
        <w:rPr>
          <w:sz w:val="24"/>
          <w:szCs w:val="24"/>
        </w:rPr>
        <w:t>en’s</w:t>
      </w:r>
      <w:r w:rsidR="000C3450">
        <w:rPr>
          <w:sz w:val="24"/>
          <w:szCs w:val="24"/>
        </w:rPr>
        <w:t xml:space="preserve"> </w:t>
      </w:r>
      <w:r w:rsidR="00A30A93">
        <w:rPr>
          <w:sz w:val="24"/>
          <w:szCs w:val="24"/>
        </w:rPr>
        <w:t>violence</w:t>
      </w:r>
      <w:r w:rsidR="00060D44">
        <w:rPr>
          <w:sz w:val="24"/>
          <w:szCs w:val="24"/>
        </w:rPr>
        <w:t xml:space="preserve"> in the home</w:t>
      </w:r>
      <w:r w:rsidR="00A30A93">
        <w:rPr>
          <w:sz w:val="24"/>
          <w:szCs w:val="24"/>
        </w:rPr>
        <w:t xml:space="preserve"> as a result of</w:t>
      </w:r>
      <w:r w:rsidR="00463F86">
        <w:rPr>
          <w:sz w:val="24"/>
          <w:szCs w:val="24"/>
        </w:rPr>
        <w:t xml:space="preserve"> </w:t>
      </w:r>
      <w:r w:rsidR="00A30A93">
        <w:rPr>
          <w:sz w:val="24"/>
          <w:szCs w:val="24"/>
        </w:rPr>
        <w:t>m</w:t>
      </w:r>
      <w:r w:rsidR="000C3450">
        <w:rPr>
          <w:sz w:val="24"/>
          <w:szCs w:val="24"/>
        </w:rPr>
        <w:t>ale</w:t>
      </w:r>
      <w:r w:rsidR="00A30A93">
        <w:rPr>
          <w:sz w:val="24"/>
          <w:szCs w:val="24"/>
        </w:rPr>
        <w:t xml:space="preserve"> tyranny).</w:t>
      </w:r>
      <w:r w:rsidR="00A64B1C" w:rsidRPr="00897910">
        <w:rPr>
          <w:rStyle w:val="FootnoteReference"/>
        </w:rPr>
        <w:footnoteReference w:id="59"/>
      </w:r>
      <w:r w:rsidR="00A64B1C" w:rsidRPr="00897910">
        <w:rPr>
          <w:sz w:val="24"/>
          <w:szCs w:val="24"/>
        </w:rPr>
        <w:t xml:space="preserve"> </w:t>
      </w:r>
      <w:r w:rsidR="00A64B1C">
        <w:rPr>
          <w:sz w:val="24"/>
          <w:szCs w:val="24"/>
        </w:rPr>
        <w:t>This recipe</w:t>
      </w:r>
      <w:r w:rsidR="00343FF2">
        <w:rPr>
          <w:sz w:val="24"/>
          <w:szCs w:val="24"/>
        </w:rPr>
        <w:t xml:space="preserve">, </w:t>
      </w:r>
      <w:r>
        <w:rPr>
          <w:sz w:val="24"/>
          <w:szCs w:val="24"/>
        </w:rPr>
        <w:t>Halley asserts</w:t>
      </w:r>
      <w:r w:rsidR="00343FF2">
        <w:rPr>
          <w:sz w:val="24"/>
          <w:szCs w:val="24"/>
        </w:rPr>
        <w:t>,</w:t>
      </w:r>
      <w:r w:rsidR="00A64B1C">
        <w:rPr>
          <w:sz w:val="24"/>
          <w:szCs w:val="24"/>
        </w:rPr>
        <w:t xml:space="preserve"> has proved </w:t>
      </w:r>
      <w:r w:rsidR="00A64B1C" w:rsidRPr="00897910">
        <w:rPr>
          <w:sz w:val="24"/>
          <w:szCs w:val="24"/>
        </w:rPr>
        <w:t xml:space="preserve">highly influential in the </w:t>
      </w:r>
      <w:r w:rsidR="00CB1726">
        <w:rPr>
          <w:sz w:val="24"/>
          <w:szCs w:val="24"/>
        </w:rPr>
        <w:t>Violence Against Women</w:t>
      </w:r>
      <w:r w:rsidR="00A64B1C" w:rsidRPr="00897910">
        <w:rPr>
          <w:sz w:val="24"/>
          <w:szCs w:val="24"/>
        </w:rPr>
        <w:t xml:space="preserve"> field</w:t>
      </w:r>
      <w:r w:rsidR="00120299">
        <w:rPr>
          <w:sz w:val="24"/>
          <w:szCs w:val="24"/>
        </w:rPr>
        <w:t xml:space="preserve"> b</w:t>
      </w:r>
      <w:r w:rsidR="00120299" w:rsidRPr="00167102">
        <w:rPr>
          <w:sz w:val="24"/>
          <w:szCs w:val="24"/>
        </w:rPr>
        <w:t>ecause f</w:t>
      </w:r>
      <w:r w:rsidR="00FA39A2" w:rsidRPr="00167102">
        <w:rPr>
          <w:sz w:val="24"/>
          <w:szCs w:val="24"/>
        </w:rPr>
        <w:t>eminists have found successive neoliberal governments particularly hospitable to their account and demands</w:t>
      </w:r>
      <w:r w:rsidR="00120299" w:rsidRPr="00167102">
        <w:rPr>
          <w:sz w:val="24"/>
          <w:szCs w:val="24"/>
        </w:rPr>
        <w:t>.</w:t>
      </w:r>
      <w:r w:rsidR="00120299" w:rsidRPr="00167102">
        <w:rPr>
          <w:rStyle w:val="FootnoteReference"/>
          <w:sz w:val="24"/>
          <w:szCs w:val="24"/>
        </w:rPr>
        <w:footnoteReference w:id="60"/>
      </w:r>
      <w:r w:rsidR="00120299" w:rsidRPr="00167102">
        <w:rPr>
          <w:sz w:val="24"/>
          <w:szCs w:val="24"/>
        </w:rPr>
        <w:t xml:space="preserve"> I</w:t>
      </w:r>
      <w:r w:rsidR="00FA39A2" w:rsidRPr="00167102">
        <w:rPr>
          <w:sz w:val="24"/>
          <w:szCs w:val="24"/>
        </w:rPr>
        <w:t xml:space="preserve">n part, </w:t>
      </w:r>
      <w:r w:rsidR="00120299" w:rsidRPr="00167102">
        <w:rPr>
          <w:sz w:val="24"/>
          <w:szCs w:val="24"/>
        </w:rPr>
        <w:t xml:space="preserve">she posits this is </w:t>
      </w:r>
      <w:r w:rsidR="00FA39A2" w:rsidRPr="00167102">
        <w:rPr>
          <w:sz w:val="24"/>
          <w:szCs w:val="24"/>
        </w:rPr>
        <w:t>due to neoliberalism’s commitment to shoring up individual freedoms</w:t>
      </w:r>
      <w:r w:rsidR="0084010B">
        <w:rPr>
          <w:sz w:val="24"/>
          <w:szCs w:val="24"/>
        </w:rPr>
        <w:t xml:space="preserve"> and, </w:t>
      </w:r>
      <w:r w:rsidR="004E6478">
        <w:rPr>
          <w:sz w:val="24"/>
          <w:szCs w:val="24"/>
        </w:rPr>
        <w:t xml:space="preserve">more </w:t>
      </w:r>
      <w:r w:rsidR="0084010B">
        <w:rPr>
          <w:sz w:val="24"/>
          <w:szCs w:val="24"/>
        </w:rPr>
        <w:t>specifically, victims’ rights</w:t>
      </w:r>
      <w:r w:rsidR="00DC2627">
        <w:rPr>
          <w:sz w:val="24"/>
          <w:szCs w:val="24"/>
        </w:rPr>
        <w:t xml:space="preserve"> (</w:t>
      </w:r>
      <w:r w:rsidR="004E6478">
        <w:rPr>
          <w:sz w:val="24"/>
          <w:szCs w:val="24"/>
        </w:rPr>
        <w:t>as discussed further in Chapter Three</w:t>
      </w:r>
      <w:r w:rsidR="00DC2627">
        <w:rPr>
          <w:sz w:val="24"/>
          <w:szCs w:val="24"/>
        </w:rPr>
        <w:t>)</w:t>
      </w:r>
      <w:r w:rsidR="00FA39A2" w:rsidRPr="00167102">
        <w:rPr>
          <w:sz w:val="24"/>
          <w:szCs w:val="24"/>
        </w:rPr>
        <w:t>. A less benevolent explanation might be that it is convenient</w:t>
      </w:r>
      <w:r w:rsidR="007C1D97" w:rsidRPr="00167102">
        <w:rPr>
          <w:sz w:val="24"/>
          <w:szCs w:val="24"/>
        </w:rPr>
        <w:t xml:space="preserve"> for neoliberal governments</w:t>
      </w:r>
      <w:r w:rsidR="00FA39A2" w:rsidRPr="00167102">
        <w:rPr>
          <w:sz w:val="24"/>
          <w:szCs w:val="24"/>
        </w:rPr>
        <w:t xml:space="preserve"> to </w:t>
      </w:r>
      <w:r w:rsidR="00463F86">
        <w:rPr>
          <w:sz w:val="24"/>
          <w:szCs w:val="24"/>
        </w:rPr>
        <w:t>harness a criminal justice response</w:t>
      </w:r>
      <w:r w:rsidR="00DC2627">
        <w:rPr>
          <w:sz w:val="24"/>
          <w:szCs w:val="24"/>
        </w:rPr>
        <w:t>; t</w:t>
      </w:r>
      <w:r w:rsidR="00FA39A2" w:rsidRPr="00167102">
        <w:rPr>
          <w:sz w:val="24"/>
          <w:szCs w:val="24"/>
        </w:rPr>
        <w:t xml:space="preserve">he radical feminist thesis </w:t>
      </w:r>
      <w:r w:rsidR="00060D44">
        <w:rPr>
          <w:sz w:val="24"/>
          <w:szCs w:val="24"/>
        </w:rPr>
        <w:t>is easily</w:t>
      </w:r>
      <w:r w:rsidR="00FA39A2" w:rsidRPr="00167102">
        <w:rPr>
          <w:sz w:val="24"/>
          <w:szCs w:val="24"/>
        </w:rPr>
        <w:t xml:space="preserve"> deployed to </w:t>
      </w:r>
      <w:r w:rsidR="007452FE">
        <w:rPr>
          <w:sz w:val="24"/>
          <w:szCs w:val="24"/>
        </w:rPr>
        <w:t xml:space="preserve">both justify and </w:t>
      </w:r>
      <w:r w:rsidR="00FA39A2" w:rsidRPr="00167102">
        <w:rPr>
          <w:sz w:val="24"/>
          <w:szCs w:val="24"/>
        </w:rPr>
        <w:t>facilitate the ‘expressive justice’</w:t>
      </w:r>
      <w:r w:rsidR="00FA39A2" w:rsidRPr="00167102">
        <w:rPr>
          <w:rStyle w:val="FootnoteReference"/>
        </w:rPr>
        <w:footnoteReference w:id="61"/>
      </w:r>
      <w:r w:rsidR="00FA39A2" w:rsidRPr="00167102">
        <w:rPr>
          <w:sz w:val="24"/>
          <w:szCs w:val="24"/>
        </w:rPr>
        <w:t xml:space="preserve"> </w:t>
      </w:r>
      <w:r w:rsidR="0084010B">
        <w:rPr>
          <w:sz w:val="24"/>
          <w:szCs w:val="24"/>
        </w:rPr>
        <w:t xml:space="preserve">and ‘penal populism’ </w:t>
      </w:r>
      <w:r w:rsidR="00FA39A2" w:rsidRPr="00167102">
        <w:rPr>
          <w:sz w:val="24"/>
          <w:szCs w:val="24"/>
        </w:rPr>
        <w:t>that plays well with the electorate.</w:t>
      </w:r>
      <w:r w:rsidR="004A133A" w:rsidRPr="00167102">
        <w:rPr>
          <w:sz w:val="24"/>
          <w:szCs w:val="24"/>
        </w:rPr>
        <w:t xml:space="preserve"> </w:t>
      </w:r>
      <w:r w:rsidR="00DC2627">
        <w:rPr>
          <w:sz w:val="24"/>
          <w:szCs w:val="24"/>
        </w:rPr>
        <w:t>For, w</w:t>
      </w:r>
      <w:r w:rsidR="00463F86">
        <w:rPr>
          <w:sz w:val="24"/>
          <w:szCs w:val="24"/>
        </w:rPr>
        <w:t xml:space="preserve">hen </w:t>
      </w:r>
      <w:r w:rsidR="007452FE">
        <w:rPr>
          <w:sz w:val="24"/>
          <w:szCs w:val="24"/>
        </w:rPr>
        <w:t>‘</w:t>
      </w:r>
      <w:r w:rsidR="00463F86">
        <w:rPr>
          <w:sz w:val="24"/>
          <w:szCs w:val="24"/>
        </w:rPr>
        <w:t>brutish</w:t>
      </w:r>
      <w:r w:rsidR="007452FE">
        <w:rPr>
          <w:sz w:val="24"/>
          <w:szCs w:val="24"/>
        </w:rPr>
        <w:t>’</w:t>
      </w:r>
      <w:r w:rsidR="00463F86">
        <w:rPr>
          <w:sz w:val="24"/>
          <w:szCs w:val="24"/>
        </w:rPr>
        <w:t xml:space="preserve"> men </w:t>
      </w:r>
      <w:r w:rsidR="00B6677D">
        <w:rPr>
          <w:sz w:val="24"/>
          <w:szCs w:val="24"/>
        </w:rPr>
        <w:t>oppress and mistreat</w:t>
      </w:r>
      <w:r w:rsidR="00463F86">
        <w:rPr>
          <w:sz w:val="24"/>
          <w:szCs w:val="24"/>
        </w:rPr>
        <w:t xml:space="preserve"> </w:t>
      </w:r>
      <w:r w:rsidR="00B6677D">
        <w:rPr>
          <w:sz w:val="24"/>
          <w:szCs w:val="24"/>
        </w:rPr>
        <w:t xml:space="preserve">their </w:t>
      </w:r>
      <w:r w:rsidR="007452FE">
        <w:rPr>
          <w:sz w:val="24"/>
          <w:szCs w:val="24"/>
        </w:rPr>
        <w:t>‘</w:t>
      </w:r>
      <w:r w:rsidR="00DC2627">
        <w:rPr>
          <w:sz w:val="24"/>
          <w:szCs w:val="24"/>
        </w:rPr>
        <w:t>vulnerable</w:t>
      </w:r>
      <w:r w:rsidR="007452FE">
        <w:rPr>
          <w:sz w:val="24"/>
          <w:szCs w:val="24"/>
        </w:rPr>
        <w:t>’</w:t>
      </w:r>
      <w:r w:rsidR="00463F86">
        <w:rPr>
          <w:sz w:val="24"/>
          <w:szCs w:val="24"/>
        </w:rPr>
        <w:t xml:space="preserve"> women, the </w:t>
      </w:r>
      <w:r w:rsidR="00B6677D">
        <w:rPr>
          <w:sz w:val="24"/>
          <w:szCs w:val="24"/>
        </w:rPr>
        <w:t>government’s deployment of a ‘</w:t>
      </w:r>
      <w:r w:rsidR="00463F86">
        <w:rPr>
          <w:sz w:val="24"/>
          <w:szCs w:val="24"/>
        </w:rPr>
        <w:t>law and order</w:t>
      </w:r>
      <w:r w:rsidR="00B6677D">
        <w:rPr>
          <w:sz w:val="24"/>
          <w:szCs w:val="24"/>
        </w:rPr>
        <w:t xml:space="preserve">’ </w:t>
      </w:r>
      <w:r w:rsidR="00B6677D">
        <w:rPr>
          <w:sz w:val="24"/>
          <w:szCs w:val="24"/>
        </w:rPr>
        <w:lastRenderedPageBreak/>
        <w:t>agenda</w:t>
      </w:r>
      <w:r w:rsidR="00463F86">
        <w:rPr>
          <w:sz w:val="24"/>
          <w:szCs w:val="24"/>
        </w:rPr>
        <w:t xml:space="preserve"> </w:t>
      </w:r>
      <w:r w:rsidR="00B6677D">
        <w:rPr>
          <w:sz w:val="24"/>
          <w:szCs w:val="24"/>
        </w:rPr>
        <w:t xml:space="preserve">garners approval as a means of </w:t>
      </w:r>
      <w:r w:rsidR="004E6478">
        <w:rPr>
          <w:sz w:val="24"/>
          <w:szCs w:val="24"/>
        </w:rPr>
        <w:t>protecting victim</w:t>
      </w:r>
      <w:r w:rsidR="00E975B3">
        <w:rPr>
          <w:sz w:val="24"/>
          <w:szCs w:val="24"/>
        </w:rPr>
        <w:t>s</w:t>
      </w:r>
      <w:r w:rsidR="00922160">
        <w:rPr>
          <w:sz w:val="24"/>
          <w:szCs w:val="24"/>
        </w:rPr>
        <w:t xml:space="preserve"> and</w:t>
      </w:r>
      <w:r w:rsidR="00B6677D">
        <w:rPr>
          <w:sz w:val="24"/>
          <w:szCs w:val="24"/>
        </w:rPr>
        <w:t xml:space="preserve"> punishing offender</w:t>
      </w:r>
      <w:r w:rsidR="00E975B3">
        <w:rPr>
          <w:sz w:val="24"/>
          <w:szCs w:val="24"/>
        </w:rPr>
        <w:t>s thereby</w:t>
      </w:r>
      <w:r w:rsidR="004E6478">
        <w:rPr>
          <w:sz w:val="24"/>
          <w:szCs w:val="24"/>
        </w:rPr>
        <w:t xml:space="preserve"> controlling the </w:t>
      </w:r>
      <w:r w:rsidR="007452FE">
        <w:rPr>
          <w:sz w:val="24"/>
          <w:szCs w:val="24"/>
        </w:rPr>
        <w:t xml:space="preserve">risk of the </w:t>
      </w:r>
      <w:r w:rsidR="004E6478">
        <w:rPr>
          <w:sz w:val="24"/>
          <w:szCs w:val="24"/>
        </w:rPr>
        <w:t>crime.</w:t>
      </w:r>
    </w:p>
    <w:p w14:paraId="1F87CD31" w14:textId="0AA9EAE1" w:rsidR="00F04614" w:rsidRPr="00167102" w:rsidRDefault="004F1612" w:rsidP="00CB1726">
      <w:pPr>
        <w:shd w:val="clear" w:color="auto" w:fill="FFFFFF"/>
        <w:spacing w:after="0" w:line="360" w:lineRule="auto"/>
        <w:ind w:firstLine="720"/>
        <w:rPr>
          <w:sz w:val="24"/>
          <w:szCs w:val="24"/>
        </w:rPr>
      </w:pPr>
      <w:r>
        <w:rPr>
          <w:sz w:val="24"/>
          <w:szCs w:val="24"/>
        </w:rPr>
        <w:t>T</w:t>
      </w:r>
      <w:r w:rsidR="0006437B">
        <w:rPr>
          <w:sz w:val="24"/>
          <w:szCs w:val="24"/>
        </w:rPr>
        <w:t xml:space="preserve">he </w:t>
      </w:r>
      <w:r w:rsidR="00F038BB">
        <w:rPr>
          <w:sz w:val="24"/>
          <w:szCs w:val="24"/>
        </w:rPr>
        <w:t xml:space="preserve">notion that the </w:t>
      </w:r>
      <w:r w:rsidR="002672C5" w:rsidRPr="00167102">
        <w:rPr>
          <w:sz w:val="24"/>
          <w:szCs w:val="24"/>
        </w:rPr>
        <w:t xml:space="preserve">feminist movement </w:t>
      </w:r>
      <w:r w:rsidR="00F038BB">
        <w:rPr>
          <w:sz w:val="24"/>
          <w:szCs w:val="24"/>
        </w:rPr>
        <w:t>has</w:t>
      </w:r>
      <w:r>
        <w:rPr>
          <w:sz w:val="24"/>
          <w:szCs w:val="24"/>
        </w:rPr>
        <w:t xml:space="preserve"> </w:t>
      </w:r>
      <w:r w:rsidR="002672C5" w:rsidRPr="00167102">
        <w:rPr>
          <w:sz w:val="24"/>
          <w:szCs w:val="24"/>
        </w:rPr>
        <w:t>collaborat</w:t>
      </w:r>
      <w:r w:rsidR="00F038BB">
        <w:rPr>
          <w:sz w:val="24"/>
          <w:szCs w:val="24"/>
        </w:rPr>
        <w:t>ed</w:t>
      </w:r>
      <w:r w:rsidR="002672C5" w:rsidRPr="00167102">
        <w:rPr>
          <w:sz w:val="24"/>
          <w:szCs w:val="24"/>
        </w:rPr>
        <w:t xml:space="preserve"> with the neoliberal state</w:t>
      </w:r>
      <w:r w:rsidR="00F038BB">
        <w:rPr>
          <w:sz w:val="24"/>
          <w:szCs w:val="24"/>
        </w:rPr>
        <w:t>’s</w:t>
      </w:r>
      <w:r w:rsidR="002672C5" w:rsidRPr="00167102">
        <w:rPr>
          <w:sz w:val="24"/>
          <w:szCs w:val="24"/>
        </w:rPr>
        <w:t xml:space="preserve"> ‘penal turn’ has </w:t>
      </w:r>
      <w:r w:rsidR="00FA30ED">
        <w:rPr>
          <w:sz w:val="24"/>
          <w:szCs w:val="24"/>
        </w:rPr>
        <w:t xml:space="preserve">fuelled </w:t>
      </w:r>
      <w:r w:rsidR="0006437B">
        <w:rPr>
          <w:sz w:val="24"/>
          <w:szCs w:val="24"/>
        </w:rPr>
        <w:t xml:space="preserve">Halley’s </w:t>
      </w:r>
      <w:r>
        <w:rPr>
          <w:sz w:val="24"/>
          <w:szCs w:val="24"/>
        </w:rPr>
        <w:t>concerns</w:t>
      </w:r>
      <w:r w:rsidR="002672C5" w:rsidRPr="00167102">
        <w:rPr>
          <w:sz w:val="24"/>
          <w:szCs w:val="24"/>
        </w:rPr>
        <w:t xml:space="preserve"> that feminism is no longer in total command of the Violence Against Women agenda</w:t>
      </w:r>
      <w:r w:rsidR="0006437B">
        <w:rPr>
          <w:sz w:val="24"/>
          <w:szCs w:val="24"/>
        </w:rPr>
        <w:t>.</w:t>
      </w:r>
      <w:r>
        <w:rPr>
          <w:sz w:val="24"/>
          <w:szCs w:val="24"/>
        </w:rPr>
        <w:t xml:space="preserve"> Halley has</w:t>
      </w:r>
      <w:r w:rsidR="002672C5" w:rsidRPr="00167102">
        <w:rPr>
          <w:sz w:val="24"/>
          <w:szCs w:val="24"/>
        </w:rPr>
        <w:t xml:space="preserve"> </w:t>
      </w:r>
      <w:r w:rsidR="0006437B">
        <w:rPr>
          <w:sz w:val="24"/>
          <w:szCs w:val="24"/>
        </w:rPr>
        <w:t xml:space="preserve">therefore </w:t>
      </w:r>
      <w:r w:rsidR="002672C5" w:rsidRPr="00167102">
        <w:rPr>
          <w:sz w:val="24"/>
          <w:szCs w:val="24"/>
        </w:rPr>
        <w:t>urged that feminists must ‘strive toward an ethic of responsibility in confronting the[</w:t>
      </w:r>
      <w:proofErr w:type="spellStart"/>
      <w:r w:rsidR="002672C5" w:rsidRPr="00167102">
        <w:rPr>
          <w:sz w:val="24"/>
          <w:szCs w:val="24"/>
        </w:rPr>
        <w:t>ir</w:t>
      </w:r>
      <w:proofErr w:type="spellEnd"/>
      <w:r w:rsidR="002672C5" w:rsidRPr="00167102">
        <w:rPr>
          <w:sz w:val="24"/>
          <w:szCs w:val="24"/>
        </w:rPr>
        <w:t>] punitive [and carceral] ambitions’.</w:t>
      </w:r>
      <w:r w:rsidR="002672C5" w:rsidRPr="00167102">
        <w:rPr>
          <w:rStyle w:val="FootnoteReference"/>
        </w:rPr>
        <w:footnoteReference w:id="62"/>
      </w:r>
      <w:r w:rsidR="0006437B">
        <w:rPr>
          <w:sz w:val="24"/>
          <w:szCs w:val="24"/>
        </w:rPr>
        <w:t xml:space="preserve"> </w:t>
      </w:r>
      <w:r w:rsidR="00F04614">
        <w:rPr>
          <w:sz w:val="24"/>
          <w:szCs w:val="24"/>
        </w:rPr>
        <w:t>Yet</w:t>
      </w:r>
      <w:r w:rsidR="0006437B">
        <w:rPr>
          <w:sz w:val="24"/>
          <w:szCs w:val="24"/>
        </w:rPr>
        <w:t xml:space="preserve">, </w:t>
      </w:r>
      <w:r w:rsidR="00F038BB">
        <w:rPr>
          <w:sz w:val="24"/>
          <w:szCs w:val="24"/>
        </w:rPr>
        <w:t>Halley’s</w:t>
      </w:r>
      <w:r w:rsidR="0006437B">
        <w:rPr>
          <w:sz w:val="24"/>
          <w:szCs w:val="24"/>
        </w:rPr>
        <w:t xml:space="preserve"> portrayal</w:t>
      </w:r>
      <w:r w:rsidR="007C1D97" w:rsidRPr="00167102">
        <w:rPr>
          <w:sz w:val="24"/>
          <w:szCs w:val="24"/>
        </w:rPr>
        <w:t xml:space="preserve"> of </w:t>
      </w:r>
      <w:r w:rsidR="00F038BB">
        <w:rPr>
          <w:sz w:val="24"/>
          <w:szCs w:val="24"/>
        </w:rPr>
        <w:t xml:space="preserve">the </w:t>
      </w:r>
      <w:r w:rsidR="007C1D97" w:rsidRPr="00167102">
        <w:rPr>
          <w:sz w:val="24"/>
          <w:szCs w:val="24"/>
        </w:rPr>
        <w:t>strategic ‘governance feminist’ motivated by so-called ‘dominance feminis</w:t>
      </w:r>
      <w:r w:rsidR="00266C8D" w:rsidRPr="00167102">
        <w:rPr>
          <w:sz w:val="24"/>
          <w:szCs w:val="24"/>
        </w:rPr>
        <w:t>m</w:t>
      </w:r>
      <w:r w:rsidR="007C1D97" w:rsidRPr="00167102">
        <w:rPr>
          <w:sz w:val="24"/>
          <w:szCs w:val="24"/>
        </w:rPr>
        <w:t xml:space="preserve">’ </w:t>
      </w:r>
      <w:r w:rsidR="00B6677D">
        <w:rPr>
          <w:sz w:val="24"/>
          <w:szCs w:val="24"/>
        </w:rPr>
        <w:t xml:space="preserve">with access to the institutions of </w:t>
      </w:r>
      <w:r w:rsidR="00F04614">
        <w:rPr>
          <w:sz w:val="24"/>
          <w:szCs w:val="24"/>
        </w:rPr>
        <w:t xml:space="preserve">state, state-like and state affiliated </w:t>
      </w:r>
      <w:r w:rsidR="00B6677D">
        <w:rPr>
          <w:sz w:val="24"/>
          <w:szCs w:val="24"/>
        </w:rPr>
        <w:t xml:space="preserve">power </w:t>
      </w:r>
      <w:r w:rsidR="004F72CA">
        <w:rPr>
          <w:sz w:val="24"/>
          <w:szCs w:val="24"/>
        </w:rPr>
        <w:t>is</w:t>
      </w:r>
      <w:r w:rsidR="007452FE">
        <w:rPr>
          <w:sz w:val="24"/>
          <w:szCs w:val="24"/>
        </w:rPr>
        <w:t>, I suggest,</w:t>
      </w:r>
      <w:r w:rsidR="004F72CA">
        <w:rPr>
          <w:sz w:val="24"/>
          <w:szCs w:val="24"/>
        </w:rPr>
        <w:t xml:space="preserve"> </w:t>
      </w:r>
      <w:r w:rsidR="00266C8D" w:rsidRPr="00167102">
        <w:rPr>
          <w:sz w:val="24"/>
          <w:szCs w:val="24"/>
        </w:rPr>
        <w:t>o</w:t>
      </w:r>
      <w:r w:rsidR="007C1D97" w:rsidRPr="00167102">
        <w:rPr>
          <w:sz w:val="24"/>
          <w:szCs w:val="24"/>
        </w:rPr>
        <w:t>ver</w:t>
      </w:r>
      <w:r w:rsidR="004F72CA">
        <w:rPr>
          <w:sz w:val="24"/>
          <w:szCs w:val="24"/>
        </w:rPr>
        <w:t>ly simplistic</w:t>
      </w:r>
      <w:r w:rsidR="00F04614">
        <w:rPr>
          <w:sz w:val="24"/>
          <w:szCs w:val="24"/>
        </w:rPr>
        <w:t xml:space="preserve">. </w:t>
      </w:r>
      <w:r w:rsidR="00060D44">
        <w:rPr>
          <w:sz w:val="24"/>
          <w:szCs w:val="24"/>
        </w:rPr>
        <w:t>Her</w:t>
      </w:r>
      <w:r w:rsidR="007452FE">
        <w:rPr>
          <w:sz w:val="24"/>
          <w:szCs w:val="24"/>
        </w:rPr>
        <w:t xml:space="preserve"> account defines feminism</w:t>
      </w:r>
      <w:r w:rsidR="00060D44">
        <w:rPr>
          <w:sz w:val="24"/>
          <w:szCs w:val="24"/>
        </w:rPr>
        <w:t xml:space="preserve"> by the </w:t>
      </w:r>
      <w:r w:rsidR="00D97A57">
        <w:rPr>
          <w:sz w:val="24"/>
          <w:szCs w:val="24"/>
        </w:rPr>
        <w:t>outcome</w:t>
      </w:r>
      <w:r w:rsidR="0006437B">
        <w:rPr>
          <w:sz w:val="24"/>
          <w:szCs w:val="24"/>
        </w:rPr>
        <w:t xml:space="preserve"> rather than </w:t>
      </w:r>
      <w:r w:rsidR="00060D44">
        <w:rPr>
          <w:sz w:val="24"/>
          <w:szCs w:val="24"/>
        </w:rPr>
        <w:t xml:space="preserve">recognising </w:t>
      </w:r>
      <w:r w:rsidR="007452FE">
        <w:rPr>
          <w:sz w:val="24"/>
          <w:szCs w:val="24"/>
        </w:rPr>
        <w:t>feminism</w:t>
      </w:r>
      <w:r w:rsidR="00060D44">
        <w:rPr>
          <w:sz w:val="24"/>
          <w:szCs w:val="24"/>
        </w:rPr>
        <w:t xml:space="preserve"> as a </w:t>
      </w:r>
      <w:r w:rsidR="007C1D97" w:rsidRPr="00167102">
        <w:rPr>
          <w:sz w:val="24"/>
          <w:szCs w:val="24"/>
        </w:rPr>
        <w:t>political proce</w:t>
      </w:r>
      <w:r w:rsidR="00D97A57">
        <w:rPr>
          <w:sz w:val="24"/>
          <w:szCs w:val="24"/>
        </w:rPr>
        <w:t>ss</w:t>
      </w:r>
      <w:r w:rsidR="00F90A5F">
        <w:rPr>
          <w:sz w:val="24"/>
          <w:szCs w:val="24"/>
        </w:rPr>
        <w:t>.</w:t>
      </w:r>
      <w:r w:rsidR="00922160">
        <w:rPr>
          <w:rStyle w:val="FootnoteReference"/>
          <w:sz w:val="24"/>
          <w:szCs w:val="24"/>
        </w:rPr>
        <w:footnoteReference w:id="63"/>
      </w:r>
      <w:r w:rsidR="00F90A5F">
        <w:rPr>
          <w:sz w:val="24"/>
          <w:szCs w:val="24"/>
        </w:rPr>
        <w:t xml:space="preserve"> </w:t>
      </w:r>
      <w:r w:rsidR="0006437B">
        <w:rPr>
          <w:sz w:val="24"/>
          <w:szCs w:val="24"/>
        </w:rPr>
        <w:t>Feminism</w:t>
      </w:r>
      <w:r w:rsidR="00F90A5F">
        <w:rPr>
          <w:sz w:val="24"/>
          <w:szCs w:val="24"/>
        </w:rPr>
        <w:t xml:space="preserve"> </w:t>
      </w:r>
      <w:r w:rsidR="00F90A5F" w:rsidRPr="00167102">
        <w:rPr>
          <w:sz w:val="24"/>
          <w:szCs w:val="24"/>
        </w:rPr>
        <w:t>take</w:t>
      </w:r>
      <w:r w:rsidR="00F90A5F">
        <w:rPr>
          <w:sz w:val="24"/>
          <w:szCs w:val="24"/>
        </w:rPr>
        <w:t>s</w:t>
      </w:r>
      <w:r w:rsidR="00F90A5F" w:rsidRPr="00167102">
        <w:rPr>
          <w:sz w:val="24"/>
          <w:szCs w:val="24"/>
        </w:rPr>
        <w:t xml:space="preserve"> place </w:t>
      </w:r>
      <w:r w:rsidR="00F90A5F">
        <w:rPr>
          <w:sz w:val="24"/>
          <w:szCs w:val="24"/>
        </w:rPr>
        <w:t xml:space="preserve">(as Halley herself acknowledges) </w:t>
      </w:r>
      <w:r w:rsidR="0006437B">
        <w:rPr>
          <w:sz w:val="24"/>
          <w:szCs w:val="24"/>
        </w:rPr>
        <w:t xml:space="preserve">both </w:t>
      </w:r>
      <w:r w:rsidR="00F90A5F" w:rsidRPr="00167102">
        <w:rPr>
          <w:sz w:val="24"/>
          <w:szCs w:val="24"/>
        </w:rPr>
        <w:t>in</w:t>
      </w:r>
      <w:r w:rsidR="00F90A5F">
        <w:rPr>
          <w:sz w:val="24"/>
          <w:szCs w:val="24"/>
        </w:rPr>
        <w:t xml:space="preserve"> </w:t>
      </w:r>
      <w:r w:rsidR="00F90A5F" w:rsidRPr="00167102">
        <w:rPr>
          <w:sz w:val="24"/>
          <w:szCs w:val="24"/>
        </w:rPr>
        <w:t>the everyday, the micro struggles and the indiscernible</w:t>
      </w:r>
      <w:r w:rsidR="00F90A5F">
        <w:rPr>
          <w:sz w:val="24"/>
          <w:szCs w:val="24"/>
        </w:rPr>
        <w:t xml:space="preserve"> and also at a macro, transnational level spurred by social and political activism and ideology. The</w:t>
      </w:r>
      <w:r w:rsidR="00F90A5F" w:rsidRPr="00167102">
        <w:rPr>
          <w:sz w:val="24"/>
          <w:szCs w:val="24"/>
        </w:rPr>
        <w:t xml:space="preserve"> neat academic </w:t>
      </w:r>
      <w:r w:rsidR="00F90A5F">
        <w:rPr>
          <w:sz w:val="24"/>
          <w:szCs w:val="24"/>
        </w:rPr>
        <w:t>argument that Halley makes about highly influential</w:t>
      </w:r>
      <w:r w:rsidR="0051715A">
        <w:rPr>
          <w:sz w:val="24"/>
          <w:szCs w:val="24"/>
        </w:rPr>
        <w:t xml:space="preserve"> ‘dominance</w:t>
      </w:r>
      <w:r w:rsidR="00F90A5F">
        <w:rPr>
          <w:sz w:val="24"/>
          <w:szCs w:val="24"/>
        </w:rPr>
        <w:t xml:space="preserve"> feminists</w:t>
      </w:r>
      <w:r w:rsidR="0051715A">
        <w:rPr>
          <w:sz w:val="24"/>
          <w:szCs w:val="24"/>
        </w:rPr>
        <w:t>’ (even if this is taken only as a heuristic)</w:t>
      </w:r>
      <w:r w:rsidR="00F90A5F">
        <w:rPr>
          <w:sz w:val="24"/>
          <w:szCs w:val="24"/>
        </w:rPr>
        <w:t xml:space="preserve"> </w:t>
      </w:r>
      <w:r w:rsidR="0051715A">
        <w:rPr>
          <w:sz w:val="24"/>
          <w:szCs w:val="24"/>
        </w:rPr>
        <w:t>‘seeking to wield governmental power’ by</w:t>
      </w:r>
      <w:r w:rsidR="00F90A5F">
        <w:rPr>
          <w:sz w:val="24"/>
          <w:szCs w:val="24"/>
        </w:rPr>
        <w:t xml:space="preserve"> access</w:t>
      </w:r>
      <w:r w:rsidR="0051715A">
        <w:rPr>
          <w:sz w:val="24"/>
          <w:szCs w:val="24"/>
        </w:rPr>
        <w:t xml:space="preserve">ing </w:t>
      </w:r>
      <w:r w:rsidR="0006437B">
        <w:rPr>
          <w:sz w:val="24"/>
          <w:szCs w:val="24"/>
        </w:rPr>
        <w:t xml:space="preserve">the </w:t>
      </w:r>
      <w:r w:rsidR="0051715A">
        <w:rPr>
          <w:sz w:val="24"/>
          <w:szCs w:val="24"/>
        </w:rPr>
        <w:t>‘modes of power they seek to master’</w:t>
      </w:r>
      <w:r w:rsidR="0051715A">
        <w:rPr>
          <w:rStyle w:val="FootnoteReference"/>
          <w:sz w:val="24"/>
          <w:szCs w:val="24"/>
        </w:rPr>
        <w:footnoteReference w:id="64"/>
      </w:r>
      <w:r w:rsidR="0051715A">
        <w:rPr>
          <w:sz w:val="24"/>
          <w:szCs w:val="24"/>
        </w:rPr>
        <w:t xml:space="preserve"> overstates feminism’s </w:t>
      </w:r>
      <w:r w:rsidR="0006437B">
        <w:rPr>
          <w:sz w:val="24"/>
          <w:szCs w:val="24"/>
        </w:rPr>
        <w:t xml:space="preserve">presence and </w:t>
      </w:r>
      <w:r w:rsidR="0051715A">
        <w:rPr>
          <w:sz w:val="24"/>
          <w:szCs w:val="24"/>
        </w:rPr>
        <w:t>influence</w:t>
      </w:r>
      <w:r w:rsidR="0006437B">
        <w:rPr>
          <w:sz w:val="24"/>
          <w:szCs w:val="24"/>
        </w:rPr>
        <w:t xml:space="preserve"> on government</w:t>
      </w:r>
      <w:r w:rsidR="00F038BB">
        <w:rPr>
          <w:sz w:val="24"/>
          <w:szCs w:val="24"/>
        </w:rPr>
        <w:t>al</w:t>
      </w:r>
      <w:r w:rsidR="0006437B">
        <w:rPr>
          <w:sz w:val="24"/>
          <w:szCs w:val="24"/>
        </w:rPr>
        <w:t xml:space="preserve"> direction</w:t>
      </w:r>
      <w:r w:rsidR="00060D44">
        <w:rPr>
          <w:sz w:val="24"/>
          <w:szCs w:val="24"/>
        </w:rPr>
        <w:t xml:space="preserve">. </w:t>
      </w:r>
      <w:r w:rsidR="00F60FE1">
        <w:rPr>
          <w:sz w:val="24"/>
          <w:szCs w:val="24"/>
        </w:rPr>
        <w:t xml:space="preserve">Halley’s account </w:t>
      </w:r>
      <w:r>
        <w:rPr>
          <w:sz w:val="24"/>
          <w:szCs w:val="24"/>
        </w:rPr>
        <w:t>overlooks</w:t>
      </w:r>
      <w:r w:rsidR="00F60FE1">
        <w:rPr>
          <w:sz w:val="24"/>
          <w:szCs w:val="24"/>
        </w:rPr>
        <w:t xml:space="preserve"> members of the</w:t>
      </w:r>
      <w:r w:rsidR="00F90A5F">
        <w:rPr>
          <w:sz w:val="24"/>
          <w:szCs w:val="24"/>
        </w:rPr>
        <w:t xml:space="preserve"> ‘women’s movement’</w:t>
      </w:r>
      <w:r w:rsidR="00F60FE1">
        <w:rPr>
          <w:sz w:val="24"/>
          <w:szCs w:val="24"/>
        </w:rPr>
        <w:t xml:space="preserve"> who do not share </w:t>
      </w:r>
      <w:r w:rsidR="00F038BB">
        <w:rPr>
          <w:sz w:val="24"/>
          <w:szCs w:val="24"/>
        </w:rPr>
        <w:t>carceral ambition</w:t>
      </w:r>
      <w:r w:rsidR="00F60FE1">
        <w:rPr>
          <w:sz w:val="24"/>
          <w:szCs w:val="24"/>
        </w:rPr>
        <w:t xml:space="preserve"> </w:t>
      </w:r>
      <w:r w:rsidR="004F72CA">
        <w:rPr>
          <w:sz w:val="24"/>
          <w:szCs w:val="24"/>
        </w:rPr>
        <w:t xml:space="preserve">but who </w:t>
      </w:r>
      <w:r w:rsidR="00F60FE1">
        <w:rPr>
          <w:sz w:val="24"/>
          <w:szCs w:val="24"/>
        </w:rPr>
        <w:t>have been directly consulted</w:t>
      </w:r>
      <w:r w:rsidR="00F86306">
        <w:rPr>
          <w:sz w:val="24"/>
          <w:szCs w:val="24"/>
        </w:rPr>
        <w:t xml:space="preserve"> by government</w:t>
      </w:r>
      <w:r w:rsidR="00F60FE1">
        <w:rPr>
          <w:sz w:val="24"/>
          <w:szCs w:val="24"/>
        </w:rPr>
        <w:t>,</w:t>
      </w:r>
      <w:r w:rsidR="00F86306">
        <w:rPr>
          <w:sz w:val="24"/>
          <w:szCs w:val="24"/>
        </w:rPr>
        <w:t xml:space="preserve"> who</w:t>
      </w:r>
      <w:r w:rsidR="00F60FE1">
        <w:rPr>
          <w:sz w:val="24"/>
          <w:szCs w:val="24"/>
        </w:rPr>
        <w:t xml:space="preserve"> have </w:t>
      </w:r>
      <w:r w:rsidR="007452FE">
        <w:rPr>
          <w:sz w:val="24"/>
          <w:szCs w:val="24"/>
        </w:rPr>
        <w:t>openly</w:t>
      </w:r>
      <w:r w:rsidR="00F60FE1">
        <w:rPr>
          <w:sz w:val="24"/>
          <w:szCs w:val="24"/>
        </w:rPr>
        <w:t xml:space="preserve"> campaigned for </w:t>
      </w:r>
      <w:r w:rsidR="007452FE">
        <w:rPr>
          <w:sz w:val="24"/>
          <w:szCs w:val="24"/>
        </w:rPr>
        <w:t xml:space="preserve">alternative </w:t>
      </w:r>
      <w:r w:rsidR="00F60FE1">
        <w:rPr>
          <w:sz w:val="24"/>
          <w:szCs w:val="24"/>
        </w:rPr>
        <w:t xml:space="preserve">legal and institutional change and </w:t>
      </w:r>
      <w:r w:rsidR="00F86306">
        <w:rPr>
          <w:sz w:val="24"/>
          <w:szCs w:val="24"/>
        </w:rPr>
        <w:t xml:space="preserve">who </w:t>
      </w:r>
      <w:r w:rsidR="00F60FE1">
        <w:rPr>
          <w:sz w:val="24"/>
          <w:szCs w:val="24"/>
        </w:rPr>
        <w:t>have championed post-modern</w:t>
      </w:r>
      <w:r w:rsidR="004F72CA">
        <w:rPr>
          <w:sz w:val="24"/>
          <w:szCs w:val="24"/>
        </w:rPr>
        <w:t xml:space="preserve"> and socialist feminist</w:t>
      </w:r>
      <w:r w:rsidR="00F60FE1">
        <w:rPr>
          <w:sz w:val="24"/>
          <w:szCs w:val="24"/>
        </w:rPr>
        <w:t xml:space="preserve"> discourses and thought. Indeed, whether </w:t>
      </w:r>
      <w:r w:rsidR="00F04614" w:rsidRPr="00167102">
        <w:rPr>
          <w:sz w:val="24"/>
          <w:szCs w:val="24"/>
        </w:rPr>
        <w:t>feminist</w:t>
      </w:r>
      <w:r w:rsidR="00F04614">
        <w:rPr>
          <w:sz w:val="24"/>
          <w:szCs w:val="24"/>
        </w:rPr>
        <w:t>s</w:t>
      </w:r>
      <w:r w:rsidR="00F04614" w:rsidRPr="00167102">
        <w:rPr>
          <w:sz w:val="24"/>
          <w:szCs w:val="24"/>
        </w:rPr>
        <w:t xml:space="preserve"> </w:t>
      </w:r>
      <w:r w:rsidR="00F04614">
        <w:rPr>
          <w:sz w:val="24"/>
          <w:szCs w:val="24"/>
        </w:rPr>
        <w:t xml:space="preserve">in the UK </w:t>
      </w:r>
      <w:r w:rsidR="00F04614" w:rsidRPr="00167102">
        <w:rPr>
          <w:sz w:val="24"/>
          <w:szCs w:val="24"/>
        </w:rPr>
        <w:t>have</w:t>
      </w:r>
      <w:r w:rsidR="00F04614">
        <w:rPr>
          <w:sz w:val="24"/>
          <w:szCs w:val="24"/>
        </w:rPr>
        <w:t xml:space="preserve"> </w:t>
      </w:r>
      <w:r w:rsidR="00F04614" w:rsidRPr="00167102">
        <w:rPr>
          <w:sz w:val="24"/>
          <w:szCs w:val="24"/>
        </w:rPr>
        <w:t xml:space="preserve">been able to take part in constructive policy making </w:t>
      </w:r>
      <w:r w:rsidR="00F04614">
        <w:rPr>
          <w:sz w:val="24"/>
          <w:szCs w:val="24"/>
        </w:rPr>
        <w:t xml:space="preserve">that steers the government response </w:t>
      </w:r>
      <w:r w:rsidR="00F60FE1">
        <w:rPr>
          <w:sz w:val="24"/>
          <w:szCs w:val="24"/>
        </w:rPr>
        <w:t>is</w:t>
      </w:r>
      <w:r w:rsidR="00F04614" w:rsidRPr="00167102">
        <w:rPr>
          <w:sz w:val="24"/>
          <w:szCs w:val="24"/>
        </w:rPr>
        <w:t xml:space="preserve"> restricted by </w:t>
      </w:r>
      <w:r w:rsidR="00F60FE1">
        <w:rPr>
          <w:sz w:val="24"/>
          <w:szCs w:val="24"/>
        </w:rPr>
        <w:t>the</w:t>
      </w:r>
      <w:r w:rsidR="00F04614" w:rsidRPr="00167102">
        <w:rPr>
          <w:sz w:val="24"/>
          <w:szCs w:val="24"/>
        </w:rPr>
        <w:t xml:space="preserve"> need </w:t>
      </w:r>
      <w:r w:rsidR="00F04614">
        <w:rPr>
          <w:sz w:val="24"/>
          <w:szCs w:val="24"/>
        </w:rPr>
        <w:t>for any advocacy group to p</w:t>
      </w:r>
      <w:r w:rsidR="00F04614" w:rsidRPr="00167102">
        <w:rPr>
          <w:sz w:val="24"/>
          <w:szCs w:val="24"/>
        </w:rPr>
        <w:t>resent the</w:t>
      </w:r>
      <w:r w:rsidR="00F04614">
        <w:rPr>
          <w:sz w:val="24"/>
          <w:szCs w:val="24"/>
        </w:rPr>
        <w:t>mselves and their organisations to</w:t>
      </w:r>
      <w:r w:rsidR="00F04614" w:rsidRPr="00167102">
        <w:rPr>
          <w:sz w:val="24"/>
          <w:szCs w:val="24"/>
        </w:rPr>
        <w:t xml:space="preserve"> neoliberal </w:t>
      </w:r>
      <w:r w:rsidR="00F04614">
        <w:rPr>
          <w:sz w:val="24"/>
          <w:szCs w:val="24"/>
        </w:rPr>
        <w:t xml:space="preserve">government departments and </w:t>
      </w:r>
      <w:r w:rsidR="00F04614" w:rsidRPr="00167102">
        <w:rPr>
          <w:sz w:val="24"/>
          <w:szCs w:val="24"/>
        </w:rPr>
        <w:t xml:space="preserve">funding bodies primarily in terms of </w:t>
      </w:r>
      <w:r w:rsidR="00F04614">
        <w:rPr>
          <w:sz w:val="24"/>
          <w:szCs w:val="24"/>
        </w:rPr>
        <w:t xml:space="preserve">how they can offer </w:t>
      </w:r>
      <w:r w:rsidR="00F04614" w:rsidRPr="00167102">
        <w:rPr>
          <w:sz w:val="24"/>
          <w:szCs w:val="24"/>
        </w:rPr>
        <w:t>value for money and cost-savings.</w:t>
      </w:r>
      <w:r w:rsidR="00F04614" w:rsidRPr="00167102">
        <w:rPr>
          <w:rStyle w:val="FootnoteReference"/>
          <w:sz w:val="24"/>
          <w:szCs w:val="24"/>
        </w:rPr>
        <w:footnoteReference w:id="65"/>
      </w:r>
      <w:r w:rsidR="00F04614">
        <w:rPr>
          <w:sz w:val="24"/>
          <w:szCs w:val="24"/>
        </w:rPr>
        <w:t xml:space="preserve"> </w:t>
      </w:r>
      <w:r w:rsidR="00F038BB">
        <w:rPr>
          <w:sz w:val="24"/>
          <w:szCs w:val="24"/>
        </w:rPr>
        <w:t xml:space="preserve">I argue that Halley’s account underplays neoliberalism’s dominant ideology and pre-disposition to attend to social problems with penal solutions. </w:t>
      </w:r>
      <w:r w:rsidR="00F60FE1">
        <w:rPr>
          <w:sz w:val="24"/>
          <w:szCs w:val="24"/>
        </w:rPr>
        <w:t xml:space="preserve">Halley’s account therefore exaggerates </w:t>
      </w:r>
      <w:r w:rsidR="00CD67DB">
        <w:rPr>
          <w:sz w:val="24"/>
          <w:szCs w:val="24"/>
        </w:rPr>
        <w:t xml:space="preserve">(dominance) </w:t>
      </w:r>
      <w:r w:rsidR="00F60FE1">
        <w:rPr>
          <w:sz w:val="24"/>
          <w:szCs w:val="24"/>
        </w:rPr>
        <w:t xml:space="preserve">feminist input and minimises </w:t>
      </w:r>
      <w:r w:rsidR="00F86306">
        <w:rPr>
          <w:sz w:val="24"/>
          <w:szCs w:val="24"/>
        </w:rPr>
        <w:t>neoliberal governments’</w:t>
      </w:r>
      <w:r w:rsidR="00F60FE1">
        <w:rPr>
          <w:sz w:val="24"/>
          <w:szCs w:val="24"/>
        </w:rPr>
        <w:t xml:space="preserve"> </w:t>
      </w:r>
      <w:r w:rsidR="00FD3597">
        <w:rPr>
          <w:sz w:val="24"/>
          <w:szCs w:val="24"/>
        </w:rPr>
        <w:t xml:space="preserve">strategic adoption of radical feminist theory to propel </w:t>
      </w:r>
      <w:r w:rsidR="00F86306">
        <w:rPr>
          <w:sz w:val="24"/>
          <w:szCs w:val="24"/>
        </w:rPr>
        <w:t>their own</w:t>
      </w:r>
      <w:r w:rsidR="00FD3597">
        <w:rPr>
          <w:sz w:val="24"/>
          <w:szCs w:val="24"/>
        </w:rPr>
        <w:t xml:space="preserve"> popular </w:t>
      </w:r>
      <w:r w:rsidR="00B95988">
        <w:rPr>
          <w:sz w:val="24"/>
          <w:szCs w:val="24"/>
        </w:rPr>
        <w:t>‘</w:t>
      </w:r>
      <w:r w:rsidR="00FD3597">
        <w:rPr>
          <w:sz w:val="24"/>
          <w:szCs w:val="24"/>
        </w:rPr>
        <w:t>law and order</w:t>
      </w:r>
      <w:r w:rsidR="00B95988">
        <w:rPr>
          <w:sz w:val="24"/>
          <w:szCs w:val="24"/>
        </w:rPr>
        <w:t>’</w:t>
      </w:r>
      <w:r w:rsidR="00FD3597">
        <w:rPr>
          <w:sz w:val="24"/>
          <w:szCs w:val="24"/>
        </w:rPr>
        <w:t xml:space="preserve"> agenda</w:t>
      </w:r>
      <w:r w:rsidR="00CD67DB">
        <w:rPr>
          <w:sz w:val="24"/>
          <w:szCs w:val="24"/>
        </w:rPr>
        <w:t>.</w:t>
      </w:r>
    </w:p>
    <w:p w14:paraId="408A368C" w14:textId="50F357E2" w:rsidR="00CB1726" w:rsidRDefault="007452FE" w:rsidP="00792A5C">
      <w:pPr>
        <w:shd w:val="clear" w:color="auto" w:fill="FFFFFF"/>
        <w:spacing w:after="0" w:line="360" w:lineRule="auto"/>
        <w:ind w:firstLine="720"/>
        <w:rPr>
          <w:sz w:val="24"/>
          <w:szCs w:val="24"/>
        </w:rPr>
      </w:pPr>
      <w:r>
        <w:rPr>
          <w:sz w:val="24"/>
          <w:szCs w:val="24"/>
        </w:rPr>
        <w:lastRenderedPageBreak/>
        <w:t>Nonetheless</w:t>
      </w:r>
      <w:r w:rsidR="00B95988">
        <w:rPr>
          <w:sz w:val="24"/>
          <w:szCs w:val="24"/>
        </w:rPr>
        <w:t>, the</w:t>
      </w:r>
      <w:r w:rsidR="00A64B1C">
        <w:rPr>
          <w:sz w:val="24"/>
          <w:szCs w:val="24"/>
        </w:rPr>
        <w:t xml:space="preserve"> ‘patriarchal force’ thesis</w:t>
      </w:r>
      <w:r w:rsidR="003924D5">
        <w:rPr>
          <w:sz w:val="24"/>
          <w:szCs w:val="24"/>
        </w:rPr>
        <w:t xml:space="preserve"> </w:t>
      </w:r>
      <w:r w:rsidR="00870E5F">
        <w:rPr>
          <w:sz w:val="24"/>
          <w:szCs w:val="24"/>
        </w:rPr>
        <w:t xml:space="preserve">is visible in </w:t>
      </w:r>
      <w:r w:rsidR="003924D5">
        <w:rPr>
          <w:sz w:val="24"/>
          <w:szCs w:val="24"/>
        </w:rPr>
        <w:t xml:space="preserve">the </w:t>
      </w:r>
      <w:r w:rsidR="00167102">
        <w:rPr>
          <w:sz w:val="24"/>
          <w:szCs w:val="24"/>
        </w:rPr>
        <w:t>CPS</w:t>
      </w:r>
      <w:r w:rsidR="003924D5">
        <w:rPr>
          <w:sz w:val="24"/>
          <w:szCs w:val="24"/>
        </w:rPr>
        <w:t xml:space="preserve"> VAWG strategy</w:t>
      </w:r>
      <w:r w:rsidR="00FD3597">
        <w:rPr>
          <w:sz w:val="24"/>
          <w:szCs w:val="24"/>
        </w:rPr>
        <w:t>,</w:t>
      </w:r>
      <w:r w:rsidR="00870E5F">
        <w:rPr>
          <w:sz w:val="24"/>
          <w:szCs w:val="24"/>
        </w:rPr>
        <w:t xml:space="preserve"> despite </w:t>
      </w:r>
      <w:r w:rsidR="00167102">
        <w:rPr>
          <w:sz w:val="24"/>
          <w:szCs w:val="24"/>
        </w:rPr>
        <w:t>the the</w:t>
      </w:r>
      <w:r w:rsidR="00A41AD4">
        <w:rPr>
          <w:sz w:val="24"/>
          <w:szCs w:val="24"/>
        </w:rPr>
        <w:t>ory</w:t>
      </w:r>
      <w:r w:rsidR="00A64B1C" w:rsidRPr="007B7B08">
        <w:rPr>
          <w:sz w:val="24"/>
          <w:szCs w:val="24"/>
        </w:rPr>
        <w:t xml:space="preserve"> </w:t>
      </w:r>
      <w:r w:rsidR="003924D5">
        <w:rPr>
          <w:sz w:val="24"/>
          <w:szCs w:val="24"/>
        </w:rPr>
        <w:t xml:space="preserve">receiving </w:t>
      </w:r>
      <w:r w:rsidR="00A64B1C" w:rsidRPr="007B7B08">
        <w:rPr>
          <w:sz w:val="24"/>
          <w:szCs w:val="24"/>
        </w:rPr>
        <w:t>criticis</w:t>
      </w:r>
      <w:r w:rsidR="003924D5">
        <w:rPr>
          <w:sz w:val="24"/>
          <w:szCs w:val="24"/>
        </w:rPr>
        <w:t>m</w:t>
      </w:r>
      <w:r w:rsidR="00A64B1C" w:rsidRPr="007B7B08">
        <w:rPr>
          <w:sz w:val="24"/>
          <w:szCs w:val="24"/>
        </w:rPr>
        <w:t xml:space="preserve"> f</w:t>
      </w:r>
      <w:r w:rsidR="00CD67DB">
        <w:rPr>
          <w:sz w:val="24"/>
          <w:szCs w:val="24"/>
        </w:rPr>
        <w:t xml:space="preserve">rom </w:t>
      </w:r>
      <w:r w:rsidR="00FD3597">
        <w:rPr>
          <w:sz w:val="24"/>
          <w:szCs w:val="24"/>
        </w:rPr>
        <w:t xml:space="preserve">many </w:t>
      </w:r>
      <w:r w:rsidR="00CD67DB">
        <w:rPr>
          <w:sz w:val="24"/>
          <w:szCs w:val="24"/>
        </w:rPr>
        <w:t>feminists about</w:t>
      </w:r>
      <w:r w:rsidR="00A64B1C" w:rsidRPr="007B7B08">
        <w:rPr>
          <w:sz w:val="24"/>
          <w:szCs w:val="24"/>
        </w:rPr>
        <w:t xml:space="preserve"> </w:t>
      </w:r>
      <w:r w:rsidR="00A64B1C">
        <w:rPr>
          <w:sz w:val="24"/>
          <w:szCs w:val="24"/>
        </w:rPr>
        <w:t>its ‘heavy determinism’ and for ‘</w:t>
      </w:r>
      <w:r w:rsidR="00A64B1C" w:rsidRPr="007B7B08">
        <w:rPr>
          <w:sz w:val="24"/>
          <w:szCs w:val="24"/>
        </w:rPr>
        <w:t>being over-prescriptive in its claims about causes and solutions’.</w:t>
      </w:r>
      <w:r w:rsidR="00A64B1C" w:rsidRPr="007B7B08">
        <w:rPr>
          <w:rStyle w:val="FootnoteReference"/>
        </w:rPr>
        <w:footnoteReference w:id="66"/>
      </w:r>
      <w:r w:rsidR="00A64B1C" w:rsidRPr="007B7B08">
        <w:rPr>
          <w:sz w:val="24"/>
          <w:szCs w:val="24"/>
        </w:rPr>
        <w:t xml:space="preserve"> </w:t>
      </w:r>
      <w:r w:rsidR="00F86306">
        <w:rPr>
          <w:sz w:val="24"/>
          <w:szCs w:val="24"/>
        </w:rPr>
        <w:t>Hoyle observes that the use of</w:t>
      </w:r>
      <w:r w:rsidR="00A64B1C" w:rsidRPr="007B7B08">
        <w:rPr>
          <w:sz w:val="24"/>
          <w:szCs w:val="24"/>
        </w:rPr>
        <w:t xml:space="preserve"> </w:t>
      </w:r>
      <w:r w:rsidR="00A64B1C">
        <w:rPr>
          <w:sz w:val="24"/>
          <w:szCs w:val="24"/>
        </w:rPr>
        <w:t>radical</w:t>
      </w:r>
      <w:r w:rsidR="00A64B1C" w:rsidRPr="007B7B08">
        <w:rPr>
          <w:sz w:val="24"/>
          <w:szCs w:val="24"/>
        </w:rPr>
        <w:t xml:space="preserve"> feminism</w:t>
      </w:r>
      <w:r w:rsidR="00F86306">
        <w:rPr>
          <w:sz w:val="24"/>
          <w:szCs w:val="24"/>
        </w:rPr>
        <w:t>’s discourse in the government response to</w:t>
      </w:r>
      <w:r w:rsidR="00A64B1C" w:rsidRPr="007B7B08">
        <w:rPr>
          <w:sz w:val="24"/>
          <w:szCs w:val="24"/>
        </w:rPr>
        <w:t xml:space="preserve"> </w:t>
      </w:r>
      <w:r w:rsidR="00F86306">
        <w:rPr>
          <w:sz w:val="24"/>
          <w:szCs w:val="24"/>
        </w:rPr>
        <w:t>v</w:t>
      </w:r>
      <w:r w:rsidR="00CB1726">
        <w:rPr>
          <w:sz w:val="24"/>
          <w:szCs w:val="24"/>
        </w:rPr>
        <w:t xml:space="preserve">iolence </w:t>
      </w:r>
      <w:r w:rsidR="00F86306">
        <w:rPr>
          <w:sz w:val="24"/>
          <w:szCs w:val="24"/>
        </w:rPr>
        <w:t>a</w:t>
      </w:r>
      <w:r w:rsidR="00CB1726">
        <w:rPr>
          <w:sz w:val="24"/>
          <w:szCs w:val="24"/>
        </w:rPr>
        <w:t xml:space="preserve">gainst </w:t>
      </w:r>
      <w:r w:rsidR="00F86306">
        <w:rPr>
          <w:sz w:val="24"/>
          <w:szCs w:val="24"/>
        </w:rPr>
        <w:t>w</w:t>
      </w:r>
      <w:r w:rsidR="00CB1726">
        <w:rPr>
          <w:sz w:val="24"/>
          <w:szCs w:val="24"/>
        </w:rPr>
        <w:t>omen</w:t>
      </w:r>
      <w:r w:rsidR="00A64B1C" w:rsidRPr="007B7B08">
        <w:rPr>
          <w:sz w:val="24"/>
          <w:szCs w:val="24"/>
        </w:rPr>
        <w:t xml:space="preserve"> has become an ‘ideological straitjacket’</w:t>
      </w:r>
      <w:r w:rsidR="00F86306">
        <w:rPr>
          <w:sz w:val="24"/>
          <w:szCs w:val="24"/>
        </w:rPr>
        <w:t>.</w:t>
      </w:r>
      <w:r w:rsidR="00CB1726">
        <w:rPr>
          <w:rStyle w:val="FootnoteReference"/>
          <w:sz w:val="24"/>
          <w:szCs w:val="24"/>
        </w:rPr>
        <w:footnoteReference w:id="67"/>
      </w:r>
      <w:r w:rsidR="004050EF">
        <w:rPr>
          <w:sz w:val="24"/>
          <w:szCs w:val="24"/>
        </w:rPr>
        <w:t xml:space="preserve"> </w:t>
      </w:r>
      <w:r w:rsidR="000E4FED">
        <w:rPr>
          <w:sz w:val="24"/>
          <w:szCs w:val="24"/>
        </w:rPr>
        <w:t xml:space="preserve"> </w:t>
      </w:r>
      <w:r w:rsidR="00F86306">
        <w:rPr>
          <w:sz w:val="24"/>
          <w:szCs w:val="24"/>
        </w:rPr>
        <w:t xml:space="preserve">It </w:t>
      </w:r>
      <w:r w:rsidR="000E4FED">
        <w:rPr>
          <w:sz w:val="24"/>
          <w:szCs w:val="24"/>
        </w:rPr>
        <w:t>suggest</w:t>
      </w:r>
      <w:r w:rsidR="00F86306">
        <w:rPr>
          <w:sz w:val="24"/>
          <w:szCs w:val="24"/>
        </w:rPr>
        <w:t>s</w:t>
      </w:r>
      <w:r w:rsidR="000E4FED">
        <w:rPr>
          <w:sz w:val="24"/>
          <w:szCs w:val="24"/>
        </w:rPr>
        <w:t xml:space="preserve"> that patriarchy is the only or primary way to understand the </w:t>
      </w:r>
      <w:r w:rsidR="00FD3597">
        <w:rPr>
          <w:sz w:val="24"/>
          <w:szCs w:val="24"/>
        </w:rPr>
        <w:t>a</w:t>
      </w:r>
      <w:r w:rsidR="000E4FED">
        <w:rPr>
          <w:sz w:val="24"/>
          <w:szCs w:val="24"/>
        </w:rPr>
        <w:t>etiology of domestic abuse thereby</w:t>
      </w:r>
      <w:r w:rsidR="00A64B1C" w:rsidRPr="007B7B08">
        <w:rPr>
          <w:sz w:val="24"/>
          <w:szCs w:val="24"/>
        </w:rPr>
        <w:t xml:space="preserve"> marginalis</w:t>
      </w:r>
      <w:r w:rsidR="000E4FED">
        <w:rPr>
          <w:sz w:val="24"/>
          <w:szCs w:val="24"/>
        </w:rPr>
        <w:t>ing</w:t>
      </w:r>
      <w:r w:rsidR="00A64B1C" w:rsidRPr="007B7B08">
        <w:rPr>
          <w:sz w:val="24"/>
          <w:szCs w:val="24"/>
        </w:rPr>
        <w:t xml:space="preserve"> alternative </w:t>
      </w:r>
      <w:r w:rsidR="00777E07">
        <w:rPr>
          <w:sz w:val="24"/>
          <w:szCs w:val="24"/>
        </w:rPr>
        <w:t>or compl</w:t>
      </w:r>
      <w:r w:rsidR="00D97A57">
        <w:rPr>
          <w:sz w:val="24"/>
          <w:szCs w:val="24"/>
        </w:rPr>
        <w:t>e</w:t>
      </w:r>
      <w:r w:rsidR="00777E07">
        <w:rPr>
          <w:sz w:val="24"/>
          <w:szCs w:val="24"/>
        </w:rPr>
        <w:t xml:space="preserve">mentary </w:t>
      </w:r>
      <w:r w:rsidR="00A64B1C" w:rsidRPr="007B7B08">
        <w:rPr>
          <w:sz w:val="24"/>
          <w:szCs w:val="24"/>
        </w:rPr>
        <w:t xml:space="preserve">explanations </w:t>
      </w:r>
      <w:r w:rsidR="004050EF">
        <w:rPr>
          <w:sz w:val="24"/>
          <w:szCs w:val="24"/>
        </w:rPr>
        <w:t>about</w:t>
      </w:r>
      <w:r w:rsidR="00A64B1C" w:rsidRPr="007B7B08">
        <w:rPr>
          <w:sz w:val="24"/>
          <w:szCs w:val="24"/>
        </w:rPr>
        <w:t xml:space="preserve"> </w:t>
      </w:r>
      <w:r w:rsidR="00A64B1C">
        <w:rPr>
          <w:sz w:val="24"/>
          <w:szCs w:val="24"/>
        </w:rPr>
        <w:t>perpetrator offending</w:t>
      </w:r>
      <w:r w:rsidR="000E4FED">
        <w:rPr>
          <w:sz w:val="24"/>
          <w:szCs w:val="24"/>
        </w:rPr>
        <w:t>.</w:t>
      </w:r>
      <w:r w:rsidR="004050EF">
        <w:rPr>
          <w:sz w:val="24"/>
          <w:szCs w:val="24"/>
        </w:rPr>
        <w:t xml:space="preserve"> </w:t>
      </w:r>
      <w:r w:rsidR="00792A5C">
        <w:rPr>
          <w:sz w:val="24"/>
          <w:szCs w:val="24"/>
        </w:rPr>
        <w:t>Post-modern or ‘third-wave’ feminists urge us to recognise that</w:t>
      </w:r>
      <w:r w:rsidR="00792A5C" w:rsidRPr="007B7B08">
        <w:rPr>
          <w:sz w:val="24"/>
          <w:szCs w:val="24"/>
        </w:rPr>
        <w:t xml:space="preserve"> the ‘patriarchal force’ thesis </w:t>
      </w:r>
      <w:r w:rsidR="00792A5C">
        <w:rPr>
          <w:sz w:val="24"/>
          <w:szCs w:val="24"/>
        </w:rPr>
        <w:t>ignores the</w:t>
      </w:r>
      <w:r w:rsidR="00792A5C" w:rsidRPr="007B7B08">
        <w:rPr>
          <w:sz w:val="24"/>
          <w:szCs w:val="24"/>
        </w:rPr>
        <w:t xml:space="preserve"> non-homogeneity of either the abused or </w:t>
      </w:r>
      <w:r w:rsidR="00792A5C">
        <w:rPr>
          <w:sz w:val="24"/>
          <w:szCs w:val="24"/>
        </w:rPr>
        <w:t xml:space="preserve">the </w:t>
      </w:r>
      <w:r w:rsidR="00792A5C" w:rsidRPr="007B7B08">
        <w:rPr>
          <w:sz w:val="24"/>
          <w:szCs w:val="24"/>
        </w:rPr>
        <w:t xml:space="preserve">abuser based </w:t>
      </w:r>
      <w:r w:rsidR="00792A5C">
        <w:rPr>
          <w:sz w:val="24"/>
          <w:szCs w:val="24"/>
        </w:rPr>
        <w:t>in terms of, amongst other things,</w:t>
      </w:r>
      <w:r w:rsidR="00792A5C" w:rsidRPr="007B7B08">
        <w:rPr>
          <w:sz w:val="24"/>
          <w:szCs w:val="24"/>
        </w:rPr>
        <w:t xml:space="preserve"> class, race or sexuality</w:t>
      </w:r>
      <w:r w:rsidR="00792A5C">
        <w:rPr>
          <w:sz w:val="24"/>
          <w:szCs w:val="24"/>
        </w:rPr>
        <w:t>.</w:t>
      </w:r>
      <w:r w:rsidR="00792A5C" w:rsidRPr="007B7B08">
        <w:rPr>
          <w:rStyle w:val="FootnoteReference"/>
        </w:rPr>
        <w:footnoteReference w:id="68"/>
      </w:r>
      <w:r w:rsidR="00792A5C">
        <w:rPr>
          <w:sz w:val="24"/>
          <w:szCs w:val="24"/>
        </w:rPr>
        <w:t xml:space="preserve"> </w:t>
      </w:r>
      <w:r w:rsidR="004050EF">
        <w:rPr>
          <w:sz w:val="24"/>
          <w:szCs w:val="24"/>
        </w:rPr>
        <w:t>Whilst</w:t>
      </w:r>
      <w:r w:rsidR="00724ABE">
        <w:rPr>
          <w:sz w:val="24"/>
          <w:szCs w:val="24"/>
        </w:rPr>
        <w:t xml:space="preserve"> </w:t>
      </w:r>
      <w:r w:rsidR="000E4FED">
        <w:rPr>
          <w:sz w:val="24"/>
          <w:szCs w:val="24"/>
        </w:rPr>
        <w:t>male domination</w:t>
      </w:r>
      <w:r w:rsidR="004050EF">
        <w:rPr>
          <w:sz w:val="24"/>
          <w:szCs w:val="24"/>
        </w:rPr>
        <w:t xml:space="preserve"> will always form a socio-cultural backdrop</w:t>
      </w:r>
      <w:r w:rsidR="000E4FED">
        <w:rPr>
          <w:sz w:val="24"/>
          <w:szCs w:val="24"/>
        </w:rPr>
        <w:t xml:space="preserve"> </w:t>
      </w:r>
      <w:r w:rsidR="00E5617A">
        <w:rPr>
          <w:sz w:val="24"/>
          <w:szCs w:val="24"/>
        </w:rPr>
        <w:t>which</w:t>
      </w:r>
      <w:r w:rsidR="000E4FED">
        <w:rPr>
          <w:sz w:val="24"/>
          <w:szCs w:val="24"/>
        </w:rPr>
        <w:t xml:space="preserve"> explain</w:t>
      </w:r>
      <w:r w:rsidR="00E5617A">
        <w:rPr>
          <w:sz w:val="24"/>
          <w:szCs w:val="24"/>
        </w:rPr>
        <w:t>s</w:t>
      </w:r>
      <w:r w:rsidR="000E4FED">
        <w:rPr>
          <w:sz w:val="24"/>
          <w:szCs w:val="24"/>
        </w:rPr>
        <w:t xml:space="preserve"> why domestic abuse is asymmetric</w:t>
      </w:r>
      <w:r w:rsidR="00E5617A">
        <w:rPr>
          <w:sz w:val="24"/>
          <w:szCs w:val="24"/>
        </w:rPr>
        <w:t xml:space="preserve"> and why men are more likely to resort to violence and coercive control</w:t>
      </w:r>
      <w:r w:rsidR="000E4FED">
        <w:rPr>
          <w:sz w:val="24"/>
          <w:szCs w:val="24"/>
        </w:rPr>
        <w:t>, as a single factor explanation it does not explain why</w:t>
      </w:r>
      <w:r w:rsidR="00792A5C">
        <w:rPr>
          <w:sz w:val="24"/>
          <w:szCs w:val="24"/>
        </w:rPr>
        <w:t xml:space="preserve"> some men are and some men are not abusive</w:t>
      </w:r>
      <w:r w:rsidR="000E4FED">
        <w:rPr>
          <w:sz w:val="24"/>
          <w:szCs w:val="24"/>
        </w:rPr>
        <w:t xml:space="preserve">. Rather, we might recognise that </w:t>
      </w:r>
      <w:r w:rsidR="00792A5C">
        <w:rPr>
          <w:sz w:val="24"/>
          <w:szCs w:val="24"/>
        </w:rPr>
        <w:t xml:space="preserve">there are </w:t>
      </w:r>
      <w:r w:rsidR="000E4FED">
        <w:rPr>
          <w:sz w:val="24"/>
          <w:szCs w:val="24"/>
        </w:rPr>
        <w:t>factors operat</w:t>
      </w:r>
      <w:r w:rsidR="00792A5C">
        <w:rPr>
          <w:sz w:val="24"/>
          <w:szCs w:val="24"/>
        </w:rPr>
        <w:t xml:space="preserve">ing </w:t>
      </w:r>
      <w:r w:rsidR="000E4FED">
        <w:rPr>
          <w:sz w:val="24"/>
          <w:szCs w:val="24"/>
        </w:rPr>
        <w:t>on multiple l</w:t>
      </w:r>
      <w:r w:rsidR="00792A5C">
        <w:rPr>
          <w:sz w:val="24"/>
          <w:szCs w:val="24"/>
        </w:rPr>
        <w:t>evels</w:t>
      </w:r>
      <w:r w:rsidR="000E4FED">
        <w:rPr>
          <w:sz w:val="24"/>
          <w:szCs w:val="24"/>
        </w:rPr>
        <w:t xml:space="preserve"> </w:t>
      </w:r>
      <w:r w:rsidR="00B020E9">
        <w:rPr>
          <w:sz w:val="24"/>
          <w:szCs w:val="24"/>
        </w:rPr>
        <w:t>which trigger domestic abuse</w:t>
      </w:r>
      <w:r w:rsidR="000E4FED">
        <w:rPr>
          <w:sz w:val="24"/>
          <w:szCs w:val="24"/>
        </w:rPr>
        <w:t xml:space="preserve"> in</w:t>
      </w:r>
      <w:r w:rsidR="004050EF">
        <w:rPr>
          <w:sz w:val="24"/>
          <w:szCs w:val="24"/>
        </w:rPr>
        <w:t xml:space="preserve"> </w:t>
      </w:r>
      <w:r w:rsidR="00724ABE">
        <w:rPr>
          <w:sz w:val="24"/>
          <w:szCs w:val="24"/>
        </w:rPr>
        <w:t>the</w:t>
      </w:r>
      <w:r w:rsidR="00792A5C">
        <w:rPr>
          <w:sz w:val="24"/>
          <w:szCs w:val="24"/>
        </w:rPr>
        <w:t>ir</w:t>
      </w:r>
      <w:r w:rsidR="00724ABE">
        <w:rPr>
          <w:sz w:val="24"/>
          <w:szCs w:val="24"/>
        </w:rPr>
        <w:t xml:space="preserve"> inter-play</w:t>
      </w:r>
      <w:r w:rsidR="00792A5C">
        <w:rPr>
          <w:sz w:val="24"/>
          <w:szCs w:val="24"/>
        </w:rPr>
        <w:t xml:space="preserve">. Not only do </w:t>
      </w:r>
      <w:r w:rsidR="00B020E9">
        <w:rPr>
          <w:sz w:val="24"/>
          <w:szCs w:val="24"/>
        </w:rPr>
        <w:t xml:space="preserve">these </w:t>
      </w:r>
      <w:r w:rsidR="00792A5C">
        <w:rPr>
          <w:sz w:val="24"/>
          <w:szCs w:val="24"/>
        </w:rPr>
        <w:t xml:space="preserve">factors include </w:t>
      </w:r>
      <w:r w:rsidR="00B020E9">
        <w:rPr>
          <w:sz w:val="24"/>
          <w:szCs w:val="24"/>
        </w:rPr>
        <w:t xml:space="preserve">those operating at </w:t>
      </w:r>
      <w:r w:rsidR="00792A5C">
        <w:rPr>
          <w:sz w:val="24"/>
          <w:szCs w:val="24"/>
        </w:rPr>
        <w:t>the macro level (</w:t>
      </w:r>
      <w:r w:rsidR="000E4FED">
        <w:rPr>
          <w:sz w:val="24"/>
          <w:szCs w:val="24"/>
        </w:rPr>
        <w:t>cultural</w:t>
      </w:r>
      <w:r w:rsidR="00792A5C">
        <w:rPr>
          <w:sz w:val="24"/>
          <w:szCs w:val="24"/>
        </w:rPr>
        <w:t>,</w:t>
      </w:r>
      <w:r w:rsidR="000E4FED">
        <w:rPr>
          <w:sz w:val="24"/>
          <w:szCs w:val="24"/>
        </w:rPr>
        <w:t xml:space="preserve"> attitudinal and structural norms </w:t>
      </w:r>
      <w:r w:rsidR="00792A5C">
        <w:rPr>
          <w:sz w:val="24"/>
          <w:szCs w:val="24"/>
        </w:rPr>
        <w:t xml:space="preserve">that perpetuate </w:t>
      </w:r>
      <w:r w:rsidR="000E4FED">
        <w:rPr>
          <w:sz w:val="24"/>
          <w:szCs w:val="24"/>
        </w:rPr>
        <w:t>gender inequalit</w:t>
      </w:r>
      <w:r w:rsidR="00792A5C">
        <w:rPr>
          <w:sz w:val="24"/>
          <w:szCs w:val="24"/>
        </w:rPr>
        <w:t>y</w:t>
      </w:r>
      <w:r w:rsidR="00E5617A">
        <w:rPr>
          <w:sz w:val="24"/>
          <w:szCs w:val="24"/>
        </w:rPr>
        <w:t xml:space="preserve"> and condone male violence</w:t>
      </w:r>
      <w:r w:rsidR="00792A5C">
        <w:rPr>
          <w:sz w:val="24"/>
          <w:szCs w:val="24"/>
        </w:rPr>
        <w:t xml:space="preserve">) but they also include </w:t>
      </w:r>
      <w:r w:rsidR="00B95988">
        <w:rPr>
          <w:sz w:val="24"/>
          <w:szCs w:val="24"/>
        </w:rPr>
        <w:t xml:space="preserve">‘trigger </w:t>
      </w:r>
      <w:r w:rsidR="00792A5C">
        <w:rPr>
          <w:sz w:val="24"/>
          <w:szCs w:val="24"/>
        </w:rPr>
        <w:t>factors</w:t>
      </w:r>
      <w:r w:rsidR="00B020E9">
        <w:rPr>
          <w:sz w:val="24"/>
          <w:szCs w:val="24"/>
        </w:rPr>
        <w:t>’</w:t>
      </w:r>
      <w:r w:rsidR="00792A5C">
        <w:rPr>
          <w:sz w:val="24"/>
          <w:szCs w:val="24"/>
        </w:rPr>
        <w:t xml:space="preserve"> </w:t>
      </w:r>
      <w:r w:rsidR="00B020E9">
        <w:rPr>
          <w:sz w:val="24"/>
          <w:szCs w:val="24"/>
        </w:rPr>
        <w:t>at a</w:t>
      </w:r>
      <w:r w:rsidR="00E5617A">
        <w:rPr>
          <w:sz w:val="24"/>
          <w:szCs w:val="24"/>
        </w:rPr>
        <w:t xml:space="preserve"> situational level (such as unemployment related stress, </w:t>
      </w:r>
      <w:r w:rsidR="00E5617A" w:rsidRPr="007B7B08">
        <w:rPr>
          <w:sz w:val="24"/>
          <w:szCs w:val="24"/>
        </w:rPr>
        <w:t xml:space="preserve">social learning </w:t>
      </w:r>
      <w:r w:rsidR="00E5617A">
        <w:rPr>
          <w:sz w:val="24"/>
          <w:szCs w:val="24"/>
        </w:rPr>
        <w:t>or personal histories and networks)</w:t>
      </w:r>
      <w:r w:rsidR="00E5617A" w:rsidRPr="007B7B08">
        <w:rPr>
          <w:sz w:val="24"/>
          <w:szCs w:val="24"/>
        </w:rPr>
        <w:t xml:space="preserve"> </w:t>
      </w:r>
      <w:r w:rsidR="00E5617A">
        <w:rPr>
          <w:sz w:val="24"/>
          <w:szCs w:val="24"/>
        </w:rPr>
        <w:t xml:space="preserve">and at </w:t>
      </w:r>
      <w:r w:rsidR="00792A5C">
        <w:rPr>
          <w:sz w:val="24"/>
          <w:szCs w:val="24"/>
        </w:rPr>
        <w:t xml:space="preserve">an </w:t>
      </w:r>
      <w:r w:rsidR="00A64B1C" w:rsidRPr="007B7B08">
        <w:rPr>
          <w:sz w:val="24"/>
          <w:szCs w:val="24"/>
        </w:rPr>
        <w:t>individual</w:t>
      </w:r>
      <w:r w:rsidR="004050EF">
        <w:rPr>
          <w:sz w:val="24"/>
          <w:szCs w:val="24"/>
        </w:rPr>
        <w:t xml:space="preserve"> </w:t>
      </w:r>
      <w:r w:rsidR="00792A5C">
        <w:rPr>
          <w:sz w:val="24"/>
          <w:szCs w:val="24"/>
        </w:rPr>
        <w:t>level</w:t>
      </w:r>
      <w:r w:rsidR="004050EF">
        <w:rPr>
          <w:sz w:val="24"/>
          <w:szCs w:val="24"/>
        </w:rPr>
        <w:t xml:space="preserve"> </w:t>
      </w:r>
      <w:r w:rsidR="00792A5C">
        <w:rPr>
          <w:sz w:val="24"/>
          <w:szCs w:val="24"/>
        </w:rPr>
        <w:t xml:space="preserve">(an abuser’s </w:t>
      </w:r>
      <w:r w:rsidR="00A64B1C" w:rsidRPr="007B7B08">
        <w:rPr>
          <w:sz w:val="24"/>
          <w:szCs w:val="24"/>
        </w:rPr>
        <w:t>pathology</w:t>
      </w:r>
      <w:r w:rsidR="00792A5C">
        <w:rPr>
          <w:sz w:val="24"/>
          <w:szCs w:val="24"/>
        </w:rPr>
        <w:t xml:space="preserve">, </w:t>
      </w:r>
      <w:r w:rsidR="00A64B1C" w:rsidRPr="007B7B08">
        <w:rPr>
          <w:sz w:val="24"/>
          <w:szCs w:val="24"/>
        </w:rPr>
        <w:t xml:space="preserve">psychiatry </w:t>
      </w:r>
      <w:r w:rsidR="00792A5C">
        <w:rPr>
          <w:sz w:val="24"/>
          <w:szCs w:val="24"/>
        </w:rPr>
        <w:t>or substance misuse)</w:t>
      </w:r>
      <w:r w:rsidR="00E5617A">
        <w:rPr>
          <w:sz w:val="24"/>
          <w:szCs w:val="24"/>
        </w:rPr>
        <w:t>.</w:t>
      </w:r>
      <w:r w:rsidR="00E5617A">
        <w:rPr>
          <w:rStyle w:val="FootnoteReference"/>
          <w:sz w:val="24"/>
          <w:szCs w:val="24"/>
        </w:rPr>
        <w:footnoteReference w:id="69"/>
      </w:r>
    </w:p>
    <w:p w14:paraId="67C3A569" w14:textId="74B85107" w:rsidR="004E47AC" w:rsidRDefault="00A64B1C" w:rsidP="005359BF">
      <w:pPr>
        <w:shd w:val="clear" w:color="auto" w:fill="FFFFFF"/>
        <w:spacing w:after="100" w:afterAutospacing="1" w:line="360" w:lineRule="auto"/>
        <w:ind w:firstLine="720"/>
        <w:rPr>
          <w:sz w:val="24"/>
          <w:szCs w:val="24"/>
        </w:rPr>
      </w:pPr>
      <w:r w:rsidRPr="007B7B08">
        <w:rPr>
          <w:sz w:val="24"/>
          <w:szCs w:val="24"/>
        </w:rPr>
        <w:t>The danger is that</w:t>
      </w:r>
      <w:r>
        <w:rPr>
          <w:sz w:val="24"/>
          <w:szCs w:val="24"/>
        </w:rPr>
        <w:t xml:space="preserve">, </w:t>
      </w:r>
      <w:r w:rsidR="00B95988">
        <w:rPr>
          <w:sz w:val="24"/>
          <w:szCs w:val="24"/>
        </w:rPr>
        <w:t>when the</w:t>
      </w:r>
      <w:r w:rsidR="00FA30ED">
        <w:rPr>
          <w:sz w:val="24"/>
          <w:szCs w:val="24"/>
        </w:rPr>
        <w:t xml:space="preserve"> state adopt</w:t>
      </w:r>
      <w:r w:rsidR="00B95988">
        <w:rPr>
          <w:sz w:val="24"/>
          <w:szCs w:val="24"/>
        </w:rPr>
        <w:t>s the</w:t>
      </w:r>
      <w:r w:rsidR="00FA30ED">
        <w:rPr>
          <w:sz w:val="24"/>
          <w:szCs w:val="24"/>
        </w:rPr>
        <w:t xml:space="preserve"> radical feminist account</w:t>
      </w:r>
      <w:r>
        <w:rPr>
          <w:sz w:val="24"/>
          <w:szCs w:val="24"/>
        </w:rPr>
        <w:t xml:space="preserve">, </w:t>
      </w:r>
      <w:r w:rsidRPr="007B7B08">
        <w:rPr>
          <w:sz w:val="24"/>
          <w:szCs w:val="24"/>
        </w:rPr>
        <w:t>a universal</w:t>
      </w:r>
      <w:r w:rsidR="00B85274">
        <w:rPr>
          <w:sz w:val="24"/>
          <w:szCs w:val="24"/>
        </w:rPr>
        <w:t xml:space="preserve"> </w:t>
      </w:r>
      <w:r w:rsidR="00B95988">
        <w:rPr>
          <w:sz w:val="24"/>
          <w:szCs w:val="24"/>
        </w:rPr>
        <w:t xml:space="preserve">male oppressor is conceived, together with an essentialist </w:t>
      </w:r>
      <w:r w:rsidRPr="007B7B08">
        <w:rPr>
          <w:sz w:val="24"/>
          <w:szCs w:val="24"/>
        </w:rPr>
        <w:t>female victim</w:t>
      </w:r>
      <w:r w:rsidR="00B95988">
        <w:rPr>
          <w:sz w:val="24"/>
          <w:szCs w:val="24"/>
        </w:rPr>
        <w:t xml:space="preserve">, which </w:t>
      </w:r>
      <w:r w:rsidR="00E5617A">
        <w:rPr>
          <w:sz w:val="24"/>
          <w:szCs w:val="24"/>
        </w:rPr>
        <w:t>fail</w:t>
      </w:r>
      <w:r w:rsidR="00B95988">
        <w:rPr>
          <w:sz w:val="24"/>
          <w:szCs w:val="24"/>
        </w:rPr>
        <w:t>s</w:t>
      </w:r>
      <w:r w:rsidR="00E5617A">
        <w:rPr>
          <w:sz w:val="24"/>
          <w:szCs w:val="24"/>
        </w:rPr>
        <w:t xml:space="preserve"> to allow for</w:t>
      </w:r>
      <w:r w:rsidRPr="007B7B08">
        <w:rPr>
          <w:sz w:val="24"/>
          <w:szCs w:val="24"/>
        </w:rPr>
        <w:t xml:space="preserve"> intersectional or post-intersectional accounts of what it is to be </w:t>
      </w:r>
      <w:r>
        <w:rPr>
          <w:sz w:val="24"/>
          <w:szCs w:val="24"/>
        </w:rPr>
        <w:t>someone</w:t>
      </w:r>
      <w:r w:rsidRPr="007B7B08">
        <w:rPr>
          <w:sz w:val="24"/>
          <w:szCs w:val="24"/>
        </w:rPr>
        <w:t xml:space="preserve"> experiencing domestic abuse.</w:t>
      </w:r>
      <w:r w:rsidR="002E66F5">
        <w:rPr>
          <w:rStyle w:val="FootnoteReference"/>
          <w:sz w:val="24"/>
          <w:szCs w:val="24"/>
        </w:rPr>
        <w:footnoteReference w:id="70"/>
      </w:r>
      <w:r w:rsidRPr="007B7B08">
        <w:rPr>
          <w:sz w:val="24"/>
          <w:szCs w:val="24"/>
        </w:rPr>
        <w:t xml:space="preserve"> This has paved the way, I argue, for feminist theories of domestic abuse as </w:t>
      </w:r>
      <w:r>
        <w:rPr>
          <w:sz w:val="24"/>
          <w:szCs w:val="24"/>
        </w:rPr>
        <w:t>‘patriarchal force’</w:t>
      </w:r>
      <w:r w:rsidRPr="007B7B08">
        <w:rPr>
          <w:sz w:val="24"/>
          <w:szCs w:val="24"/>
        </w:rPr>
        <w:t xml:space="preserve"> to become </w:t>
      </w:r>
      <w:r>
        <w:rPr>
          <w:sz w:val="24"/>
          <w:szCs w:val="24"/>
        </w:rPr>
        <w:t>interpreted</w:t>
      </w:r>
      <w:r w:rsidRPr="007B7B08">
        <w:rPr>
          <w:sz w:val="24"/>
          <w:szCs w:val="24"/>
        </w:rPr>
        <w:t xml:space="preserve"> by the state </w:t>
      </w:r>
      <w:r>
        <w:rPr>
          <w:sz w:val="24"/>
          <w:szCs w:val="24"/>
        </w:rPr>
        <w:t>as a need for</w:t>
      </w:r>
      <w:r w:rsidRPr="007B7B08">
        <w:rPr>
          <w:sz w:val="24"/>
          <w:szCs w:val="24"/>
        </w:rPr>
        <w:t xml:space="preserve"> tenacious and committed criminal justice interventions</w:t>
      </w:r>
      <w:r>
        <w:rPr>
          <w:sz w:val="24"/>
          <w:szCs w:val="24"/>
        </w:rPr>
        <w:t xml:space="preserve"> (where c</w:t>
      </w:r>
      <w:r w:rsidRPr="007B7B08">
        <w:rPr>
          <w:sz w:val="24"/>
          <w:szCs w:val="24"/>
        </w:rPr>
        <w:t xml:space="preserve">riminalisation </w:t>
      </w:r>
      <w:r>
        <w:rPr>
          <w:sz w:val="24"/>
          <w:szCs w:val="24"/>
        </w:rPr>
        <w:t xml:space="preserve">carries </w:t>
      </w:r>
      <w:r w:rsidRPr="007B7B08">
        <w:rPr>
          <w:sz w:val="24"/>
          <w:szCs w:val="24"/>
        </w:rPr>
        <w:t xml:space="preserve">the symbolic </w:t>
      </w:r>
      <w:r w:rsidR="002E66F5">
        <w:rPr>
          <w:sz w:val="24"/>
          <w:szCs w:val="24"/>
        </w:rPr>
        <w:t xml:space="preserve">and expressive </w:t>
      </w:r>
      <w:r w:rsidRPr="007B7B08">
        <w:rPr>
          <w:sz w:val="24"/>
          <w:szCs w:val="24"/>
        </w:rPr>
        <w:t xml:space="preserve">value of condemning </w:t>
      </w:r>
      <w:r>
        <w:rPr>
          <w:sz w:val="24"/>
          <w:szCs w:val="24"/>
        </w:rPr>
        <w:t>male power, dominance and control over women)</w:t>
      </w:r>
      <w:r w:rsidRPr="007B7B08">
        <w:rPr>
          <w:sz w:val="24"/>
          <w:szCs w:val="24"/>
        </w:rPr>
        <w:t xml:space="preserve">. </w:t>
      </w:r>
      <w:r w:rsidR="002E66F5">
        <w:rPr>
          <w:sz w:val="24"/>
          <w:szCs w:val="24"/>
        </w:rPr>
        <w:t xml:space="preserve">In this </w:t>
      </w:r>
      <w:r w:rsidR="002E66F5">
        <w:rPr>
          <w:sz w:val="24"/>
          <w:szCs w:val="24"/>
        </w:rPr>
        <w:lastRenderedPageBreak/>
        <w:t>book I</w:t>
      </w:r>
      <w:r>
        <w:rPr>
          <w:sz w:val="24"/>
          <w:szCs w:val="24"/>
        </w:rPr>
        <w:t xml:space="preserve"> contemplate the co</w:t>
      </w:r>
      <w:r w:rsidR="003E11FA">
        <w:rPr>
          <w:sz w:val="24"/>
          <w:szCs w:val="24"/>
        </w:rPr>
        <w:t>nsequences</w:t>
      </w:r>
      <w:r>
        <w:rPr>
          <w:sz w:val="24"/>
          <w:szCs w:val="24"/>
        </w:rPr>
        <w:t xml:space="preserve"> </w:t>
      </w:r>
      <w:r w:rsidR="00B95988">
        <w:rPr>
          <w:sz w:val="24"/>
          <w:szCs w:val="24"/>
        </w:rPr>
        <w:t xml:space="preserve">of the state adoption of feminist explanations and expose how the state may itself be accused </w:t>
      </w:r>
      <w:r>
        <w:rPr>
          <w:sz w:val="24"/>
          <w:szCs w:val="24"/>
        </w:rPr>
        <w:t xml:space="preserve">of </w:t>
      </w:r>
      <w:r w:rsidRPr="007B7B08">
        <w:rPr>
          <w:sz w:val="24"/>
          <w:szCs w:val="24"/>
        </w:rPr>
        <w:t>perpetrat</w:t>
      </w:r>
      <w:r>
        <w:rPr>
          <w:sz w:val="24"/>
          <w:szCs w:val="24"/>
        </w:rPr>
        <w:t>ing</w:t>
      </w:r>
      <w:r w:rsidRPr="007B7B08">
        <w:rPr>
          <w:sz w:val="24"/>
          <w:szCs w:val="24"/>
        </w:rPr>
        <w:t xml:space="preserve"> coercive practices in the </w:t>
      </w:r>
      <w:r>
        <w:rPr>
          <w:sz w:val="24"/>
          <w:szCs w:val="24"/>
        </w:rPr>
        <w:t>pursuit</w:t>
      </w:r>
      <w:r w:rsidRPr="007B7B08">
        <w:rPr>
          <w:sz w:val="24"/>
          <w:szCs w:val="24"/>
        </w:rPr>
        <w:t xml:space="preserve"> of protecting women</w:t>
      </w:r>
      <w:r>
        <w:rPr>
          <w:sz w:val="24"/>
          <w:szCs w:val="24"/>
        </w:rPr>
        <w:t xml:space="preserve"> and advancing their freedoms</w:t>
      </w:r>
      <w:r w:rsidRPr="007B7B08">
        <w:rPr>
          <w:sz w:val="24"/>
          <w:szCs w:val="24"/>
        </w:rPr>
        <w:t>.</w:t>
      </w:r>
      <w:r>
        <w:rPr>
          <w:rStyle w:val="FootnoteReference"/>
        </w:rPr>
        <w:footnoteReference w:id="71"/>
      </w:r>
      <w:r>
        <w:rPr>
          <w:sz w:val="24"/>
          <w:szCs w:val="24"/>
        </w:rPr>
        <w:t xml:space="preserve"> </w:t>
      </w:r>
      <w:bookmarkStart w:id="53" w:name="_Hlk517442032"/>
      <w:bookmarkStart w:id="54" w:name="Typologies"/>
      <w:r w:rsidR="00C34EB4">
        <w:rPr>
          <w:sz w:val="24"/>
          <w:szCs w:val="24"/>
        </w:rPr>
        <w:t>C</w:t>
      </w:r>
      <w:r w:rsidR="00423FBF">
        <w:rPr>
          <w:sz w:val="24"/>
          <w:szCs w:val="24"/>
        </w:rPr>
        <w:t>rucially</w:t>
      </w:r>
      <w:r w:rsidR="00C34EB4">
        <w:rPr>
          <w:sz w:val="24"/>
          <w:szCs w:val="24"/>
        </w:rPr>
        <w:t xml:space="preserve">, I advocate that </w:t>
      </w:r>
      <w:r w:rsidR="00423FBF">
        <w:rPr>
          <w:sz w:val="24"/>
          <w:szCs w:val="24"/>
        </w:rPr>
        <w:t xml:space="preserve">an understanding of domestic abuse as ‘patriarchal force’ </w:t>
      </w:r>
      <w:r w:rsidR="00C34EB4">
        <w:rPr>
          <w:sz w:val="24"/>
          <w:szCs w:val="24"/>
        </w:rPr>
        <w:t xml:space="preserve">need not </w:t>
      </w:r>
      <w:r w:rsidR="003E11FA">
        <w:rPr>
          <w:sz w:val="24"/>
          <w:szCs w:val="24"/>
        </w:rPr>
        <w:t>occlude</w:t>
      </w:r>
      <w:r w:rsidR="00423FBF">
        <w:rPr>
          <w:sz w:val="24"/>
          <w:szCs w:val="24"/>
        </w:rPr>
        <w:t xml:space="preserve"> ‘the various ways in which violence is structured along axes other than gender’</w:t>
      </w:r>
      <w:r w:rsidR="003E11FA">
        <w:rPr>
          <w:rStyle w:val="FootnoteReference"/>
          <w:sz w:val="24"/>
          <w:szCs w:val="24"/>
        </w:rPr>
        <w:footnoteReference w:id="72"/>
      </w:r>
      <w:r w:rsidR="00B95988">
        <w:rPr>
          <w:sz w:val="24"/>
          <w:szCs w:val="24"/>
        </w:rPr>
        <w:t xml:space="preserve"> whilst a</w:t>
      </w:r>
      <w:r w:rsidR="00C34EB4">
        <w:rPr>
          <w:sz w:val="24"/>
          <w:szCs w:val="24"/>
        </w:rPr>
        <w:t>ccepting that intimate partne</w:t>
      </w:r>
      <w:r w:rsidR="00423FBF">
        <w:rPr>
          <w:sz w:val="24"/>
          <w:szCs w:val="24"/>
        </w:rPr>
        <w:t xml:space="preserve">r abuse </w:t>
      </w:r>
      <w:r w:rsidR="00C34EB4">
        <w:rPr>
          <w:sz w:val="24"/>
          <w:szCs w:val="24"/>
        </w:rPr>
        <w:t xml:space="preserve">always </w:t>
      </w:r>
      <w:r w:rsidR="00423FBF">
        <w:rPr>
          <w:sz w:val="24"/>
          <w:szCs w:val="24"/>
        </w:rPr>
        <w:t>exist</w:t>
      </w:r>
      <w:r w:rsidR="00C34EB4">
        <w:rPr>
          <w:sz w:val="24"/>
          <w:szCs w:val="24"/>
        </w:rPr>
        <w:t>s</w:t>
      </w:r>
      <w:r w:rsidR="00423FBF">
        <w:rPr>
          <w:sz w:val="24"/>
          <w:szCs w:val="24"/>
        </w:rPr>
        <w:t xml:space="preserve"> with</w:t>
      </w:r>
      <w:r w:rsidR="00C34EB4">
        <w:rPr>
          <w:sz w:val="24"/>
          <w:szCs w:val="24"/>
        </w:rPr>
        <w:t>in</w:t>
      </w:r>
      <w:r w:rsidR="00423FBF">
        <w:rPr>
          <w:sz w:val="24"/>
          <w:szCs w:val="24"/>
        </w:rPr>
        <w:t xml:space="preserve"> broader, structural conditions of powe</w:t>
      </w:r>
      <w:r w:rsidR="00C34EB4">
        <w:rPr>
          <w:sz w:val="24"/>
          <w:szCs w:val="24"/>
        </w:rPr>
        <w:t>r means that the phenomenon will never be reducible to an inter-personal level alone.</w:t>
      </w:r>
    </w:p>
    <w:p w14:paraId="12AD3F04" w14:textId="628860B7" w:rsidR="00A64B1C" w:rsidRPr="00137B22" w:rsidRDefault="00A64B1C" w:rsidP="00295F99">
      <w:pPr>
        <w:numPr>
          <w:ilvl w:val="0"/>
          <w:numId w:val="40"/>
        </w:numPr>
        <w:spacing w:after="100" w:afterAutospacing="1" w:line="360" w:lineRule="auto"/>
        <w:rPr>
          <w:b/>
          <w:sz w:val="24"/>
          <w:szCs w:val="24"/>
        </w:rPr>
      </w:pPr>
      <w:bookmarkStart w:id="55" w:name="_Hlk517442143"/>
      <w:bookmarkStart w:id="56" w:name="Why_neoliberalism"/>
      <w:bookmarkEnd w:id="53"/>
      <w:bookmarkEnd w:id="54"/>
      <w:r>
        <w:rPr>
          <w:b/>
          <w:sz w:val="24"/>
          <w:szCs w:val="24"/>
        </w:rPr>
        <w:t>Neoliberalism</w:t>
      </w:r>
      <w:r w:rsidR="007A154C">
        <w:rPr>
          <w:b/>
          <w:sz w:val="24"/>
          <w:szCs w:val="24"/>
        </w:rPr>
        <w:t>:</w:t>
      </w:r>
      <w:r>
        <w:rPr>
          <w:b/>
          <w:sz w:val="24"/>
          <w:szCs w:val="24"/>
        </w:rPr>
        <w:t xml:space="preserve"> The ‘Hegemonic Discourse of our Times</w:t>
      </w:r>
      <w:bookmarkEnd w:id="55"/>
      <w:r>
        <w:rPr>
          <w:b/>
          <w:sz w:val="24"/>
          <w:szCs w:val="24"/>
        </w:rPr>
        <w:t>’</w:t>
      </w:r>
    </w:p>
    <w:bookmarkEnd w:id="56"/>
    <w:p w14:paraId="31026969" w14:textId="21B4D3CD" w:rsidR="00247712" w:rsidRDefault="003F3602" w:rsidP="00A64B1C">
      <w:pPr>
        <w:spacing w:after="0" w:line="360" w:lineRule="auto"/>
        <w:ind w:firstLine="720"/>
        <w:rPr>
          <w:sz w:val="24"/>
          <w:szCs w:val="24"/>
        </w:rPr>
      </w:pPr>
      <w:r>
        <w:rPr>
          <w:sz w:val="24"/>
          <w:szCs w:val="24"/>
        </w:rPr>
        <w:t>Neoliberalism</w:t>
      </w:r>
      <w:r w:rsidR="00137204">
        <w:rPr>
          <w:sz w:val="24"/>
          <w:szCs w:val="24"/>
        </w:rPr>
        <w:t>,</w:t>
      </w:r>
      <w:r>
        <w:rPr>
          <w:sz w:val="24"/>
          <w:szCs w:val="24"/>
        </w:rPr>
        <w:t xml:space="preserve"> </w:t>
      </w:r>
      <w:r w:rsidR="00137204">
        <w:rPr>
          <w:sz w:val="24"/>
          <w:szCs w:val="24"/>
        </w:rPr>
        <w:t>a</w:t>
      </w:r>
      <w:r>
        <w:rPr>
          <w:sz w:val="24"/>
          <w:szCs w:val="24"/>
        </w:rPr>
        <w:t>s an ‘art of governance’</w:t>
      </w:r>
      <w:r w:rsidR="00137204">
        <w:rPr>
          <w:sz w:val="24"/>
          <w:szCs w:val="24"/>
        </w:rPr>
        <w:t>,</w:t>
      </w:r>
      <w:r>
        <w:rPr>
          <w:rStyle w:val="FootnoteReference"/>
        </w:rPr>
        <w:footnoteReference w:id="73"/>
      </w:r>
      <w:r>
        <w:rPr>
          <w:sz w:val="24"/>
          <w:szCs w:val="24"/>
        </w:rPr>
        <w:t xml:space="preserve"> </w:t>
      </w:r>
      <w:r w:rsidR="00137204">
        <w:rPr>
          <w:sz w:val="24"/>
          <w:szCs w:val="24"/>
        </w:rPr>
        <w:t>permeates</w:t>
      </w:r>
      <w:r>
        <w:rPr>
          <w:sz w:val="24"/>
          <w:szCs w:val="24"/>
        </w:rPr>
        <w:t xml:space="preserve"> multiple strata of the state apparatus. </w:t>
      </w:r>
      <w:r w:rsidR="00137204">
        <w:rPr>
          <w:sz w:val="24"/>
          <w:szCs w:val="24"/>
        </w:rPr>
        <w:t>‘Governance’ here</w:t>
      </w:r>
      <w:r>
        <w:rPr>
          <w:sz w:val="24"/>
          <w:szCs w:val="24"/>
        </w:rPr>
        <w:t xml:space="preserve"> signal</w:t>
      </w:r>
      <w:r w:rsidR="00137204">
        <w:rPr>
          <w:sz w:val="24"/>
          <w:szCs w:val="24"/>
        </w:rPr>
        <w:t>s</w:t>
      </w:r>
      <w:r>
        <w:rPr>
          <w:sz w:val="24"/>
          <w:szCs w:val="24"/>
        </w:rPr>
        <w:t xml:space="preserve"> t</w:t>
      </w:r>
      <w:r w:rsidR="00137204">
        <w:rPr>
          <w:sz w:val="24"/>
          <w:szCs w:val="24"/>
        </w:rPr>
        <w:t>he Foucauldian understanding tha</w:t>
      </w:r>
      <w:r>
        <w:rPr>
          <w:sz w:val="24"/>
          <w:szCs w:val="24"/>
        </w:rPr>
        <w:t>t legal power is</w:t>
      </w:r>
      <w:r w:rsidR="00DC1566">
        <w:rPr>
          <w:sz w:val="24"/>
          <w:szCs w:val="24"/>
        </w:rPr>
        <w:t xml:space="preserve"> </w:t>
      </w:r>
      <w:r>
        <w:rPr>
          <w:sz w:val="24"/>
          <w:szCs w:val="24"/>
        </w:rPr>
        <w:t xml:space="preserve">fragmented and dispersed, where agents of the state, such as the Crown Prosecutor, are complicit </w:t>
      </w:r>
      <w:r w:rsidR="00137204">
        <w:rPr>
          <w:sz w:val="24"/>
          <w:szCs w:val="24"/>
        </w:rPr>
        <w:t>in (</w:t>
      </w:r>
      <w:r>
        <w:rPr>
          <w:sz w:val="24"/>
          <w:szCs w:val="24"/>
        </w:rPr>
        <w:t>and necessary</w:t>
      </w:r>
      <w:r w:rsidR="00137204">
        <w:rPr>
          <w:sz w:val="24"/>
          <w:szCs w:val="24"/>
        </w:rPr>
        <w:t xml:space="preserve"> to</w:t>
      </w:r>
      <w:r>
        <w:rPr>
          <w:sz w:val="24"/>
          <w:szCs w:val="24"/>
        </w:rPr>
        <w:t>)</w:t>
      </w:r>
      <w:r w:rsidR="00137204">
        <w:rPr>
          <w:sz w:val="24"/>
          <w:szCs w:val="24"/>
        </w:rPr>
        <w:t xml:space="preserve"> the </w:t>
      </w:r>
      <w:r>
        <w:rPr>
          <w:sz w:val="24"/>
          <w:szCs w:val="24"/>
        </w:rPr>
        <w:t>carry</w:t>
      </w:r>
      <w:r w:rsidR="00DC1566">
        <w:rPr>
          <w:sz w:val="24"/>
          <w:szCs w:val="24"/>
        </w:rPr>
        <w:t>ing</w:t>
      </w:r>
      <w:r>
        <w:rPr>
          <w:sz w:val="24"/>
          <w:szCs w:val="24"/>
        </w:rPr>
        <w:t xml:space="preserve"> out </w:t>
      </w:r>
      <w:r w:rsidR="00137204">
        <w:rPr>
          <w:sz w:val="24"/>
          <w:szCs w:val="24"/>
        </w:rPr>
        <w:t xml:space="preserve">of </w:t>
      </w:r>
      <w:r>
        <w:rPr>
          <w:sz w:val="24"/>
          <w:szCs w:val="24"/>
        </w:rPr>
        <w:t>the tactics of government.</w:t>
      </w:r>
      <w:r w:rsidR="00137204">
        <w:rPr>
          <w:sz w:val="24"/>
          <w:szCs w:val="24"/>
        </w:rPr>
        <w:t xml:space="preserve"> As n</w:t>
      </w:r>
      <w:r w:rsidR="00A64B1C" w:rsidRPr="00342165">
        <w:rPr>
          <w:sz w:val="24"/>
          <w:szCs w:val="24"/>
        </w:rPr>
        <w:t>eoliberalism</w:t>
      </w:r>
      <w:r w:rsidR="00A64B1C">
        <w:rPr>
          <w:sz w:val="24"/>
          <w:szCs w:val="24"/>
        </w:rPr>
        <w:t xml:space="preserve"> has been heralded</w:t>
      </w:r>
      <w:r w:rsidR="00137204">
        <w:rPr>
          <w:sz w:val="24"/>
          <w:szCs w:val="24"/>
        </w:rPr>
        <w:t xml:space="preserve"> as</w:t>
      </w:r>
      <w:r w:rsidR="00A64B1C">
        <w:rPr>
          <w:sz w:val="24"/>
          <w:szCs w:val="24"/>
        </w:rPr>
        <w:t xml:space="preserve"> the ‘hegemonic discourse of our times’</w:t>
      </w:r>
      <w:r w:rsidR="00137204">
        <w:rPr>
          <w:sz w:val="24"/>
          <w:szCs w:val="24"/>
        </w:rPr>
        <w:t>,</w:t>
      </w:r>
      <w:r w:rsidR="00A64B1C">
        <w:rPr>
          <w:rStyle w:val="FootnoteReference"/>
        </w:rPr>
        <w:footnoteReference w:id="74"/>
      </w:r>
      <w:r w:rsidR="00A64B1C">
        <w:rPr>
          <w:sz w:val="24"/>
          <w:szCs w:val="24"/>
        </w:rPr>
        <w:t xml:space="preserve"> </w:t>
      </w:r>
      <w:r w:rsidR="00137204">
        <w:rPr>
          <w:sz w:val="24"/>
          <w:szCs w:val="24"/>
        </w:rPr>
        <w:t>i</w:t>
      </w:r>
      <w:r w:rsidR="00A64B1C">
        <w:rPr>
          <w:sz w:val="24"/>
          <w:szCs w:val="24"/>
        </w:rPr>
        <w:t>t</w:t>
      </w:r>
      <w:r w:rsidR="00A64B1C" w:rsidRPr="00342165">
        <w:rPr>
          <w:sz w:val="24"/>
          <w:szCs w:val="24"/>
        </w:rPr>
        <w:t>s nostrums and logics</w:t>
      </w:r>
      <w:r w:rsidR="00137204">
        <w:rPr>
          <w:sz w:val="24"/>
          <w:szCs w:val="24"/>
        </w:rPr>
        <w:t xml:space="preserve"> weave themselves into </w:t>
      </w:r>
      <w:r w:rsidR="00A64B1C" w:rsidRPr="00342165">
        <w:rPr>
          <w:sz w:val="24"/>
          <w:szCs w:val="24"/>
        </w:rPr>
        <w:t>all areas of life</w:t>
      </w:r>
      <w:r w:rsidR="00BD32BD">
        <w:rPr>
          <w:sz w:val="24"/>
          <w:szCs w:val="24"/>
        </w:rPr>
        <w:t>,</w:t>
      </w:r>
      <w:r w:rsidR="00A64B1C" w:rsidRPr="00342165">
        <w:rPr>
          <w:sz w:val="24"/>
          <w:szCs w:val="24"/>
        </w:rPr>
        <w:t xml:space="preserve"> </w:t>
      </w:r>
      <w:r w:rsidR="00137204">
        <w:rPr>
          <w:sz w:val="24"/>
          <w:szCs w:val="24"/>
        </w:rPr>
        <w:t xml:space="preserve">configuring </w:t>
      </w:r>
      <w:r w:rsidR="00BD32BD">
        <w:rPr>
          <w:sz w:val="24"/>
          <w:szCs w:val="24"/>
        </w:rPr>
        <w:t>it</w:t>
      </w:r>
      <w:r w:rsidR="00A64B1C" w:rsidRPr="00342165">
        <w:rPr>
          <w:sz w:val="24"/>
          <w:szCs w:val="24"/>
        </w:rPr>
        <w:t xml:space="preserve"> economic terms</w:t>
      </w:r>
      <w:r w:rsidR="00A64B1C">
        <w:rPr>
          <w:sz w:val="24"/>
          <w:szCs w:val="24"/>
        </w:rPr>
        <w:t>. Our vocabularies, habits, principles of justice and practices of rule are all framed in ideology that understands the market as the source of human freedom and where privatisation and profit-making is fundamental.</w:t>
      </w:r>
      <w:r w:rsidR="00247712">
        <w:rPr>
          <w:sz w:val="24"/>
          <w:szCs w:val="24"/>
        </w:rPr>
        <w:t xml:space="preserve"> </w:t>
      </w:r>
      <w:r w:rsidR="005C6D09">
        <w:rPr>
          <w:sz w:val="24"/>
          <w:szCs w:val="24"/>
        </w:rPr>
        <w:t xml:space="preserve">Thus, even in the absence of </w:t>
      </w:r>
      <w:r w:rsidR="009419F0">
        <w:rPr>
          <w:sz w:val="24"/>
          <w:szCs w:val="24"/>
        </w:rPr>
        <w:t>specific</w:t>
      </w:r>
      <w:r w:rsidR="005C6D09">
        <w:rPr>
          <w:sz w:val="24"/>
          <w:szCs w:val="24"/>
        </w:rPr>
        <w:t xml:space="preserve"> government directives, the CPS will be mediated by the discursive influence of neoliberalism.</w:t>
      </w:r>
      <w:r w:rsidR="005C6D09">
        <w:rPr>
          <w:rStyle w:val="FootnoteReference"/>
          <w:sz w:val="24"/>
          <w:szCs w:val="24"/>
        </w:rPr>
        <w:footnoteReference w:id="75"/>
      </w:r>
    </w:p>
    <w:p w14:paraId="04C0F76C" w14:textId="0B9C07DF" w:rsidR="00233DFF" w:rsidRDefault="00ED3B9E" w:rsidP="00554628">
      <w:pPr>
        <w:spacing w:after="0" w:line="360" w:lineRule="auto"/>
        <w:ind w:firstLine="720"/>
        <w:rPr>
          <w:sz w:val="24"/>
          <w:szCs w:val="24"/>
        </w:rPr>
      </w:pPr>
      <w:r>
        <w:rPr>
          <w:sz w:val="24"/>
          <w:szCs w:val="24"/>
        </w:rPr>
        <w:t xml:space="preserve">Neoliberal politics became the dominant political ideology in the United Kingdom </w:t>
      </w:r>
      <w:r w:rsidR="003F3602">
        <w:rPr>
          <w:sz w:val="24"/>
          <w:szCs w:val="24"/>
        </w:rPr>
        <w:t>from</w:t>
      </w:r>
      <w:r>
        <w:rPr>
          <w:sz w:val="24"/>
          <w:szCs w:val="24"/>
        </w:rPr>
        <w:t xml:space="preserve"> the late 1970s. </w:t>
      </w:r>
      <w:r w:rsidR="00233DFF">
        <w:rPr>
          <w:sz w:val="24"/>
          <w:szCs w:val="24"/>
        </w:rPr>
        <w:t xml:space="preserve">The post-war period had been associated with </w:t>
      </w:r>
      <w:r w:rsidR="00EC2FFA">
        <w:rPr>
          <w:sz w:val="24"/>
          <w:szCs w:val="24"/>
        </w:rPr>
        <w:t xml:space="preserve">the full </w:t>
      </w:r>
      <w:r w:rsidR="00803E3E">
        <w:rPr>
          <w:sz w:val="24"/>
          <w:szCs w:val="24"/>
        </w:rPr>
        <w:t xml:space="preserve">state </w:t>
      </w:r>
      <w:r w:rsidR="00EC2FFA">
        <w:rPr>
          <w:sz w:val="24"/>
          <w:szCs w:val="24"/>
        </w:rPr>
        <w:t xml:space="preserve">and Keynesian </w:t>
      </w:r>
      <w:r w:rsidR="00803E3E">
        <w:rPr>
          <w:sz w:val="24"/>
          <w:szCs w:val="24"/>
        </w:rPr>
        <w:t>welfarism</w:t>
      </w:r>
      <w:r w:rsidR="00EC2FFA">
        <w:rPr>
          <w:sz w:val="24"/>
          <w:szCs w:val="24"/>
        </w:rPr>
        <w:t xml:space="preserve">. Governments </w:t>
      </w:r>
      <w:r w:rsidR="00CA6A91">
        <w:rPr>
          <w:sz w:val="24"/>
          <w:szCs w:val="24"/>
        </w:rPr>
        <w:t>had been</w:t>
      </w:r>
      <w:r w:rsidR="00EC2FFA">
        <w:rPr>
          <w:sz w:val="24"/>
          <w:szCs w:val="24"/>
        </w:rPr>
        <w:t xml:space="preserve"> expected to </w:t>
      </w:r>
      <w:r w:rsidR="00803E3E" w:rsidRPr="00EC2FFA">
        <w:rPr>
          <w:sz w:val="24"/>
          <w:szCs w:val="24"/>
        </w:rPr>
        <w:t xml:space="preserve">spend heavily on </w:t>
      </w:r>
      <w:r w:rsidR="00EC2FFA" w:rsidRPr="00EC2FFA">
        <w:rPr>
          <w:sz w:val="24"/>
          <w:szCs w:val="24"/>
        </w:rPr>
        <w:t xml:space="preserve">public </w:t>
      </w:r>
      <w:r w:rsidR="00803E3E" w:rsidRPr="00EC2FFA">
        <w:rPr>
          <w:sz w:val="24"/>
          <w:szCs w:val="24"/>
        </w:rPr>
        <w:t xml:space="preserve">infrastructure and </w:t>
      </w:r>
      <w:r w:rsidR="00BE5F44">
        <w:rPr>
          <w:sz w:val="24"/>
          <w:szCs w:val="24"/>
        </w:rPr>
        <w:t>welfare</w:t>
      </w:r>
      <w:r w:rsidR="00803E3E" w:rsidRPr="00EC2FFA">
        <w:rPr>
          <w:sz w:val="24"/>
          <w:szCs w:val="24"/>
        </w:rPr>
        <w:t xml:space="preserve"> benefits </w:t>
      </w:r>
      <w:r w:rsidR="00EC2FFA" w:rsidRPr="00EC2FFA">
        <w:rPr>
          <w:sz w:val="24"/>
          <w:szCs w:val="24"/>
        </w:rPr>
        <w:t>so that</w:t>
      </w:r>
      <w:r w:rsidR="00803E3E" w:rsidRPr="00EC2FFA">
        <w:rPr>
          <w:sz w:val="24"/>
          <w:szCs w:val="24"/>
        </w:rPr>
        <w:t xml:space="preserve"> consumer spending, growth and job creation</w:t>
      </w:r>
      <w:r w:rsidR="00EC2FFA" w:rsidRPr="00EC2FFA">
        <w:rPr>
          <w:sz w:val="24"/>
          <w:szCs w:val="24"/>
        </w:rPr>
        <w:t xml:space="preserve"> w</w:t>
      </w:r>
      <w:r w:rsidR="00EC2FFA">
        <w:rPr>
          <w:sz w:val="24"/>
          <w:szCs w:val="24"/>
        </w:rPr>
        <w:t>ere</w:t>
      </w:r>
      <w:r w:rsidR="00EC2FFA" w:rsidRPr="00EC2FFA">
        <w:rPr>
          <w:sz w:val="24"/>
          <w:szCs w:val="24"/>
        </w:rPr>
        <w:t xml:space="preserve"> stimulated</w:t>
      </w:r>
      <w:r w:rsidR="00803E3E" w:rsidRPr="00EC2FFA">
        <w:rPr>
          <w:sz w:val="24"/>
          <w:szCs w:val="24"/>
        </w:rPr>
        <w:t xml:space="preserve">. </w:t>
      </w:r>
      <w:r>
        <w:rPr>
          <w:sz w:val="24"/>
          <w:szCs w:val="24"/>
        </w:rPr>
        <w:t>Thatcher</w:t>
      </w:r>
      <w:r w:rsidR="00EC2FFA">
        <w:rPr>
          <w:sz w:val="24"/>
          <w:szCs w:val="24"/>
        </w:rPr>
        <w:t xml:space="preserve">’s </w:t>
      </w:r>
      <w:r w:rsidR="003D4D77">
        <w:rPr>
          <w:sz w:val="24"/>
          <w:szCs w:val="24"/>
        </w:rPr>
        <w:t>incoming 1979 Conservative government</w:t>
      </w:r>
      <w:r w:rsidR="00EC2FFA">
        <w:rPr>
          <w:sz w:val="24"/>
          <w:szCs w:val="24"/>
        </w:rPr>
        <w:t xml:space="preserve">, however, </w:t>
      </w:r>
      <w:r w:rsidR="00233DFF">
        <w:rPr>
          <w:sz w:val="24"/>
          <w:szCs w:val="24"/>
        </w:rPr>
        <w:t>no longer</w:t>
      </w:r>
      <w:r>
        <w:rPr>
          <w:sz w:val="24"/>
          <w:szCs w:val="24"/>
        </w:rPr>
        <w:t xml:space="preserve"> articulate</w:t>
      </w:r>
      <w:r w:rsidR="00233DFF">
        <w:rPr>
          <w:sz w:val="24"/>
          <w:szCs w:val="24"/>
        </w:rPr>
        <w:t>d</w:t>
      </w:r>
      <w:r>
        <w:rPr>
          <w:sz w:val="24"/>
          <w:szCs w:val="24"/>
        </w:rPr>
        <w:t xml:space="preserve"> </w:t>
      </w:r>
      <w:r w:rsidR="003D4D77">
        <w:rPr>
          <w:sz w:val="24"/>
          <w:szCs w:val="24"/>
        </w:rPr>
        <w:t xml:space="preserve">this economic rationality, </w:t>
      </w:r>
      <w:r w:rsidR="00CA6A91">
        <w:rPr>
          <w:sz w:val="24"/>
          <w:szCs w:val="24"/>
        </w:rPr>
        <w:t>and Thatcher</w:t>
      </w:r>
      <w:r w:rsidR="003D4D77">
        <w:rPr>
          <w:sz w:val="24"/>
          <w:szCs w:val="24"/>
        </w:rPr>
        <w:t xml:space="preserve"> spoke not of </w:t>
      </w:r>
      <w:r>
        <w:rPr>
          <w:sz w:val="24"/>
          <w:szCs w:val="24"/>
        </w:rPr>
        <w:t>collective interest</w:t>
      </w:r>
      <w:r w:rsidR="00233DFF">
        <w:rPr>
          <w:sz w:val="24"/>
          <w:szCs w:val="24"/>
        </w:rPr>
        <w:t>s</w:t>
      </w:r>
      <w:r w:rsidR="003D4D77">
        <w:rPr>
          <w:sz w:val="24"/>
          <w:szCs w:val="24"/>
        </w:rPr>
        <w:t xml:space="preserve"> but of the responsibility of the</w:t>
      </w:r>
      <w:r w:rsidR="00233DFF">
        <w:rPr>
          <w:sz w:val="24"/>
          <w:szCs w:val="24"/>
        </w:rPr>
        <w:t xml:space="preserve"> </w:t>
      </w:r>
      <w:r>
        <w:rPr>
          <w:sz w:val="24"/>
          <w:szCs w:val="24"/>
        </w:rPr>
        <w:t xml:space="preserve">individual </w:t>
      </w:r>
      <w:r w:rsidR="003D4D77">
        <w:rPr>
          <w:sz w:val="24"/>
          <w:szCs w:val="24"/>
        </w:rPr>
        <w:t>to make the most of the free market conditions</w:t>
      </w:r>
      <w:r w:rsidR="009419F0">
        <w:rPr>
          <w:sz w:val="24"/>
          <w:szCs w:val="24"/>
        </w:rPr>
        <w:t xml:space="preserve"> the </w:t>
      </w:r>
      <w:r w:rsidR="009419F0">
        <w:rPr>
          <w:sz w:val="24"/>
          <w:szCs w:val="24"/>
        </w:rPr>
        <w:lastRenderedPageBreak/>
        <w:t>government was now offering</w:t>
      </w:r>
      <w:r w:rsidR="00554628">
        <w:rPr>
          <w:sz w:val="24"/>
          <w:szCs w:val="24"/>
        </w:rPr>
        <w:t xml:space="preserve">. </w:t>
      </w:r>
      <w:r w:rsidR="003D4D77">
        <w:rPr>
          <w:sz w:val="24"/>
          <w:szCs w:val="24"/>
        </w:rPr>
        <w:t>T</w:t>
      </w:r>
      <w:r w:rsidR="008A3A31">
        <w:rPr>
          <w:sz w:val="24"/>
          <w:szCs w:val="24"/>
        </w:rPr>
        <w:t xml:space="preserve">hose that faltered were considered </w:t>
      </w:r>
      <w:r w:rsidR="003F3602">
        <w:rPr>
          <w:sz w:val="24"/>
          <w:szCs w:val="24"/>
        </w:rPr>
        <w:t>to have done so due to</w:t>
      </w:r>
      <w:r w:rsidR="00554628" w:rsidRPr="00554628">
        <w:rPr>
          <w:sz w:val="24"/>
          <w:szCs w:val="24"/>
        </w:rPr>
        <w:t xml:space="preserve"> individual </w:t>
      </w:r>
      <w:r w:rsidR="008A3A31">
        <w:rPr>
          <w:sz w:val="24"/>
          <w:szCs w:val="24"/>
        </w:rPr>
        <w:t>defectiveness</w:t>
      </w:r>
      <w:r w:rsidR="00233DFF">
        <w:rPr>
          <w:sz w:val="24"/>
          <w:szCs w:val="24"/>
        </w:rPr>
        <w:t xml:space="preserve"> or </w:t>
      </w:r>
      <w:r w:rsidR="00173E36">
        <w:rPr>
          <w:sz w:val="24"/>
          <w:szCs w:val="24"/>
        </w:rPr>
        <w:t xml:space="preserve">through </w:t>
      </w:r>
      <w:r w:rsidR="00233DFF">
        <w:rPr>
          <w:sz w:val="24"/>
          <w:szCs w:val="24"/>
        </w:rPr>
        <w:t>choice</w:t>
      </w:r>
      <w:r w:rsidR="008A3A31">
        <w:rPr>
          <w:sz w:val="24"/>
          <w:szCs w:val="24"/>
        </w:rPr>
        <w:t xml:space="preserve">. </w:t>
      </w:r>
      <w:r w:rsidR="00554628">
        <w:rPr>
          <w:sz w:val="24"/>
          <w:szCs w:val="24"/>
        </w:rPr>
        <w:t>Th</w:t>
      </w:r>
      <w:r w:rsidR="003D4D77">
        <w:rPr>
          <w:sz w:val="24"/>
          <w:szCs w:val="24"/>
        </w:rPr>
        <w:t>e neoliberal</w:t>
      </w:r>
      <w:r w:rsidR="00554628">
        <w:rPr>
          <w:sz w:val="24"/>
          <w:szCs w:val="24"/>
        </w:rPr>
        <w:t xml:space="preserve"> rationale </w:t>
      </w:r>
      <w:r>
        <w:rPr>
          <w:sz w:val="24"/>
          <w:szCs w:val="24"/>
        </w:rPr>
        <w:t>justified the</w:t>
      </w:r>
      <w:r w:rsidR="00F953D2">
        <w:rPr>
          <w:sz w:val="24"/>
          <w:szCs w:val="24"/>
        </w:rPr>
        <w:t xml:space="preserve"> </w:t>
      </w:r>
      <w:r w:rsidR="00A64B1C">
        <w:rPr>
          <w:sz w:val="24"/>
          <w:szCs w:val="24"/>
        </w:rPr>
        <w:t>hollowing out of social democratic state welfarism</w:t>
      </w:r>
      <w:r w:rsidR="008A3A31">
        <w:rPr>
          <w:sz w:val="24"/>
          <w:szCs w:val="24"/>
        </w:rPr>
        <w:t xml:space="preserve"> </w:t>
      </w:r>
      <w:r w:rsidR="00DC1566">
        <w:rPr>
          <w:sz w:val="24"/>
          <w:szCs w:val="24"/>
        </w:rPr>
        <w:t>because</w:t>
      </w:r>
      <w:r w:rsidR="008A3A31">
        <w:rPr>
          <w:sz w:val="24"/>
          <w:szCs w:val="24"/>
        </w:rPr>
        <w:t xml:space="preserve"> underperforming citizens </w:t>
      </w:r>
      <w:r w:rsidR="00C55696">
        <w:rPr>
          <w:sz w:val="24"/>
          <w:szCs w:val="24"/>
        </w:rPr>
        <w:t xml:space="preserve">were labelled </w:t>
      </w:r>
      <w:r w:rsidR="00BE5F44">
        <w:rPr>
          <w:sz w:val="24"/>
          <w:szCs w:val="24"/>
        </w:rPr>
        <w:t>‘</w:t>
      </w:r>
      <w:r w:rsidR="00C55696">
        <w:rPr>
          <w:sz w:val="24"/>
          <w:szCs w:val="24"/>
        </w:rPr>
        <w:t>undeserving</w:t>
      </w:r>
      <w:r w:rsidR="00BE5F44">
        <w:rPr>
          <w:sz w:val="24"/>
          <w:szCs w:val="24"/>
        </w:rPr>
        <w:t>’</w:t>
      </w:r>
      <w:r w:rsidR="00DC1566">
        <w:rPr>
          <w:sz w:val="24"/>
          <w:szCs w:val="24"/>
        </w:rPr>
        <w:t xml:space="preserve">. </w:t>
      </w:r>
    </w:p>
    <w:p w14:paraId="0357C704" w14:textId="4AB2B804" w:rsidR="0055294E" w:rsidRDefault="00BE5F44" w:rsidP="00173E36">
      <w:pPr>
        <w:spacing w:after="0" w:line="360" w:lineRule="auto"/>
        <w:ind w:firstLine="720"/>
        <w:rPr>
          <w:sz w:val="24"/>
          <w:szCs w:val="24"/>
        </w:rPr>
      </w:pPr>
      <w:r>
        <w:rPr>
          <w:sz w:val="24"/>
          <w:szCs w:val="24"/>
        </w:rPr>
        <w:t xml:space="preserve">As well as </w:t>
      </w:r>
      <w:r w:rsidR="005C6D09">
        <w:rPr>
          <w:sz w:val="24"/>
          <w:szCs w:val="24"/>
        </w:rPr>
        <w:t>experiencing recession</w:t>
      </w:r>
      <w:r w:rsidR="00CA6A91">
        <w:rPr>
          <w:sz w:val="24"/>
          <w:szCs w:val="24"/>
        </w:rPr>
        <w:t>,</w:t>
      </w:r>
      <w:r>
        <w:rPr>
          <w:sz w:val="24"/>
          <w:szCs w:val="24"/>
        </w:rPr>
        <w:t xml:space="preserve"> </w:t>
      </w:r>
      <w:r w:rsidR="009419F0">
        <w:rPr>
          <w:sz w:val="24"/>
          <w:szCs w:val="24"/>
        </w:rPr>
        <w:t xml:space="preserve">the United Kingdom in the 1970s faced steadily rising </w:t>
      </w:r>
      <w:r>
        <w:rPr>
          <w:sz w:val="24"/>
          <w:szCs w:val="24"/>
        </w:rPr>
        <w:t>r</w:t>
      </w:r>
      <w:r w:rsidR="00B3180B">
        <w:rPr>
          <w:sz w:val="24"/>
          <w:szCs w:val="24"/>
        </w:rPr>
        <w:t>ates of crime</w:t>
      </w:r>
      <w:r>
        <w:rPr>
          <w:sz w:val="24"/>
          <w:szCs w:val="24"/>
        </w:rPr>
        <w:t>. The issue of c</w:t>
      </w:r>
      <w:r w:rsidR="003B6EDA">
        <w:rPr>
          <w:sz w:val="24"/>
          <w:szCs w:val="24"/>
        </w:rPr>
        <w:t xml:space="preserve">rime </w:t>
      </w:r>
      <w:r>
        <w:rPr>
          <w:sz w:val="24"/>
          <w:szCs w:val="24"/>
        </w:rPr>
        <w:t xml:space="preserve">and ‘law and order’ </w:t>
      </w:r>
      <w:r w:rsidR="0085799A">
        <w:rPr>
          <w:sz w:val="24"/>
          <w:szCs w:val="24"/>
        </w:rPr>
        <w:t>therefore</w:t>
      </w:r>
      <w:r w:rsidR="00803E3E">
        <w:rPr>
          <w:sz w:val="24"/>
          <w:szCs w:val="24"/>
        </w:rPr>
        <w:t xml:space="preserve"> </w:t>
      </w:r>
      <w:r w:rsidR="0085799A">
        <w:rPr>
          <w:sz w:val="24"/>
          <w:szCs w:val="24"/>
        </w:rPr>
        <w:t>garner</w:t>
      </w:r>
      <w:r w:rsidR="003D4D77">
        <w:rPr>
          <w:sz w:val="24"/>
          <w:szCs w:val="24"/>
        </w:rPr>
        <w:t>ed</w:t>
      </w:r>
      <w:r w:rsidR="0085799A">
        <w:rPr>
          <w:sz w:val="24"/>
          <w:szCs w:val="24"/>
        </w:rPr>
        <w:t xml:space="preserve"> attention </w:t>
      </w:r>
      <w:r w:rsidR="003D4D77">
        <w:rPr>
          <w:sz w:val="24"/>
          <w:szCs w:val="24"/>
        </w:rPr>
        <w:t>during the 19</w:t>
      </w:r>
      <w:r>
        <w:rPr>
          <w:sz w:val="24"/>
          <w:szCs w:val="24"/>
        </w:rPr>
        <w:t>79</w:t>
      </w:r>
      <w:r w:rsidR="003D4D77">
        <w:rPr>
          <w:sz w:val="24"/>
          <w:szCs w:val="24"/>
        </w:rPr>
        <w:t xml:space="preserve"> election campaigns</w:t>
      </w:r>
      <w:r w:rsidR="00803E3E">
        <w:rPr>
          <w:sz w:val="24"/>
          <w:szCs w:val="24"/>
        </w:rPr>
        <w:t>. The</w:t>
      </w:r>
      <w:r w:rsidR="00B3180B">
        <w:rPr>
          <w:sz w:val="24"/>
          <w:szCs w:val="24"/>
        </w:rPr>
        <w:t xml:space="preserve"> incoming </w:t>
      </w:r>
      <w:r w:rsidR="0085799A">
        <w:rPr>
          <w:sz w:val="24"/>
          <w:szCs w:val="24"/>
        </w:rPr>
        <w:t xml:space="preserve">1979 </w:t>
      </w:r>
      <w:r w:rsidR="00B3180B">
        <w:rPr>
          <w:sz w:val="24"/>
          <w:szCs w:val="24"/>
        </w:rPr>
        <w:t>Conservative government</w:t>
      </w:r>
      <w:r w:rsidR="0085799A">
        <w:rPr>
          <w:sz w:val="24"/>
          <w:szCs w:val="24"/>
        </w:rPr>
        <w:t xml:space="preserve"> </w:t>
      </w:r>
      <w:r>
        <w:rPr>
          <w:sz w:val="24"/>
          <w:szCs w:val="24"/>
        </w:rPr>
        <w:t>took the opportunity to suggest that welfarism had failed</w:t>
      </w:r>
      <w:r w:rsidR="00CA6A91">
        <w:rPr>
          <w:sz w:val="24"/>
          <w:szCs w:val="24"/>
        </w:rPr>
        <w:t xml:space="preserve"> and that p</w:t>
      </w:r>
      <w:r w:rsidR="0085799A">
        <w:rPr>
          <w:sz w:val="24"/>
          <w:szCs w:val="24"/>
        </w:rPr>
        <w:t>ost-war p</w:t>
      </w:r>
      <w:r w:rsidR="00D6200A">
        <w:rPr>
          <w:sz w:val="24"/>
          <w:szCs w:val="24"/>
        </w:rPr>
        <w:t>enal-welfare criminology</w:t>
      </w:r>
      <w:r w:rsidR="00CA6A91">
        <w:rPr>
          <w:sz w:val="24"/>
          <w:szCs w:val="24"/>
        </w:rPr>
        <w:t xml:space="preserve"> - which</w:t>
      </w:r>
      <w:r w:rsidR="00D6200A">
        <w:rPr>
          <w:sz w:val="24"/>
          <w:szCs w:val="24"/>
        </w:rPr>
        <w:t xml:space="preserve"> </w:t>
      </w:r>
      <w:r w:rsidR="0085799A">
        <w:rPr>
          <w:sz w:val="24"/>
          <w:szCs w:val="24"/>
        </w:rPr>
        <w:t>had</w:t>
      </w:r>
      <w:r w:rsidR="00D6200A">
        <w:rPr>
          <w:sz w:val="24"/>
          <w:szCs w:val="24"/>
        </w:rPr>
        <w:t xml:space="preserve"> </w:t>
      </w:r>
      <w:r>
        <w:rPr>
          <w:sz w:val="24"/>
          <w:szCs w:val="24"/>
        </w:rPr>
        <w:t xml:space="preserve">largely </w:t>
      </w:r>
      <w:r w:rsidR="00D6200A">
        <w:rPr>
          <w:sz w:val="24"/>
          <w:szCs w:val="24"/>
        </w:rPr>
        <w:t>understood criminal activity to be the result of collective, social and structural failures for which the state had a responsibility to improve</w:t>
      </w:r>
      <w:r w:rsidR="00CA6A91">
        <w:rPr>
          <w:sz w:val="24"/>
          <w:szCs w:val="24"/>
        </w:rPr>
        <w:t>- did not work.</w:t>
      </w:r>
      <w:r w:rsidR="0085799A">
        <w:rPr>
          <w:sz w:val="24"/>
          <w:szCs w:val="24"/>
        </w:rPr>
        <w:t xml:space="preserve"> </w:t>
      </w:r>
      <w:r w:rsidR="00CA6A91">
        <w:rPr>
          <w:sz w:val="24"/>
          <w:szCs w:val="24"/>
        </w:rPr>
        <w:t>P</w:t>
      </w:r>
      <w:r w:rsidR="006A65CD">
        <w:rPr>
          <w:sz w:val="24"/>
          <w:szCs w:val="24"/>
        </w:rPr>
        <w:t>enal-</w:t>
      </w:r>
      <w:proofErr w:type="spellStart"/>
      <w:r w:rsidR="006A65CD">
        <w:rPr>
          <w:sz w:val="24"/>
          <w:szCs w:val="24"/>
        </w:rPr>
        <w:t>welfaris</w:t>
      </w:r>
      <w:r w:rsidR="00CA6A91">
        <w:rPr>
          <w:sz w:val="24"/>
          <w:szCs w:val="24"/>
        </w:rPr>
        <w:t>t</w:t>
      </w:r>
      <w:proofErr w:type="spellEnd"/>
      <w:r w:rsidR="00CA6A91">
        <w:rPr>
          <w:sz w:val="24"/>
          <w:szCs w:val="24"/>
        </w:rPr>
        <w:t xml:space="preserve"> </w:t>
      </w:r>
      <w:r w:rsidR="006A65CD">
        <w:rPr>
          <w:sz w:val="24"/>
          <w:szCs w:val="24"/>
        </w:rPr>
        <w:t xml:space="preserve">confidence </w:t>
      </w:r>
      <w:r w:rsidR="00CA6A91">
        <w:rPr>
          <w:sz w:val="24"/>
          <w:szCs w:val="24"/>
        </w:rPr>
        <w:t>in the potential for</w:t>
      </w:r>
      <w:r w:rsidR="006A65CD">
        <w:rPr>
          <w:sz w:val="24"/>
          <w:szCs w:val="24"/>
        </w:rPr>
        <w:t xml:space="preserve"> </w:t>
      </w:r>
      <w:r w:rsidR="0085799A">
        <w:rPr>
          <w:sz w:val="24"/>
          <w:szCs w:val="24"/>
        </w:rPr>
        <w:t>offender</w:t>
      </w:r>
      <w:r w:rsidR="00CA6A91">
        <w:rPr>
          <w:sz w:val="24"/>
          <w:szCs w:val="24"/>
        </w:rPr>
        <w:t xml:space="preserve">s to be rehabilitated through social support was replaced by </w:t>
      </w:r>
      <w:r w:rsidR="006A65CD">
        <w:rPr>
          <w:sz w:val="24"/>
          <w:szCs w:val="24"/>
        </w:rPr>
        <w:t>t</w:t>
      </w:r>
      <w:r w:rsidR="0085799A">
        <w:rPr>
          <w:sz w:val="24"/>
          <w:szCs w:val="24"/>
        </w:rPr>
        <w:t>he neoliberal</w:t>
      </w:r>
      <w:r w:rsidR="00D6200A">
        <w:rPr>
          <w:sz w:val="24"/>
          <w:szCs w:val="24"/>
        </w:rPr>
        <w:t xml:space="preserve"> ‘volitional’ theory of criminology</w:t>
      </w:r>
      <w:r w:rsidR="00CA6A91">
        <w:rPr>
          <w:sz w:val="24"/>
          <w:szCs w:val="24"/>
        </w:rPr>
        <w:t>.</w:t>
      </w:r>
      <w:r w:rsidR="00CA6A91">
        <w:rPr>
          <w:rStyle w:val="FootnoteReference"/>
          <w:sz w:val="24"/>
          <w:szCs w:val="24"/>
        </w:rPr>
        <w:footnoteReference w:id="76"/>
      </w:r>
      <w:r w:rsidR="00CA6A91">
        <w:rPr>
          <w:sz w:val="24"/>
          <w:szCs w:val="24"/>
        </w:rPr>
        <w:t xml:space="preserve"> This</w:t>
      </w:r>
      <w:r w:rsidR="00C55696">
        <w:rPr>
          <w:sz w:val="24"/>
          <w:szCs w:val="24"/>
        </w:rPr>
        <w:t xml:space="preserve"> </w:t>
      </w:r>
      <w:r w:rsidR="0085799A">
        <w:rPr>
          <w:sz w:val="24"/>
          <w:szCs w:val="24"/>
        </w:rPr>
        <w:t>understood</w:t>
      </w:r>
      <w:r w:rsidR="00D6200A">
        <w:rPr>
          <w:sz w:val="24"/>
          <w:szCs w:val="24"/>
        </w:rPr>
        <w:t xml:space="preserve"> </w:t>
      </w:r>
      <w:r w:rsidR="006A65CD">
        <w:rPr>
          <w:sz w:val="24"/>
          <w:szCs w:val="24"/>
        </w:rPr>
        <w:t xml:space="preserve">that </w:t>
      </w:r>
      <w:r w:rsidR="00D6200A">
        <w:rPr>
          <w:sz w:val="24"/>
          <w:szCs w:val="24"/>
        </w:rPr>
        <w:t xml:space="preserve">crime </w:t>
      </w:r>
      <w:r w:rsidR="006A65CD">
        <w:rPr>
          <w:sz w:val="24"/>
          <w:szCs w:val="24"/>
        </w:rPr>
        <w:t>was</w:t>
      </w:r>
      <w:r w:rsidR="0085799A">
        <w:rPr>
          <w:sz w:val="24"/>
          <w:szCs w:val="24"/>
        </w:rPr>
        <w:t xml:space="preserve"> committed</w:t>
      </w:r>
      <w:r w:rsidR="00D6200A">
        <w:rPr>
          <w:sz w:val="24"/>
          <w:szCs w:val="24"/>
        </w:rPr>
        <w:t xml:space="preserve"> a</w:t>
      </w:r>
      <w:r w:rsidR="00173E36">
        <w:rPr>
          <w:sz w:val="24"/>
          <w:szCs w:val="24"/>
        </w:rPr>
        <w:t>s a</w:t>
      </w:r>
      <w:r w:rsidR="00D6200A">
        <w:rPr>
          <w:sz w:val="24"/>
          <w:szCs w:val="24"/>
        </w:rPr>
        <w:t xml:space="preserve"> result of individually situated opportunities available to rationally choosing actors</w:t>
      </w:r>
      <w:r w:rsidR="0085799A">
        <w:rPr>
          <w:sz w:val="24"/>
          <w:szCs w:val="24"/>
        </w:rPr>
        <w:t>.</w:t>
      </w:r>
      <w:r w:rsidR="006A65CD">
        <w:rPr>
          <w:sz w:val="24"/>
          <w:szCs w:val="24"/>
        </w:rPr>
        <w:t xml:space="preserve"> As criminals were now considered to be acting out of ‘rational choice’,</w:t>
      </w:r>
      <w:r w:rsidR="00D6200A">
        <w:rPr>
          <w:sz w:val="24"/>
          <w:szCs w:val="24"/>
        </w:rPr>
        <w:t xml:space="preserve"> </w:t>
      </w:r>
      <w:r w:rsidR="00D6200A" w:rsidRPr="00D6200A">
        <w:rPr>
          <w:sz w:val="24"/>
          <w:szCs w:val="24"/>
        </w:rPr>
        <w:t xml:space="preserve">punitive </w:t>
      </w:r>
      <w:r w:rsidR="0085799A">
        <w:rPr>
          <w:sz w:val="24"/>
          <w:szCs w:val="24"/>
        </w:rPr>
        <w:t>responses</w:t>
      </w:r>
      <w:r w:rsidR="00D6200A" w:rsidRPr="00D6200A">
        <w:rPr>
          <w:sz w:val="24"/>
          <w:szCs w:val="24"/>
        </w:rPr>
        <w:t xml:space="preserve"> </w:t>
      </w:r>
      <w:r w:rsidR="007C30F8">
        <w:rPr>
          <w:sz w:val="24"/>
          <w:szCs w:val="24"/>
        </w:rPr>
        <w:t>and</w:t>
      </w:r>
      <w:r w:rsidR="00D6200A" w:rsidRPr="00D6200A">
        <w:rPr>
          <w:sz w:val="24"/>
          <w:szCs w:val="24"/>
        </w:rPr>
        <w:t xml:space="preserve"> incarceration</w:t>
      </w:r>
      <w:r w:rsidR="0085799A">
        <w:rPr>
          <w:sz w:val="24"/>
          <w:szCs w:val="24"/>
        </w:rPr>
        <w:t xml:space="preserve"> </w:t>
      </w:r>
      <w:r w:rsidR="006A65CD">
        <w:rPr>
          <w:sz w:val="24"/>
          <w:szCs w:val="24"/>
        </w:rPr>
        <w:t>were pursued by governments to disincentivise and deter potential offenders</w:t>
      </w:r>
      <w:r w:rsidR="007C30F8">
        <w:rPr>
          <w:sz w:val="24"/>
          <w:szCs w:val="24"/>
        </w:rPr>
        <w:t xml:space="preserve">. Probation officers </w:t>
      </w:r>
      <w:r w:rsidR="004557E5">
        <w:rPr>
          <w:sz w:val="24"/>
          <w:szCs w:val="24"/>
        </w:rPr>
        <w:t xml:space="preserve">were directed by government to </w:t>
      </w:r>
      <w:r>
        <w:rPr>
          <w:sz w:val="24"/>
          <w:szCs w:val="24"/>
        </w:rPr>
        <w:t xml:space="preserve">‘manage’ </w:t>
      </w:r>
      <w:r w:rsidR="004557E5">
        <w:rPr>
          <w:sz w:val="24"/>
          <w:szCs w:val="24"/>
        </w:rPr>
        <w:t>offenders to reduce recidivism, whilst their rehabilitation and welfare role was downgraded</w:t>
      </w:r>
      <w:r w:rsidR="006A65CD">
        <w:rPr>
          <w:sz w:val="24"/>
          <w:szCs w:val="24"/>
        </w:rPr>
        <w:t>.</w:t>
      </w:r>
      <w:r w:rsidR="004557E5">
        <w:rPr>
          <w:rStyle w:val="FootnoteReference"/>
          <w:sz w:val="24"/>
          <w:szCs w:val="24"/>
        </w:rPr>
        <w:footnoteReference w:id="77"/>
      </w:r>
      <w:r w:rsidR="0085799A">
        <w:rPr>
          <w:sz w:val="24"/>
          <w:szCs w:val="24"/>
        </w:rPr>
        <w:t xml:space="preserve"> </w:t>
      </w:r>
      <w:r w:rsidR="0055294E">
        <w:rPr>
          <w:sz w:val="24"/>
          <w:szCs w:val="24"/>
        </w:rPr>
        <w:t xml:space="preserve">Successive neoliberal governments preferred </w:t>
      </w:r>
      <w:r w:rsidR="009419F0">
        <w:rPr>
          <w:sz w:val="24"/>
          <w:szCs w:val="24"/>
        </w:rPr>
        <w:t xml:space="preserve">the </w:t>
      </w:r>
      <w:r w:rsidR="004557E5">
        <w:rPr>
          <w:sz w:val="24"/>
          <w:szCs w:val="24"/>
        </w:rPr>
        <w:t xml:space="preserve">tough </w:t>
      </w:r>
      <w:r w:rsidR="009419F0">
        <w:rPr>
          <w:sz w:val="24"/>
          <w:szCs w:val="24"/>
        </w:rPr>
        <w:t xml:space="preserve">rhetoric of </w:t>
      </w:r>
      <w:r>
        <w:rPr>
          <w:sz w:val="24"/>
          <w:szCs w:val="24"/>
        </w:rPr>
        <w:t>‘law and order’</w:t>
      </w:r>
      <w:r w:rsidR="009419F0">
        <w:rPr>
          <w:sz w:val="24"/>
          <w:szCs w:val="24"/>
        </w:rPr>
        <w:t xml:space="preserve"> because </w:t>
      </w:r>
      <w:r w:rsidR="0055294E">
        <w:rPr>
          <w:sz w:val="24"/>
          <w:szCs w:val="24"/>
        </w:rPr>
        <w:t xml:space="preserve">‘penal populism’ </w:t>
      </w:r>
      <w:r w:rsidR="006A65CD">
        <w:rPr>
          <w:sz w:val="24"/>
          <w:szCs w:val="24"/>
        </w:rPr>
        <w:t>played well to the electorate</w:t>
      </w:r>
      <w:r w:rsidR="0055294E">
        <w:rPr>
          <w:sz w:val="24"/>
          <w:szCs w:val="24"/>
        </w:rPr>
        <w:t xml:space="preserve">. </w:t>
      </w:r>
    </w:p>
    <w:p w14:paraId="7B3A7F62" w14:textId="6EAC2216" w:rsidR="00692BBB" w:rsidRDefault="007C30F8" w:rsidP="00AF260E">
      <w:pPr>
        <w:spacing w:after="0" w:line="360" w:lineRule="auto"/>
        <w:ind w:firstLine="720"/>
        <w:rPr>
          <w:sz w:val="24"/>
          <w:szCs w:val="24"/>
        </w:rPr>
      </w:pPr>
      <w:r>
        <w:rPr>
          <w:sz w:val="24"/>
          <w:szCs w:val="24"/>
        </w:rPr>
        <w:t>As n</w:t>
      </w:r>
      <w:r w:rsidR="0055294E">
        <w:rPr>
          <w:sz w:val="24"/>
          <w:szCs w:val="24"/>
        </w:rPr>
        <w:t xml:space="preserve">eoliberals considered the post-war public sector as bloated and inefficient </w:t>
      </w:r>
      <w:r>
        <w:rPr>
          <w:sz w:val="24"/>
          <w:szCs w:val="24"/>
        </w:rPr>
        <w:t>they</w:t>
      </w:r>
      <w:r w:rsidR="0055294E">
        <w:rPr>
          <w:sz w:val="24"/>
          <w:szCs w:val="24"/>
        </w:rPr>
        <w:t xml:space="preserve"> a</w:t>
      </w:r>
      <w:r w:rsidR="00803E3E" w:rsidRPr="00803E3E">
        <w:rPr>
          <w:sz w:val="24"/>
          <w:szCs w:val="24"/>
        </w:rPr>
        <w:t>dvocate</w:t>
      </w:r>
      <w:r w:rsidR="0055294E">
        <w:rPr>
          <w:sz w:val="24"/>
          <w:szCs w:val="24"/>
        </w:rPr>
        <w:t>d the</w:t>
      </w:r>
      <w:r w:rsidR="00803E3E" w:rsidRPr="00803E3E">
        <w:rPr>
          <w:sz w:val="24"/>
          <w:szCs w:val="24"/>
        </w:rPr>
        <w:t xml:space="preserve"> roll</w:t>
      </w:r>
      <w:r w:rsidR="0055294E">
        <w:rPr>
          <w:sz w:val="24"/>
          <w:szCs w:val="24"/>
        </w:rPr>
        <w:t>ing</w:t>
      </w:r>
      <w:r w:rsidR="00803E3E" w:rsidRPr="00803E3E">
        <w:rPr>
          <w:sz w:val="24"/>
          <w:szCs w:val="24"/>
        </w:rPr>
        <w:t xml:space="preserve"> back of state control in relation to public services</w:t>
      </w:r>
      <w:r w:rsidR="0055294E">
        <w:rPr>
          <w:sz w:val="24"/>
          <w:szCs w:val="24"/>
        </w:rPr>
        <w:t xml:space="preserve">, preferring privatisation. Yet, where services remained under state control, they became </w:t>
      </w:r>
      <w:r w:rsidR="00803E3E" w:rsidRPr="00803E3E">
        <w:rPr>
          <w:sz w:val="24"/>
          <w:szCs w:val="24"/>
        </w:rPr>
        <w:t>heavily regulate</w:t>
      </w:r>
      <w:r w:rsidR="0055294E">
        <w:rPr>
          <w:sz w:val="24"/>
          <w:szCs w:val="24"/>
        </w:rPr>
        <w:t>d spaces where the ideas and practices of managerialism, together with its cost/ benefit analys</w:t>
      </w:r>
      <w:r>
        <w:rPr>
          <w:sz w:val="24"/>
          <w:szCs w:val="24"/>
        </w:rPr>
        <w:t>e</w:t>
      </w:r>
      <w:r w:rsidR="0055294E">
        <w:rPr>
          <w:sz w:val="24"/>
          <w:szCs w:val="24"/>
        </w:rPr>
        <w:t>s took hold</w:t>
      </w:r>
      <w:r w:rsidR="00803E3E" w:rsidRPr="00803E3E">
        <w:rPr>
          <w:sz w:val="24"/>
          <w:szCs w:val="24"/>
        </w:rPr>
        <w:t xml:space="preserve">. </w:t>
      </w:r>
      <w:r w:rsidR="0055294E">
        <w:rPr>
          <w:sz w:val="24"/>
          <w:szCs w:val="24"/>
        </w:rPr>
        <w:t xml:space="preserve">Already familiar to the private sector and competitive markets, </w:t>
      </w:r>
      <w:r w:rsidR="00CA6A91">
        <w:rPr>
          <w:sz w:val="24"/>
          <w:szCs w:val="24"/>
        </w:rPr>
        <w:t xml:space="preserve">the criminal justice system was </w:t>
      </w:r>
      <w:r>
        <w:rPr>
          <w:sz w:val="24"/>
          <w:szCs w:val="24"/>
        </w:rPr>
        <w:t xml:space="preserve">also </w:t>
      </w:r>
      <w:r w:rsidR="00CA6A91">
        <w:rPr>
          <w:sz w:val="24"/>
          <w:szCs w:val="24"/>
        </w:rPr>
        <w:t xml:space="preserve">encouraged to streamline procedures, reduce expenditure and measure it outcomes. </w:t>
      </w:r>
      <w:r w:rsidR="004C0D00">
        <w:rPr>
          <w:sz w:val="24"/>
          <w:szCs w:val="24"/>
        </w:rPr>
        <w:t>‘New Public Managerialism’, as managerialism become known in the public sector, strive</w:t>
      </w:r>
      <w:r>
        <w:rPr>
          <w:sz w:val="24"/>
          <w:szCs w:val="24"/>
        </w:rPr>
        <w:t>s</w:t>
      </w:r>
      <w:r w:rsidR="004C0D00">
        <w:rPr>
          <w:sz w:val="24"/>
          <w:szCs w:val="24"/>
        </w:rPr>
        <w:t xml:space="preserve"> for economy </w:t>
      </w:r>
      <w:r>
        <w:rPr>
          <w:sz w:val="24"/>
          <w:szCs w:val="24"/>
        </w:rPr>
        <w:t xml:space="preserve">in the criminal justice system </w:t>
      </w:r>
      <w:r w:rsidR="008C1CEC">
        <w:rPr>
          <w:sz w:val="24"/>
          <w:szCs w:val="24"/>
        </w:rPr>
        <w:t xml:space="preserve">through the efficient conclusion of cases. The practical dissemination of neoliberal approaches, markedly via New Public Managerial priorities, are present within the CPS </w:t>
      </w:r>
      <w:r w:rsidR="005F77A7">
        <w:rPr>
          <w:sz w:val="24"/>
          <w:szCs w:val="24"/>
        </w:rPr>
        <w:t xml:space="preserve">and </w:t>
      </w:r>
      <w:r w:rsidR="005F77A7">
        <w:rPr>
          <w:sz w:val="24"/>
          <w:szCs w:val="24"/>
        </w:rPr>
        <w:lastRenderedPageBreak/>
        <w:t xml:space="preserve">have implications for the delivery of </w:t>
      </w:r>
      <w:r w:rsidR="00922160">
        <w:rPr>
          <w:sz w:val="24"/>
          <w:szCs w:val="24"/>
        </w:rPr>
        <w:t xml:space="preserve">tenacious </w:t>
      </w:r>
      <w:r w:rsidR="005F77A7">
        <w:rPr>
          <w:sz w:val="24"/>
          <w:szCs w:val="24"/>
        </w:rPr>
        <w:t xml:space="preserve">domestic abuse prosecutions </w:t>
      </w:r>
      <w:r w:rsidR="008C1CEC">
        <w:rPr>
          <w:sz w:val="24"/>
          <w:szCs w:val="24"/>
        </w:rPr>
        <w:t>as I explore in Chapter Four.</w:t>
      </w:r>
    </w:p>
    <w:p w14:paraId="6E5F252C" w14:textId="240CBA0E" w:rsidR="007C30F8" w:rsidRDefault="00A64B1C" w:rsidP="007C30F8">
      <w:pPr>
        <w:spacing w:after="100" w:afterAutospacing="1" w:line="360" w:lineRule="auto"/>
        <w:ind w:firstLine="720"/>
        <w:rPr>
          <w:sz w:val="24"/>
          <w:szCs w:val="24"/>
        </w:rPr>
      </w:pPr>
      <w:r>
        <w:rPr>
          <w:sz w:val="24"/>
          <w:szCs w:val="24"/>
        </w:rPr>
        <w:t xml:space="preserve">Harvey </w:t>
      </w:r>
      <w:r w:rsidR="007C30F8">
        <w:rPr>
          <w:sz w:val="24"/>
          <w:szCs w:val="24"/>
        </w:rPr>
        <w:t xml:space="preserve">has </w:t>
      </w:r>
      <w:r>
        <w:rPr>
          <w:sz w:val="24"/>
          <w:szCs w:val="24"/>
        </w:rPr>
        <w:t>argue</w:t>
      </w:r>
      <w:r w:rsidR="007C30F8">
        <w:rPr>
          <w:sz w:val="24"/>
          <w:szCs w:val="24"/>
        </w:rPr>
        <w:t>d</w:t>
      </w:r>
      <w:r>
        <w:rPr>
          <w:sz w:val="24"/>
          <w:szCs w:val="24"/>
        </w:rPr>
        <w:t xml:space="preserve"> that any popular social movement that advances individual freedoms is liable to absorption by</w:t>
      </w:r>
      <w:r w:rsidRPr="009308B0">
        <w:rPr>
          <w:sz w:val="24"/>
          <w:szCs w:val="24"/>
        </w:rPr>
        <w:t xml:space="preserve"> neoliberal</w:t>
      </w:r>
      <w:r>
        <w:rPr>
          <w:sz w:val="24"/>
          <w:szCs w:val="24"/>
        </w:rPr>
        <w:t>ism</w:t>
      </w:r>
      <w:r>
        <w:t>.</w:t>
      </w:r>
      <w:r>
        <w:rPr>
          <w:rStyle w:val="FootnoteReference"/>
        </w:rPr>
        <w:footnoteReference w:id="78"/>
      </w:r>
      <w:r>
        <w:t xml:space="preserve"> </w:t>
      </w:r>
      <w:r w:rsidR="005F77A7">
        <w:rPr>
          <w:sz w:val="24"/>
          <w:szCs w:val="24"/>
        </w:rPr>
        <w:t>Neoliberalism’s apparent embrace</w:t>
      </w:r>
      <w:r>
        <w:rPr>
          <w:sz w:val="24"/>
          <w:szCs w:val="24"/>
        </w:rPr>
        <w:t xml:space="preserve"> of the V</w:t>
      </w:r>
      <w:r w:rsidR="002E66F5">
        <w:rPr>
          <w:sz w:val="24"/>
          <w:szCs w:val="24"/>
        </w:rPr>
        <w:t xml:space="preserve">iolence </w:t>
      </w:r>
      <w:r>
        <w:rPr>
          <w:sz w:val="24"/>
          <w:szCs w:val="24"/>
        </w:rPr>
        <w:t>A</w:t>
      </w:r>
      <w:r w:rsidR="002E66F5">
        <w:rPr>
          <w:sz w:val="24"/>
          <w:szCs w:val="24"/>
        </w:rPr>
        <w:t xml:space="preserve">gainst </w:t>
      </w:r>
      <w:r>
        <w:rPr>
          <w:sz w:val="24"/>
          <w:szCs w:val="24"/>
        </w:rPr>
        <w:t>W</w:t>
      </w:r>
      <w:r w:rsidR="002E66F5">
        <w:rPr>
          <w:sz w:val="24"/>
          <w:szCs w:val="24"/>
        </w:rPr>
        <w:t>omen</w:t>
      </w:r>
      <w:r>
        <w:rPr>
          <w:sz w:val="24"/>
          <w:szCs w:val="24"/>
        </w:rPr>
        <w:t xml:space="preserve"> movement is also typical of the way neoliberalism strategically navigates for retention of power, often irrespective of adherence to dogmatic neoliberal orthodoxy. Neoliberal governments gain political advantage through their </w:t>
      </w:r>
      <w:r w:rsidR="007C30F8">
        <w:rPr>
          <w:sz w:val="24"/>
          <w:szCs w:val="24"/>
        </w:rPr>
        <w:t xml:space="preserve">apparent </w:t>
      </w:r>
      <w:r>
        <w:rPr>
          <w:sz w:val="24"/>
          <w:szCs w:val="24"/>
        </w:rPr>
        <w:t>embrace of feminism; enabling them to effect penal toughness ‘in a benevolent feminist guise’.</w:t>
      </w:r>
      <w:r>
        <w:rPr>
          <w:rStyle w:val="FootnoteReference"/>
        </w:rPr>
        <w:footnoteReference w:id="79"/>
      </w:r>
      <w:r>
        <w:rPr>
          <w:sz w:val="24"/>
          <w:szCs w:val="24"/>
        </w:rPr>
        <w:t xml:space="preserve"> The feminist campaign concerning domestic abuse has therefore served the neoliberal evolution of criminal justice as an apparatus to manage </w:t>
      </w:r>
      <w:r w:rsidR="007C30F8">
        <w:rPr>
          <w:sz w:val="24"/>
          <w:szCs w:val="24"/>
        </w:rPr>
        <w:t xml:space="preserve">risk </w:t>
      </w:r>
      <w:r>
        <w:rPr>
          <w:sz w:val="24"/>
          <w:szCs w:val="24"/>
        </w:rPr>
        <w:t>and control offenders. I argue that feminist ideological concepts such as ‘patriarchal force’ have been swept up in and immersed by neoliberal punitive</w:t>
      </w:r>
      <w:r w:rsidR="007C30F8">
        <w:rPr>
          <w:sz w:val="24"/>
          <w:szCs w:val="24"/>
        </w:rPr>
        <w:t xml:space="preserve"> ambitions</w:t>
      </w:r>
      <w:r>
        <w:rPr>
          <w:sz w:val="24"/>
          <w:szCs w:val="24"/>
        </w:rPr>
        <w:t xml:space="preserve"> as they serve neoliberalism’s </w:t>
      </w:r>
      <w:r w:rsidR="00B06325">
        <w:rPr>
          <w:sz w:val="24"/>
          <w:szCs w:val="24"/>
        </w:rPr>
        <w:t>emphases</w:t>
      </w:r>
      <w:r>
        <w:rPr>
          <w:sz w:val="24"/>
          <w:szCs w:val="24"/>
        </w:rPr>
        <w:t xml:space="preserve"> of </w:t>
      </w:r>
      <w:proofErr w:type="spellStart"/>
      <w:r w:rsidR="00B06325">
        <w:rPr>
          <w:sz w:val="24"/>
          <w:szCs w:val="24"/>
        </w:rPr>
        <w:t>responsibilisation</w:t>
      </w:r>
      <w:proofErr w:type="spellEnd"/>
      <w:r w:rsidR="00B06325">
        <w:rPr>
          <w:sz w:val="24"/>
          <w:szCs w:val="24"/>
        </w:rPr>
        <w:t xml:space="preserve"> and risk management</w:t>
      </w:r>
      <w:r>
        <w:rPr>
          <w:sz w:val="24"/>
          <w:szCs w:val="24"/>
        </w:rPr>
        <w:t>.</w:t>
      </w:r>
      <w:r>
        <w:rPr>
          <w:rStyle w:val="FootnoteReference"/>
        </w:rPr>
        <w:footnoteReference w:id="80"/>
      </w:r>
      <w:bookmarkStart w:id="64" w:name="_Hlk517442327"/>
      <w:bookmarkStart w:id="65" w:name="Criminal"/>
    </w:p>
    <w:p w14:paraId="188F79FA" w14:textId="22569E2B" w:rsidR="0099245E" w:rsidRPr="007C30F8" w:rsidRDefault="00A64B1C" w:rsidP="007C30F8">
      <w:pPr>
        <w:pStyle w:val="ListParagraph"/>
        <w:numPr>
          <w:ilvl w:val="0"/>
          <w:numId w:val="40"/>
        </w:numPr>
        <w:spacing w:after="100" w:afterAutospacing="1" w:line="360" w:lineRule="auto"/>
        <w:rPr>
          <w:rFonts w:eastAsiaTheme="minorHAnsi"/>
          <w:sz w:val="24"/>
          <w:szCs w:val="24"/>
        </w:rPr>
      </w:pPr>
      <w:r w:rsidRPr="007C30F8">
        <w:rPr>
          <w:rFonts w:eastAsia="Times New Roman"/>
          <w:b/>
          <w:bCs/>
          <w:iCs/>
          <w:sz w:val="24"/>
          <w:szCs w:val="24"/>
          <w:lang w:eastAsia="en-GB"/>
        </w:rPr>
        <w:t>Criminal Versus Non</w:t>
      </w:r>
      <w:r w:rsidRPr="007C30F8">
        <w:rPr>
          <w:rFonts w:eastAsia="Times New Roman"/>
          <w:b/>
          <w:iCs/>
          <w:sz w:val="24"/>
          <w:szCs w:val="24"/>
          <w:lang w:eastAsia="en-GB"/>
        </w:rPr>
        <w:t>-Criminal Justice Responses</w:t>
      </w:r>
    </w:p>
    <w:p w14:paraId="7AC40CDC" w14:textId="68EAFF48" w:rsidR="00302740" w:rsidRPr="0099245E" w:rsidRDefault="00302740" w:rsidP="00302740">
      <w:pPr>
        <w:spacing w:after="0" w:line="360" w:lineRule="auto"/>
        <w:ind w:firstLine="720"/>
        <w:rPr>
          <w:rFonts w:eastAsia="Times New Roman"/>
          <w:b/>
          <w:iCs/>
          <w:sz w:val="24"/>
          <w:szCs w:val="24"/>
          <w:lang w:eastAsia="en-GB"/>
        </w:rPr>
      </w:pPr>
      <w:r>
        <w:rPr>
          <w:rFonts w:eastAsia="Times New Roman"/>
          <w:iCs/>
          <w:sz w:val="24"/>
          <w:szCs w:val="24"/>
          <w:lang w:eastAsia="en-GB"/>
        </w:rPr>
        <w:t>Feminists</w:t>
      </w:r>
      <w:r w:rsidR="009A6A6E">
        <w:rPr>
          <w:rFonts w:eastAsia="Times New Roman"/>
          <w:iCs/>
          <w:sz w:val="24"/>
          <w:szCs w:val="24"/>
          <w:lang w:eastAsia="en-GB"/>
        </w:rPr>
        <w:t xml:space="preserve"> endorsing</w:t>
      </w:r>
      <w:r w:rsidR="0099245E" w:rsidRPr="0099245E">
        <w:rPr>
          <w:rFonts w:eastAsia="Times New Roman"/>
          <w:iCs/>
          <w:sz w:val="24"/>
          <w:szCs w:val="24"/>
          <w:lang w:eastAsia="en-GB"/>
        </w:rPr>
        <w:t xml:space="preserve"> criminal justice involvement </w:t>
      </w:r>
      <w:r w:rsidR="00B06325">
        <w:rPr>
          <w:rFonts w:eastAsia="Times New Roman"/>
          <w:iCs/>
          <w:sz w:val="24"/>
          <w:szCs w:val="24"/>
          <w:lang w:eastAsia="en-GB"/>
        </w:rPr>
        <w:t>in</w:t>
      </w:r>
      <w:r w:rsidR="00A15DD6">
        <w:rPr>
          <w:rFonts w:eastAsia="Times New Roman"/>
          <w:iCs/>
          <w:sz w:val="24"/>
          <w:szCs w:val="24"/>
          <w:lang w:eastAsia="en-GB"/>
        </w:rPr>
        <w:t xml:space="preserve"> </w:t>
      </w:r>
      <w:r w:rsidR="0099245E">
        <w:rPr>
          <w:rFonts w:eastAsia="Times New Roman"/>
          <w:iCs/>
          <w:sz w:val="24"/>
          <w:szCs w:val="24"/>
          <w:lang w:eastAsia="en-GB"/>
        </w:rPr>
        <w:t>abusive intimate relationship</w:t>
      </w:r>
      <w:r w:rsidR="00A15DD6">
        <w:rPr>
          <w:rFonts w:eastAsia="Times New Roman"/>
          <w:iCs/>
          <w:sz w:val="24"/>
          <w:szCs w:val="24"/>
          <w:lang w:eastAsia="en-GB"/>
        </w:rPr>
        <w:t>s</w:t>
      </w:r>
      <w:r w:rsidR="0099245E">
        <w:rPr>
          <w:rFonts w:eastAsia="Times New Roman"/>
          <w:iCs/>
          <w:sz w:val="24"/>
          <w:szCs w:val="24"/>
          <w:lang w:eastAsia="en-GB"/>
        </w:rPr>
        <w:t xml:space="preserve"> </w:t>
      </w:r>
      <w:r w:rsidR="0099245E" w:rsidRPr="0099245E">
        <w:rPr>
          <w:rFonts w:eastAsia="Times New Roman"/>
          <w:iCs/>
          <w:sz w:val="24"/>
          <w:szCs w:val="24"/>
          <w:lang w:eastAsia="en-GB"/>
        </w:rPr>
        <w:t>recognise the value of criminal justice’s condemnatory power and legitimacy in seeking justice for victims.</w:t>
      </w:r>
      <w:r w:rsidR="0099245E" w:rsidRPr="00DF7CF9">
        <w:rPr>
          <w:rStyle w:val="FootnoteReference"/>
          <w:rFonts w:eastAsia="Times New Roman"/>
          <w:iCs/>
          <w:lang w:eastAsia="en-GB"/>
        </w:rPr>
        <w:footnoteReference w:id="81"/>
      </w:r>
      <w:r w:rsidR="0099245E" w:rsidRPr="0099245E">
        <w:rPr>
          <w:rFonts w:eastAsia="Times New Roman"/>
          <w:iCs/>
          <w:sz w:val="24"/>
          <w:szCs w:val="24"/>
          <w:lang w:eastAsia="en-GB"/>
        </w:rPr>
        <w:t xml:space="preserve"> When a perpetrator is convicted it means that a victim is believed and can represent an important milestone in her journey towards living abuse-free. </w:t>
      </w:r>
      <w:r w:rsidR="00922160">
        <w:rPr>
          <w:rFonts w:eastAsia="Times New Roman"/>
          <w:iCs/>
          <w:sz w:val="24"/>
          <w:szCs w:val="24"/>
          <w:lang w:eastAsia="en-GB"/>
        </w:rPr>
        <w:t>Habituated prosecutorial action and a</w:t>
      </w:r>
      <w:r w:rsidR="0099245E" w:rsidRPr="0099245E">
        <w:rPr>
          <w:rFonts w:eastAsia="Times New Roman"/>
          <w:iCs/>
          <w:sz w:val="24"/>
          <w:szCs w:val="24"/>
          <w:lang w:eastAsia="en-GB"/>
        </w:rPr>
        <w:t>chieving conviction</w:t>
      </w:r>
      <w:r w:rsidR="00922160">
        <w:rPr>
          <w:rFonts w:eastAsia="Times New Roman"/>
          <w:iCs/>
          <w:sz w:val="24"/>
          <w:szCs w:val="24"/>
          <w:lang w:eastAsia="en-GB"/>
        </w:rPr>
        <w:t xml:space="preserve">s </w:t>
      </w:r>
      <w:r w:rsidR="0099245E" w:rsidRPr="0099245E">
        <w:rPr>
          <w:rFonts w:eastAsia="Times New Roman"/>
          <w:iCs/>
          <w:sz w:val="24"/>
          <w:szCs w:val="24"/>
          <w:lang w:eastAsia="en-GB"/>
        </w:rPr>
        <w:t xml:space="preserve">also address a sense of historic inadequacy, sending the important message that violence against women is wrong. </w:t>
      </w:r>
      <w:r w:rsidR="0099245E">
        <w:rPr>
          <w:rFonts w:eastAsia="Times New Roman"/>
          <w:iCs/>
          <w:sz w:val="24"/>
          <w:szCs w:val="24"/>
          <w:lang w:eastAsia="en-GB"/>
        </w:rPr>
        <w:t>Liberal feminist</w:t>
      </w:r>
      <w:r w:rsidR="009A6A6E">
        <w:rPr>
          <w:rFonts w:eastAsia="Times New Roman"/>
          <w:iCs/>
          <w:sz w:val="24"/>
          <w:szCs w:val="24"/>
          <w:lang w:eastAsia="en-GB"/>
        </w:rPr>
        <w:t>,</w:t>
      </w:r>
      <w:r w:rsidR="0099245E">
        <w:rPr>
          <w:rFonts w:eastAsia="Times New Roman"/>
          <w:iCs/>
          <w:sz w:val="24"/>
          <w:szCs w:val="24"/>
          <w:lang w:eastAsia="en-GB"/>
        </w:rPr>
        <w:t xml:space="preserve"> Michelle </w:t>
      </w:r>
      <w:r w:rsidR="0099245E" w:rsidRPr="0099245E">
        <w:rPr>
          <w:rFonts w:eastAsia="Times New Roman"/>
          <w:iCs/>
          <w:sz w:val="24"/>
          <w:szCs w:val="24"/>
          <w:lang w:eastAsia="en-GB"/>
        </w:rPr>
        <w:t xml:space="preserve">Madden-Dempsey, for example, </w:t>
      </w:r>
      <w:r w:rsidR="00046F89">
        <w:rPr>
          <w:rFonts w:eastAsia="Times New Roman"/>
          <w:iCs/>
          <w:sz w:val="24"/>
          <w:szCs w:val="24"/>
          <w:lang w:eastAsia="en-GB"/>
        </w:rPr>
        <w:t xml:space="preserve">has </w:t>
      </w:r>
      <w:r w:rsidR="00D964D6">
        <w:rPr>
          <w:rFonts w:eastAsia="Times New Roman"/>
          <w:iCs/>
          <w:sz w:val="24"/>
          <w:szCs w:val="24"/>
          <w:lang w:eastAsia="en-GB"/>
        </w:rPr>
        <w:t>confidence</w:t>
      </w:r>
      <w:r w:rsidR="0099245E" w:rsidRPr="0099245E">
        <w:rPr>
          <w:rFonts w:eastAsia="Times New Roman"/>
          <w:iCs/>
          <w:sz w:val="24"/>
          <w:szCs w:val="24"/>
          <w:lang w:eastAsia="en-GB"/>
        </w:rPr>
        <w:t xml:space="preserve"> in the criminal justice system to create a gender-just and equal society and fends off critique that criminal justice is a ‘blunt instrument’.</w:t>
      </w:r>
      <w:r w:rsidR="0099245E">
        <w:rPr>
          <w:rStyle w:val="FootnoteReference"/>
          <w:rFonts w:eastAsia="Times New Roman"/>
          <w:iCs/>
          <w:lang w:eastAsia="en-GB"/>
        </w:rPr>
        <w:footnoteReference w:id="82"/>
      </w:r>
      <w:r w:rsidR="0099245E" w:rsidRPr="0099245E">
        <w:rPr>
          <w:rFonts w:eastAsia="Times New Roman"/>
          <w:iCs/>
          <w:sz w:val="24"/>
          <w:szCs w:val="24"/>
          <w:lang w:eastAsia="en-GB"/>
        </w:rPr>
        <w:t xml:space="preserve"> Her confidence in prosecutorial pursuit </w:t>
      </w:r>
      <w:r w:rsidR="00A15DD6">
        <w:rPr>
          <w:rFonts w:eastAsia="Times New Roman"/>
          <w:iCs/>
          <w:sz w:val="24"/>
          <w:szCs w:val="24"/>
          <w:lang w:eastAsia="en-GB"/>
        </w:rPr>
        <w:t>lies</w:t>
      </w:r>
      <w:r w:rsidR="00AB4979">
        <w:rPr>
          <w:rFonts w:eastAsia="Times New Roman"/>
          <w:iCs/>
          <w:sz w:val="24"/>
          <w:szCs w:val="24"/>
          <w:lang w:eastAsia="en-GB"/>
        </w:rPr>
        <w:t xml:space="preserve"> in her confidence</w:t>
      </w:r>
      <w:r w:rsidR="0099245E" w:rsidRPr="0099245E">
        <w:rPr>
          <w:rFonts w:eastAsia="Times New Roman"/>
          <w:iCs/>
          <w:sz w:val="24"/>
          <w:szCs w:val="24"/>
          <w:lang w:eastAsia="en-GB"/>
        </w:rPr>
        <w:t xml:space="preserve"> in the ability of legal rules to guide societal norms and conduct</w:t>
      </w:r>
      <w:r>
        <w:rPr>
          <w:rFonts w:eastAsia="Times New Roman"/>
          <w:iCs/>
          <w:sz w:val="24"/>
          <w:szCs w:val="24"/>
          <w:lang w:eastAsia="en-GB"/>
        </w:rPr>
        <w:t xml:space="preserve">, and she consequently </w:t>
      </w:r>
      <w:r w:rsidRPr="0099245E">
        <w:rPr>
          <w:rFonts w:eastAsia="Times New Roman"/>
          <w:iCs/>
          <w:sz w:val="24"/>
          <w:szCs w:val="24"/>
          <w:lang w:eastAsia="en-GB"/>
        </w:rPr>
        <w:t xml:space="preserve">urges us to treat </w:t>
      </w:r>
      <w:r w:rsidR="00046F89">
        <w:rPr>
          <w:rFonts w:eastAsia="Times New Roman"/>
          <w:iCs/>
          <w:sz w:val="24"/>
          <w:szCs w:val="24"/>
          <w:lang w:eastAsia="en-GB"/>
        </w:rPr>
        <w:lastRenderedPageBreak/>
        <w:t xml:space="preserve">committed </w:t>
      </w:r>
      <w:r w:rsidRPr="0099245E">
        <w:rPr>
          <w:rFonts w:eastAsia="Times New Roman"/>
          <w:iCs/>
          <w:sz w:val="24"/>
          <w:szCs w:val="24"/>
          <w:lang w:eastAsia="en-GB"/>
        </w:rPr>
        <w:t>criminal prosecution</w:t>
      </w:r>
      <w:r w:rsidR="00046F89">
        <w:rPr>
          <w:rFonts w:eastAsia="Times New Roman"/>
          <w:iCs/>
          <w:sz w:val="24"/>
          <w:szCs w:val="24"/>
          <w:lang w:eastAsia="en-GB"/>
        </w:rPr>
        <w:t>s</w:t>
      </w:r>
      <w:r w:rsidRPr="0099245E">
        <w:rPr>
          <w:rFonts w:eastAsia="Times New Roman"/>
          <w:iCs/>
          <w:sz w:val="24"/>
          <w:szCs w:val="24"/>
          <w:lang w:eastAsia="en-GB"/>
        </w:rPr>
        <w:t xml:space="preserve"> as a viable feminist project to end intimate partner abuse and, indeed, patriarchy generally.</w:t>
      </w:r>
      <w:r>
        <w:rPr>
          <w:rStyle w:val="FootnoteReference"/>
          <w:rFonts w:eastAsia="Times New Roman"/>
          <w:iCs/>
          <w:lang w:eastAsia="en-GB"/>
        </w:rPr>
        <w:footnoteReference w:id="83"/>
      </w:r>
      <w:r w:rsidRPr="0099245E">
        <w:rPr>
          <w:rFonts w:eastAsia="Times New Roman"/>
          <w:iCs/>
          <w:sz w:val="24"/>
          <w:szCs w:val="24"/>
          <w:lang w:eastAsia="en-GB"/>
        </w:rPr>
        <w:t xml:space="preserve"> </w:t>
      </w:r>
    </w:p>
    <w:p w14:paraId="6B6AF0F1" w14:textId="62D976F2" w:rsidR="00AE6A09" w:rsidRDefault="00302740" w:rsidP="00AE6A09">
      <w:pPr>
        <w:spacing w:after="0" w:line="360" w:lineRule="auto"/>
        <w:ind w:firstLine="720"/>
      </w:pPr>
      <w:r>
        <w:rPr>
          <w:rFonts w:eastAsia="Times New Roman"/>
          <w:iCs/>
          <w:sz w:val="24"/>
          <w:szCs w:val="24"/>
          <w:lang w:eastAsia="en-GB"/>
        </w:rPr>
        <w:t xml:space="preserve">By contrast, </w:t>
      </w:r>
      <w:r w:rsidR="00046F89">
        <w:rPr>
          <w:rFonts w:eastAsia="Times New Roman"/>
          <w:iCs/>
          <w:sz w:val="24"/>
          <w:szCs w:val="24"/>
          <w:lang w:eastAsia="en-GB"/>
        </w:rPr>
        <w:t>feminists</w:t>
      </w:r>
      <w:r w:rsidR="00AB4979">
        <w:rPr>
          <w:rFonts w:eastAsia="Times New Roman"/>
          <w:iCs/>
          <w:sz w:val="24"/>
          <w:szCs w:val="24"/>
          <w:lang w:eastAsia="en-GB"/>
        </w:rPr>
        <w:t xml:space="preserve"> such as Aya Gruber and Leigh </w:t>
      </w:r>
      <w:proofErr w:type="spellStart"/>
      <w:r w:rsidR="00AB4979">
        <w:rPr>
          <w:rFonts w:eastAsia="Times New Roman"/>
          <w:iCs/>
          <w:sz w:val="24"/>
          <w:szCs w:val="24"/>
          <w:lang w:eastAsia="en-GB"/>
        </w:rPr>
        <w:t>Goodmark</w:t>
      </w:r>
      <w:proofErr w:type="spellEnd"/>
      <w:r w:rsidR="00AB4979">
        <w:rPr>
          <w:rFonts w:eastAsia="Times New Roman"/>
          <w:iCs/>
          <w:sz w:val="24"/>
          <w:szCs w:val="24"/>
          <w:lang w:eastAsia="en-GB"/>
        </w:rPr>
        <w:t xml:space="preserve">, </w:t>
      </w:r>
      <w:r w:rsidR="00A15DD6">
        <w:rPr>
          <w:rFonts w:eastAsia="Times New Roman"/>
          <w:iCs/>
          <w:sz w:val="24"/>
          <w:szCs w:val="24"/>
          <w:lang w:eastAsia="en-GB"/>
        </w:rPr>
        <w:t>propose that preferring</w:t>
      </w:r>
      <w:r w:rsidR="00AE6A09">
        <w:rPr>
          <w:rFonts w:eastAsia="Times New Roman"/>
          <w:iCs/>
          <w:sz w:val="24"/>
          <w:szCs w:val="24"/>
          <w:lang w:eastAsia="en-GB"/>
        </w:rPr>
        <w:t xml:space="preserve"> a criminal justice response </w:t>
      </w:r>
      <w:r w:rsidR="00D964D6">
        <w:rPr>
          <w:rFonts w:eastAsia="Times New Roman"/>
          <w:iCs/>
          <w:sz w:val="24"/>
          <w:szCs w:val="24"/>
          <w:lang w:eastAsia="en-GB"/>
        </w:rPr>
        <w:t xml:space="preserve">to intimate partner abuse </w:t>
      </w:r>
      <w:r w:rsidR="00AE6A09" w:rsidRPr="00AE6A09">
        <w:rPr>
          <w:rFonts w:eastAsia="Times New Roman"/>
          <w:iCs/>
          <w:sz w:val="24"/>
          <w:szCs w:val="24"/>
          <w:lang w:eastAsia="en-GB"/>
        </w:rPr>
        <w:t>absolves the state from having to confront the underpinning structural arrangements that incubate the offending behaviour</w:t>
      </w:r>
      <w:r w:rsidR="00A15DD6">
        <w:rPr>
          <w:rFonts w:eastAsia="Times New Roman"/>
          <w:iCs/>
          <w:sz w:val="24"/>
          <w:szCs w:val="24"/>
          <w:lang w:eastAsia="en-GB"/>
        </w:rPr>
        <w:t>.</w:t>
      </w:r>
      <w:r w:rsidR="00AE6A09">
        <w:rPr>
          <w:rStyle w:val="FootnoteReference"/>
          <w:rFonts w:eastAsia="Times New Roman"/>
          <w:iCs/>
          <w:sz w:val="24"/>
          <w:szCs w:val="24"/>
          <w:lang w:eastAsia="en-GB"/>
        </w:rPr>
        <w:footnoteReference w:id="84"/>
      </w:r>
      <w:r w:rsidR="00AE6A09" w:rsidRPr="00AE6A09">
        <w:rPr>
          <w:rFonts w:eastAsia="Times New Roman"/>
          <w:iCs/>
          <w:sz w:val="24"/>
          <w:szCs w:val="24"/>
          <w:lang w:eastAsia="en-GB"/>
        </w:rPr>
        <w:t xml:space="preserve"> </w:t>
      </w:r>
      <w:r w:rsidR="00495E2F">
        <w:rPr>
          <w:rFonts w:eastAsia="Times New Roman"/>
          <w:iCs/>
          <w:sz w:val="24"/>
          <w:szCs w:val="24"/>
          <w:lang w:eastAsia="en-GB"/>
        </w:rPr>
        <w:t xml:space="preserve">If </w:t>
      </w:r>
      <w:r w:rsidR="00A15DD6">
        <w:rPr>
          <w:rFonts w:eastAsia="Times New Roman"/>
          <w:iCs/>
          <w:sz w:val="24"/>
          <w:szCs w:val="24"/>
          <w:lang w:eastAsia="en-GB"/>
        </w:rPr>
        <w:t xml:space="preserve">criminalisation </w:t>
      </w:r>
      <w:r w:rsidR="00495E2F">
        <w:rPr>
          <w:rFonts w:eastAsia="Times New Roman"/>
          <w:iCs/>
          <w:sz w:val="24"/>
          <w:szCs w:val="24"/>
          <w:lang w:eastAsia="en-GB"/>
        </w:rPr>
        <w:t>i</w:t>
      </w:r>
      <w:r w:rsidR="00A15DD6">
        <w:rPr>
          <w:rFonts w:eastAsia="Times New Roman"/>
          <w:iCs/>
          <w:sz w:val="24"/>
          <w:szCs w:val="24"/>
          <w:lang w:eastAsia="en-GB"/>
        </w:rPr>
        <w:t>s the primary state reaction</w:t>
      </w:r>
      <w:r w:rsidR="00B06325">
        <w:rPr>
          <w:rFonts w:eastAsia="Times New Roman"/>
          <w:iCs/>
          <w:sz w:val="24"/>
          <w:szCs w:val="24"/>
          <w:lang w:eastAsia="en-GB"/>
        </w:rPr>
        <w:t xml:space="preserve"> to domestic abuse</w:t>
      </w:r>
      <w:r w:rsidR="00495E2F">
        <w:rPr>
          <w:rFonts w:eastAsia="Times New Roman"/>
          <w:iCs/>
          <w:sz w:val="24"/>
          <w:szCs w:val="24"/>
          <w:lang w:eastAsia="en-GB"/>
        </w:rPr>
        <w:t xml:space="preserve">, they argue that already marginalised women are </w:t>
      </w:r>
      <w:r w:rsidR="00AE6A09" w:rsidRPr="00AE6A09">
        <w:rPr>
          <w:rFonts w:eastAsia="Times New Roman"/>
          <w:iCs/>
          <w:sz w:val="24"/>
          <w:szCs w:val="24"/>
          <w:lang w:eastAsia="en-GB"/>
        </w:rPr>
        <w:t xml:space="preserve">disproportionately and negatively </w:t>
      </w:r>
      <w:r w:rsidR="00495E2F">
        <w:rPr>
          <w:rFonts w:eastAsia="Times New Roman"/>
          <w:iCs/>
          <w:sz w:val="24"/>
          <w:szCs w:val="24"/>
          <w:lang w:eastAsia="en-GB"/>
        </w:rPr>
        <w:t>affected</w:t>
      </w:r>
      <w:r w:rsidR="00AE6A09" w:rsidRPr="00AE6A09">
        <w:rPr>
          <w:rFonts w:eastAsia="Times New Roman"/>
          <w:iCs/>
          <w:sz w:val="24"/>
          <w:szCs w:val="24"/>
          <w:lang w:eastAsia="en-GB"/>
        </w:rPr>
        <w:t xml:space="preserve"> (</w:t>
      </w:r>
      <w:r w:rsidR="00922160">
        <w:rPr>
          <w:rFonts w:eastAsia="Times New Roman"/>
          <w:iCs/>
          <w:sz w:val="24"/>
          <w:szCs w:val="24"/>
          <w:lang w:eastAsia="en-GB"/>
        </w:rPr>
        <w:t xml:space="preserve">immigrants and </w:t>
      </w:r>
      <w:r w:rsidR="00AE6A09" w:rsidRPr="00AE6A09">
        <w:rPr>
          <w:rFonts w:eastAsia="Times New Roman"/>
          <w:iCs/>
          <w:sz w:val="24"/>
          <w:szCs w:val="24"/>
          <w:lang w:eastAsia="en-GB"/>
        </w:rPr>
        <w:t xml:space="preserve">‘women of </w:t>
      </w:r>
      <w:proofErr w:type="spellStart"/>
      <w:r w:rsidR="00AE6A09" w:rsidRPr="00AE6A09">
        <w:rPr>
          <w:rFonts w:eastAsia="Times New Roman"/>
          <w:iCs/>
          <w:sz w:val="24"/>
          <w:szCs w:val="24"/>
          <w:lang w:eastAsia="en-GB"/>
        </w:rPr>
        <w:t>color</w:t>
      </w:r>
      <w:proofErr w:type="spellEnd"/>
      <w:r w:rsidR="00AE6A09" w:rsidRPr="00AE6A09">
        <w:rPr>
          <w:rFonts w:eastAsia="Times New Roman"/>
          <w:iCs/>
          <w:sz w:val="24"/>
          <w:szCs w:val="24"/>
          <w:lang w:eastAsia="en-GB"/>
        </w:rPr>
        <w:t>’, for example, are less likely to voluntarily engage the criminal justice system)</w:t>
      </w:r>
      <w:r w:rsidR="008450FD">
        <w:rPr>
          <w:rFonts w:eastAsia="Times New Roman"/>
          <w:iCs/>
          <w:sz w:val="24"/>
          <w:szCs w:val="24"/>
          <w:lang w:eastAsia="en-GB"/>
        </w:rPr>
        <w:t>. C</w:t>
      </w:r>
      <w:r w:rsidR="00AE6A09" w:rsidRPr="00AE6A09">
        <w:rPr>
          <w:rFonts w:eastAsia="Times New Roman"/>
          <w:iCs/>
          <w:sz w:val="24"/>
          <w:szCs w:val="24"/>
          <w:lang w:eastAsia="en-GB"/>
        </w:rPr>
        <w:t>riminal</w:t>
      </w:r>
      <w:r w:rsidR="008450FD">
        <w:rPr>
          <w:rFonts w:eastAsia="Times New Roman"/>
          <w:iCs/>
          <w:sz w:val="24"/>
          <w:szCs w:val="24"/>
          <w:lang w:eastAsia="en-GB"/>
        </w:rPr>
        <w:t>is</w:t>
      </w:r>
      <w:r w:rsidR="00AE6A09" w:rsidRPr="00AE6A09">
        <w:rPr>
          <w:rFonts w:eastAsia="Times New Roman"/>
          <w:iCs/>
          <w:sz w:val="24"/>
          <w:szCs w:val="24"/>
          <w:lang w:eastAsia="en-GB"/>
        </w:rPr>
        <w:t xml:space="preserve">ation does little to prevent domestic violence </w:t>
      </w:r>
      <w:r w:rsidR="008450FD">
        <w:rPr>
          <w:rFonts w:eastAsia="Times New Roman"/>
          <w:iCs/>
          <w:sz w:val="24"/>
          <w:szCs w:val="24"/>
          <w:lang w:eastAsia="en-GB"/>
        </w:rPr>
        <w:t>and, despite its</w:t>
      </w:r>
      <w:r w:rsidR="00AE6A09" w:rsidRPr="00AE6A09">
        <w:rPr>
          <w:rFonts w:eastAsia="Times New Roman"/>
          <w:iCs/>
          <w:sz w:val="24"/>
          <w:szCs w:val="24"/>
          <w:lang w:eastAsia="en-GB"/>
        </w:rPr>
        <w:t xml:space="preserve"> huge costs</w:t>
      </w:r>
      <w:r w:rsidR="008450FD">
        <w:rPr>
          <w:rFonts w:eastAsia="Times New Roman"/>
          <w:iCs/>
          <w:sz w:val="24"/>
          <w:szCs w:val="24"/>
          <w:lang w:eastAsia="en-GB"/>
        </w:rPr>
        <w:t>, it</w:t>
      </w:r>
      <w:r w:rsidR="00AE6A09" w:rsidRPr="00AE6A09">
        <w:rPr>
          <w:rFonts w:eastAsia="Times New Roman"/>
          <w:iCs/>
          <w:sz w:val="24"/>
          <w:szCs w:val="24"/>
          <w:lang w:eastAsia="en-GB"/>
        </w:rPr>
        <w:t xml:space="preserve"> afford</w:t>
      </w:r>
      <w:r w:rsidR="008450FD">
        <w:rPr>
          <w:rFonts w:eastAsia="Times New Roman"/>
          <w:iCs/>
          <w:sz w:val="24"/>
          <w:szCs w:val="24"/>
          <w:lang w:eastAsia="en-GB"/>
        </w:rPr>
        <w:t>s</w:t>
      </w:r>
      <w:r w:rsidR="00AE6A09" w:rsidRPr="00AE6A09">
        <w:rPr>
          <w:rFonts w:eastAsia="Times New Roman"/>
          <w:iCs/>
          <w:sz w:val="24"/>
          <w:szCs w:val="24"/>
          <w:lang w:eastAsia="en-GB"/>
        </w:rPr>
        <w:t xml:space="preserve"> little protection to the intended beneficiaries. </w:t>
      </w:r>
      <w:r w:rsidR="00495E2F">
        <w:rPr>
          <w:rFonts w:eastAsia="Times New Roman"/>
          <w:iCs/>
          <w:sz w:val="24"/>
          <w:szCs w:val="24"/>
          <w:lang w:eastAsia="en-GB"/>
        </w:rPr>
        <w:t>Moreover, i</w:t>
      </w:r>
      <w:r w:rsidR="00AE6A09" w:rsidRPr="00AE6A09">
        <w:rPr>
          <w:rFonts w:eastAsia="Times New Roman"/>
          <w:iCs/>
          <w:sz w:val="24"/>
          <w:szCs w:val="24"/>
          <w:lang w:eastAsia="en-GB"/>
        </w:rPr>
        <w:t>n making criminali</w:t>
      </w:r>
      <w:r w:rsidR="008450FD">
        <w:rPr>
          <w:rFonts w:eastAsia="Times New Roman"/>
          <w:iCs/>
          <w:sz w:val="24"/>
          <w:szCs w:val="24"/>
          <w:lang w:eastAsia="en-GB"/>
        </w:rPr>
        <w:t>s</w:t>
      </w:r>
      <w:r w:rsidR="00AE6A09" w:rsidRPr="00AE6A09">
        <w:rPr>
          <w:rFonts w:eastAsia="Times New Roman"/>
          <w:iCs/>
          <w:sz w:val="24"/>
          <w:szCs w:val="24"/>
          <w:lang w:eastAsia="en-GB"/>
        </w:rPr>
        <w:t xml:space="preserve">ation the default response, alternatives </w:t>
      </w:r>
      <w:r w:rsidR="00AE6A09">
        <w:rPr>
          <w:rFonts w:eastAsia="Times New Roman"/>
          <w:iCs/>
          <w:sz w:val="24"/>
          <w:szCs w:val="24"/>
          <w:lang w:eastAsia="en-GB"/>
        </w:rPr>
        <w:t xml:space="preserve">to it </w:t>
      </w:r>
      <w:r w:rsidR="00AE6A09" w:rsidRPr="00AE6A09">
        <w:rPr>
          <w:rFonts w:eastAsia="Times New Roman"/>
          <w:iCs/>
          <w:sz w:val="24"/>
          <w:szCs w:val="24"/>
          <w:lang w:eastAsia="en-GB"/>
        </w:rPr>
        <w:t xml:space="preserve">remain underdeveloped. </w:t>
      </w:r>
      <w:bookmarkEnd w:id="64"/>
      <w:bookmarkEnd w:id="65"/>
    </w:p>
    <w:p w14:paraId="1580C55A" w14:textId="470956A1" w:rsidR="00A15DD6" w:rsidRDefault="008450FD" w:rsidP="00A15DD6">
      <w:pPr>
        <w:spacing w:after="0" w:line="360" w:lineRule="auto"/>
        <w:ind w:firstLine="720"/>
        <w:rPr>
          <w:rFonts w:eastAsia="Times New Roman"/>
          <w:iCs/>
          <w:sz w:val="24"/>
          <w:szCs w:val="24"/>
          <w:lang w:eastAsia="en-GB"/>
        </w:rPr>
      </w:pPr>
      <w:r>
        <w:rPr>
          <w:rFonts w:eastAsia="Times New Roman"/>
          <w:iCs/>
          <w:sz w:val="24"/>
          <w:szCs w:val="24"/>
          <w:lang w:eastAsia="en-GB"/>
        </w:rPr>
        <w:t>The alternative to having total faith in</w:t>
      </w:r>
      <w:r w:rsidRPr="00DF7CF9">
        <w:rPr>
          <w:rFonts w:eastAsia="Times New Roman"/>
          <w:iCs/>
          <w:sz w:val="24"/>
          <w:szCs w:val="24"/>
          <w:lang w:eastAsia="en-GB"/>
        </w:rPr>
        <w:t xml:space="preserve"> </w:t>
      </w:r>
      <w:r>
        <w:rPr>
          <w:rFonts w:eastAsia="Times New Roman"/>
          <w:iCs/>
          <w:sz w:val="24"/>
          <w:szCs w:val="24"/>
          <w:lang w:eastAsia="en-GB"/>
        </w:rPr>
        <w:t xml:space="preserve">a criminal justice response on the one hand or pushing for decriminalisation of intimate partner abuse is the ‘survivor defined’ approach which sits in </w:t>
      </w:r>
      <w:r w:rsidR="00A64B1C" w:rsidRPr="00DF7CF9">
        <w:rPr>
          <w:rFonts w:eastAsia="Times New Roman"/>
          <w:iCs/>
          <w:sz w:val="24"/>
          <w:szCs w:val="24"/>
          <w:lang w:eastAsia="en-GB"/>
        </w:rPr>
        <w:t xml:space="preserve">Elizabeth Schneider’s </w:t>
      </w:r>
      <w:r w:rsidR="00046F89">
        <w:rPr>
          <w:rFonts w:eastAsia="Times New Roman"/>
          <w:iCs/>
          <w:sz w:val="24"/>
          <w:szCs w:val="24"/>
          <w:lang w:eastAsia="en-GB"/>
        </w:rPr>
        <w:t xml:space="preserve">so-called </w:t>
      </w:r>
      <w:r w:rsidR="00A64B1C" w:rsidRPr="00DF7CF9">
        <w:rPr>
          <w:rFonts w:eastAsia="Times New Roman"/>
          <w:iCs/>
          <w:sz w:val="24"/>
          <w:szCs w:val="24"/>
          <w:lang w:eastAsia="en-GB"/>
        </w:rPr>
        <w:t>‘murky middle ground’.</w:t>
      </w:r>
      <w:r w:rsidR="00A64B1C" w:rsidRPr="00DF7CF9">
        <w:rPr>
          <w:rStyle w:val="FootnoteReference"/>
          <w:rFonts w:eastAsia="Times New Roman"/>
          <w:iCs/>
          <w:lang w:eastAsia="en-GB"/>
        </w:rPr>
        <w:footnoteReference w:id="85"/>
      </w:r>
      <w:r w:rsidR="00A64B1C" w:rsidRPr="00DF7CF9">
        <w:rPr>
          <w:rFonts w:eastAsia="Times New Roman"/>
          <w:iCs/>
          <w:sz w:val="24"/>
          <w:szCs w:val="24"/>
          <w:lang w:eastAsia="en-GB"/>
        </w:rPr>
        <w:t xml:space="preserve"> </w:t>
      </w:r>
      <w:r w:rsidR="007A2215">
        <w:rPr>
          <w:rFonts w:eastAsia="Times New Roman"/>
          <w:iCs/>
          <w:sz w:val="24"/>
          <w:szCs w:val="24"/>
          <w:lang w:eastAsia="en-GB"/>
        </w:rPr>
        <w:t>Just as</w:t>
      </w:r>
      <w:r w:rsidR="00A64B1C">
        <w:rPr>
          <w:rFonts w:eastAsia="Times New Roman"/>
          <w:iCs/>
          <w:sz w:val="24"/>
          <w:szCs w:val="24"/>
          <w:lang w:eastAsia="en-GB"/>
        </w:rPr>
        <w:t xml:space="preserve"> this project, Schneider’s ‘feminist law-making’ project</w:t>
      </w:r>
      <w:r w:rsidR="006A37A2">
        <w:rPr>
          <w:rFonts w:eastAsia="Times New Roman"/>
          <w:iCs/>
          <w:sz w:val="24"/>
          <w:szCs w:val="24"/>
          <w:lang w:eastAsia="en-GB"/>
        </w:rPr>
        <w:t xml:space="preserve"> </w:t>
      </w:r>
      <w:r w:rsidR="00A64B1C">
        <w:rPr>
          <w:rFonts w:eastAsia="Times New Roman"/>
          <w:iCs/>
          <w:sz w:val="24"/>
          <w:szCs w:val="24"/>
          <w:lang w:eastAsia="en-GB"/>
        </w:rPr>
        <w:t>interrogate</w:t>
      </w:r>
      <w:r w:rsidR="003611A4">
        <w:rPr>
          <w:rFonts w:eastAsia="Times New Roman"/>
          <w:iCs/>
          <w:sz w:val="24"/>
          <w:szCs w:val="24"/>
          <w:lang w:eastAsia="en-GB"/>
        </w:rPr>
        <w:t>s</w:t>
      </w:r>
      <w:r w:rsidR="00A64B1C">
        <w:rPr>
          <w:rFonts w:eastAsia="Times New Roman"/>
          <w:iCs/>
          <w:sz w:val="24"/>
          <w:szCs w:val="24"/>
          <w:lang w:eastAsia="en-GB"/>
        </w:rPr>
        <w:t xml:space="preserve"> the widely assumed benefit of a criminal justice response. Whilst acknowledging that criminalisation is likely to be an appropriate strategy in </w:t>
      </w:r>
      <w:r w:rsidR="00046F89">
        <w:rPr>
          <w:rFonts w:eastAsia="Times New Roman"/>
          <w:iCs/>
          <w:sz w:val="24"/>
          <w:szCs w:val="24"/>
          <w:lang w:eastAsia="en-GB"/>
        </w:rPr>
        <w:t>many</w:t>
      </w:r>
      <w:r w:rsidR="00A64B1C">
        <w:rPr>
          <w:rFonts w:eastAsia="Times New Roman"/>
          <w:iCs/>
          <w:sz w:val="24"/>
          <w:szCs w:val="24"/>
          <w:lang w:eastAsia="en-GB"/>
        </w:rPr>
        <w:t xml:space="preserve"> contexts, ‘it is only one of many strategies we ought to be considering’.</w:t>
      </w:r>
      <w:r w:rsidR="00A64B1C">
        <w:rPr>
          <w:rStyle w:val="FootnoteReference"/>
          <w:rFonts w:eastAsia="Times New Roman"/>
          <w:iCs/>
          <w:lang w:eastAsia="en-GB"/>
        </w:rPr>
        <w:footnoteReference w:id="86"/>
      </w:r>
      <w:r w:rsidR="00A64B1C">
        <w:rPr>
          <w:rFonts w:eastAsia="Times New Roman"/>
          <w:iCs/>
          <w:sz w:val="24"/>
          <w:szCs w:val="24"/>
          <w:lang w:eastAsia="en-GB"/>
        </w:rPr>
        <w:t xml:space="preserve"> I share </w:t>
      </w:r>
      <w:r w:rsidR="001C2944">
        <w:rPr>
          <w:rFonts w:eastAsia="Times New Roman"/>
          <w:iCs/>
          <w:sz w:val="24"/>
          <w:szCs w:val="24"/>
          <w:lang w:eastAsia="en-GB"/>
        </w:rPr>
        <w:t>this</w:t>
      </w:r>
      <w:r w:rsidR="00A64B1C">
        <w:rPr>
          <w:rFonts w:eastAsia="Times New Roman"/>
          <w:iCs/>
          <w:sz w:val="24"/>
          <w:szCs w:val="24"/>
          <w:lang w:eastAsia="en-GB"/>
        </w:rPr>
        <w:t xml:space="preserve"> reticence in over-relying on criminalisation. </w:t>
      </w:r>
      <w:r w:rsidR="007A2215">
        <w:rPr>
          <w:rFonts w:eastAsia="Times New Roman"/>
          <w:iCs/>
          <w:sz w:val="24"/>
          <w:szCs w:val="24"/>
          <w:lang w:eastAsia="en-GB"/>
        </w:rPr>
        <w:t>U</w:t>
      </w:r>
      <w:r w:rsidR="00A64B1C">
        <w:rPr>
          <w:rFonts w:eastAsia="Times New Roman"/>
          <w:iCs/>
          <w:sz w:val="24"/>
          <w:szCs w:val="24"/>
          <w:lang w:eastAsia="en-GB"/>
        </w:rPr>
        <w:t xml:space="preserve">ntil we know the real effect of current practices that emphasise criminal responsiveness, </w:t>
      </w:r>
      <w:r w:rsidR="00E71A4D">
        <w:rPr>
          <w:rFonts w:eastAsia="Times New Roman"/>
          <w:iCs/>
          <w:sz w:val="24"/>
          <w:szCs w:val="24"/>
          <w:lang w:eastAsia="en-GB"/>
        </w:rPr>
        <w:t xml:space="preserve">or until effectively functioning alternatives are developed, </w:t>
      </w:r>
      <w:r w:rsidR="00A64B1C">
        <w:rPr>
          <w:rFonts w:eastAsia="Times New Roman"/>
          <w:iCs/>
          <w:sz w:val="24"/>
          <w:szCs w:val="24"/>
          <w:lang w:eastAsia="en-GB"/>
        </w:rPr>
        <w:t xml:space="preserve">there is value in </w:t>
      </w:r>
      <w:r w:rsidR="00A64B1C" w:rsidRPr="00DF7CF9">
        <w:rPr>
          <w:rFonts w:eastAsia="Times New Roman"/>
          <w:iCs/>
          <w:sz w:val="24"/>
          <w:szCs w:val="24"/>
          <w:lang w:eastAsia="en-GB"/>
        </w:rPr>
        <w:t>draw</w:t>
      </w:r>
      <w:r w:rsidR="00A64B1C">
        <w:rPr>
          <w:rFonts w:eastAsia="Times New Roman"/>
          <w:iCs/>
          <w:sz w:val="24"/>
          <w:szCs w:val="24"/>
          <w:lang w:eastAsia="en-GB"/>
        </w:rPr>
        <w:t xml:space="preserve">ing </w:t>
      </w:r>
      <w:r w:rsidR="00A64B1C" w:rsidRPr="00DF7CF9">
        <w:rPr>
          <w:rFonts w:eastAsia="Times New Roman"/>
          <w:iCs/>
          <w:sz w:val="24"/>
          <w:szCs w:val="24"/>
          <w:lang w:eastAsia="en-GB"/>
        </w:rPr>
        <w:t xml:space="preserve">attention </w:t>
      </w:r>
      <w:r w:rsidR="00A64B1C">
        <w:rPr>
          <w:rFonts w:eastAsia="Times New Roman"/>
          <w:iCs/>
          <w:sz w:val="24"/>
          <w:szCs w:val="24"/>
          <w:lang w:eastAsia="en-GB"/>
        </w:rPr>
        <w:t xml:space="preserve">to </w:t>
      </w:r>
      <w:r w:rsidR="00A64B1C" w:rsidRPr="00DF7CF9">
        <w:rPr>
          <w:rFonts w:eastAsia="Times New Roman"/>
          <w:iCs/>
          <w:sz w:val="24"/>
          <w:szCs w:val="24"/>
          <w:lang w:eastAsia="en-GB"/>
        </w:rPr>
        <w:t xml:space="preserve">the pitfalls of engaging the </w:t>
      </w:r>
      <w:r w:rsidR="00A64B1C">
        <w:rPr>
          <w:rFonts w:eastAsia="Times New Roman"/>
          <w:iCs/>
          <w:sz w:val="24"/>
          <w:szCs w:val="24"/>
          <w:lang w:eastAsia="en-GB"/>
        </w:rPr>
        <w:t>penal s</w:t>
      </w:r>
      <w:r w:rsidR="00A64B1C" w:rsidRPr="00DF7CF9">
        <w:rPr>
          <w:rFonts w:eastAsia="Times New Roman"/>
          <w:iCs/>
          <w:sz w:val="24"/>
          <w:szCs w:val="24"/>
          <w:lang w:eastAsia="en-GB"/>
        </w:rPr>
        <w:t>tate</w:t>
      </w:r>
      <w:r w:rsidR="00A64B1C">
        <w:rPr>
          <w:rFonts w:eastAsia="Times New Roman"/>
          <w:iCs/>
          <w:sz w:val="24"/>
          <w:szCs w:val="24"/>
          <w:lang w:eastAsia="en-GB"/>
        </w:rPr>
        <w:t>, acknowledging its limitations</w:t>
      </w:r>
      <w:r w:rsidR="007E5AE1">
        <w:rPr>
          <w:rFonts w:eastAsia="Times New Roman"/>
          <w:iCs/>
          <w:sz w:val="24"/>
          <w:szCs w:val="24"/>
          <w:lang w:eastAsia="en-GB"/>
        </w:rPr>
        <w:t>, proposing ameliorations to the system</w:t>
      </w:r>
      <w:r w:rsidR="00A64B1C">
        <w:rPr>
          <w:rFonts w:eastAsia="Times New Roman"/>
          <w:iCs/>
          <w:sz w:val="24"/>
          <w:szCs w:val="24"/>
          <w:lang w:eastAsia="en-GB"/>
        </w:rPr>
        <w:t xml:space="preserve"> and </w:t>
      </w:r>
      <w:r w:rsidR="007E5AE1">
        <w:rPr>
          <w:rFonts w:eastAsia="Times New Roman"/>
          <w:iCs/>
          <w:sz w:val="24"/>
          <w:szCs w:val="24"/>
          <w:lang w:eastAsia="en-GB"/>
        </w:rPr>
        <w:t xml:space="preserve">flagging up </w:t>
      </w:r>
      <w:r w:rsidR="00A64B1C">
        <w:rPr>
          <w:rFonts w:eastAsia="Times New Roman"/>
          <w:iCs/>
          <w:sz w:val="24"/>
          <w:szCs w:val="24"/>
          <w:lang w:eastAsia="en-GB"/>
        </w:rPr>
        <w:t>the opportunities that may be lost by treating the social problem of domestic abuse primarily as crime</w:t>
      </w:r>
      <w:r w:rsidR="00A64B1C" w:rsidRPr="00DF7CF9">
        <w:rPr>
          <w:rFonts w:eastAsia="Times New Roman"/>
          <w:iCs/>
          <w:sz w:val="24"/>
          <w:szCs w:val="24"/>
          <w:lang w:eastAsia="en-GB"/>
        </w:rPr>
        <w:t>.</w:t>
      </w:r>
    </w:p>
    <w:p w14:paraId="06C0F547" w14:textId="6C5793D5" w:rsidR="001A0B17" w:rsidRDefault="002A0652" w:rsidP="00046F89">
      <w:pPr>
        <w:spacing w:after="0" w:line="360" w:lineRule="auto"/>
        <w:ind w:firstLine="720"/>
        <w:rPr>
          <w:rFonts w:eastAsia="Times New Roman"/>
          <w:iCs/>
          <w:sz w:val="24"/>
          <w:szCs w:val="24"/>
          <w:lang w:eastAsia="en-GB"/>
        </w:rPr>
      </w:pPr>
      <w:r w:rsidRPr="001A301C">
        <w:rPr>
          <w:rFonts w:eastAsia="Times New Roman"/>
          <w:iCs/>
          <w:sz w:val="24"/>
          <w:szCs w:val="24"/>
          <w:lang w:eastAsia="en-GB"/>
        </w:rPr>
        <w:t xml:space="preserve">Writing some thirty years ago, Carol Smart urged feminists </w:t>
      </w:r>
      <w:r w:rsidR="00EF2B5D">
        <w:rPr>
          <w:rFonts w:eastAsia="Times New Roman"/>
          <w:iCs/>
          <w:sz w:val="24"/>
          <w:szCs w:val="24"/>
          <w:lang w:eastAsia="en-GB"/>
        </w:rPr>
        <w:t xml:space="preserve">not to go to law as if it were a panacea and </w:t>
      </w:r>
      <w:r w:rsidR="00242E17">
        <w:rPr>
          <w:rFonts w:eastAsia="Times New Roman"/>
          <w:iCs/>
          <w:sz w:val="24"/>
          <w:szCs w:val="24"/>
          <w:lang w:eastAsia="en-GB"/>
        </w:rPr>
        <w:t xml:space="preserve">instead </w:t>
      </w:r>
      <w:r w:rsidR="00EF2B5D">
        <w:rPr>
          <w:rFonts w:eastAsia="Times New Roman"/>
          <w:iCs/>
          <w:sz w:val="24"/>
          <w:szCs w:val="24"/>
          <w:lang w:eastAsia="en-GB"/>
        </w:rPr>
        <w:t>to de-centre law</w:t>
      </w:r>
      <w:r w:rsidR="001F0B7F" w:rsidRPr="001A301C">
        <w:rPr>
          <w:rFonts w:eastAsia="Times New Roman"/>
          <w:iCs/>
          <w:sz w:val="24"/>
          <w:szCs w:val="24"/>
          <w:lang w:eastAsia="en-GB"/>
        </w:rPr>
        <w:t xml:space="preserve"> as </w:t>
      </w:r>
      <w:r w:rsidR="001F0B7F" w:rsidRPr="00384667">
        <w:rPr>
          <w:rFonts w:eastAsia="Times New Roman"/>
          <w:i/>
          <w:sz w:val="24"/>
          <w:szCs w:val="24"/>
          <w:lang w:eastAsia="en-GB"/>
        </w:rPr>
        <w:t>the</w:t>
      </w:r>
      <w:r w:rsidR="001F0B7F" w:rsidRPr="001A301C">
        <w:rPr>
          <w:rFonts w:eastAsia="Times New Roman"/>
          <w:iCs/>
          <w:sz w:val="24"/>
          <w:szCs w:val="24"/>
          <w:lang w:eastAsia="en-GB"/>
        </w:rPr>
        <w:t xml:space="preserve"> solution to women’s </w:t>
      </w:r>
      <w:r w:rsidR="00384667">
        <w:rPr>
          <w:rFonts w:eastAsia="Times New Roman"/>
          <w:iCs/>
          <w:sz w:val="24"/>
          <w:szCs w:val="24"/>
          <w:lang w:eastAsia="en-GB"/>
        </w:rPr>
        <w:t>oppression</w:t>
      </w:r>
      <w:r w:rsidRPr="001A301C">
        <w:rPr>
          <w:rFonts w:eastAsia="Times New Roman"/>
          <w:iCs/>
          <w:sz w:val="24"/>
          <w:szCs w:val="24"/>
          <w:lang w:eastAsia="en-GB"/>
        </w:rPr>
        <w:t>.</w:t>
      </w:r>
      <w:r w:rsidRPr="001A301C">
        <w:rPr>
          <w:rStyle w:val="FootnoteReference"/>
          <w:rFonts w:ascii="Calibri" w:eastAsia="Calibri" w:hAnsi="Calibri" w:cs="Times New Roman"/>
          <w:sz w:val="20"/>
          <w:szCs w:val="20"/>
        </w:rPr>
        <w:footnoteReference w:id="87"/>
      </w:r>
      <w:r w:rsidRPr="001A301C">
        <w:rPr>
          <w:rFonts w:eastAsia="Times New Roman"/>
          <w:iCs/>
          <w:sz w:val="24"/>
          <w:szCs w:val="24"/>
          <w:lang w:eastAsia="en-GB"/>
        </w:rPr>
        <w:t xml:space="preserve"> </w:t>
      </w:r>
      <w:r w:rsidR="008E4500">
        <w:rPr>
          <w:rFonts w:eastAsia="Times New Roman"/>
          <w:iCs/>
          <w:sz w:val="24"/>
          <w:szCs w:val="24"/>
          <w:lang w:eastAsia="en-GB"/>
        </w:rPr>
        <w:lastRenderedPageBreak/>
        <w:t>Querying</w:t>
      </w:r>
      <w:r w:rsidR="009753B8">
        <w:rPr>
          <w:rFonts w:eastAsia="Times New Roman"/>
          <w:iCs/>
          <w:sz w:val="24"/>
          <w:szCs w:val="24"/>
          <w:lang w:eastAsia="en-GB"/>
        </w:rPr>
        <w:t xml:space="preserve"> </w:t>
      </w:r>
      <w:r w:rsidR="008E4500">
        <w:rPr>
          <w:rFonts w:eastAsia="Times New Roman"/>
          <w:iCs/>
          <w:sz w:val="24"/>
          <w:szCs w:val="24"/>
          <w:lang w:eastAsia="en-GB"/>
        </w:rPr>
        <w:t>law’s claim to be able to find the truth of things and law’s failure to transform the quality of women’s lives, Smart</w:t>
      </w:r>
      <w:r w:rsidR="001F0B7F" w:rsidRPr="001A301C">
        <w:rPr>
          <w:rFonts w:eastAsia="Times New Roman"/>
          <w:iCs/>
          <w:sz w:val="24"/>
          <w:szCs w:val="24"/>
          <w:lang w:eastAsia="en-GB"/>
        </w:rPr>
        <w:t xml:space="preserve"> </w:t>
      </w:r>
      <w:r w:rsidR="008B702B">
        <w:rPr>
          <w:rFonts w:eastAsia="Times New Roman"/>
          <w:iCs/>
          <w:sz w:val="24"/>
          <w:szCs w:val="24"/>
          <w:lang w:eastAsia="en-GB"/>
        </w:rPr>
        <w:t>called on</w:t>
      </w:r>
      <w:r w:rsidR="001F0B7F" w:rsidRPr="001A301C">
        <w:rPr>
          <w:rFonts w:eastAsia="Times New Roman"/>
          <w:iCs/>
          <w:sz w:val="24"/>
          <w:szCs w:val="24"/>
          <w:lang w:eastAsia="en-GB"/>
        </w:rPr>
        <w:t xml:space="preserve"> feminists engaged in both policy production and scholarship to consider non-legal strategies.</w:t>
      </w:r>
      <w:r w:rsidR="008E4500">
        <w:rPr>
          <w:rStyle w:val="FootnoteReference"/>
          <w:rFonts w:eastAsia="Times New Roman"/>
          <w:iCs/>
          <w:sz w:val="24"/>
          <w:szCs w:val="24"/>
          <w:lang w:eastAsia="en-GB"/>
        </w:rPr>
        <w:footnoteReference w:id="88"/>
      </w:r>
      <w:r w:rsidR="001F0B7F" w:rsidRPr="001A301C">
        <w:rPr>
          <w:rFonts w:eastAsia="Times New Roman"/>
          <w:iCs/>
          <w:sz w:val="24"/>
          <w:szCs w:val="24"/>
          <w:lang w:eastAsia="en-GB"/>
        </w:rPr>
        <w:t xml:space="preserve"> </w:t>
      </w:r>
      <w:r w:rsidR="00384667">
        <w:rPr>
          <w:rFonts w:eastAsia="Times New Roman"/>
          <w:iCs/>
          <w:sz w:val="24"/>
          <w:szCs w:val="24"/>
          <w:lang w:eastAsia="en-GB"/>
        </w:rPr>
        <w:t>In</w:t>
      </w:r>
      <w:r w:rsidR="001F0B7F" w:rsidRPr="001A301C">
        <w:rPr>
          <w:rFonts w:eastAsia="Times New Roman"/>
          <w:iCs/>
          <w:sz w:val="24"/>
          <w:szCs w:val="24"/>
          <w:lang w:eastAsia="en-GB"/>
        </w:rPr>
        <w:t xml:space="preserve"> the intervening years, her approach</w:t>
      </w:r>
      <w:r w:rsidR="00242E17">
        <w:rPr>
          <w:rFonts w:eastAsia="Times New Roman"/>
          <w:iCs/>
          <w:sz w:val="24"/>
          <w:szCs w:val="24"/>
          <w:lang w:eastAsia="en-GB"/>
        </w:rPr>
        <w:t xml:space="preserve"> has</w:t>
      </w:r>
      <w:r w:rsidR="001F0B7F" w:rsidRPr="001A301C">
        <w:rPr>
          <w:rFonts w:eastAsia="Times New Roman"/>
          <w:iCs/>
          <w:sz w:val="24"/>
          <w:szCs w:val="24"/>
          <w:lang w:eastAsia="en-GB"/>
        </w:rPr>
        <w:t xml:space="preserve"> softened as she</w:t>
      </w:r>
      <w:r w:rsidR="00242E17">
        <w:rPr>
          <w:rFonts w:eastAsia="Times New Roman"/>
          <w:iCs/>
          <w:sz w:val="24"/>
          <w:szCs w:val="24"/>
          <w:lang w:eastAsia="en-GB"/>
        </w:rPr>
        <w:t xml:space="preserve"> has</w:t>
      </w:r>
      <w:r w:rsidR="001F0B7F" w:rsidRPr="001A301C">
        <w:rPr>
          <w:rFonts w:eastAsia="Times New Roman"/>
          <w:iCs/>
          <w:sz w:val="24"/>
          <w:szCs w:val="24"/>
          <w:lang w:eastAsia="en-GB"/>
        </w:rPr>
        <w:t xml:space="preserve"> observed </w:t>
      </w:r>
      <w:r w:rsidR="008E4500">
        <w:rPr>
          <w:rFonts w:eastAsia="Times New Roman"/>
          <w:iCs/>
          <w:sz w:val="24"/>
          <w:szCs w:val="24"/>
          <w:lang w:eastAsia="en-GB"/>
        </w:rPr>
        <w:t>that law has had a</w:t>
      </w:r>
      <w:r w:rsidR="001F0B7F" w:rsidRPr="001A301C">
        <w:rPr>
          <w:rFonts w:eastAsia="Times New Roman"/>
          <w:iCs/>
          <w:sz w:val="24"/>
          <w:szCs w:val="24"/>
          <w:lang w:eastAsia="en-GB"/>
        </w:rPr>
        <w:t xml:space="preserve"> ‘</w:t>
      </w:r>
      <w:r w:rsidRPr="001A301C">
        <w:rPr>
          <w:rFonts w:eastAsia="Times New Roman"/>
          <w:iCs/>
          <w:sz w:val="24"/>
          <w:szCs w:val="24"/>
          <w:lang w:eastAsia="en-GB"/>
        </w:rPr>
        <w:t>positive capacity to adapt to social change and to offer recognition and affirmation</w:t>
      </w:r>
      <w:r w:rsidR="001F0B7F" w:rsidRPr="001A301C">
        <w:rPr>
          <w:rFonts w:eastAsia="Times New Roman"/>
          <w:iCs/>
          <w:sz w:val="24"/>
          <w:szCs w:val="24"/>
          <w:lang w:eastAsia="en-GB"/>
        </w:rPr>
        <w:t xml:space="preserve">’ </w:t>
      </w:r>
      <w:r w:rsidR="001A0B17">
        <w:rPr>
          <w:rFonts w:eastAsia="Times New Roman"/>
          <w:iCs/>
          <w:sz w:val="24"/>
          <w:szCs w:val="24"/>
          <w:lang w:eastAsia="en-GB"/>
        </w:rPr>
        <w:t>for</w:t>
      </w:r>
      <w:r w:rsidR="001F0B7F" w:rsidRPr="001A301C">
        <w:rPr>
          <w:rFonts w:eastAsia="Times New Roman"/>
          <w:iCs/>
          <w:sz w:val="24"/>
          <w:szCs w:val="24"/>
          <w:lang w:eastAsia="en-GB"/>
        </w:rPr>
        <w:t xml:space="preserve"> </w:t>
      </w:r>
      <w:r w:rsidR="008B702B">
        <w:rPr>
          <w:rFonts w:eastAsia="Times New Roman"/>
          <w:iCs/>
          <w:sz w:val="24"/>
          <w:szCs w:val="24"/>
          <w:lang w:eastAsia="en-GB"/>
        </w:rPr>
        <w:t xml:space="preserve">some </w:t>
      </w:r>
      <w:r w:rsidR="001F0B7F" w:rsidRPr="001A301C">
        <w:rPr>
          <w:rFonts w:eastAsia="Times New Roman"/>
          <w:iCs/>
          <w:sz w:val="24"/>
          <w:szCs w:val="24"/>
          <w:lang w:eastAsia="en-GB"/>
        </w:rPr>
        <w:t>women.</w:t>
      </w:r>
      <w:r w:rsidR="00242E17">
        <w:rPr>
          <w:rStyle w:val="FootnoteReference"/>
          <w:rFonts w:eastAsia="Times New Roman"/>
          <w:iCs/>
          <w:sz w:val="24"/>
          <w:szCs w:val="24"/>
          <w:lang w:eastAsia="en-GB"/>
        </w:rPr>
        <w:footnoteReference w:id="89"/>
      </w:r>
      <w:r w:rsidR="001F0B7F" w:rsidRPr="001A301C">
        <w:rPr>
          <w:rFonts w:eastAsia="Times New Roman"/>
          <w:iCs/>
          <w:sz w:val="24"/>
          <w:szCs w:val="24"/>
          <w:lang w:eastAsia="en-GB"/>
        </w:rPr>
        <w:t xml:space="preserve"> </w:t>
      </w:r>
      <w:r w:rsidR="008B702B">
        <w:rPr>
          <w:rFonts w:eastAsia="Times New Roman"/>
          <w:iCs/>
          <w:sz w:val="24"/>
          <w:szCs w:val="24"/>
          <w:lang w:eastAsia="en-GB"/>
        </w:rPr>
        <w:t>L</w:t>
      </w:r>
      <w:r w:rsidR="001F0B7F" w:rsidRPr="001A301C">
        <w:rPr>
          <w:rFonts w:eastAsia="Times New Roman"/>
          <w:iCs/>
          <w:sz w:val="24"/>
          <w:szCs w:val="24"/>
          <w:lang w:eastAsia="en-GB"/>
        </w:rPr>
        <w:t>aw’s response to feminism</w:t>
      </w:r>
      <w:r w:rsidR="0053108F">
        <w:rPr>
          <w:rFonts w:eastAsia="Times New Roman"/>
          <w:iCs/>
          <w:sz w:val="24"/>
          <w:szCs w:val="24"/>
          <w:lang w:eastAsia="en-GB"/>
        </w:rPr>
        <w:t>, Smart notes,</w:t>
      </w:r>
      <w:r w:rsidR="001F0B7F" w:rsidRPr="001A301C">
        <w:rPr>
          <w:rFonts w:eastAsia="Times New Roman"/>
          <w:iCs/>
          <w:sz w:val="24"/>
          <w:szCs w:val="24"/>
          <w:lang w:eastAsia="en-GB"/>
        </w:rPr>
        <w:t xml:space="preserve"> has </w:t>
      </w:r>
      <w:r w:rsidR="00EF2B5D">
        <w:rPr>
          <w:rFonts w:eastAsia="Times New Roman"/>
          <w:iCs/>
          <w:sz w:val="24"/>
          <w:szCs w:val="24"/>
          <w:lang w:eastAsia="en-GB"/>
        </w:rPr>
        <w:t>included</w:t>
      </w:r>
      <w:r w:rsidR="001F0B7F" w:rsidRPr="001A301C">
        <w:rPr>
          <w:rFonts w:eastAsia="Times New Roman"/>
          <w:iCs/>
          <w:sz w:val="24"/>
          <w:szCs w:val="24"/>
          <w:lang w:eastAsia="en-GB"/>
        </w:rPr>
        <w:t xml:space="preserve"> progressive</w:t>
      </w:r>
      <w:r w:rsidR="00EF2B5D">
        <w:rPr>
          <w:rFonts w:eastAsia="Times New Roman"/>
          <w:iCs/>
          <w:sz w:val="24"/>
          <w:szCs w:val="24"/>
          <w:lang w:eastAsia="en-GB"/>
        </w:rPr>
        <w:t xml:space="preserve"> change</w:t>
      </w:r>
      <w:r w:rsidR="001A0B17">
        <w:rPr>
          <w:rFonts w:eastAsia="Times New Roman"/>
          <w:iCs/>
          <w:sz w:val="24"/>
          <w:szCs w:val="24"/>
          <w:lang w:eastAsia="en-GB"/>
        </w:rPr>
        <w:t>,</w:t>
      </w:r>
      <w:r w:rsidR="0053108F">
        <w:rPr>
          <w:rFonts w:eastAsia="Times New Roman"/>
          <w:iCs/>
          <w:sz w:val="24"/>
          <w:szCs w:val="24"/>
          <w:lang w:eastAsia="en-GB"/>
        </w:rPr>
        <w:t xml:space="preserve"> and </w:t>
      </w:r>
      <w:r w:rsidR="008B702B">
        <w:rPr>
          <w:rFonts w:eastAsia="Times New Roman"/>
          <w:iCs/>
          <w:sz w:val="24"/>
          <w:szCs w:val="24"/>
          <w:lang w:eastAsia="en-GB"/>
        </w:rPr>
        <w:t>h</w:t>
      </w:r>
      <w:r w:rsidR="00242E17">
        <w:rPr>
          <w:rFonts w:eastAsia="Times New Roman"/>
          <w:iCs/>
          <w:sz w:val="24"/>
          <w:szCs w:val="24"/>
          <w:lang w:eastAsia="en-GB"/>
        </w:rPr>
        <w:t>er</w:t>
      </w:r>
      <w:r w:rsidR="00940359" w:rsidRPr="00940359">
        <w:rPr>
          <w:rFonts w:eastAsia="Times New Roman"/>
          <w:iCs/>
          <w:sz w:val="24"/>
          <w:szCs w:val="24"/>
          <w:lang w:eastAsia="en-GB"/>
        </w:rPr>
        <w:t xml:space="preserve"> post-modern feminist project of de-centring law was never intended</w:t>
      </w:r>
      <w:r w:rsidR="0053108F">
        <w:rPr>
          <w:rFonts w:eastAsia="Times New Roman"/>
          <w:iCs/>
          <w:sz w:val="24"/>
          <w:szCs w:val="24"/>
          <w:lang w:eastAsia="en-GB"/>
        </w:rPr>
        <w:t>, she reflects,</w:t>
      </w:r>
      <w:r w:rsidR="00940359" w:rsidRPr="00940359">
        <w:rPr>
          <w:rFonts w:eastAsia="Times New Roman"/>
          <w:iCs/>
          <w:sz w:val="24"/>
          <w:szCs w:val="24"/>
          <w:lang w:eastAsia="en-GB"/>
        </w:rPr>
        <w:t xml:space="preserve"> to mean that feminists and women should ignore law or write it off.</w:t>
      </w:r>
      <w:r w:rsidR="0053108F">
        <w:rPr>
          <w:rStyle w:val="FootnoteReference"/>
          <w:rFonts w:eastAsia="Times New Roman"/>
          <w:iCs/>
          <w:sz w:val="24"/>
          <w:szCs w:val="24"/>
          <w:lang w:eastAsia="en-GB"/>
        </w:rPr>
        <w:footnoteReference w:id="90"/>
      </w:r>
      <w:r w:rsidR="00242E17">
        <w:rPr>
          <w:rFonts w:eastAsia="Times New Roman"/>
          <w:iCs/>
          <w:sz w:val="24"/>
          <w:szCs w:val="24"/>
          <w:lang w:eastAsia="en-GB"/>
        </w:rPr>
        <w:t xml:space="preserve"> Smart </w:t>
      </w:r>
      <w:r w:rsidR="00A62D44">
        <w:rPr>
          <w:rFonts w:eastAsia="Times New Roman"/>
          <w:iCs/>
          <w:sz w:val="24"/>
          <w:szCs w:val="24"/>
          <w:lang w:eastAsia="en-GB"/>
        </w:rPr>
        <w:t>maintains that</w:t>
      </w:r>
      <w:r w:rsidR="00242E17" w:rsidRPr="00940359">
        <w:rPr>
          <w:rFonts w:eastAsia="Times New Roman"/>
          <w:iCs/>
          <w:sz w:val="24"/>
          <w:szCs w:val="24"/>
          <w:lang w:eastAsia="en-GB"/>
        </w:rPr>
        <w:t xml:space="preserve"> feminists </w:t>
      </w:r>
      <w:r w:rsidR="008B702B">
        <w:rPr>
          <w:rFonts w:eastAsia="Times New Roman"/>
          <w:iCs/>
          <w:sz w:val="24"/>
          <w:szCs w:val="24"/>
          <w:lang w:eastAsia="en-GB"/>
        </w:rPr>
        <w:t>critique</w:t>
      </w:r>
      <w:r w:rsidR="00242E17" w:rsidRPr="00940359">
        <w:rPr>
          <w:rFonts w:eastAsia="Times New Roman"/>
          <w:iCs/>
          <w:sz w:val="24"/>
          <w:szCs w:val="24"/>
          <w:lang w:eastAsia="en-GB"/>
        </w:rPr>
        <w:t xml:space="preserve"> the law </w:t>
      </w:r>
      <w:r w:rsidR="00242E17">
        <w:rPr>
          <w:rFonts w:eastAsia="Times New Roman"/>
          <w:iCs/>
          <w:sz w:val="24"/>
          <w:szCs w:val="24"/>
          <w:lang w:eastAsia="en-GB"/>
        </w:rPr>
        <w:t xml:space="preserve">as it manifests </w:t>
      </w:r>
      <w:r w:rsidR="00242E17" w:rsidRPr="00940359">
        <w:rPr>
          <w:rFonts w:eastAsia="Times New Roman"/>
          <w:iCs/>
          <w:sz w:val="24"/>
          <w:szCs w:val="24"/>
          <w:lang w:eastAsia="en-GB"/>
        </w:rPr>
        <w:t>in practice</w:t>
      </w:r>
      <w:r w:rsidR="0053108F">
        <w:rPr>
          <w:rFonts w:eastAsia="Times New Roman"/>
          <w:iCs/>
          <w:sz w:val="24"/>
          <w:szCs w:val="24"/>
          <w:lang w:eastAsia="en-GB"/>
        </w:rPr>
        <w:t xml:space="preserve"> and to expose the way in which law has the power to define women’s subjectivities in ways that do not serve them</w:t>
      </w:r>
      <w:r w:rsidR="00495E2F">
        <w:rPr>
          <w:rFonts w:eastAsia="Times New Roman"/>
          <w:iCs/>
          <w:sz w:val="24"/>
          <w:szCs w:val="24"/>
          <w:lang w:eastAsia="en-GB"/>
        </w:rPr>
        <w:t xml:space="preserve"> individually or collectively</w:t>
      </w:r>
      <w:r w:rsidR="0053108F">
        <w:rPr>
          <w:rFonts w:eastAsia="Times New Roman"/>
          <w:iCs/>
          <w:sz w:val="24"/>
          <w:szCs w:val="24"/>
          <w:lang w:eastAsia="en-GB"/>
        </w:rPr>
        <w:t>.</w:t>
      </w:r>
      <w:r w:rsidR="0053108F">
        <w:rPr>
          <w:rStyle w:val="FootnoteReference"/>
          <w:rFonts w:eastAsia="Times New Roman"/>
          <w:iCs/>
          <w:sz w:val="24"/>
          <w:szCs w:val="24"/>
          <w:lang w:eastAsia="en-GB"/>
        </w:rPr>
        <w:footnoteReference w:id="91"/>
      </w:r>
    </w:p>
    <w:p w14:paraId="0967D96B" w14:textId="1E5DC307" w:rsidR="00940359" w:rsidRDefault="00046F89" w:rsidP="001A0B17">
      <w:pPr>
        <w:spacing w:after="0" w:line="360" w:lineRule="auto"/>
        <w:ind w:firstLine="720"/>
        <w:rPr>
          <w:rFonts w:eastAsia="Times New Roman"/>
          <w:iCs/>
          <w:sz w:val="24"/>
          <w:szCs w:val="24"/>
          <w:lang w:eastAsia="en-GB"/>
        </w:rPr>
      </w:pPr>
      <w:r>
        <w:rPr>
          <w:rFonts w:eastAsia="Times New Roman"/>
          <w:iCs/>
          <w:sz w:val="24"/>
          <w:szCs w:val="24"/>
          <w:lang w:eastAsia="en-GB"/>
        </w:rPr>
        <w:t xml:space="preserve">Answering </w:t>
      </w:r>
      <w:r w:rsidR="00495E2F">
        <w:rPr>
          <w:rFonts w:eastAsia="Times New Roman"/>
          <w:iCs/>
          <w:sz w:val="24"/>
          <w:szCs w:val="24"/>
          <w:lang w:eastAsia="en-GB"/>
        </w:rPr>
        <w:t>Smart’s</w:t>
      </w:r>
      <w:r>
        <w:rPr>
          <w:rFonts w:eastAsia="Times New Roman"/>
          <w:iCs/>
          <w:sz w:val="24"/>
          <w:szCs w:val="24"/>
          <w:lang w:eastAsia="en-GB"/>
        </w:rPr>
        <w:t xml:space="preserve"> appeal, t</w:t>
      </w:r>
      <w:r w:rsidR="001A0B17">
        <w:rPr>
          <w:rFonts w:eastAsia="Times New Roman"/>
          <w:iCs/>
          <w:sz w:val="24"/>
          <w:szCs w:val="24"/>
          <w:lang w:eastAsia="en-GB"/>
        </w:rPr>
        <w:t xml:space="preserve">his book interrogates both the working practices of prosecutors in intimate </w:t>
      </w:r>
      <w:r w:rsidR="00F6680B">
        <w:rPr>
          <w:rFonts w:eastAsia="Times New Roman"/>
          <w:iCs/>
          <w:sz w:val="24"/>
          <w:szCs w:val="24"/>
          <w:lang w:eastAsia="en-GB"/>
        </w:rPr>
        <w:t xml:space="preserve">partner </w:t>
      </w:r>
      <w:r w:rsidR="001A0B17">
        <w:rPr>
          <w:rFonts w:eastAsia="Times New Roman"/>
          <w:iCs/>
          <w:sz w:val="24"/>
          <w:szCs w:val="24"/>
          <w:lang w:eastAsia="en-GB"/>
        </w:rPr>
        <w:t xml:space="preserve">abuse cases and the way that women </w:t>
      </w:r>
      <w:r w:rsidR="00940359" w:rsidRPr="00940359">
        <w:rPr>
          <w:rFonts w:eastAsia="Times New Roman"/>
          <w:iCs/>
          <w:sz w:val="24"/>
          <w:szCs w:val="24"/>
          <w:lang w:eastAsia="en-GB"/>
        </w:rPr>
        <w:t xml:space="preserve">experience </w:t>
      </w:r>
      <w:r w:rsidR="008B702B">
        <w:rPr>
          <w:rFonts w:eastAsia="Times New Roman"/>
          <w:iCs/>
          <w:sz w:val="24"/>
          <w:szCs w:val="24"/>
          <w:lang w:eastAsia="en-GB"/>
        </w:rPr>
        <w:t xml:space="preserve">the law </w:t>
      </w:r>
      <w:r w:rsidR="001A0B17">
        <w:rPr>
          <w:rFonts w:eastAsia="Times New Roman"/>
          <w:iCs/>
          <w:sz w:val="24"/>
          <w:szCs w:val="24"/>
          <w:lang w:eastAsia="en-GB"/>
        </w:rPr>
        <w:t xml:space="preserve">and ‘tenacious prosecutions’; </w:t>
      </w:r>
      <w:r w:rsidR="00F6680B">
        <w:rPr>
          <w:rFonts w:eastAsia="Times New Roman"/>
          <w:iCs/>
          <w:sz w:val="24"/>
          <w:szCs w:val="24"/>
          <w:lang w:eastAsia="en-GB"/>
        </w:rPr>
        <w:t>it identifies the occasions when</w:t>
      </w:r>
      <w:r w:rsidR="001A0B17">
        <w:rPr>
          <w:rFonts w:eastAsia="Times New Roman"/>
          <w:iCs/>
          <w:sz w:val="24"/>
          <w:szCs w:val="24"/>
          <w:lang w:eastAsia="en-GB"/>
        </w:rPr>
        <w:t xml:space="preserve"> law</w:t>
      </w:r>
      <w:r w:rsidR="001A0B17" w:rsidRPr="001A0B17">
        <w:rPr>
          <w:rFonts w:eastAsia="Times New Roman"/>
          <w:iCs/>
          <w:sz w:val="24"/>
          <w:szCs w:val="24"/>
          <w:lang w:eastAsia="en-GB"/>
        </w:rPr>
        <w:t xml:space="preserve"> meets women’s needs, falls short or even merits abandonment</w:t>
      </w:r>
      <w:r w:rsidR="00922160">
        <w:rPr>
          <w:rFonts w:eastAsia="Times New Roman"/>
          <w:iCs/>
          <w:sz w:val="24"/>
          <w:szCs w:val="24"/>
          <w:lang w:eastAsia="en-GB"/>
        </w:rPr>
        <w:t>,</w:t>
      </w:r>
      <w:r w:rsidR="001A0B17" w:rsidRPr="001A0B17">
        <w:rPr>
          <w:rFonts w:eastAsia="Times New Roman"/>
          <w:iCs/>
          <w:sz w:val="24"/>
          <w:szCs w:val="24"/>
          <w:lang w:eastAsia="en-GB"/>
        </w:rPr>
        <w:t xml:space="preserve"> </w:t>
      </w:r>
      <w:r w:rsidR="00922160">
        <w:rPr>
          <w:rFonts w:eastAsia="Times New Roman"/>
          <w:iCs/>
          <w:sz w:val="24"/>
          <w:szCs w:val="24"/>
          <w:lang w:eastAsia="en-GB"/>
        </w:rPr>
        <w:t>highlighting when victories won in the criminal justice system may not be worth the price paid.</w:t>
      </w:r>
      <w:r w:rsidR="00922160">
        <w:rPr>
          <w:rStyle w:val="FootnoteReference"/>
          <w:rFonts w:eastAsia="Times New Roman"/>
          <w:iCs/>
          <w:sz w:val="24"/>
          <w:szCs w:val="24"/>
          <w:lang w:eastAsia="en-GB"/>
        </w:rPr>
        <w:footnoteReference w:id="92"/>
      </w:r>
      <w:r w:rsidR="00922160">
        <w:rPr>
          <w:rFonts w:eastAsia="Times New Roman"/>
          <w:iCs/>
          <w:sz w:val="24"/>
          <w:szCs w:val="24"/>
          <w:lang w:eastAsia="en-GB"/>
        </w:rPr>
        <w:t xml:space="preserve"> The book therefore</w:t>
      </w:r>
      <w:r w:rsidR="001A0B17" w:rsidRPr="001A0B17">
        <w:rPr>
          <w:rFonts w:eastAsia="Times New Roman"/>
          <w:iCs/>
          <w:sz w:val="24"/>
          <w:szCs w:val="24"/>
          <w:lang w:eastAsia="en-GB"/>
        </w:rPr>
        <w:t xml:space="preserve"> challen</w:t>
      </w:r>
      <w:r w:rsidR="00922160">
        <w:rPr>
          <w:rFonts w:eastAsia="Times New Roman"/>
          <w:iCs/>
          <w:sz w:val="24"/>
          <w:szCs w:val="24"/>
          <w:lang w:eastAsia="en-GB"/>
        </w:rPr>
        <w:t>ges</w:t>
      </w:r>
      <w:r w:rsidR="001A0B17" w:rsidRPr="001A0B17">
        <w:rPr>
          <w:rFonts w:eastAsia="Times New Roman"/>
          <w:iCs/>
          <w:sz w:val="24"/>
          <w:szCs w:val="24"/>
          <w:lang w:eastAsia="en-GB"/>
        </w:rPr>
        <w:t xml:space="preserve"> criminal law as the pre-eminent solution to intimate partner abuse</w:t>
      </w:r>
      <w:r>
        <w:rPr>
          <w:rFonts w:eastAsia="Times New Roman"/>
          <w:iCs/>
          <w:sz w:val="24"/>
          <w:szCs w:val="24"/>
          <w:lang w:eastAsia="en-GB"/>
        </w:rPr>
        <w:t xml:space="preserve">. </w:t>
      </w:r>
    </w:p>
    <w:p w14:paraId="13937DAC" w14:textId="0453D5A5" w:rsidR="001C2944" w:rsidRDefault="00940359" w:rsidP="00940359">
      <w:pPr>
        <w:spacing w:after="0" w:line="360" w:lineRule="auto"/>
        <w:ind w:firstLine="720"/>
        <w:rPr>
          <w:rFonts w:eastAsia="Times New Roman"/>
          <w:iCs/>
          <w:sz w:val="24"/>
          <w:szCs w:val="24"/>
          <w:lang w:eastAsia="en-GB"/>
        </w:rPr>
      </w:pPr>
      <w:r w:rsidRPr="00940359">
        <w:rPr>
          <w:rFonts w:eastAsia="Times New Roman"/>
          <w:iCs/>
          <w:sz w:val="24"/>
          <w:szCs w:val="24"/>
          <w:lang w:eastAsia="en-GB"/>
        </w:rPr>
        <w:t xml:space="preserve"> </w:t>
      </w:r>
      <w:r w:rsidR="00252C97">
        <w:rPr>
          <w:rFonts w:eastAsia="Times New Roman"/>
          <w:iCs/>
          <w:sz w:val="24"/>
          <w:szCs w:val="24"/>
          <w:lang w:eastAsia="en-GB"/>
        </w:rPr>
        <w:t>Ambivalence about</w:t>
      </w:r>
      <w:r w:rsidR="00F04241">
        <w:rPr>
          <w:rFonts w:eastAsia="Times New Roman"/>
          <w:iCs/>
          <w:sz w:val="24"/>
          <w:szCs w:val="24"/>
          <w:lang w:eastAsia="en-GB"/>
        </w:rPr>
        <w:t xml:space="preserve"> criminal justice is not unique to feminists. </w:t>
      </w:r>
      <w:r w:rsidR="00A64B1C">
        <w:rPr>
          <w:rFonts w:eastAsia="Times New Roman"/>
          <w:iCs/>
          <w:sz w:val="24"/>
          <w:szCs w:val="24"/>
          <w:lang w:eastAsia="en-GB"/>
        </w:rPr>
        <w:t>The traditional liberal adversarial model of criminal justice can be a cause of dissatisfaction for critical legal scholars generally. Though not writing explicitly as a feminist legal scholar, Norrie, just as Schneider</w:t>
      </w:r>
      <w:r w:rsidR="001C2944">
        <w:rPr>
          <w:rFonts w:eastAsia="Times New Roman"/>
          <w:iCs/>
          <w:sz w:val="24"/>
          <w:szCs w:val="24"/>
          <w:lang w:eastAsia="en-GB"/>
        </w:rPr>
        <w:t xml:space="preserve"> and </w:t>
      </w:r>
      <w:r w:rsidR="003611A4">
        <w:rPr>
          <w:rFonts w:eastAsia="Times New Roman"/>
          <w:iCs/>
          <w:sz w:val="24"/>
          <w:szCs w:val="24"/>
          <w:lang w:eastAsia="en-GB"/>
        </w:rPr>
        <w:t>Smart</w:t>
      </w:r>
      <w:r w:rsidR="00A64B1C">
        <w:rPr>
          <w:rFonts w:eastAsia="Times New Roman"/>
          <w:iCs/>
          <w:sz w:val="24"/>
          <w:szCs w:val="24"/>
          <w:lang w:eastAsia="en-GB"/>
        </w:rPr>
        <w:t xml:space="preserve">, expresses reticence in embracing the </w:t>
      </w:r>
      <w:r w:rsidR="00252C97">
        <w:rPr>
          <w:rFonts w:eastAsia="Times New Roman"/>
          <w:iCs/>
          <w:sz w:val="24"/>
          <w:szCs w:val="24"/>
          <w:lang w:eastAsia="en-GB"/>
        </w:rPr>
        <w:t>c</w:t>
      </w:r>
      <w:r w:rsidR="001C2944">
        <w:rPr>
          <w:rFonts w:eastAsia="Times New Roman"/>
          <w:iCs/>
          <w:sz w:val="24"/>
          <w:szCs w:val="24"/>
          <w:lang w:eastAsia="en-GB"/>
        </w:rPr>
        <w:t xml:space="preserve">riminal </w:t>
      </w:r>
      <w:r w:rsidR="00252C97">
        <w:rPr>
          <w:rFonts w:eastAsia="Times New Roman"/>
          <w:iCs/>
          <w:sz w:val="24"/>
          <w:szCs w:val="24"/>
          <w:lang w:eastAsia="en-GB"/>
        </w:rPr>
        <w:t>j</w:t>
      </w:r>
      <w:r w:rsidR="001C2944">
        <w:rPr>
          <w:rFonts w:eastAsia="Times New Roman"/>
          <w:iCs/>
          <w:sz w:val="24"/>
          <w:szCs w:val="24"/>
          <w:lang w:eastAsia="en-GB"/>
        </w:rPr>
        <w:t xml:space="preserve">ustice </w:t>
      </w:r>
      <w:r w:rsidR="00252C97">
        <w:rPr>
          <w:rFonts w:eastAsia="Times New Roman"/>
          <w:iCs/>
          <w:sz w:val="24"/>
          <w:szCs w:val="24"/>
          <w:lang w:eastAsia="en-GB"/>
        </w:rPr>
        <w:t>s</w:t>
      </w:r>
      <w:r w:rsidR="001C2944">
        <w:rPr>
          <w:rFonts w:eastAsia="Times New Roman"/>
          <w:iCs/>
          <w:sz w:val="24"/>
          <w:szCs w:val="24"/>
          <w:lang w:eastAsia="en-GB"/>
        </w:rPr>
        <w:t>ystem</w:t>
      </w:r>
      <w:r w:rsidR="00A64B1C">
        <w:rPr>
          <w:rFonts w:eastAsia="Times New Roman"/>
          <w:iCs/>
          <w:sz w:val="24"/>
          <w:szCs w:val="24"/>
          <w:lang w:eastAsia="en-GB"/>
        </w:rPr>
        <w:t>. His unease is associated with the neoliberal ‘penal equation’, a formula which requires that ‘crime plus responsibility equals punishment’.</w:t>
      </w:r>
      <w:r w:rsidR="00A64B1C">
        <w:rPr>
          <w:rStyle w:val="FootnoteReference"/>
          <w:rFonts w:eastAsia="Times New Roman"/>
          <w:iCs/>
          <w:lang w:eastAsia="en-GB"/>
        </w:rPr>
        <w:footnoteReference w:id="93"/>
      </w:r>
      <w:r w:rsidR="00A64B1C">
        <w:rPr>
          <w:rFonts w:eastAsia="Times New Roman"/>
          <w:iCs/>
          <w:sz w:val="24"/>
          <w:szCs w:val="24"/>
          <w:lang w:eastAsia="en-GB"/>
        </w:rPr>
        <w:t xml:space="preserve"> Norrie observes that if criminal justice fails to deliver </w:t>
      </w:r>
      <w:r w:rsidR="00FE2F6D">
        <w:rPr>
          <w:rFonts w:eastAsia="Times New Roman"/>
          <w:iCs/>
          <w:sz w:val="24"/>
          <w:szCs w:val="24"/>
          <w:lang w:eastAsia="en-GB"/>
        </w:rPr>
        <w:t>a reduction in crime</w:t>
      </w:r>
      <w:r w:rsidR="00A64B1C">
        <w:rPr>
          <w:rFonts w:eastAsia="Times New Roman"/>
          <w:iCs/>
          <w:sz w:val="24"/>
          <w:szCs w:val="24"/>
          <w:lang w:eastAsia="en-GB"/>
        </w:rPr>
        <w:t>, society appears to call for more of the same as part of the ‘law and order’ paradigm. Criminal justice is criticised by Norrie as part of society’s set of ‘stock responses’ to social problems where ‘justice’, ‘responsibility’ and ‘de</w:t>
      </w:r>
      <w:r w:rsidR="00DA7DC1">
        <w:rPr>
          <w:rFonts w:eastAsia="Times New Roman"/>
          <w:iCs/>
          <w:sz w:val="24"/>
          <w:szCs w:val="24"/>
          <w:lang w:eastAsia="en-GB"/>
        </w:rPr>
        <w:t>s</w:t>
      </w:r>
      <w:r w:rsidR="00A64B1C">
        <w:rPr>
          <w:rFonts w:eastAsia="Times New Roman"/>
          <w:iCs/>
          <w:sz w:val="24"/>
          <w:szCs w:val="24"/>
          <w:lang w:eastAsia="en-GB"/>
        </w:rPr>
        <w:t>ert’</w:t>
      </w:r>
      <w:r w:rsidR="00A64B1C">
        <w:rPr>
          <w:rStyle w:val="FootnoteReference"/>
          <w:rFonts w:eastAsia="Times New Roman"/>
          <w:iCs/>
          <w:lang w:eastAsia="en-GB"/>
        </w:rPr>
        <w:footnoteReference w:id="94"/>
      </w:r>
      <w:r w:rsidR="00A64B1C">
        <w:rPr>
          <w:rFonts w:eastAsia="Times New Roman"/>
          <w:iCs/>
          <w:sz w:val="24"/>
          <w:szCs w:val="24"/>
          <w:lang w:eastAsia="en-GB"/>
        </w:rPr>
        <w:t xml:space="preserve"> sidle up to </w:t>
      </w:r>
      <w:r w:rsidR="00A64B1C">
        <w:rPr>
          <w:rFonts w:eastAsia="Times New Roman"/>
          <w:iCs/>
          <w:sz w:val="24"/>
          <w:szCs w:val="24"/>
          <w:lang w:eastAsia="en-GB"/>
        </w:rPr>
        <w:lastRenderedPageBreak/>
        <w:t>regressive-looking notions of revenge and payback,</w:t>
      </w:r>
      <w:r w:rsidR="00A64B1C">
        <w:rPr>
          <w:rStyle w:val="FootnoteReference"/>
          <w:rFonts w:eastAsia="Times New Roman"/>
          <w:iCs/>
          <w:lang w:eastAsia="en-GB"/>
        </w:rPr>
        <w:footnoteReference w:id="95"/>
      </w:r>
      <w:r w:rsidR="00A64B1C">
        <w:rPr>
          <w:rFonts w:eastAsia="Times New Roman"/>
          <w:iCs/>
          <w:sz w:val="24"/>
          <w:szCs w:val="24"/>
          <w:lang w:eastAsia="en-GB"/>
        </w:rPr>
        <w:t xml:space="preserve"> the likes of which are unpalatable to left-leaning critical and feminist legal scholars alike.</w:t>
      </w:r>
      <w:r w:rsidR="00F72D8F">
        <w:rPr>
          <w:rFonts w:eastAsia="Times New Roman"/>
          <w:iCs/>
          <w:sz w:val="24"/>
          <w:szCs w:val="24"/>
          <w:lang w:eastAsia="en-GB"/>
        </w:rPr>
        <w:t xml:space="preserve"> </w:t>
      </w:r>
    </w:p>
    <w:p w14:paraId="43D9A1F6" w14:textId="173750BD" w:rsidR="001C2944" w:rsidRDefault="00566D02" w:rsidP="0099245E">
      <w:pPr>
        <w:spacing w:after="0" w:line="360" w:lineRule="auto"/>
        <w:ind w:firstLine="720"/>
        <w:rPr>
          <w:rFonts w:eastAsia="Times New Roman"/>
          <w:iCs/>
          <w:sz w:val="24"/>
          <w:szCs w:val="24"/>
          <w:lang w:eastAsia="en-GB"/>
        </w:rPr>
      </w:pPr>
      <w:r>
        <w:rPr>
          <w:rFonts w:eastAsia="Times New Roman"/>
          <w:iCs/>
          <w:sz w:val="24"/>
          <w:szCs w:val="24"/>
          <w:lang w:eastAsia="en-GB"/>
        </w:rPr>
        <w:t>In addition to concerns about</w:t>
      </w:r>
      <w:r w:rsidR="008B6922">
        <w:rPr>
          <w:rFonts w:eastAsia="Times New Roman"/>
          <w:iCs/>
          <w:sz w:val="24"/>
          <w:szCs w:val="24"/>
          <w:lang w:eastAsia="en-GB"/>
        </w:rPr>
        <w:t xml:space="preserve"> the </w:t>
      </w:r>
      <w:r w:rsidR="00252C97">
        <w:rPr>
          <w:rFonts w:eastAsia="Times New Roman"/>
          <w:iCs/>
          <w:sz w:val="24"/>
          <w:szCs w:val="24"/>
          <w:lang w:eastAsia="en-GB"/>
        </w:rPr>
        <w:t>‘penal equation’</w:t>
      </w:r>
      <w:r>
        <w:rPr>
          <w:rFonts w:eastAsia="Times New Roman"/>
          <w:iCs/>
          <w:sz w:val="24"/>
          <w:szCs w:val="24"/>
          <w:lang w:eastAsia="en-GB"/>
        </w:rPr>
        <w:t>, f</w:t>
      </w:r>
      <w:r w:rsidR="00A64B1C">
        <w:rPr>
          <w:rFonts w:eastAsia="Times New Roman"/>
          <w:iCs/>
          <w:sz w:val="24"/>
          <w:szCs w:val="24"/>
          <w:lang w:eastAsia="en-GB"/>
        </w:rPr>
        <w:t>eminists who express r</w:t>
      </w:r>
      <w:r w:rsidR="00A64B1C" w:rsidRPr="00DF7CF9">
        <w:rPr>
          <w:rFonts w:eastAsia="Times New Roman"/>
          <w:iCs/>
          <w:sz w:val="24"/>
          <w:szCs w:val="24"/>
          <w:lang w:eastAsia="en-GB"/>
        </w:rPr>
        <w:t>eticence in entrusting the state to end domestic abuse</w:t>
      </w:r>
      <w:r w:rsidR="000B5652">
        <w:rPr>
          <w:rFonts w:eastAsia="Times New Roman"/>
          <w:iCs/>
          <w:sz w:val="24"/>
          <w:szCs w:val="24"/>
          <w:lang w:eastAsia="en-GB"/>
        </w:rPr>
        <w:t>,</w:t>
      </w:r>
      <w:r w:rsidR="00F04241">
        <w:rPr>
          <w:rFonts w:eastAsia="Times New Roman"/>
          <w:iCs/>
          <w:sz w:val="24"/>
          <w:szCs w:val="24"/>
          <w:lang w:eastAsia="en-GB"/>
        </w:rPr>
        <w:t xml:space="preserve"> do so for a range of reasons</w:t>
      </w:r>
      <w:r w:rsidR="00A64B1C">
        <w:rPr>
          <w:rFonts w:eastAsia="Times New Roman"/>
          <w:iCs/>
          <w:sz w:val="24"/>
          <w:szCs w:val="24"/>
          <w:lang w:eastAsia="en-GB"/>
        </w:rPr>
        <w:t>. The</w:t>
      </w:r>
      <w:r w:rsidR="00A64B1C" w:rsidRPr="00DF7CF9">
        <w:rPr>
          <w:rFonts w:eastAsia="Times New Roman"/>
          <w:iCs/>
          <w:sz w:val="24"/>
          <w:szCs w:val="24"/>
          <w:lang w:eastAsia="en-GB"/>
        </w:rPr>
        <w:t xml:space="preserve"> </w:t>
      </w:r>
      <w:r w:rsidR="00A64B1C">
        <w:rPr>
          <w:rFonts w:eastAsia="Times New Roman"/>
          <w:iCs/>
          <w:sz w:val="24"/>
          <w:szCs w:val="24"/>
          <w:lang w:eastAsia="en-GB"/>
        </w:rPr>
        <w:t xml:space="preserve">first might be due to the </w:t>
      </w:r>
      <w:r w:rsidR="00A64B1C" w:rsidRPr="00DF7CF9">
        <w:rPr>
          <w:rFonts w:eastAsia="Times New Roman"/>
          <w:iCs/>
          <w:sz w:val="24"/>
          <w:szCs w:val="24"/>
          <w:lang w:eastAsia="en-GB"/>
        </w:rPr>
        <w:t xml:space="preserve">grass-roots </w:t>
      </w:r>
      <w:r w:rsidR="00A64B1C">
        <w:rPr>
          <w:rFonts w:eastAsia="Times New Roman"/>
          <w:iCs/>
          <w:sz w:val="24"/>
          <w:szCs w:val="24"/>
          <w:lang w:eastAsia="en-GB"/>
        </w:rPr>
        <w:t xml:space="preserve">nature of the original </w:t>
      </w:r>
      <w:r w:rsidR="001C2944">
        <w:rPr>
          <w:rFonts w:eastAsia="Times New Roman"/>
          <w:iCs/>
          <w:sz w:val="24"/>
          <w:szCs w:val="24"/>
          <w:lang w:eastAsia="en-GB"/>
        </w:rPr>
        <w:t>violence against women</w:t>
      </w:r>
      <w:r w:rsidR="00A64B1C">
        <w:rPr>
          <w:rFonts w:eastAsia="Times New Roman"/>
          <w:iCs/>
          <w:sz w:val="24"/>
          <w:szCs w:val="24"/>
          <w:lang w:eastAsia="en-GB"/>
        </w:rPr>
        <w:t xml:space="preserve"> movement which achieved </w:t>
      </w:r>
      <w:r w:rsidR="00A64B1C" w:rsidRPr="00DF7CF9">
        <w:rPr>
          <w:rFonts w:eastAsia="Times New Roman"/>
          <w:iCs/>
          <w:sz w:val="24"/>
          <w:szCs w:val="24"/>
          <w:lang w:eastAsia="en-GB"/>
        </w:rPr>
        <w:t xml:space="preserve">dynamism </w:t>
      </w:r>
      <w:r w:rsidR="00A64B1C">
        <w:rPr>
          <w:rFonts w:eastAsia="Times New Roman"/>
          <w:iCs/>
          <w:sz w:val="24"/>
          <w:szCs w:val="24"/>
          <w:lang w:eastAsia="en-GB"/>
        </w:rPr>
        <w:t xml:space="preserve">precisely because it </w:t>
      </w:r>
      <w:r w:rsidR="00A64B1C" w:rsidRPr="00DF7CF9">
        <w:rPr>
          <w:rFonts w:eastAsia="Times New Roman"/>
          <w:iCs/>
          <w:sz w:val="24"/>
          <w:szCs w:val="24"/>
          <w:lang w:eastAsia="en-GB"/>
        </w:rPr>
        <w:t>work</w:t>
      </w:r>
      <w:r w:rsidR="00A64B1C">
        <w:rPr>
          <w:rFonts w:eastAsia="Times New Roman"/>
          <w:iCs/>
          <w:sz w:val="24"/>
          <w:szCs w:val="24"/>
          <w:lang w:eastAsia="en-GB"/>
        </w:rPr>
        <w:t>ed</w:t>
      </w:r>
      <w:r w:rsidR="00A64B1C" w:rsidRPr="00DF7CF9">
        <w:rPr>
          <w:rFonts w:eastAsia="Times New Roman"/>
          <w:iCs/>
          <w:sz w:val="24"/>
          <w:szCs w:val="24"/>
          <w:lang w:eastAsia="en-GB"/>
        </w:rPr>
        <w:t xml:space="preserve"> through informal networks without state involvement. </w:t>
      </w:r>
      <w:r w:rsidR="00A64B1C">
        <w:rPr>
          <w:rFonts w:eastAsia="Times New Roman"/>
          <w:iCs/>
          <w:sz w:val="24"/>
          <w:szCs w:val="24"/>
          <w:lang w:eastAsia="en-GB"/>
        </w:rPr>
        <w:t>In that vein, Martha Fineman has suggested that a renewed era of feminism might begin ‘with the realization that mounting fundamental challenges to systems of social control means working outside of the existing institutional structures of the state’.</w:t>
      </w:r>
      <w:r w:rsidR="00A64B1C">
        <w:rPr>
          <w:rStyle w:val="FootnoteReference"/>
          <w:rFonts w:eastAsia="Times New Roman"/>
          <w:iCs/>
          <w:lang w:eastAsia="en-GB"/>
        </w:rPr>
        <w:footnoteReference w:id="96"/>
      </w:r>
      <w:r w:rsidR="0099245E" w:rsidRPr="0099245E">
        <w:rPr>
          <w:rFonts w:eastAsia="Times New Roman"/>
          <w:iCs/>
          <w:sz w:val="24"/>
          <w:szCs w:val="24"/>
          <w:lang w:eastAsia="en-GB"/>
        </w:rPr>
        <w:t xml:space="preserve"> </w:t>
      </w:r>
      <w:r w:rsidR="00252C97">
        <w:rPr>
          <w:rFonts w:eastAsia="Times New Roman"/>
          <w:iCs/>
          <w:sz w:val="24"/>
          <w:szCs w:val="24"/>
          <w:lang w:eastAsia="en-GB"/>
        </w:rPr>
        <w:t>Connectedly, b</w:t>
      </w:r>
      <w:r w:rsidR="0099245E" w:rsidRPr="00DF7CF9">
        <w:rPr>
          <w:rFonts w:eastAsia="Times New Roman"/>
          <w:iCs/>
          <w:sz w:val="24"/>
          <w:szCs w:val="24"/>
          <w:lang w:eastAsia="en-GB"/>
        </w:rPr>
        <w:t xml:space="preserve">y treating social problems as crime, domestic abuse campaigners unwittingly participate in the </w:t>
      </w:r>
      <w:proofErr w:type="spellStart"/>
      <w:r w:rsidR="0099245E" w:rsidRPr="00DF7CF9">
        <w:rPr>
          <w:rFonts w:eastAsia="Times New Roman"/>
          <w:iCs/>
          <w:sz w:val="24"/>
          <w:szCs w:val="24"/>
          <w:lang w:eastAsia="en-GB"/>
        </w:rPr>
        <w:t>depolitici</w:t>
      </w:r>
      <w:r w:rsidR="0099245E">
        <w:rPr>
          <w:rFonts w:eastAsia="Times New Roman"/>
          <w:iCs/>
          <w:sz w:val="24"/>
          <w:szCs w:val="24"/>
          <w:lang w:eastAsia="en-GB"/>
        </w:rPr>
        <w:t>s</w:t>
      </w:r>
      <w:r w:rsidR="0099245E" w:rsidRPr="00DF7CF9">
        <w:rPr>
          <w:rFonts w:eastAsia="Times New Roman"/>
          <w:iCs/>
          <w:sz w:val="24"/>
          <w:szCs w:val="24"/>
          <w:lang w:eastAsia="en-GB"/>
        </w:rPr>
        <w:t>ation</w:t>
      </w:r>
      <w:proofErr w:type="spellEnd"/>
      <w:r w:rsidR="0099245E" w:rsidRPr="00DF7CF9">
        <w:rPr>
          <w:rFonts w:eastAsia="Times New Roman"/>
          <w:iCs/>
          <w:sz w:val="24"/>
          <w:szCs w:val="24"/>
          <w:lang w:eastAsia="en-GB"/>
        </w:rPr>
        <w:t xml:space="preserve"> of a social movement, crowding out </w:t>
      </w:r>
      <w:r w:rsidR="00252C97">
        <w:rPr>
          <w:rFonts w:eastAsia="Times New Roman"/>
          <w:iCs/>
          <w:sz w:val="24"/>
          <w:szCs w:val="24"/>
          <w:lang w:eastAsia="en-GB"/>
        </w:rPr>
        <w:t xml:space="preserve">not only </w:t>
      </w:r>
      <w:r w:rsidR="0099245E" w:rsidRPr="00DF7CF9">
        <w:rPr>
          <w:rFonts w:eastAsia="Times New Roman"/>
          <w:iCs/>
          <w:sz w:val="24"/>
          <w:szCs w:val="24"/>
          <w:lang w:eastAsia="en-GB"/>
        </w:rPr>
        <w:t xml:space="preserve">alternative potentially effective </w:t>
      </w:r>
      <w:r w:rsidR="0099245E">
        <w:rPr>
          <w:rFonts w:eastAsia="Times New Roman"/>
          <w:iCs/>
          <w:sz w:val="24"/>
          <w:szCs w:val="24"/>
          <w:lang w:eastAsia="en-GB"/>
        </w:rPr>
        <w:t xml:space="preserve">practical responses </w:t>
      </w:r>
      <w:r w:rsidR="00252C97">
        <w:rPr>
          <w:rFonts w:eastAsia="Times New Roman"/>
          <w:iCs/>
          <w:sz w:val="24"/>
          <w:szCs w:val="24"/>
          <w:lang w:eastAsia="en-GB"/>
        </w:rPr>
        <w:t>but also</w:t>
      </w:r>
      <w:r w:rsidR="0099245E">
        <w:rPr>
          <w:rFonts w:eastAsia="Times New Roman"/>
          <w:iCs/>
          <w:sz w:val="24"/>
          <w:szCs w:val="24"/>
          <w:lang w:eastAsia="en-GB"/>
        </w:rPr>
        <w:t xml:space="preserve"> conceptual </w:t>
      </w:r>
      <w:proofErr w:type="spellStart"/>
      <w:r w:rsidR="0099245E">
        <w:rPr>
          <w:rFonts w:eastAsia="Times New Roman"/>
          <w:iCs/>
          <w:sz w:val="24"/>
          <w:szCs w:val="24"/>
          <w:lang w:eastAsia="en-GB"/>
        </w:rPr>
        <w:t>reimaginings</w:t>
      </w:r>
      <w:proofErr w:type="spellEnd"/>
      <w:r w:rsidR="0099245E">
        <w:rPr>
          <w:rFonts w:eastAsia="Times New Roman"/>
          <w:iCs/>
          <w:sz w:val="24"/>
          <w:szCs w:val="24"/>
          <w:lang w:eastAsia="en-GB"/>
        </w:rPr>
        <w:t xml:space="preserve"> that might overhaul the structural status quo </w:t>
      </w:r>
      <w:r w:rsidR="0099245E" w:rsidRPr="00DF7CF9">
        <w:rPr>
          <w:rFonts w:eastAsia="Times New Roman"/>
          <w:iCs/>
          <w:sz w:val="24"/>
          <w:szCs w:val="24"/>
          <w:lang w:eastAsia="en-GB"/>
        </w:rPr>
        <w:t xml:space="preserve">to </w:t>
      </w:r>
      <w:r w:rsidR="0099245E">
        <w:rPr>
          <w:rFonts w:eastAsia="Times New Roman"/>
          <w:iCs/>
          <w:sz w:val="24"/>
          <w:szCs w:val="24"/>
          <w:lang w:eastAsia="en-GB"/>
        </w:rPr>
        <w:t xml:space="preserve">end </w:t>
      </w:r>
      <w:r w:rsidR="0099245E" w:rsidRPr="00DF7CF9">
        <w:rPr>
          <w:rFonts w:eastAsia="Times New Roman"/>
          <w:iCs/>
          <w:sz w:val="24"/>
          <w:szCs w:val="24"/>
          <w:lang w:eastAsia="en-GB"/>
        </w:rPr>
        <w:t>violence</w:t>
      </w:r>
      <w:r w:rsidR="0099245E">
        <w:rPr>
          <w:rFonts w:eastAsia="Times New Roman"/>
          <w:iCs/>
          <w:sz w:val="24"/>
          <w:szCs w:val="24"/>
          <w:lang w:eastAsia="en-GB"/>
        </w:rPr>
        <w:t xml:space="preserve"> against women</w:t>
      </w:r>
      <w:r w:rsidR="0099245E" w:rsidRPr="00DF7CF9">
        <w:rPr>
          <w:rFonts w:eastAsia="Times New Roman"/>
          <w:iCs/>
          <w:sz w:val="24"/>
          <w:szCs w:val="24"/>
          <w:lang w:eastAsia="en-GB"/>
        </w:rPr>
        <w:t>.</w:t>
      </w:r>
      <w:r w:rsidR="0099245E" w:rsidRPr="00DF7CF9">
        <w:rPr>
          <w:rStyle w:val="FootnoteReference"/>
          <w:rFonts w:eastAsia="Times New Roman"/>
          <w:iCs/>
          <w:lang w:eastAsia="en-GB"/>
        </w:rPr>
        <w:footnoteReference w:id="97"/>
      </w:r>
      <w:r w:rsidR="0099245E" w:rsidRPr="00DF7CF9">
        <w:rPr>
          <w:rFonts w:eastAsia="Times New Roman"/>
          <w:iCs/>
          <w:sz w:val="24"/>
          <w:szCs w:val="24"/>
          <w:lang w:eastAsia="en-GB"/>
        </w:rPr>
        <w:t xml:space="preserve"> </w:t>
      </w:r>
      <w:r w:rsidR="0099245E">
        <w:rPr>
          <w:rFonts w:eastAsia="Times New Roman"/>
          <w:iCs/>
          <w:sz w:val="24"/>
          <w:szCs w:val="24"/>
          <w:lang w:eastAsia="en-GB"/>
        </w:rPr>
        <w:t>A second reason f</w:t>
      </w:r>
      <w:r w:rsidR="00A64B1C">
        <w:rPr>
          <w:rFonts w:eastAsia="Times New Roman"/>
          <w:iCs/>
          <w:sz w:val="24"/>
          <w:szCs w:val="24"/>
          <w:lang w:eastAsia="en-GB"/>
        </w:rPr>
        <w:t>eminist</w:t>
      </w:r>
      <w:r w:rsidR="0099245E">
        <w:rPr>
          <w:rFonts w:eastAsia="Times New Roman"/>
          <w:iCs/>
          <w:sz w:val="24"/>
          <w:szCs w:val="24"/>
          <w:lang w:eastAsia="en-GB"/>
        </w:rPr>
        <w:t>s might be</w:t>
      </w:r>
      <w:r w:rsidR="00A64B1C">
        <w:rPr>
          <w:rFonts w:eastAsia="Times New Roman"/>
          <w:iCs/>
          <w:sz w:val="24"/>
          <w:szCs w:val="24"/>
          <w:lang w:eastAsia="en-GB"/>
        </w:rPr>
        <w:t xml:space="preserve"> reticen</w:t>
      </w:r>
      <w:r w:rsidR="0099245E">
        <w:rPr>
          <w:rFonts w:eastAsia="Times New Roman"/>
          <w:iCs/>
          <w:sz w:val="24"/>
          <w:szCs w:val="24"/>
          <w:lang w:eastAsia="en-GB"/>
        </w:rPr>
        <w:t>t</w:t>
      </w:r>
      <w:r w:rsidR="00A64B1C">
        <w:rPr>
          <w:rFonts w:eastAsia="Times New Roman"/>
          <w:iCs/>
          <w:sz w:val="24"/>
          <w:szCs w:val="24"/>
          <w:lang w:eastAsia="en-GB"/>
        </w:rPr>
        <w:t xml:space="preserve"> </w:t>
      </w:r>
      <w:r w:rsidR="00F04241">
        <w:rPr>
          <w:rFonts w:eastAsia="Times New Roman"/>
          <w:iCs/>
          <w:sz w:val="24"/>
          <w:szCs w:val="24"/>
          <w:lang w:eastAsia="en-GB"/>
        </w:rPr>
        <w:t>about</w:t>
      </w:r>
      <w:r w:rsidR="00A64B1C">
        <w:rPr>
          <w:rFonts w:eastAsia="Times New Roman"/>
          <w:iCs/>
          <w:sz w:val="24"/>
          <w:szCs w:val="24"/>
          <w:lang w:eastAsia="en-GB"/>
        </w:rPr>
        <w:t xml:space="preserve"> relying on criminal justice </w:t>
      </w:r>
      <w:r w:rsidR="008B6922">
        <w:rPr>
          <w:rFonts w:eastAsia="Times New Roman"/>
          <w:iCs/>
          <w:sz w:val="24"/>
          <w:szCs w:val="24"/>
          <w:lang w:eastAsia="en-GB"/>
        </w:rPr>
        <w:t xml:space="preserve">is </w:t>
      </w:r>
      <w:r w:rsidR="0099245E">
        <w:rPr>
          <w:rFonts w:eastAsia="Times New Roman"/>
          <w:iCs/>
          <w:sz w:val="24"/>
          <w:szCs w:val="24"/>
          <w:lang w:eastAsia="en-GB"/>
        </w:rPr>
        <w:t>due to</w:t>
      </w:r>
      <w:r w:rsidR="00A64B1C" w:rsidRPr="00DF7CF9">
        <w:rPr>
          <w:rFonts w:eastAsia="Times New Roman"/>
          <w:iCs/>
          <w:sz w:val="24"/>
          <w:szCs w:val="24"/>
          <w:lang w:eastAsia="en-GB"/>
        </w:rPr>
        <w:t xml:space="preserve"> a cautious regard </w:t>
      </w:r>
      <w:r w:rsidR="00A64B1C">
        <w:rPr>
          <w:rFonts w:eastAsia="Times New Roman"/>
          <w:iCs/>
          <w:sz w:val="24"/>
          <w:szCs w:val="24"/>
          <w:lang w:eastAsia="en-GB"/>
        </w:rPr>
        <w:t>some</w:t>
      </w:r>
      <w:r w:rsidR="00A64B1C" w:rsidRPr="00DF7CF9">
        <w:rPr>
          <w:rFonts w:eastAsia="Times New Roman"/>
          <w:iCs/>
          <w:sz w:val="24"/>
          <w:szCs w:val="24"/>
          <w:lang w:eastAsia="en-GB"/>
        </w:rPr>
        <w:t xml:space="preserve"> feminists have for </w:t>
      </w:r>
      <w:r w:rsidR="00A64B1C">
        <w:rPr>
          <w:rFonts w:eastAsia="Times New Roman"/>
          <w:iCs/>
          <w:sz w:val="24"/>
          <w:szCs w:val="24"/>
          <w:lang w:eastAsia="en-GB"/>
        </w:rPr>
        <w:t xml:space="preserve">the potential of the criminal law to deliver </w:t>
      </w:r>
      <w:r w:rsidR="00F04241">
        <w:rPr>
          <w:rFonts w:eastAsia="Times New Roman"/>
          <w:iCs/>
          <w:sz w:val="24"/>
          <w:szCs w:val="24"/>
          <w:lang w:eastAsia="en-GB"/>
        </w:rPr>
        <w:t>impartial justice</w:t>
      </w:r>
      <w:r w:rsidR="00A64B1C">
        <w:rPr>
          <w:rFonts w:eastAsia="Times New Roman"/>
          <w:iCs/>
          <w:sz w:val="24"/>
          <w:szCs w:val="24"/>
          <w:lang w:eastAsia="en-GB"/>
        </w:rPr>
        <w:t>.</w:t>
      </w:r>
      <w:r w:rsidR="00A64B1C" w:rsidRPr="00DF7CF9">
        <w:rPr>
          <w:rFonts w:eastAsia="Times New Roman"/>
          <w:iCs/>
          <w:sz w:val="24"/>
          <w:szCs w:val="24"/>
          <w:lang w:eastAsia="en-GB"/>
        </w:rPr>
        <w:t xml:space="preserve"> </w:t>
      </w:r>
      <w:r w:rsidR="00A64B1C">
        <w:rPr>
          <w:rFonts w:eastAsia="Times New Roman"/>
          <w:iCs/>
          <w:sz w:val="24"/>
          <w:szCs w:val="24"/>
          <w:lang w:eastAsia="en-GB"/>
        </w:rPr>
        <w:t>For these feminists, calling upon the criminal law supports</w:t>
      </w:r>
      <w:r w:rsidR="00A64B1C" w:rsidRPr="00DF7CF9">
        <w:rPr>
          <w:rFonts w:eastAsia="Times New Roman"/>
          <w:iCs/>
          <w:sz w:val="24"/>
          <w:szCs w:val="24"/>
          <w:lang w:eastAsia="en-GB"/>
        </w:rPr>
        <w:t xml:space="preserve"> and legitim</w:t>
      </w:r>
      <w:r w:rsidR="00A64B1C">
        <w:rPr>
          <w:rFonts w:eastAsia="Times New Roman"/>
          <w:iCs/>
          <w:sz w:val="24"/>
          <w:szCs w:val="24"/>
          <w:lang w:eastAsia="en-GB"/>
        </w:rPr>
        <w:t>ates a legal tradition steeped in precisely the sort of social ordering they seek to eradicate. For them, law is not considered gender-free or neutral</w:t>
      </w:r>
      <w:r w:rsidR="00F04241">
        <w:rPr>
          <w:rFonts w:eastAsia="Times New Roman"/>
          <w:iCs/>
          <w:sz w:val="24"/>
          <w:szCs w:val="24"/>
          <w:lang w:eastAsia="en-GB"/>
        </w:rPr>
        <w:t>;</w:t>
      </w:r>
      <w:r w:rsidR="00A64B1C">
        <w:rPr>
          <w:rStyle w:val="FootnoteReference"/>
        </w:rPr>
        <w:footnoteReference w:id="98"/>
      </w:r>
      <w:r w:rsidR="00A64B1C">
        <w:t xml:space="preserve"> </w:t>
      </w:r>
      <w:r w:rsidR="00A64B1C">
        <w:rPr>
          <w:rFonts w:eastAsia="Times New Roman"/>
          <w:iCs/>
          <w:sz w:val="24"/>
          <w:szCs w:val="24"/>
          <w:lang w:eastAsia="en-GB"/>
        </w:rPr>
        <w:t>law itself</w:t>
      </w:r>
      <w:r w:rsidR="00A64B1C" w:rsidRPr="0054243A">
        <w:rPr>
          <w:rFonts w:eastAsia="Times New Roman"/>
          <w:iCs/>
          <w:sz w:val="24"/>
          <w:szCs w:val="24"/>
          <w:lang w:eastAsia="en-GB"/>
        </w:rPr>
        <w:t xml:space="preserve"> might </w:t>
      </w:r>
      <w:r w:rsidR="00A64B1C">
        <w:rPr>
          <w:rFonts w:eastAsia="Times New Roman"/>
          <w:iCs/>
          <w:sz w:val="24"/>
          <w:szCs w:val="24"/>
          <w:lang w:eastAsia="en-GB"/>
        </w:rPr>
        <w:t xml:space="preserve">even </w:t>
      </w:r>
      <w:r w:rsidR="00A64B1C" w:rsidRPr="0054243A">
        <w:rPr>
          <w:rFonts w:eastAsia="Times New Roman"/>
          <w:iCs/>
          <w:sz w:val="24"/>
          <w:szCs w:val="24"/>
          <w:lang w:eastAsia="en-GB"/>
        </w:rPr>
        <w:t>be characterised as violent or abusive.</w:t>
      </w:r>
      <w:r w:rsidR="00A64B1C">
        <w:rPr>
          <w:rStyle w:val="FootnoteReference"/>
          <w:rFonts w:eastAsia="Times New Roman"/>
          <w:iCs/>
          <w:lang w:eastAsia="en-GB"/>
        </w:rPr>
        <w:footnoteReference w:id="99"/>
      </w:r>
      <w:r w:rsidR="00A64B1C">
        <w:t xml:space="preserve"> </w:t>
      </w:r>
    </w:p>
    <w:p w14:paraId="79701B92" w14:textId="5F73BC47" w:rsidR="00C80498" w:rsidRDefault="003E7243" w:rsidP="00C80498">
      <w:pPr>
        <w:spacing w:after="0" w:line="360" w:lineRule="auto"/>
        <w:ind w:firstLine="720"/>
        <w:rPr>
          <w:rFonts w:eastAsia="Times New Roman"/>
          <w:iCs/>
          <w:sz w:val="24"/>
          <w:szCs w:val="24"/>
          <w:lang w:eastAsia="en-GB"/>
        </w:rPr>
      </w:pPr>
      <w:r>
        <w:rPr>
          <w:rFonts w:eastAsia="Times New Roman"/>
          <w:iCs/>
          <w:sz w:val="24"/>
          <w:szCs w:val="24"/>
          <w:lang w:eastAsia="en-GB"/>
        </w:rPr>
        <w:t xml:space="preserve">My focus on </w:t>
      </w:r>
      <w:r w:rsidR="0005240A">
        <w:rPr>
          <w:rFonts w:eastAsia="Times New Roman"/>
          <w:iCs/>
          <w:sz w:val="24"/>
          <w:szCs w:val="24"/>
          <w:lang w:eastAsia="en-GB"/>
        </w:rPr>
        <w:t>the</w:t>
      </w:r>
      <w:r w:rsidR="001C2944">
        <w:rPr>
          <w:rFonts w:eastAsia="Times New Roman"/>
          <w:iCs/>
          <w:sz w:val="24"/>
          <w:szCs w:val="24"/>
          <w:lang w:eastAsia="en-GB"/>
        </w:rPr>
        <w:t xml:space="preserve"> prosecutorial treatment of domestic abuse</w:t>
      </w:r>
      <w:r w:rsidR="00A64B1C">
        <w:rPr>
          <w:rFonts w:eastAsia="Times New Roman"/>
          <w:iCs/>
          <w:sz w:val="24"/>
          <w:szCs w:val="24"/>
          <w:lang w:eastAsia="en-GB"/>
        </w:rPr>
        <w:t xml:space="preserve"> </w:t>
      </w:r>
      <w:r w:rsidR="001C2944">
        <w:rPr>
          <w:rFonts w:eastAsia="Times New Roman"/>
          <w:iCs/>
          <w:sz w:val="24"/>
          <w:szCs w:val="24"/>
          <w:lang w:eastAsia="en-GB"/>
        </w:rPr>
        <w:t xml:space="preserve">inherently requires </w:t>
      </w:r>
      <w:r>
        <w:rPr>
          <w:rFonts w:eastAsia="Times New Roman"/>
          <w:iCs/>
          <w:sz w:val="24"/>
          <w:szCs w:val="24"/>
          <w:lang w:eastAsia="en-GB"/>
        </w:rPr>
        <w:t>me to</w:t>
      </w:r>
      <w:r w:rsidR="00A64B1C">
        <w:rPr>
          <w:rFonts w:eastAsia="Times New Roman"/>
          <w:iCs/>
          <w:sz w:val="24"/>
          <w:szCs w:val="24"/>
          <w:lang w:eastAsia="en-GB"/>
        </w:rPr>
        <w:t xml:space="preserve"> engage with the criminal law and the criminal process. </w:t>
      </w:r>
      <w:r w:rsidR="0005240A">
        <w:rPr>
          <w:rFonts w:eastAsia="Times New Roman"/>
          <w:iCs/>
          <w:sz w:val="24"/>
          <w:szCs w:val="24"/>
          <w:lang w:eastAsia="en-GB"/>
        </w:rPr>
        <w:t>My</w:t>
      </w:r>
      <w:r w:rsidR="00A64B1C">
        <w:rPr>
          <w:rFonts w:eastAsia="Times New Roman"/>
          <w:iCs/>
          <w:sz w:val="24"/>
          <w:szCs w:val="24"/>
          <w:lang w:eastAsia="en-GB"/>
        </w:rPr>
        <w:t xml:space="preserve"> critical approach is not </w:t>
      </w:r>
      <w:r w:rsidR="0005240A">
        <w:rPr>
          <w:rFonts w:eastAsia="Times New Roman"/>
          <w:iCs/>
          <w:sz w:val="24"/>
          <w:szCs w:val="24"/>
          <w:lang w:eastAsia="en-GB"/>
        </w:rPr>
        <w:t>intended</w:t>
      </w:r>
      <w:r w:rsidR="00A64B1C">
        <w:rPr>
          <w:rFonts w:eastAsia="Times New Roman"/>
          <w:iCs/>
          <w:sz w:val="24"/>
          <w:szCs w:val="24"/>
          <w:lang w:eastAsia="en-GB"/>
        </w:rPr>
        <w:t xml:space="preserve"> to discredit criminal law’s moral strength</w:t>
      </w:r>
      <w:r w:rsidR="00C80498">
        <w:rPr>
          <w:rFonts w:eastAsia="Times New Roman"/>
          <w:iCs/>
          <w:sz w:val="24"/>
          <w:szCs w:val="24"/>
          <w:lang w:eastAsia="en-GB"/>
        </w:rPr>
        <w:t xml:space="preserve">, to </w:t>
      </w:r>
      <w:r w:rsidR="00A64B1C">
        <w:rPr>
          <w:rFonts w:eastAsia="Times New Roman"/>
          <w:iCs/>
          <w:sz w:val="24"/>
          <w:szCs w:val="24"/>
          <w:lang w:eastAsia="en-GB"/>
        </w:rPr>
        <w:t>dismiss its potential to set and evolve norms</w:t>
      </w:r>
      <w:r w:rsidR="00C80498">
        <w:rPr>
          <w:rFonts w:eastAsia="Times New Roman"/>
          <w:iCs/>
          <w:sz w:val="24"/>
          <w:szCs w:val="24"/>
          <w:lang w:eastAsia="en-GB"/>
        </w:rPr>
        <w:t xml:space="preserve"> and </w:t>
      </w:r>
      <w:r w:rsidR="00167254">
        <w:rPr>
          <w:rFonts w:eastAsia="Times New Roman"/>
          <w:iCs/>
          <w:sz w:val="24"/>
          <w:szCs w:val="24"/>
          <w:lang w:eastAsia="en-GB"/>
        </w:rPr>
        <w:t xml:space="preserve">its potential </w:t>
      </w:r>
      <w:r w:rsidR="00C80498">
        <w:rPr>
          <w:rFonts w:eastAsia="Times New Roman"/>
          <w:iCs/>
          <w:sz w:val="24"/>
          <w:szCs w:val="24"/>
          <w:lang w:eastAsia="en-GB"/>
        </w:rPr>
        <w:t>to produce beneficial outcomes for many women.</w:t>
      </w:r>
      <w:r w:rsidR="00A64B1C">
        <w:rPr>
          <w:rStyle w:val="FootnoteReference"/>
          <w:rFonts w:eastAsia="Times New Roman"/>
          <w:iCs/>
          <w:lang w:eastAsia="en-GB"/>
        </w:rPr>
        <w:footnoteReference w:id="100"/>
      </w:r>
      <w:r w:rsidR="00A64B1C">
        <w:rPr>
          <w:rFonts w:eastAsia="Times New Roman"/>
          <w:iCs/>
          <w:sz w:val="24"/>
          <w:szCs w:val="24"/>
          <w:lang w:eastAsia="en-GB"/>
        </w:rPr>
        <w:t xml:space="preserve"> Rather, my intention is to </w:t>
      </w:r>
      <w:r w:rsidR="008B6922">
        <w:rPr>
          <w:rFonts w:eastAsia="Times New Roman"/>
          <w:iCs/>
          <w:sz w:val="24"/>
          <w:szCs w:val="24"/>
          <w:lang w:eastAsia="en-GB"/>
        </w:rPr>
        <w:t xml:space="preserve">reflect </w:t>
      </w:r>
      <w:r w:rsidR="00024472">
        <w:rPr>
          <w:rFonts w:eastAsia="Times New Roman"/>
          <w:iCs/>
          <w:sz w:val="24"/>
          <w:szCs w:val="24"/>
          <w:lang w:eastAsia="en-GB"/>
        </w:rPr>
        <w:t>on</w:t>
      </w:r>
      <w:r w:rsidR="008B6922">
        <w:rPr>
          <w:rFonts w:eastAsia="Times New Roman"/>
          <w:iCs/>
          <w:sz w:val="24"/>
          <w:szCs w:val="24"/>
          <w:lang w:eastAsia="en-GB"/>
        </w:rPr>
        <w:t xml:space="preserve"> the unintended co</w:t>
      </w:r>
      <w:r w:rsidR="00024472">
        <w:rPr>
          <w:rFonts w:eastAsia="Times New Roman"/>
          <w:iCs/>
          <w:sz w:val="24"/>
          <w:szCs w:val="24"/>
          <w:lang w:eastAsia="en-GB"/>
        </w:rPr>
        <w:t xml:space="preserve">nsequences of the current prosecutorial approach and to suggest </w:t>
      </w:r>
      <w:r w:rsidR="00252C97">
        <w:rPr>
          <w:rFonts w:eastAsia="Times New Roman"/>
          <w:iCs/>
          <w:sz w:val="24"/>
          <w:szCs w:val="24"/>
          <w:lang w:eastAsia="en-GB"/>
        </w:rPr>
        <w:t>improvement</w:t>
      </w:r>
      <w:r w:rsidR="00922160">
        <w:rPr>
          <w:rFonts w:eastAsia="Times New Roman"/>
          <w:iCs/>
          <w:sz w:val="24"/>
          <w:szCs w:val="24"/>
          <w:lang w:eastAsia="en-GB"/>
        </w:rPr>
        <w:t>s</w:t>
      </w:r>
      <w:r w:rsidR="00252C97">
        <w:rPr>
          <w:rFonts w:eastAsia="Times New Roman"/>
          <w:iCs/>
          <w:sz w:val="24"/>
          <w:szCs w:val="24"/>
          <w:lang w:eastAsia="en-GB"/>
        </w:rPr>
        <w:t xml:space="preserve"> for </w:t>
      </w:r>
      <w:r w:rsidR="00024472">
        <w:rPr>
          <w:rFonts w:eastAsia="Times New Roman"/>
          <w:iCs/>
          <w:sz w:val="24"/>
          <w:szCs w:val="24"/>
          <w:lang w:eastAsia="en-GB"/>
        </w:rPr>
        <w:t xml:space="preserve">the survivor of abuse. </w:t>
      </w:r>
      <w:r w:rsidR="0005240A">
        <w:rPr>
          <w:rFonts w:eastAsia="Times New Roman"/>
          <w:iCs/>
          <w:sz w:val="24"/>
          <w:szCs w:val="24"/>
          <w:lang w:eastAsia="en-GB"/>
        </w:rPr>
        <w:t>I do this by</w:t>
      </w:r>
      <w:r w:rsidR="00A64B1C">
        <w:rPr>
          <w:rFonts w:eastAsia="Times New Roman"/>
          <w:iCs/>
          <w:sz w:val="24"/>
          <w:szCs w:val="24"/>
          <w:lang w:eastAsia="en-GB"/>
        </w:rPr>
        <w:t xml:space="preserve"> exposing</w:t>
      </w:r>
      <w:r w:rsidR="0005240A">
        <w:rPr>
          <w:rFonts w:eastAsia="Times New Roman"/>
          <w:iCs/>
          <w:sz w:val="24"/>
          <w:szCs w:val="24"/>
          <w:lang w:eastAsia="en-GB"/>
        </w:rPr>
        <w:t xml:space="preserve"> </w:t>
      </w:r>
      <w:r w:rsidR="00922160">
        <w:rPr>
          <w:rFonts w:eastAsia="Times New Roman"/>
          <w:iCs/>
          <w:sz w:val="24"/>
          <w:szCs w:val="24"/>
          <w:lang w:eastAsia="en-GB"/>
        </w:rPr>
        <w:t>any</w:t>
      </w:r>
      <w:r w:rsidR="00C80498">
        <w:rPr>
          <w:rFonts w:eastAsia="Times New Roman"/>
          <w:iCs/>
          <w:sz w:val="24"/>
          <w:szCs w:val="24"/>
          <w:lang w:eastAsia="en-GB"/>
        </w:rPr>
        <w:t xml:space="preserve"> </w:t>
      </w:r>
      <w:r w:rsidR="00A64B1C">
        <w:rPr>
          <w:rFonts w:eastAsia="Times New Roman"/>
          <w:iCs/>
          <w:sz w:val="24"/>
          <w:szCs w:val="24"/>
          <w:lang w:eastAsia="en-GB"/>
        </w:rPr>
        <w:t xml:space="preserve">shortcomings </w:t>
      </w:r>
      <w:r w:rsidR="0005240A">
        <w:rPr>
          <w:rFonts w:eastAsia="Times New Roman"/>
          <w:iCs/>
          <w:sz w:val="24"/>
          <w:szCs w:val="24"/>
          <w:lang w:eastAsia="en-GB"/>
        </w:rPr>
        <w:t>o</w:t>
      </w:r>
      <w:r w:rsidR="00C80498">
        <w:rPr>
          <w:rFonts w:eastAsia="Times New Roman"/>
          <w:iCs/>
          <w:sz w:val="24"/>
          <w:szCs w:val="24"/>
          <w:lang w:eastAsia="en-GB"/>
        </w:rPr>
        <w:t xml:space="preserve">f </w:t>
      </w:r>
      <w:r w:rsidR="0005240A">
        <w:rPr>
          <w:rFonts w:eastAsia="Times New Roman"/>
          <w:iCs/>
          <w:sz w:val="24"/>
          <w:szCs w:val="24"/>
          <w:lang w:eastAsia="en-GB"/>
        </w:rPr>
        <w:t xml:space="preserve">the current </w:t>
      </w:r>
      <w:r w:rsidR="00167254">
        <w:rPr>
          <w:rFonts w:eastAsia="Times New Roman"/>
          <w:iCs/>
          <w:sz w:val="24"/>
          <w:szCs w:val="24"/>
          <w:lang w:eastAsia="en-GB"/>
        </w:rPr>
        <w:t xml:space="preserve">prosecutorial </w:t>
      </w:r>
      <w:r w:rsidR="0005240A">
        <w:rPr>
          <w:rFonts w:eastAsia="Times New Roman"/>
          <w:iCs/>
          <w:sz w:val="24"/>
          <w:szCs w:val="24"/>
          <w:lang w:eastAsia="en-GB"/>
        </w:rPr>
        <w:t xml:space="preserve">approach </w:t>
      </w:r>
      <w:r w:rsidR="00167254">
        <w:rPr>
          <w:rFonts w:eastAsia="Times New Roman"/>
          <w:iCs/>
          <w:sz w:val="24"/>
          <w:szCs w:val="24"/>
          <w:lang w:eastAsia="en-GB"/>
        </w:rPr>
        <w:t xml:space="preserve">bearing in mind its situation in the wider criminal justice process </w:t>
      </w:r>
      <w:r w:rsidR="00A64B1C">
        <w:rPr>
          <w:rFonts w:eastAsia="Times New Roman"/>
          <w:iCs/>
          <w:sz w:val="24"/>
          <w:szCs w:val="24"/>
          <w:lang w:eastAsia="en-GB"/>
        </w:rPr>
        <w:t xml:space="preserve">and </w:t>
      </w:r>
      <w:r w:rsidR="0005240A">
        <w:rPr>
          <w:rFonts w:eastAsia="Times New Roman"/>
          <w:iCs/>
          <w:sz w:val="24"/>
          <w:szCs w:val="24"/>
          <w:lang w:eastAsia="en-GB"/>
        </w:rPr>
        <w:t xml:space="preserve">by </w:t>
      </w:r>
      <w:r w:rsidR="00A64B1C">
        <w:rPr>
          <w:rFonts w:eastAsia="Times New Roman"/>
          <w:iCs/>
          <w:sz w:val="24"/>
          <w:szCs w:val="24"/>
          <w:lang w:eastAsia="en-GB"/>
        </w:rPr>
        <w:t>drawing attention to any limiting discourses</w:t>
      </w:r>
      <w:r w:rsidR="0005240A">
        <w:rPr>
          <w:rFonts w:eastAsia="Times New Roman"/>
          <w:iCs/>
          <w:sz w:val="24"/>
          <w:szCs w:val="24"/>
          <w:lang w:eastAsia="en-GB"/>
        </w:rPr>
        <w:t>.</w:t>
      </w:r>
      <w:r w:rsidR="00A64B1C">
        <w:rPr>
          <w:rFonts w:eastAsia="Times New Roman"/>
          <w:iCs/>
          <w:sz w:val="24"/>
          <w:szCs w:val="24"/>
          <w:lang w:eastAsia="en-GB"/>
        </w:rPr>
        <w:t xml:space="preserve"> </w:t>
      </w:r>
    </w:p>
    <w:p w14:paraId="43A3B58F" w14:textId="76CF39DA" w:rsidR="0005240A" w:rsidRDefault="00A64B1C" w:rsidP="00167254">
      <w:pPr>
        <w:spacing w:after="100" w:afterAutospacing="1" w:line="360" w:lineRule="auto"/>
        <w:ind w:firstLine="720"/>
        <w:rPr>
          <w:rFonts w:eastAsia="Times New Roman"/>
          <w:iCs/>
          <w:sz w:val="24"/>
          <w:szCs w:val="24"/>
          <w:lang w:eastAsia="en-GB"/>
        </w:rPr>
      </w:pPr>
      <w:r>
        <w:rPr>
          <w:rFonts w:eastAsia="Times New Roman"/>
          <w:iCs/>
          <w:sz w:val="24"/>
          <w:szCs w:val="24"/>
          <w:lang w:eastAsia="en-GB"/>
        </w:rPr>
        <w:lastRenderedPageBreak/>
        <w:t xml:space="preserve">Therein lies the shared aims and methods of feminist, socio-legal and critical legal scholarship of the type </w:t>
      </w:r>
      <w:r w:rsidR="0005240A">
        <w:rPr>
          <w:rFonts w:eastAsia="Times New Roman"/>
          <w:iCs/>
          <w:sz w:val="24"/>
          <w:szCs w:val="24"/>
          <w:lang w:eastAsia="en-GB"/>
        </w:rPr>
        <w:t>the book</w:t>
      </w:r>
      <w:r>
        <w:rPr>
          <w:rFonts w:eastAsia="Times New Roman"/>
          <w:iCs/>
          <w:sz w:val="24"/>
          <w:szCs w:val="24"/>
          <w:lang w:eastAsia="en-GB"/>
        </w:rPr>
        <w:t xml:space="preserve"> emulates; the disruption of the </w:t>
      </w:r>
      <w:r w:rsidR="005C6D09">
        <w:rPr>
          <w:rFonts w:eastAsia="Times New Roman"/>
          <w:iCs/>
          <w:sz w:val="24"/>
          <w:szCs w:val="24"/>
          <w:lang w:eastAsia="en-GB"/>
        </w:rPr>
        <w:t>legal positivist account of law as emanating from a superior source</w:t>
      </w:r>
      <w:r w:rsidR="000A5FAD">
        <w:rPr>
          <w:rFonts w:eastAsia="Times New Roman"/>
          <w:iCs/>
          <w:sz w:val="24"/>
          <w:szCs w:val="24"/>
          <w:lang w:eastAsia="en-GB"/>
        </w:rPr>
        <w:t>, delivering</w:t>
      </w:r>
      <w:r w:rsidR="008227C3">
        <w:rPr>
          <w:rFonts w:eastAsia="Times New Roman"/>
          <w:iCs/>
          <w:sz w:val="24"/>
          <w:szCs w:val="24"/>
          <w:lang w:eastAsia="en-GB"/>
        </w:rPr>
        <w:t xml:space="preserve"> </w:t>
      </w:r>
      <w:r w:rsidR="000A5FAD">
        <w:rPr>
          <w:rFonts w:eastAsia="Times New Roman"/>
          <w:iCs/>
          <w:sz w:val="24"/>
          <w:szCs w:val="24"/>
          <w:lang w:eastAsia="en-GB"/>
        </w:rPr>
        <w:t>coherent reasoning</w:t>
      </w:r>
      <w:r w:rsidR="008227C3">
        <w:rPr>
          <w:rFonts w:eastAsia="Times New Roman"/>
          <w:iCs/>
          <w:sz w:val="24"/>
          <w:szCs w:val="24"/>
          <w:lang w:eastAsia="en-GB"/>
        </w:rPr>
        <w:t xml:space="preserve"> </w:t>
      </w:r>
      <w:r w:rsidR="00922160">
        <w:rPr>
          <w:rFonts w:eastAsia="Times New Roman"/>
          <w:iCs/>
          <w:sz w:val="24"/>
          <w:szCs w:val="24"/>
          <w:lang w:eastAsia="en-GB"/>
        </w:rPr>
        <w:t>that</w:t>
      </w:r>
      <w:r w:rsidR="008227C3">
        <w:rPr>
          <w:rFonts w:eastAsia="Times New Roman"/>
          <w:iCs/>
          <w:sz w:val="24"/>
          <w:szCs w:val="24"/>
          <w:lang w:eastAsia="en-GB"/>
        </w:rPr>
        <w:t xml:space="preserve"> benefit</w:t>
      </w:r>
      <w:r w:rsidR="00922160">
        <w:rPr>
          <w:rFonts w:eastAsia="Times New Roman"/>
          <w:iCs/>
          <w:sz w:val="24"/>
          <w:szCs w:val="24"/>
          <w:lang w:eastAsia="en-GB"/>
        </w:rPr>
        <w:t xml:space="preserve">s </w:t>
      </w:r>
      <w:r w:rsidR="008227C3">
        <w:rPr>
          <w:rFonts w:eastAsia="Times New Roman"/>
          <w:iCs/>
          <w:sz w:val="24"/>
          <w:szCs w:val="24"/>
          <w:lang w:eastAsia="en-GB"/>
        </w:rPr>
        <w:t>everyone</w:t>
      </w:r>
      <w:r w:rsidR="005C6D09">
        <w:rPr>
          <w:rFonts w:eastAsia="Times New Roman"/>
          <w:iCs/>
          <w:sz w:val="24"/>
          <w:szCs w:val="24"/>
          <w:lang w:eastAsia="en-GB"/>
        </w:rPr>
        <w:t>.</w:t>
      </w:r>
      <w:r>
        <w:rPr>
          <w:rStyle w:val="FootnoteReference"/>
          <w:rFonts w:eastAsia="Times New Roman"/>
          <w:iCs/>
          <w:lang w:eastAsia="en-GB"/>
        </w:rPr>
        <w:footnoteReference w:id="101"/>
      </w:r>
      <w:r>
        <w:rPr>
          <w:rFonts w:eastAsia="Times New Roman"/>
          <w:iCs/>
          <w:sz w:val="24"/>
          <w:szCs w:val="24"/>
          <w:lang w:eastAsia="en-GB"/>
        </w:rPr>
        <w:t xml:space="preserve"> </w:t>
      </w:r>
      <w:r w:rsidR="008227C3">
        <w:rPr>
          <w:rFonts w:eastAsia="Times New Roman"/>
          <w:iCs/>
          <w:sz w:val="24"/>
          <w:szCs w:val="24"/>
          <w:lang w:eastAsia="en-GB"/>
        </w:rPr>
        <w:t xml:space="preserve">I </w:t>
      </w:r>
      <w:r w:rsidR="008F2B81">
        <w:rPr>
          <w:rFonts w:eastAsia="Times New Roman"/>
          <w:iCs/>
          <w:sz w:val="24"/>
          <w:szCs w:val="24"/>
          <w:lang w:eastAsia="en-GB"/>
        </w:rPr>
        <w:t>want to reposition survivors not as passive recipients of law but as active participants</w:t>
      </w:r>
      <w:r w:rsidR="00922160">
        <w:rPr>
          <w:rFonts w:eastAsia="Times New Roman"/>
          <w:iCs/>
          <w:sz w:val="24"/>
          <w:szCs w:val="24"/>
          <w:lang w:eastAsia="en-GB"/>
        </w:rPr>
        <w:t xml:space="preserve"> in law creation</w:t>
      </w:r>
      <w:r w:rsidR="00573F72">
        <w:rPr>
          <w:rFonts w:eastAsia="Times New Roman"/>
          <w:iCs/>
          <w:sz w:val="24"/>
          <w:szCs w:val="24"/>
          <w:lang w:eastAsia="en-GB"/>
        </w:rPr>
        <w:t>. I e</w:t>
      </w:r>
      <w:r w:rsidR="008F2B81">
        <w:rPr>
          <w:rFonts w:eastAsia="Times New Roman"/>
          <w:iCs/>
          <w:sz w:val="24"/>
          <w:szCs w:val="24"/>
          <w:lang w:eastAsia="en-GB"/>
        </w:rPr>
        <w:t>xplor</w:t>
      </w:r>
      <w:r w:rsidR="00573F72">
        <w:rPr>
          <w:rFonts w:eastAsia="Times New Roman"/>
          <w:iCs/>
          <w:sz w:val="24"/>
          <w:szCs w:val="24"/>
          <w:lang w:eastAsia="en-GB"/>
        </w:rPr>
        <w:t>e</w:t>
      </w:r>
      <w:r w:rsidR="008F2B81">
        <w:rPr>
          <w:rFonts w:eastAsia="Times New Roman"/>
          <w:iCs/>
          <w:sz w:val="24"/>
          <w:szCs w:val="24"/>
          <w:lang w:eastAsia="en-GB"/>
        </w:rPr>
        <w:t xml:space="preserve"> the potential for </w:t>
      </w:r>
      <w:r w:rsidR="00573F72">
        <w:rPr>
          <w:rFonts w:eastAsia="Times New Roman"/>
          <w:iCs/>
          <w:sz w:val="24"/>
          <w:szCs w:val="24"/>
          <w:lang w:eastAsia="en-GB"/>
        </w:rPr>
        <w:t>women’s</w:t>
      </w:r>
      <w:r w:rsidR="008F2B81">
        <w:rPr>
          <w:rFonts w:eastAsia="Times New Roman"/>
          <w:iCs/>
          <w:sz w:val="24"/>
          <w:szCs w:val="24"/>
          <w:lang w:eastAsia="en-GB"/>
        </w:rPr>
        <w:t xml:space="preserve"> </w:t>
      </w:r>
      <w:proofErr w:type="spellStart"/>
      <w:r w:rsidR="00573F72">
        <w:rPr>
          <w:rFonts w:eastAsia="Times New Roman"/>
          <w:iCs/>
          <w:sz w:val="24"/>
          <w:szCs w:val="24"/>
          <w:lang w:eastAsia="en-GB"/>
        </w:rPr>
        <w:t>thrivership</w:t>
      </w:r>
      <w:proofErr w:type="spellEnd"/>
      <w:r w:rsidR="00573F72">
        <w:rPr>
          <w:rFonts w:eastAsia="Times New Roman"/>
          <w:iCs/>
          <w:sz w:val="24"/>
          <w:szCs w:val="24"/>
          <w:lang w:eastAsia="en-GB"/>
        </w:rPr>
        <w:t xml:space="preserve"> with or without the criminal law’s help</w:t>
      </w:r>
      <w:r w:rsidR="00F83BA9">
        <w:rPr>
          <w:rFonts w:eastAsia="Times New Roman"/>
          <w:iCs/>
          <w:sz w:val="24"/>
          <w:szCs w:val="24"/>
          <w:lang w:eastAsia="en-GB"/>
        </w:rPr>
        <w:t xml:space="preserve"> and suggest that women’s</w:t>
      </w:r>
      <w:r w:rsidR="008F2B81">
        <w:rPr>
          <w:rFonts w:eastAsia="Times New Roman"/>
          <w:iCs/>
          <w:sz w:val="24"/>
          <w:szCs w:val="24"/>
          <w:lang w:eastAsia="en-GB"/>
        </w:rPr>
        <w:t xml:space="preserve"> </w:t>
      </w:r>
      <w:r w:rsidR="008227C3">
        <w:rPr>
          <w:rFonts w:eastAsia="Times New Roman"/>
          <w:iCs/>
          <w:sz w:val="24"/>
          <w:szCs w:val="24"/>
          <w:lang w:eastAsia="en-GB"/>
        </w:rPr>
        <w:t>non-essentialis</w:t>
      </w:r>
      <w:r w:rsidR="00F83BA9">
        <w:rPr>
          <w:rFonts w:eastAsia="Times New Roman"/>
          <w:iCs/>
          <w:sz w:val="24"/>
          <w:szCs w:val="24"/>
          <w:lang w:eastAsia="en-GB"/>
        </w:rPr>
        <w:t>t</w:t>
      </w:r>
      <w:r w:rsidR="008227C3">
        <w:rPr>
          <w:rFonts w:eastAsia="Times New Roman"/>
          <w:iCs/>
          <w:sz w:val="24"/>
          <w:szCs w:val="24"/>
          <w:lang w:eastAsia="en-GB"/>
        </w:rPr>
        <w:t xml:space="preserve">, polycentric and </w:t>
      </w:r>
      <w:r>
        <w:rPr>
          <w:rFonts w:eastAsia="Times New Roman"/>
          <w:iCs/>
          <w:sz w:val="24"/>
          <w:szCs w:val="24"/>
          <w:lang w:eastAsia="en-GB"/>
        </w:rPr>
        <w:t>intersubjecti</w:t>
      </w:r>
      <w:r w:rsidR="00F83BA9">
        <w:rPr>
          <w:rFonts w:eastAsia="Times New Roman"/>
          <w:iCs/>
          <w:sz w:val="24"/>
          <w:szCs w:val="24"/>
          <w:lang w:eastAsia="en-GB"/>
        </w:rPr>
        <w:t>ve char</w:t>
      </w:r>
      <w:r w:rsidR="00A62D44">
        <w:rPr>
          <w:rFonts w:eastAsia="Times New Roman"/>
          <w:iCs/>
          <w:sz w:val="24"/>
          <w:szCs w:val="24"/>
          <w:lang w:eastAsia="en-GB"/>
        </w:rPr>
        <w:t>a</w:t>
      </w:r>
      <w:r w:rsidR="00F83BA9">
        <w:rPr>
          <w:rFonts w:eastAsia="Times New Roman"/>
          <w:iCs/>
          <w:sz w:val="24"/>
          <w:szCs w:val="24"/>
          <w:lang w:eastAsia="en-GB"/>
        </w:rPr>
        <w:t>cteristics and experiences lend themselves to case-by-case assessment about what is in their best interests</w:t>
      </w:r>
      <w:r>
        <w:rPr>
          <w:rFonts w:eastAsia="Times New Roman"/>
          <w:iCs/>
          <w:sz w:val="24"/>
          <w:szCs w:val="24"/>
          <w:lang w:eastAsia="en-GB"/>
        </w:rPr>
        <w:t>.</w:t>
      </w:r>
      <w:r>
        <w:rPr>
          <w:rStyle w:val="FootnoteReference"/>
          <w:rFonts w:eastAsia="Times New Roman"/>
          <w:iCs/>
          <w:lang w:eastAsia="en-GB"/>
        </w:rPr>
        <w:footnoteReference w:id="102"/>
      </w:r>
      <w:r>
        <w:rPr>
          <w:rFonts w:eastAsia="Times New Roman"/>
          <w:iCs/>
          <w:sz w:val="24"/>
          <w:szCs w:val="24"/>
          <w:lang w:eastAsia="en-GB"/>
        </w:rPr>
        <w:t xml:space="preserve"> </w:t>
      </w:r>
      <w:r w:rsidR="0005240A">
        <w:rPr>
          <w:rFonts w:eastAsia="Times New Roman"/>
          <w:iCs/>
          <w:sz w:val="24"/>
          <w:szCs w:val="24"/>
          <w:lang w:eastAsia="en-GB"/>
        </w:rPr>
        <w:t>I want therefore to play a</w:t>
      </w:r>
      <w:r>
        <w:rPr>
          <w:rFonts w:eastAsia="Times New Roman"/>
          <w:iCs/>
          <w:sz w:val="24"/>
          <w:szCs w:val="24"/>
          <w:lang w:eastAsia="en-GB"/>
        </w:rPr>
        <w:t xml:space="preserve"> part in the discursive unsettling of the (neoliberal) penal equation and </w:t>
      </w:r>
      <w:r w:rsidR="00F83BA9">
        <w:rPr>
          <w:rFonts w:eastAsia="Times New Roman"/>
          <w:iCs/>
          <w:sz w:val="24"/>
          <w:szCs w:val="24"/>
          <w:lang w:eastAsia="en-GB"/>
        </w:rPr>
        <w:t>any</w:t>
      </w:r>
      <w:r>
        <w:rPr>
          <w:rFonts w:eastAsia="Times New Roman"/>
          <w:iCs/>
          <w:sz w:val="24"/>
          <w:szCs w:val="24"/>
          <w:lang w:eastAsia="en-GB"/>
        </w:rPr>
        <w:t xml:space="preserve"> notion </w:t>
      </w:r>
      <w:r w:rsidR="0005240A">
        <w:rPr>
          <w:rFonts w:eastAsia="Times New Roman"/>
          <w:iCs/>
          <w:sz w:val="24"/>
          <w:szCs w:val="24"/>
          <w:lang w:eastAsia="en-GB"/>
        </w:rPr>
        <w:t>that</w:t>
      </w:r>
      <w:r>
        <w:rPr>
          <w:rFonts w:eastAsia="Times New Roman"/>
          <w:iCs/>
          <w:sz w:val="24"/>
          <w:szCs w:val="24"/>
          <w:lang w:eastAsia="en-GB"/>
        </w:rPr>
        <w:t xml:space="preserve"> </w:t>
      </w:r>
      <w:r w:rsidR="0005240A">
        <w:rPr>
          <w:rFonts w:eastAsia="Times New Roman"/>
          <w:iCs/>
          <w:sz w:val="24"/>
          <w:szCs w:val="24"/>
          <w:lang w:eastAsia="en-GB"/>
        </w:rPr>
        <w:t>the criminal law</w:t>
      </w:r>
      <w:r w:rsidR="00C80498">
        <w:rPr>
          <w:rFonts w:eastAsia="Times New Roman"/>
          <w:iCs/>
          <w:sz w:val="24"/>
          <w:szCs w:val="24"/>
          <w:lang w:eastAsia="en-GB"/>
        </w:rPr>
        <w:t xml:space="preserve"> singlehandedly</w:t>
      </w:r>
      <w:r w:rsidR="0005240A">
        <w:rPr>
          <w:rFonts w:eastAsia="Times New Roman"/>
          <w:iCs/>
          <w:sz w:val="24"/>
          <w:szCs w:val="24"/>
          <w:lang w:eastAsia="en-GB"/>
        </w:rPr>
        <w:t xml:space="preserve"> has the tools, reach and</w:t>
      </w:r>
      <w:r>
        <w:rPr>
          <w:rFonts w:eastAsia="Times New Roman"/>
          <w:iCs/>
          <w:sz w:val="24"/>
          <w:szCs w:val="24"/>
          <w:lang w:eastAsia="en-GB"/>
        </w:rPr>
        <w:t xml:space="preserve"> power to </w:t>
      </w:r>
      <w:r w:rsidR="00D627BD">
        <w:rPr>
          <w:rFonts w:eastAsia="Times New Roman"/>
          <w:iCs/>
          <w:sz w:val="24"/>
          <w:szCs w:val="24"/>
          <w:lang w:eastAsia="en-GB"/>
        </w:rPr>
        <w:t xml:space="preserve">effect the best outcomes for women and, ultimately, to </w:t>
      </w:r>
      <w:r>
        <w:rPr>
          <w:rFonts w:eastAsia="Times New Roman"/>
          <w:iCs/>
          <w:sz w:val="24"/>
          <w:szCs w:val="24"/>
          <w:lang w:eastAsia="en-GB"/>
        </w:rPr>
        <w:t xml:space="preserve">end domestic abuse. </w:t>
      </w:r>
      <w:bookmarkStart w:id="79" w:name="Methodology"/>
      <w:bookmarkStart w:id="80" w:name="_Hlk517442382"/>
    </w:p>
    <w:p w14:paraId="152800E3" w14:textId="399EF344" w:rsidR="00A64B1C" w:rsidRPr="00573F72" w:rsidRDefault="00A64B1C" w:rsidP="00573F72">
      <w:pPr>
        <w:pStyle w:val="ListParagraph"/>
        <w:numPr>
          <w:ilvl w:val="0"/>
          <w:numId w:val="40"/>
        </w:numPr>
        <w:spacing w:after="0" w:line="360" w:lineRule="auto"/>
        <w:rPr>
          <w:rFonts w:eastAsia="Times New Roman"/>
          <w:b/>
          <w:iCs/>
          <w:sz w:val="24"/>
          <w:szCs w:val="24"/>
          <w:lang w:eastAsia="en-GB"/>
        </w:rPr>
      </w:pPr>
      <w:r w:rsidRPr="00573F72">
        <w:rPr>
          <w:rFonts w:eastAsia="Times New Roman"/>
          <w:b/>
          <w:iCs/>
          <w:sz w:val="24"/>
          <w:szCs w:val="24"/>
          <w:lang w:eastAsia="en-GB"/>
        </w:rPr>
        <w:t>Methodology</w:t>
      </w:r>
      <w:bookmarkEnd w:id="79"/>
      <w:r w:rsidRPr="00573F72">
        <w:rPr>
          <w:rFonts w:eastAsia="Times New Roman"/>
          <w:b/>
          <w:iCs/>
          <w:sz w:val="24"/>
          <w:szCs w:val="24"/>
          <w:lang w:eastAsia="en-GB"/>
        </w:rPr>
        <w:t xml:space="preserve"> </w:t>
      </w:r>
    </w:p>
    <w:p w14:paraId="0EAFEABE" w14:textId="77777777" w:rsidR="00A64B1C" w:rsidRPr="00EB0508" w:rsidRDefault="00A64B1C" w:rsidP="00167254">
      <w:pPr>
        <w:spacing w:after="100" w:afterAutospacing="1" w:line="360" w:lineRule="auto"/>
        <w:ind w:firstLine="720"/>
        <w:rPr>
          <w:rFonts w:eastAsia="Times New Roman"/>
          <w:b/>
          <w:iCs/>
          <w:sz w:val="24"/>
          <w:szCs w:val="24"/>
          <w:lang w:eastAsia="en-GB"/>
        </w:rPr>
      </w:pPr>
      <w:bookmarkStart w:id="81" w:name="Sociolegal"/>
      <w:r>
        <w:rPr>
          <w:b/>
          <w:sz w:val="24"/>
          <w:szCs w:val="24"/>
        </w:rPr>
        <w:t xml:space="preserve">7 </w:t>
      </w:r>
      <w:r w:rsidRPr="00EB0508">
        <w:rPr>
          <w:b/>
          <w:sz w:val="24"/>
          <w:szCs w:val="24"/>
        </w:rPr>
        <w:t>(</w:t>
      </w:r>
      <w:proofErr w:type="spellStart"/>
      <w:r w:rsidRPr="00EB0508">
        <w:rPr>
          <w:b/>
          <w:sz w:val="24"/>
          <w:szCs w:val="24"/>
        </w:rPr>
        <w:t>i</w:t>
      </w:r>
      <w:proofErr w:type="spellEnd"/>
      <w:r w:rsidRPr="00EB0508">
        <w:rPr>
          <w:b/>
          <w:sz w:val="24"/>
          <w:szCs w:val="24"/>
        </w:rPr>
        <w:t xml:space="preserve">) </w:t>
      </w:r>
      <w:r>
        <w:rPr>
          <w:b/>
          <w:sz w:val="24"/>
          <w:szCs w:val="24"/>
        </w:rPr>
        <w:t xml:space="preserve"> </w:t>
      </w:r>
      <w:r w:rsidRPr="00EB0508">
        <w:rPr>
          <w:b/>
          <w:sz w:val="24"/>
          <w:szCs w:val="24"/>
        </w:rPr>
        <w:t>Socio-Legal Research</w:t>
      </w:r>
      <w:bookmarkEnd w:id="81"/>
    </w:p>
    <w:bookmarkEnd w:id="80"/>
    <w:p w14:paraId="038C6447" w14:textId="51A17BA0" w:rsidR="00F029E0" w:rsidRDefault="00A64B1C" w:rsidP="00F029E0">
      <w:pPr>
        <w:spacing w:after="0" w:line="360" w:lineRule="auto"/>
        <w:ind w:firstLine="720"/>
        <w:rPr>
          <w:sz w:val="24"/>
          <w:szCs w:val="24"/>
        </w:rPr>
      </w:pPr>
      <w:r>
        <w:rPr>
          <w:sz w:val="24"/>
          <w:szCs w:val="24"/>
        </w:rPr>
        <w:t>In the legal positivist account, law claims to be separated from society and is therefore able to provide ‘natural’</w:t>
      </w:r>
      <w:r w:rsidR="00D627BD">
        <w:rPr>
          <w:sz w:val="24"/>
          <w:szCs w:val="24"/>
        </w:rPr>
        <w:t xml:space="preserve">, </w:t>
      </w:r>
      <w:r>
        <w:rPr>
          <w:sz w:val="24"/>
          <w:szCs w:val="24"/>
        </w:rPr>
        <w:t>‘rational’</w:t>
      </w:r>
      <w:r w:rsidR="00D627BD">
        <w:rPr>
          <w:sz w:val="24"/>
          <w:szCs w:val="24"/>
        </w:rPr>
        <w:t xml:space="preserve"> or ‘objective’</w:t>
      </w:r>
      <w:r>
        <w:rPr>
          <w:sz w:val="24"/>
          <w:szCs w:val="24"/>
        </w:rPr>
        <w:t xml:space="preserve"> outcomes and determinations. This has been the dominant mode of understanding the nature of law. Socio-legal scholars, however, recognise that legal ideas and practices can be understood as the effect of social, historical, cultural, political or professional consequences and conditions.</w:t>
      </w:r>
      <w:r>
        <w:rPr>
          <w:rStyle w:val="FootnoteReference"/>
        </w:rPr>
        <w:footnoteReference w:id="103"/>
      </w:r>
      <w:r w:rsidRPr="00E83406">
        <w:rPr>
          <w:sz w:val="24"/>
          <w:szCs w:val="24"/>
        </w:rPr>
        <w:t xml:space="preserve"> </w:t>
      </w:r>
      <w:r>
        <w:rPr>
          <w:sz w:val="24"/>
          <w:szCs w:val="24"/>
        </w:rPr>
        <w:t xml:space="preserve">If </w:t>
      </w:r>
      <w:r w:rsidR="000B76C8">
        <w:rPr>
          <w:sz w:val="24"/>
          <w:szCs w:val="24"/>
        </w:rPr>
        <w:t>domestic abuse perpetrators</w:t>
      </w:r>
      <w:r>
        <w:rPr>
          <w:sz w:val="24"/>
          <w:szCs w:val="24"/>
        </w:rPr>
        <w:t xml:space="preserve"> can </w:t>
      </w:r>
      <w:r w:rsidR="00A16FAE">
        <w:rPr>
          <w:sz w:val="24"/>
          <w:szCs w:val="24"/>
        </w:rPr>
        <w:t xml:space="preserve">now </w:t>
      </w:r>
      <w:r w:rsidR="000B76C8">
        <w:rPr>
          <w:sz w:val="24"/>
          <w:szCs w:val="24"/>
        </w:rPr>
        <w:t>expect to be prosecuted and convicted</w:t>
      </w:r>
      <w:r>
        <w:rPr>
          <w:sz w:val="24"/>
          <w:szCs w:val="24"/>
        </w:rPr>
        <w:t xml:space="preserve">, positivists might argue this </w:t>
      </w:r>
      <w:r w:rsidR="000B76C8">
        <w:rPr>
          <w:sz w:val="24"/>
          <w:szCs w:val="24"/>
        </w:rPr>
        <w:t>reflects</w:t>
      </w:r>
      <w:r>
        <w:rPr>
          <w:sz w:val="24"/>
          <w:szCs w:val="24"/>
        </w:rPr>
        <w:t xml:space="preserve"> the legitimacy and authority of the law</w:t>
      </w:r>
      <w:r w:rsidR="000B76C8">
        <w:rPr>
          <w:sz w:val="24"/>
          <w:szCs w:val="24"/>
        </w:rPr>
        <w:t xml:space="preserve"> to pursue them</w:t>
      </w:r>
      <w:r>
        <w:rPr>
          <w:sz w:val="24"/>
          <w:szCs w:val="24"/>
        </w:rPr>
        <w:t xml:space="preserve">. </w:t>
      </w:r>
      <w:r w:rsidR="000B76C8">
        <w:rPr>
          <w:sz w:val="24"/>
          <w:szCs w:val="24"/>
        </w:rPr>
        <w:t>For socio</w:t>
      </w:r>
      <w:r>
        <w:rPr>
          <w:sz w:val="24"/>
          <w:szCs w:val="24"/>
        </w:rPr>
        <w:t>-legal scholars</w:t>
      </w:r>
      <w:r w:rsidR="000B76C8">
        <w:rPr>
          <w:sz w:val="24"/>
          <w:szCs w:val="24"/>
        </w:rPr>
        <w:t>, the same practice of tenacious prosecutions, may</w:t>
      </w:r>
      <w:r w:rsidR="00F029E0">
        <w:rPr>
          <w:sz w:val="24"/>
          <w:szCs w:val="24"/>
        </w:rPr>
        <w:t xml:space="preserve"> </w:t>
      </w:r>
      <w:r w:rsidR="000B76C8">
        <w:rPr>
          <w:sz w:val="24"/>
          <w:szCs w:val="24"/>
        </w:rPr>
        <w:t>also cause them to</w:t>
      </w:r>
      <w:r w:rsidR="00F029E0">
        <w:rPr>
          <w:sz w:val="24"/>
          <w:szCs w:val="24"/>
        </w:rPr>
        <w:t xml:space="preserve"> </w:t>
      </w:r>
      <w:r>
        <w:rPr>
          <w:sz w:val="24"/>
          <w:szCs w:val="24"/>
        </w:rPr>
        <w:t>reflect upon</w:t>
      </w:r>
      <w:r w:rsidR="000B76C8">
        <w:rPr>
          <w:sz w:val="24"/>
          <w:szCs w:val="24"/>
        </w:rPr>
        <w:t xml:space="preserve"> how factors external to law and legal procedure </w:t>
      </w:r>
      <w:r w:rsidR="009E1B67">
        <w:rPr>
          <w:sz w:val="24"/>
          <w:szCs w:val="24"/>
        </w:rPr>
        <w:t>might have brought about the practice</w:t>
      </w:r>
      <w:r w:rsidR="000B76C8">
        <w:rPr>
          <w:sz w:val="24"/>
          <w:szCs w:val="24"/>
        </w:rPr>
        <w:t>; f</w:t>
      </w:r>
      <w:r>
        <w:rPr>
          <w:sz w:val="24"/>
          <w:szCs w:val="24"/>
        </w:rPr>
        <w:t>or example</w:t>
      </w:r>
      <w:r w:rsidR="000B76C8">
        <w:rPr>
          <w:sz w:val="24"/>
          <w:szCs w:val="24"/>
        </w:rPr>
        <w:t xml:space="preserve"> </w:t>
      </w:r>
      <w:r w:rsidR="009E1B67">
        <w:rPr>
          <w:sz w:val="24"/>
          <w:szCs w:val="24"/>
        </w:rPr>
        <w:t>socio-legal scholars might reflect on</w:t>
      </w:r>
      <w:r>
        <w:rPr>
          <w:sz w:val="24"/>
          <w:szCs w:val="24"/>
        </w:rPr>
        <w:t xml:space="preserve"> how </w:t>
      </w:r>
      <w:r w:rsidR="00D627BD">
        <w:rPr>
          <w:sz w:val="24"/>
          <w:szCs w:val="24"/>
        </w:rPr>
        <w:t xml:space="preserve">feminists in the </w:t>
      </w:r>
      <w:r>
        <w:rPr>
          <w:sz w:val="24"/>
          <w:szCs w:val="24"/>
        </w:rPr>
        <w:t>late modern politic</w:t>
      </w:r>
      <w:r w:rsidR="00D627BD">
        <w:rPr>
          <w:sz w:val="24"/>
          <w:szCs w:val="24"/>
        </w:rPr>
        <w:t>al</w:t>
      </w:r>
      <w:r>
        <w:rPr>
          <w:sz w:val="24"/>
          <w:szCs w:val="24"/>
        </w:rPr>
        <w:t xml:space="preserve"> and cultur</w:t>
      </w:r>
      <w:r w:rsidR="00D627BD">
        <w:rPr>
          <w:sz w:val="24"/>
          <w:szCs w:val="24"/>
        </w:rPr>
        <w:t>al era</w:t>
      </w:r>
      <w:r>
        <w:rPr>
          <w:sz w:val="24"/>
          <w:szCs w:val="24"/>
        </w:rPr>
        <w:t xml:space="preserve"> </w:t>
      </w:r>
      <w:r w:rsidR="00B679C4">
        <w:rPr>
          <w:sz w:val="24"/>
          <w:szCs w:val="24"/>
        </w:rPr>
        <w:t>demand</w:t>
      </w:r>
      <w:r w:rsidR="00D627BD">
        <w:rPr>
          <w:sz w:val="24"/>
          <w:szCs w:val="24"/>
        </w:rPr>
        <w:t>ed</w:t>
      </w:r>
      <w:r w:rsidR="00B679C4">
        <w:rPr>
          <w:sz w:val="24"/>
          <w:szCs w:val="24"/>
        </w:rPr>
        <w:t xml:space="preserve"> state responsiveness and how neoliberal governments have promoted</w:t>
      </w:r>
      <w:r>
        <w:rPr>
          <w:sz w:val="24"/>
          <w:szCs w:val="24"/>
        </w:rPr>
        <w:t xml:space="preserve"> </w:t>
      </w:r>
      <w:r w:rsidR="00F029E0">
        <w:rPr>
          <w:sz w:val="24"/>
          <w:szCs w:val="24"/>
        </w:rPr>
        <w:t>the</w:t>
      </w:r>
      <w:r>
        <w:rPr>
          <w:sz w:val="24"/>
          <w:szCs w:val="24"/>
        </w:rPr>
        <w:t xml:space="preserve"> expansion of criminalisation.</w:t>
      </w:r>
      <w:r>
        <w:rPr>
          <w:rStyle w:val="FootnoteReference"/>
        </w:rPr>
        <w:footnoteReference w:id="104"/>
      </w:r>
    </w:p>
    <w:p w14:paraId="78CF0F92" w14:textId="77777777" w:rsidR="00A16FAE" w:rsidRDefault="00F029E0" w:rsidP="00A16FAE">
      <w:pPr>
        <w:spacing w:after="0" w:line="360" w:lineRule="auto"/>
        <w:rPr>
          <w:sz w:val="24"/>
          <w:szCs w:val="24"/>
        </w:rPr>
      </w:pPr>
      <w:r>
        <w:rPr>
          <w:sz w:val="24"/>
          <w:szCs w:val="24"/>
        </w:rPr>
        <w:lastRenderedPageBreak/>
        <w:t>By using a</w:t>
      </w:r>
      <w:r w:rsidR="00A64B1C">
        <w:rPr>
          <w:sz w:val="24"/>
          <w:szCs w:val="24"/>
        </w:rPr>
        <w:t xml:space="preserve"> socio</w:t>
      </w:r>
      <w:r w:rsidR="009E1B67">
        <w:rPr>
          <w:sz w:val="24"/>
          <w:szCs w:val="24"/>
        </w:rPr>
        <w:t>-legal</w:t>
      </w:r>
      <w:r w:rsidR="00A64B1C">
        <w:rPr>
          <w:sz w:val="24"/>
          <w:szCs w:val="24"/>
        </w:rPr>
        <w:t xml:space="preserve"> perspective of law</w:t>
      </w:r>
      <w:r>
        <w:rPr>
          <w:sz w:val="24"/>
          <w:szCs w:val="24"/>
        </w:rPr>
        <w:t xml:space="preserve">, I </w:t>
      </w:r>
      <w:r w:rsidR="00D627BD">
        <w:rPr>
          <w:sz w:val="24"/>
          <w:szCs w:val="24"/>
        </w:rPr>
        <w:t xml:space="preserve">want to show </w:t>
      </w:r>
      <w:r w:rsidR="00A64B1C">
        <w:rPr>
          <w:sz w:val="24"/>
          <w:szCs w:val="24"/>
        </w:rPr>
        <w:t>how ‘law is produced by society’ whilst examining ways in which ‘“society” is produced by law’.</w:t>
      </w:r>
      <w:r w:rsidR="00A64B1C">
        <w:rPr>
          <w:rStyle w:val="FootnoteReference"/>
        </w:rPr>
        <w:footnoteReference w:id="105"/>
      </w:r>
      <w:r w:rsidR="00A64B1C">
        <w:rPr>
          <w:sz w:val="24"/>
          <w:szCs w:val="24"/>
        </w:rPr>
        <w:t xml:space="preserve"> </w:t>
      </w:r>
      <w:r>
        <w:rPr>
          <w:sz w:val="24"/>
          <w:szCs w:val="24"/>
        </w:rPr>
        <w:t>Whilst ‘s</w:t>
      </w:r>
      <w:r w:rsidR="00A64B1C">
        <w:rPr>
          <w:sz w:val="24"/>
          <w:szCs w:val="24"/>
        </w:rPr>
        <w:t>ocio</w:t>
      </w:r>
      <w:r>
        <w:rPr>
          <w:sz w:val="24"/>
          <w:szCs w:val="24"/>
        </w:rPr>
        <w:t>-legal’ may imply that I use sociology as</w:t>
      </w:r>
      <w:r w:rsidR="00A64B1C">
        <w:rPr>
          <w:sz w:val="24"/>
          <w:szCs w:val="24"/>
        </w:rPr>
        <w:t xml:space="preserve"> method, </w:t>
      </w:r>
      <w:r>
        <w:rPr>
          <w:sz w:val="24"/>
          <w:szCs w:val="24"/>
        </w:rPr>
        <w:t>in fact</w:t>
      </w:r>
      <w:r w:rsidR="004F4680">
        <w:rPr>
          <w:sz w:val="24"/>
          <w:szCs w:val="24"/>
        </w:rPr>
        <w:t xml:space="preserve"> </w:t>
      </w:r>
      <w:r>
        <w:rPr>
          <w:sz w:val="24"/>
          <w:szCs w:val="24"/>
        </w:rPr>
        <w:t>‘socio-legal’ scholarship</w:t>
      </w:r>
      <w:r w:rsidR="00A64B1C">
        <w:rPr>
          <w:sz w:val="24"/>
          <w:szCs w:val="24"/>
        </w:rPr>
        <w:t xml:space="preserve"> </w:t>
      </w:r>
      <w:r w:rsidR="009E1B67">
        <w:rPr>
          <w:sz w:val="24"/>
          <w:szCs w:val="24"/>
        </w:rPr>
        <w:t xml:space="preserve">is </w:t>
      </w:r>
      <w:r w:rsidR="009D151B">
        <w:rPr>
          <w:sz w:val="24"/>
          <w:szCs w:val="24"/>
        </w:rPr>
        <w:t xml:space="preserve">not </w:t>
      </w:r>
      <w:r w:rsidR="009E1B67">
        <w:rPr>
          <w:sz w:val="24"/>
          <w:szCs w:val="24"/>
        </w:rPr>
        <w:t>confined</w:t>
      </w:r>
      <w:r w:rsidR="00A64B1C">
        <w:rPr>
          <w:sz w:val="24"/>
          <w:szCs w:val="24"/>
        </w:rPr>
        <w:t xml:space="preserve"> to sociological theory. A socio-legal orientation signals a </w:t>
      </w:r>
      <w:r w:rsidR="00A64B1C">
        <w:rPr>
          <w:i/>
          <w:sz w:val="24"/>
          <w:szCs w:val="24"/>
        </w:rPr>
        <w:t xml:space="preserve">transdisciplinary </w:t>
      </w:r>
      <w:r w:rsidR="00A64B1C">
        <w:rPr>
          <w:sz w:val="24"/>
          <w:szCs w:val="24"/>
        </w:rPr>
        <w:t>understanding of law and legal practices that includes, inter alia, psychology, criminology, political economy and history.</w:t>
      </w:r>
      <w:r w:rsidR="00A64B1C">
        <w:rPr>
          <w:rStyle w:val="FootnoteReference"/>
        </w:rPr>
        <w:footnoteReference w:id="106"/>
      </w:r>
      <w:r w:rsidR="00A64B1C">
        <w:rPr>
          <w:sz w:val="24"/>
          <w:szCs w:val="24"/>
        </w:rPr>
        <w:t xml:space="preserve"> </w:t>
      </w:r>
      <w:r w:rsidR="00A16FAE">
        <w:rPr>
          <w:sz w:val="24"/>
          <w:szCs w:val="24"/>
        </w:rPr>
        <w:t xml:space="preserve">By using socio-legal method, </w:t>
      </w:r>
      <w:bookmarkStart w:id="84" w:name="_Hlk33786180"/>
      <w:r w:rsidR="00A16FAE">
        <w:rPr>
          <w:sz w:val="24"/>
          <w:szCs w:val="24"/>
        </w:rPr>
        <w:t xml:space="preserve">I show how prosecutorial decision-making is affected by forces external to legal doctrine, statutory offence considerations and the available evidence. </w:t>
      </w:r>
      <w:bookmarkEnd w:id="84"/>
    </w:p>
    <w:p w14:paraId="6E450E89" w14:textId="428565BE" w:rsidR="00157BDE" w:rsidRDefault="00157BDE" w:rsidP="00BA35E0">
      <w:pPr>
        <w:shd w:val="clear" w:color="auto" w:fill="FFFFFF"/>
        <w:spacing w:after="100" w:afterAutospacing="1" w:line="360" w:lineRule="auto"/>
        <w:ind w:firstLine="720"/>
        <w:rPr>
          <w:sz w:val="24"/>
          <w:szCs w:val="24"/>
        </w:rPr>
      </w:pPr>
      <w:r>
        <w:rPr>
          <w:sz w:val="24"/>
          <w:szCs w:val="24"/>
        </w:rPr>
        <w:t>The area of criminal prosecutions and the role of the criminal prosecutor remains a ‘relatively under researched’ field.</w:t>
      </w:r>
      <w:r>
        <w:rPr>
          <w:rStyle w:val="FootnoteReference"/>
        </w:rPr>
        <w:footnoteReference w:id="107"/>
      </w:r>
      <w:r>
        <w:rPr>
          <w:sz w:val="24"/>
          <w:szCs w:val="24"/>
        </w:rPr>
        <w:t xml:space="preserve"> The comparative lack of scholarly attention in this area stands in contrast to the pivotal role that prosecutors play: </w:t>
      </w:r>
    </w:p>
    <w:p w14:paraId="6A4B962D" w14:textId="77777777" w:rsidR="00157BDE" w:rsidRDefault="00157BDE" w:rsidP="00BA35E0">
      <w:pPr>
        <w:shd w:val="clear" w:color="auto" w:fill="FFFFFF"/>
        <w:spacing w:after="100" w:afterAutospacing="1" w:line="360" w:lineRule="auto"/>
        <w:ind w:left="720"/>
        <w:rPr>
          <w:sz w:val="24"/>
          <w:szCs w:val="24"/>
        </w:rPr>
      </w:pPr>
      <w:r>
        <w:rPr>
          <w:sz w:val="24"/>
          <w:szCs w:val="24"/>
        </w:rPr>
        <w:t>‘Important boundaries are crossed with the decision to prosecute. Private troubles become public affairs… the mode of law enforcement switches abruptly from private … in which compromise outcomes are… possible … to public adversarial debate in which legal justice is delivered in a binary verdict of guilty or not guilty.’</w:t>
      </w:r>
      <w:r>
        <w:rPr>
          <w:rStyle w:val="FootnoteReference"/>
        </w:rPr>
        <w:footnoteReference w:id="108"/>
      </w:r>
    </w:p>
    <w:p w14:paraId="25194FE9" w14:textId="197AD864" w:rsidR="00F96F35" w:rsidRDefault="00161760" w:rsidP="00161760">
      <w:pPr>
        <w:spacing w:after="0" w:line="360" w:lineRule="auto"/>
        <w:ind w:firstLine="720"/>
        <w:rPr>
          <w:sz w:val="24"/>
          <w:szCs w:val="24"/>
        </w:rPr>
      </w:pPr>
      <w:r>
        <w:rPr>
          <w:sz w:val="24"/>
          <w:szCs w:val="24"/>
        </w:rPr>
        <w:t xml:space="preserve">When </w:t>
      </w:r>
      <w:r w:rsidR="00A64B1C">
        <w:rPr>
          <w:sz w:val="24"/>
          <w:szCs w:val="24"/>
        </w:rPr>
        <w:t xml:space="preserve">prosecutors exercise their discretion </w:t>
      </w:r>
      <w:r>
        <w:rPr>
          <w:sz w:val="24"/>
          <w:szCs w:val="24"/>
        </w:rPr>
        <w:t>in domestic abuse cases</w:t>
      </w:r>
      <w:r w:rsidR="0020367D">
        <w:rPr>
          <w:sz w:val="24"/>
          <w:szCs w:val="24"/>
        </w:rPr>
        <w:t>,</w:t>
      </w:r>
      <w:r>
        <w:rPr>
          <w:sz w:val="24"/>
          <w:szCs w:val="24"/>
        </w:rPr>
        <w:t xml:space="preserve"> they </w:t>
      </w:r>
      <w:r w:rsidR="00A64B1C">
        <w:rPr>
          <w:sz w:val="24"/>
          <w:szCs w:val="24"/>
        </w:rPr>
        <w:t>consult specific CPS guidance and policy. It is here that the overlap between public opinion, shifting societal expectations and decisions of legal professionals is plain. CPS policy and guidance is imbued with sociological influence because the CPS openly carries out consultation exercises with interested parties in the formative stages of policy production, prior to publication and as an ongoing process. The CPS must take into account a range of people, business and voluntary bodies affected by the policy and may contact specific groups affected by the policy if appropriate.</w:t>
      </w:r>
      <w:r w:rsidR="00A64B1C">
        <w:rPr>
          <w:rStyle w:val="FootnoteReference"/>
        </w:rPr>
        <w:footnoteReference w:id="109"/>
      </w:r>
      <w:r w:rsidR="00A64B1C">
        <w:rPr>
          <w:sz w:val="24"/>
          <w:szCs w:val="24"/>
        </w:rPr>
        <w:t xml:space="preserve"> </w:t>
      </w:r>
      <w:r w:rsidR="0053461D">
        <w:rPr>
          <w:sz w:val="24"/>
          <w:szCs w:val="24"/>
        </w:rPr>
        <w:t xml:space="preserve">The former Director of Public Prosecutions, Sir David Calvert Smith (1998- 2003), opened lines of communication with the academic community and academics may </w:t>
      </w:r>
      <w:r w:rsidR="009D151B">
        <w:rPr>
          <w:sz w:val="24"/>
          <w:szCs w:val="24"/>
        </w:rPr>
        <w:t xml:space="preserve">still </w:t>
      </w:r>
      <w:r w:rsidR="0053461D">
        <w:rPr>
          <w:sz w:val="24"/>
          <w:szCs w:val="24"/>
        </w:rPr>
        <w:t>take part in consultation exercises.</w:t>
      </w:r>
      <w:r w:rsidR="0053461D">
        <w:rPr>
          <w:rStyle w:val="FootnoteReference"/>
        </w:rPr>
        <w:footnoteReference w:id="110"/>
      </w:r>
      <w:r w:rsidR="0053461D">
        <w:rPr>
          <w:sz w:val="24"/>
          <w:szCs w:val="24"/>
        </w:rPr>
        <w:t xml:space="preserve"> </w:t>
      </w:r>
      <w:r w:rsidR="00A64B1C">
        <w:rPr>
          <w:sz w:val="24"/>
          <w:szCs w:val="24"/>
        </w:rPr>
        <w:t xml:space="preserve">In the case of domestic abuse </w:t>
      </w:r>
      <w:r w:rsidR="00A64B1C">
        <w:rPr>
          <w:sz w:val="24"/>
          <w:szCs w:val="24"/>
        </w:rPr>
        <w:lastRenderedPageBreak/>
        <w:t>policy for example, consultation took place with feminist groups such as the Fawcett Society, Women’s Aid, Refuge and</w:t>
      </w:r>
      <w:r w:rsidR="00A64B1C" w:rsidRPr="0081642D">
        <w:rPr>
          <w:sz w:val="24"/>
          <w:szCs w:val="24"/>
        </w:rPr>
        <w:t xml:space="preserve"> </w:t>
      </w:r>
      <w:r w:rsidR="00A64B1C">
        <w:rPr>
          <w:sz w:val="24"/>
          <w:szCs w:val="24"/>
        </w:rPr>
        <w:t xml:space="preserve">the </w:t>
      </w:r>
      <w:r w:rsidR="00A64B1C" w:rsidRPr="0081642D">
        <w:rPr>
          <w:sz w:val="24"/>
          <w:szCs w:val="24"/>
        </w:rPr>
        <w:t xml:space="preserve">UK Network of </w:t>
      </w:r>
      <w:proofErr w:type="spellStart"/>
      <w:r w:rsidR="00A64B1C" w:rsidRPr="0081642D">
        <w:rPr>
          <w:sz w:val="24"/>
          <w:szCs w:val="24"/>
        </w:rPr>
        <w:t>Sexwork</w:t>
      </w:r>
      <w:proofErr w:type="spellEnd"/>
      <w:r w:rsidR="00A64B1C" w:rsidRPr="0081642D">
        <w:rPr>
          <w:sz w:val="24"/>
          <w:szCs w:val="24"/>
        </w:rPr>
        <w:t xml:space="preserve"> Projects </w:t>
      </w:r>
      <w:r w:rsidR="00A64B1C">
        <w:rPr>
          <w:sz w:val="24"/>
          <w:szCs w:val="24"/>
        </w:rPr>
        <w:t xml:space="preserve">as well as other groups </w:t>
      </w:r>
      <w:r>
        <w:rPr>
          <w:sz w:val="24"/>
          <w:szCs w:val="24"/>
        </w:rPr>
        <w:t xml:space="preserve">not purporting to be feminist </w:t>
      </w:r>
      <w:r w:rsidR="00A64B1C">
        <w:rPr>
          <w:sz w:val="24"/>
          <w:szCs w:val="24"/>
        </w:rPr>
        <w:t xml:space="preserve">such </w:t>
      </w:r>
      <w:r w:rsidR="00F96F35">
        <w:rPr>
          <w:sz w:val="24"/>
          <w:szCs w:val="24"/>
        </w:rPr>
        <w:t xml:space="preserve">as </w:t>
      </w:r>
      <w:r w:rsidR="00A64B1C">
        <w:rPr>
          <w:sz w:val="24"/>
          <w:szCs w:val="24"/>
        </w:rPr>
        <w:t xml:space="preserve">London Probation and the British Association of Social Workers. Herein lies the most direct way that current public, expert and feminist discourses affect the direction of CPS working practices </w:t>
      </w:r>
      <w:r w:rsidR="00A64B1C" w:rsidRPr="00741AF4">
        <w:rPr>
          <w:sz w:val="24"/>
          <w:szCs w:val="24"/>
        </w:rPr>
        <w:t xml:space="preserve">and </w:t>
      </w:r>
      <w:r w:rsidR="00A64B1C">
        <w:rPr>
          <w:sz w:val="24"/>
          <w:szCs w:val="24"/>
        </w:rPr>
        <w:t xml:space="preserve">also where </w:t>
      </w:r>
      <w:r w:rsidR="00A64B1C" w:rsidRPr="00741AF4">
        <w:rPr>
          <w:sz w:val="24"/>
          <w:szCs w:val="24"/>
        </w:rPr>
        <w:t xml:space="preserve">the value of socio-legal method </w:t>
      </w:r>
      <w:r w:rsidR="00F96F35">
        <w:rPr>
          <w:sz w:val="24"/>
          <w:szCs w:val="24"/>
        </w:rPr>
        <w:t>for the topic under consideration in this book is patent</w:t>
      </w:r>
      <w:r w:rsidR="00A64B1C" w:rsidRPr="00741AF4">
        <w:rPr>
          <w:sz w:val="24"/>
          <w:szCs w:val="24"/>
        </w:rPr>
        <w:t>.</w:t>
      </w:r>
    </w:p>
    <w:p w14:paraId="3EF20E00" w14:textId="40A89D9B" w:rsidR="00F96F35" w:rsidRDefault="00A64B1C" w:rsidP="00F029E0">
      <w:pPr>
        <w:spacing w:after="0" w:line="360" w:lineRule="auto"/>
        <w:ind w:firstLine="720"/>
        <w:rPr>
          <w:sz w:val="24"/>
          <w:szCs w:val="24"/>
        </w:rPr>
      </w:pPr>
      <w:r>
        <w:rPr>
          <w:sz w:val="24"/>
          <w:szCs w:val="24"/>
        </w:rPr>
        <w:t xml:space="preserve">Further evidence that the CPS does not function within a vacuum and must be sensitive to cultural-societal changes is that the Director of Public Prosecutions is accountable to parliament for CPS performance each year when </w:t>
      </w:r>
      <w:r w:rsidR="00161760">
        <w:rPr>
          <w:sz w:val="24"/>
          <w:szCs w:val="24"/>
        </w:rPr>
        <w:t xml:space="preserve">she or </w:t>
      </w:r>
      <w:r>
        <w:rPr>
          <w:sz w:val="24"/>
          <w:szCs w:val="24"/>
        </w:rPr>
        <w:t>he appears before the Justice Select Committee.</w:t>
      </w:r>
      <w:r>
        <w:rPr>
          <w:rStyle w:val="FootnoteReference"/>
        </w:rPr>
        <w:footnoteReference w:id="111"/>
      </w:r>
      <w:r>
        <w:rPr>
          <w:sz w:val="24"/>
          <w:szCs w:val="24"/>
        </w:rPr>
        <w:t xml:space="preserve"> In this way, the CPS openly interact</w:t>
      </w:r>
      <w:r w:rsidR="0014781C">
        <w:rPr>
          <w:sz w:val="24"/>
          <w:szCs w:val="24"/>
        </w:rPr>
        <w:t>s with and is responsive to</w:t>
      </w:r>
      <w:r>
        <w:rPr>
          <w:sz w:val="24"/>
          <w:szCs w:val="24"/>
        </w:rPr>
        <w:t xml:space="preserve"> public opinion. So, whilst Crown Prosecutors must act on individual cases fairly, independently and objectively in the interests of justice,</w:t>
      </w:r>
      <w:r>
        <w:rPr>
          <w:rStyle w:val="FootnoteReference"/>
        </w:rPr>
        <w:footnoteReference w:id="112"/>
      </w:r>
      <w:r>
        <w:rPr>
          <w:sz w:val="24"/>
          <w:szCs w:val="24"/>
        </w:rPr>
        <w:t xml:space="preserve"> it would be a foolhardy prosecution service that failed to reflect in policy shifting societal opinions and political priorities lest it lead, ultimately, to undermining the legitimacy of this public service. </w:t>
      </w:r>
    </w:p>
    <w:p w14:paraId="1DD5C2E2" w14:textId="11F4E2D3" w:rsidR="00573F72" w:rsidRDefault="00A16FAE" w:rsidP="00573F72">
      <w:pPr>
        <w:spacing w:after="0" w:line="360" w:lineRule="auto"/>
        <w:ind w:firstLine="720"/>
        <w:rPr>
          <w:sz w:val="24"/>
          <w:szCs w:val="24"/>
        </w:rPr>
      </w:pPr>
      <w:r>
        <w:rPr>
          <w:sz w:val="24"/>
          <w:szCs w:val="24"/>
        </w:rPr>
        <w:t>In chapter Five, I use a tributary of socio-legal scholarship – legal consciousness - a</w:t>
      </w:r>
      <w:r w:rsidR="009D151B">
        <w:rPr>
          <w:sz w:val="24"/>
          <w:szCs w:val="24"/>
        </w:rPr>
        <w:t>s a means of analysing the in-depth interviews I conducted with survivors.</w:t>
      </w:r>
      <w:r w:rsidR="00573F72" w:rsidRPr="007B1527">
        <w:rPr>
          <w:sz w:val="24"/>
          <w:szCs w:val="24"/>
        </w:rPr>
        <w:t xml:space="preserve"> </w:t>
      </w:r>
      <w:r w:rsidR="00573F72">
        <w:rPr>
          <w:sz w:val="24"/>
          <w:szCs w:val="24"/>
        </w:rPr>
        <w:t>Marking</w:t>
      </w:r>
      <w:r w:rsidR="00573F72" w:rsidRPr="00784D4C">
        <w:rPr>
          <w:sz w:val="24"/>
          <w:szCs w:val="24"/>
        </w:rPr>
        <w:t xml:space="preserve"> a move away from simply extracting women’s </w:t>
      </w:r>
      <w:r w:rsidR="00573F72" w:rsidRPr="00784D4C">
        <w:rPr>
          <w:i/>
          <w:sz w:val="24"/>
          <w:szCs w:val="24"/>
        </w:rPr>
        <w:t>attitude</w:t>
      </w:r>
      <w:r w:rsidR="00573F72">
        <w:rPr>
          <w:sz w:val="24"/>
          <w:szCs w:val="24"/>
        </w:rPr>
        <w:t xml:space="preserve"> towards the law, legal consciousness </w:t>
      </w:r>
      <w:r w:rsidR="00573F72" w:rsidRPr="00784D4C">
        <w:rPr>
          <w:sz w:val="24"/>
          <w:szCs w:val="24"/>
        </w:rPr>
        <w:t xml:space="preserve">enables us to see </w:t>
      </w:r>
      <w:r w:rsidR="00573F72">
        <w:rPr>
          <w:sz w:val="24"/>
          <w:szCs w:val="24"/>
        </w:rPr>
        <w:t xml:space="preserve">the variant and contradictory ways </w:t>
      </w:r>
      <w:r w:rsidR="00573F72" w:rsidRPr="00784D4C">
        <w:rPr>
          <w:sz w:val="24"/>
          <w:szCs w:val="24"/>
        </w:rPr>
        <w:t>women position themselves in relation to the criminal law through their engagement with it, their understanding of it and the way they imagine the law operates.</w:t>
      </w:r>
      <w:r w:rsidR="00573F72">
        <w:rPr>
          <w:sz w:val="24"/>
          <w:szCs w:val="24"/>
        </w:rPr>
        <w:t xml:space="preserve"> In so doing, the </w:t>
      </w:r>
      <w:r w:rsidR="009D151B">
        <w:rPr>
          <w:sz w:val="24"/>
          <w:szCs w:val="24"/>
        </w:rPr>
        <w:t>empirical research</w:t>
      </w:r>
      <w:r w:rsidR="00573F72">
        <w:rPr>
          <w:sz w:val="24"/>
          <w:szCs w:val="24"/>
        </w:rPr>
        <w:t xml:space="preserve"> in Chapter Five evidences the ways in which ‘legality is a social structure actively and constantly produced in what people say and in what they do’.</w:t>
      </w:r>
      <w:r w:rsidR="00573F72">
        <w:rPr>
          <w:rStyle w:val="FootnoteReference"/>
        </w:rPr>
        <w:footnoteReference w:id="113"/>
      </w:r>
      <w:r w:rsidR="00573F72">
        <w:rPr>
          <w:sz w:val="24"/>
          <w:szCs w:val="24"/>
        </w:rPr>
        <w:t xml:space="preserve"> This method signals a disruption to thinking about law as a ‘superior norm’.</w:t>
      </w:r>
      <w:r w:rsidR="00573F72">
        <w:rPr>
          <w:rStyle w:val="FootnoteReference"/>
        </w:rPr>
        <w:footnoteReference w:id="114"/>
      </w:r>
      <w:r w:rsidR="00573F72">
        <w:rPr>
          <w:sz w:val="24"/>
          <w:szCs w:val="24"/>
        </w:rPr>
        <w:t xml:space="preserve"> It reveals</w:t>
      </w:r>
      <w:r w:rsidR="00573F72" w:rsidRPr="00AD0AA7">
        <w:rPr>
          <w:sz w:val="24"/>
          <w:szCs w:val="24"/>
        </w:rPr>
        <w:t xml:space="preserve"> how people make sense of their experiences of law, </w:t>
      </w:r>
      <w:r w:rsidR="00573F72">
        <w:rPr>
          <w:sz w:val="24"/>
          <w:szCs w:val="24"/>
        </w:rPr>
        <w:t>showing how</w:t>
      </w:r>
      <w:r w:rsidR="00573F72" w:rsidRPr="00AD0AA7">
        <w:rPr>
          <w:sz w:val="24"/>
          <w:szCs w:val="24"/>
        </w:rPr>
        <w:t xml:space="preserve"> law and justice h</w:t>
      </w:r>
      <w:r w:rsidR="00573F72">
        <w:rPr>
          <w:sz w:val="24"/>
          <w:szCs w:val="24"/>
        </w:rPr>
        <w:t xml:space="preserve">as or does not have </w:t>
      </w:r>
      <w:r w:rsidR="00573F72" w:rsidRPr="00AD0AA7">
        <w:rPr>
          <w:sz w:val="24"/>
          <w:szCs w:val="24"/>
        </w:rPr>
        <w:t xml:space="preserve">legitimacy for the people whose lives </w:t>
      </w:r>
      <w:r w:rsidR="00573F72">
        <w:rPr>
          <w:sz w:val="24"/>
          <w:szCs w:val="24"/>
        </w:rPr>
        <w:t xml:space="preserve">it </w:t>
      </w:r>
      <w:r w:rsidR="00573F72" w:rsidRPr="00AD0AA7">
        <w:rPr>
          <w:sz w:val="24"/>
          <w:szCs w:val="24"/>
        </w:rPr>
        <w:t>touches.</w:t>
      </w:r>
      <w:r w:rsidR="00573F72">
        <w:rPr>
          <w:sz w:val="24"/>
          <w:szCs w:val="24"/>
        </w:rPr>
        <w:t xml:space="preserve"> The method necessarily, therefore, invites normative reflection.</w:t>
      </w:r>
    </w:p>
    <w:p w14:paraId="2CA22CEC" w14:textId="01C7370B" w:rsidR="00573F72" w:rsidRDefault="00573F72" w:rsidP="00573F72">
      <w:pPr>
        <w:shd w:val="clear" w:color="auto" w:fill="FFFFFF"/>
        <w:spacing w:after="0" w:line="360" w:lineRule="auto"/>
        <w:ind w:firstLine="720"/>
        <w:rPr>
          <w:sz w:val="24"/>
          <w:szCs w:val="24"/>
        </w:rPr>
      </w:pPr>
      <w:r>
        <w:rPr>
          <w:sz w:val="24"/>
          <w:szCs w:val="24"/>
        </w:rPr>
        <w:t xml:space="preserve">In evaluating women’s legal consciousness, I reveal aspects of the criminal justice system’s gendered nature, its role in perpetuating women’s disadvantage and its part in </w:t>
      </w:r>
      <w:r>
        <w:rPr>
          <w:sz w:val="24"/>
          <w:szCs w:val="24"/>
        </w:rPr>
        <w:lastRenderedPageBreak/>
        <w:t>‘gendering subjectivity’.</w:t>
      </w:r>
      <w:r>
        <w:rPr>
          <w:rStyle w:val="FootnoteReference"/>
        </w:rPr>
        <w:footnoteReference w:id="115"/>
      </w:r>
      <w:r>
        <w:rPr>
          <w:sz w:val="24"/>
          <w:szCs w:val="24"/>
        </w:rPr>
        <w:t xml:space="preserve"> Feminist legal theory has always sought to expose law’s implication in the production and perpetuation of gendered power</w:t>
      </w:r>
      <w:r w:rsidR="00967D61">
        <w:rPr>
          <w:sz w:val="24"/>
          <w:szCs w:val="24"/>
        </w:rPr>
        <w:t xml:space="preserve">; </w:t>
      </w:r>
      <w:r>
        <w:rPr>
          <w:sz w:val="24"/>
          <w:szCs w:val="24"/>
        </w:rPr>
        <w:t xml:space="preserve">in this instance, I highlight this through the lens of criminal law’s treatment of abused women. </w:t>
      </w:r>
    </w:p>
    <w:p w14:paraId="42C28550" w14:textId="1EFF3C3B" w:rsidR="006201B7" w:rsidRDefault="00F96F35" w:rsidP="00910A6D">
      <w:pPr>
        <w:spacing w:after="100" w:afterAutospacing="1" w:line="360" w:lineRule="auto"/>
        <w:ind w:firstLine="720"/>
        <w:rPr>
          <w:sz w:val="24"/>
          <w:szCs w:val="24"/>
        </w:rPr>
      </w:pPr>
      <w:r>
        <w:rPr>
          <w:sz w:val="24"/>
          <w:szCs w:val="24"/>
        </w:rPr>
        <w:t>This book is not</w:t>
      </w:r>
      <w:r w:rsidR="00A64B1C">
        <w:rPr>
          <w:sz w:val="24"/>
          <w:szCs w:val="24"/>
        </w:rPr>
        <w:t xml:space="preserve"> concerned, therefore, with an examination of the discretionary decision-making of prosecutors in practice </w:t>
      </w:r>
      <w:r>
        <w:rPr>
          <w:sz w:val="24"/>
          <w:szCs w:val="24"/>
        </w:rPr>
        <w:t>t</w:t>
      </w:r>
      <w:r w:rsidR="00A64B1C">
        <w:rPr>
          <w:sz w:val="24"/>
          <w:szCs w:val="24"/>
        </w:rPr>
        <w:t>hrough a closed analysis of the laws</w:t>
      </w:r>
      <w:r w:rsidR="00A64B1C">
        <w:rPr>
          <w:rStyle w:val="FootnoteReference"/>
        </w:rPr>
        <w:footnoteReference w:id="116"/>
      </w:r>
      <w:r w:rsidR="00A64B1C">
        <w:rPr>
          <w:sz w:val="24"/>
          <w:szCs w:val="24"/>
        </w:rPr>
        <w:t xml:space="preserve"> or rules and </w:t>
      </w:r>
      <w:r>
        <w:rPr>
          <w:sz w:val="24"/>
          <w:szCs w:val="24"/>
        </w:rPr>
        <w:t>policies</w:t>
      </w:r>
      <w:r w:rsidR="00A64B1C">
        <w:rPr>
          <w:rStyle w:val="FootnoteReference"/>
        </w:rPr>
        <w:footnoteReference w:id="117"/>
      </w:r>
      <w:r w:rsidR="00A64B1C">
        <w:rPr>
          <w:sz w:val="24"/>
          <w:szCs w:val="24"/>
        </w:rPr>
        <w:t xml:space="preserve"> set up to guide the prosecutor. </w:t>
      </w:r>
      <w:r w:rsidR="00910A6D">
        <w:rPr>
          <w:sz w:val="24"/>
          <w:szCs w:val="24"/>
        </w:rPr>
        <w:t>Rather it</w:t>
      </w:r>
      <w:r w:rsidR="001766A8">
        <w:rPr>
          <w:sz w:val="24"/>
          <w:szCs w:val="24"/>
        </w:rPr>
        <w:t xml:space="preserve"> recognises that</w:t>
      </w:r>
      <w:r w:rsidR="00910A6D">
        <w:rPr>
          <w:sz w:val="24"/>
          <w:szCs w:val="24"/>
        </w:rPr>
        <w:t xml:space="preserve"> feminist and neoliberal discourses are disseminated to prosecutors through </w:t>
      </w:r>
      <w:r w:rsidR="005D2A20">
        <w:rPr>
          <w:sz w:val="24"/>
          <w:szCs w:val="24"/>
        </w:rPr>
        <w:t>v</w:t>
      </w:r>
      <w:r w:rsidR="00707C2D">
        <w:rPr>
          <w:sz w:val="24"/>
          <w:szCs w:val="24"/>
        </w:rPr>
        <w:t>arious</w:t>
      </w:r>
      <w:r w:rsidR="005D2A20">
        <w:rPr>
          <w:sz w:val="24"/>
          <w:szCs w:val="24"/>
        </w:rPr>
        <w:t xml:space="preserve"> means</w:t>
      </w:r>
      <w:r w:rsidR="00910A6D">
        <w:rPr>
          <w:sz w:val="24"/>
          <w:szCs w:val="24"/>
        </w:rPr>
        <w:t xml:space="preserve"> including political agendas, institutional imperatives and practice rationalities. </w:t>
      </w:r>
      <w:bookmarkStart w:id="90" w:name="Qualitative"/>
      <w:bookmarkStart w:id="91" w:name="_Hlk517442428"/>
      <w:r w:rsidR="001227E2">
        <w:rPr>
          <w:sz w:val="24"/>
          <w:szCs w:val="24"/>
        </w:rPr>
        <w:t>I want also to show that prosecutorial domestic abuse decision-making is constitutive of survivors’ identities</w:t>
      </w:r>
      <w:r w:rsidR="003F5EDF">
        <w:rPr>
          <w:sz w:val="24"/>
          <w:szCs w:val="24"/>
        </w:rPr>
        <w:t xml:space="preserve"> and stories. B</w:t>
      </w:r>
      <w:r w:rsidR="001227E2">
        <w:rPr>
          <w:sz w:val="24"/>
          <w:szCs w:val="24"/>
        </w:rPr>
        <w:t xml:space="preserve">y highlighting the experiences of those women, I hope to </w:t>
      </w:r>
      <w:r w:rsidR="003F5EDF">
        <w:rPr>
          <w:sz w:val="24"/>
          <w:szCs w:val="24"/>
        </w:rPr>
        <w:t>encourage</w:t>
      </w:r>
      <w:r w:rsidR="001227E2">
        <w:rPr>
          <w:sz w:val="24"/>
          <w:szCs w:val="24"/>
        </w:rPr>
        <w:t xml:space="preserve"> prosecutors to </w:t>
      </w:r>
      <w:r w:rsidR="003F5EDF">
        <w:rPr>
          <w:sz w:val="24"/>
          <w:szCs w:val="24"/>
        </w:rPr>
        <w:t xml:space="preserve">equip themselves with the fullest information so that they can make </w:t>
      </w:r>
      <w:r w:rsidR="001227E2">
        <w:rPr>
          <w:sz w:val="24"/>
          <w:szCs w:val="24"/>
        </w:rPr>
        <w:t>considered decisions in ways that might best support</w:t>
      </w:r>
      <w:r w:rsidR="003F5EDF">
        <w:rPr>
          <w:sz w:val="24"/>
          <w:szCs w:val="24"/>
        </w:rPr>
        <w:t xml:space="preserve"> </w:t>
      </w:r>
      <w:r w:rsidR="00886A2C">
        <w:rPr>
          <w:sz w:val="24"/>
          <w:szCs w:val="24"/>
        </w:rPr>
        <w:t>survivor</w:t>
      </w:r>
      <w:r w:rsidR="001227E2">
        <w:rPr>
          <w:sz w:val="24"/>
          <w:szCs w:val="24"/>
        </w:rPr>
        <w:t xml:space="preserve"> ‘</w:t>
      </w:r>
      <w:proofErr w:type="spellStart"/>
      <w:r w:rsidR="001227E2">
        <w:rPr>
          <w:sz w:val="24"/>
          <w:szCs w:val="24"/>
        </w:rPr>
        <w:t>thrivership</w:t>
      </w:r>
      <w:proofErr w:type="spellEnd"/>
      <w:r w:rsidR="001227E2">
        <w:rPr>
          <w:sz w:val="24"/>
          <w:szCs w:val="24"/>
        </w:rPr>
        <w:t xml:space="preserve">’. </w:t>
      </w:r>
    </w:p>
    <w:p w14:paraId="15E4DA80" w14:textId="7E9407C0" w:rsidR="00A64B1C" w:rsidRDefault="00A64B1C" w:rsidP="00BA35E0">
      <w:pPr>
        <w:spacing w:after="100" w:afterAutospacing="1" w:line="360" w:lineRule="auto"/>
        <w:ind w:firstLine="720"/>
        <w:rPr>
          <w:b/>
          <w:sz w:val="24"/>
          <w:szCs w:val="24"/>
        </w:rPr>
      </w:pPr>
      <w:r>
        <w:rPr>
          <w:b/>
          <w:sz w:val="24"/>
          <w:szCs w:val="24"/>
        </w:rPr>
        <w:t xml:space="preserve">7 </w:t>
      </w:r>
      <w:r w:rsidRPr="009E31A4">
        <w:rPr>
          <w:b/>
          <w:sz w:val="24"/>
          <w:szCs w:val="24"/>
        </w:rPr>
        <w:t>(ii) Qualitative Research and Thematic Analysis</w:t>
      </w:r>
      <w:bookmarkEnd w:id="90"/>
    </w:p>
    <w:p w14:paraId="6D270ADC" w14:textId="18CC34FE" w:rsidR="00D422F5" w:rsidRDefault="003C6B48" w:rsidP="00D422F5">
      <w:pPr>
        <w:spacing w:after="0" w:line="360" w:lineRule="auto"/>
        <w:ind w:firstLine="720"/>
        <w:rPr>
          <w:rFonts w:eastAsia="Times New Roman" w:cs="Times New Roman"/>
          <w:iCs/>
          <w:sz w:val="24"/>
          <w:szCs w:val="24"/>
          <w:lang w:eastAsia="en-GB"/>
        </w:rPr>
      </w:pPr>
      <w:r>
        <w:rPr>
          <w:bCs/>
          <w:sz w:val="24"/>
          <w:szCs w:val="24"/>
        </w:rPr>
        <w:t xml:space="preserve">Having conducted a review of the literature into </w:t>
      </w:r>
      <w:r w:rsidR="00E826FE">
        <w:rPr>
          <w:bCs/>
          <w:sz w:val="24"/>
          <w:szCs w:val="24"/>
        </w:rPr>
        <w:t xml:space="preserve">the </w:t>
      </w:r>
      <w:r>
        <w:rPr>
          <w:bCs/>
          <w:sz w:val="24"/>
          <w:szCs w:val="24"/>
        </w:rPr>
        <w:t xml:space="preserve">existing concepts, controversies and key figures in the area of feminist legal studies generally and domestic abuse more specifically, I also completed a literature review into </w:t>
      </w:r>
      <w:r w:rsidR="00E826FE">
        <w:rPr>
          <w:bCs/>
          <w:sz w:val="24"/>
          <w:szCs w:val="24"/>
        </w:rPr>
        <w:t>the</w:t>
      </w:r>
      <w:r>
        <w:rPr>
          <w:bCs/>
          <w:sz w:val="24"/>
          <w:szCs w:val="24"/>
        </w:rPr>
        <w:t xml:space="preserve"> key concepts and theories apply</w:t>
      </w:r>
      <w:r w:rsidR="00E826FE">
        <w:rPr>
          <w:bCs/>
          <w:sz w:val="24"/>
          <w:szCs w:val="24"/>
        </w:rPr>
        <w:t>ing</w:t>
      </w:r>
      <w:r>
        <w:rPr>
          <w:bCs/>
          <w:sz w:val="24"/>
          <w:szCs w:val="24"/>
        </w:rPr>
        <w:t xml:space="preserve"> to ‘neoliberalism’. I familiarised myself with </w:t>
      </w:r>
      <w:r w:rsidR="00D422F5">
        <w:rPr>
          <w:bCs/>
          <w:sz w:val="24"/>
          <w:szCs w:val="24"/>
        </w:rPr>
        <w:t>g</w:t>
      </w:r>
      <w:r>
        <w:rPr>
          <w:bCs/>
          <w:sz w:val="24"/>
          <w:szCs w:val="24"/>
        </w:rPr>
        <w:t>overnment strategy and policy direction in the are</w:t>
      </w:r>
      <w:r w:rsidR="0020367D">
        <w:rPr>
          <w:bCs/>
          <w:sz w:val="24"/>
          <w:szCs w:val="24"/>
        </w:rPr>
        <w:t>a</w:t>
      </w:r>
      <w:r>
        <w:rPr>
          <w:bCs/>
          <w:sz w:val="24"/>
          <w:szCs w:val="24"/>
        </w:rPr>
        <w:t xml:space="preserve"> of violence against women and closely analysed the CPS policies and guidance</w:t>
      </w:r>
      <w:r w:rsidR="00D422F5">
        <w:rPr>
          <w:bCs/>
          <w:sz w:val="24"/>
          <w:szCs w:val="24"/>
        </w:rPr>
        <w:t xml:space="preserve">. </w:t>
      </w:r>
      <w:r w:rsidR="00E826FE">
        <w:rPr>
          <w:bCs/>
          <w:sz w:val="24"/>
          <w:szCs w:val="24"/>
        </w:rPr>
        <w:t>M</w:t>
      </w:r>
      <w:r w:rsidR="00D422F5">
        <w:rPr>
          <w:bCs/>
          <w:sz w:val="24"/>
          <w:szCs w:val="24"/>
        </w:rPr>
        <w:t xml:space="preserve">y </w:t>
      </w:r>
      <w:r w:rsidR="00886A2C">
        <w:rPr>
          <w:bCs/>
          <w:sz w:val="24"/>
          <w:szCs w:val="24"/>
        </w:rPr>
        <w:t xml:space="preserve">subsequent </w:t>
      </w:r>
      <w:r w:rsidR="00D422F5">
        <w:rPr>
          <w:bCs/>
          <w:sz w:val="24"/>
          <w:szCs w:val="24"/>
        </w:rPr>
        <w:t xml:space="preserve">qualitative research </w:t>
      </w:r>
      <w:r w:rsidR="00E826FE">
        <w:rPr>
          <w:bCs/>
          <w:sz w:val="24"/>
          <w:szCs w:val="24"/>
        </w:rPr>
        <w:t>took</w:t>
      </w:r>
      <w:r w:rsidR="00D422F5">
        <w:rPr>
          <w:bCs/>
          <w:sz w:val="24"/>
          <w:szCs w:val="24"/>
        </w:rPr>
        <w:t xml:space="preserve"> the form of </w:t>
      </w:r>
      <w:r w:rsidR="00E826FE">
        <w:rPr>
          <w:bCs/>
          <w:sz w:val="24"/>
          <w:szCs w:val="24"/>
        </w:rPr>
        <w:t>nine</w:t>
      </w:r>
      <w:r w:rsidR="00D422F5">
        <w:rPr>
          <w:bCs/>
          <w:sz w:val="24"/>
          <w:szCs w:val="24"/>
        </w:rPr>
        <w:t xml:space="preserve"> semi-structured interviews with prosecutors (2017), </w:t>
      </w:r>
      <w:r w:rsidR="00E826FE">
        <w:rPr>
          <w:bCs/>
          <w:sz w:val="24"/>
          <w:szCs w:val="24"/>
        </w:rPr>
        <w:t>eleven</w:t>
      </w:r>
      <w:r w:rsidR="00D422F5">
        <w:rPr>
          <w:bCs/>
          <w:sz w:val="24"/>
          <w:szCs w:val="24"/>
        </w:rPr>
        <w:t xml:space="preserve"> with survivors of domestic abuse (2017) and </w:t>
      </w:r>
      <w:r w:rsidR="00E826FE">
        <w:rPr>
          <w:bCs/>
          <w:sz w:val="24"/>
          <w:szCs w:val="24"/>
        </w:rPr>
        <w:t>five</w:t>
      </w:r>
      <w:r w:rsidR="00D422F5">
        <w:rPr>
          <w:bCs/>
          <w:sz w:val="24"/>
          <w:szCs w:val="24"/>
        </w:rPr>
        <w:t xml:space="preserve"> focus groups with domestic abuse support workers, comprising </w:t>
      </w:r>
      <w:r w:rsidR="00E826FE">
        <w:rPr>
          <w:bCs/>
          <w:sz w:val="24"/>
          <w:szCs w:val="24"/>
        </w:rPr>
        <w:t>seventeen</w:t>
      </w:r>
      <w:r w:rsidR="00D422F5">
        <w:rPr>
          <w:bCs/>
          <w:sz w:val="24"/>
          <w:szCs w:val="24"/>
        </w:rPr>
        <w:t xml:space="preserve"> participants (2019).</w:t>
      </w:r>
      <w:r w:rsidR="00D422F5" w:rsidRPr="00D422F5">
        <w:rPr>
          <w:rFonts w:eastAsia="Times New Roman" w:cs="Times New Roman"/>
          <w:iCs/>
          <w:sz w:val="24"/>
          <w:szCs w:val="24"/>
          <w:lang w:eastAsia="en-GB"/>
        </w:rPr>
        <w:t xml:space="preserve"> </w:t>
      </w:r>
    </w:p>
    <w:p w14:paraId="3A5D1741" w14:textId="3B254ABF" w:rsidR="00FC6CC2" w:rsidRDefault="00E826FE" w:rsidP="00FC6CC2">
      <w:pPr>
        <w:spacing w:after="0" w:line="360" w:lineRule="auto"/>
        <w:ind w:firstLine="720"/>
        <w:rPr>
          <w:rFonts w:eastAsia="Times New Roman" w:cs="Times New Roman"/>
          <w:iCs/>
          <w:sz w:val="24"/>
          <w:szCs w:val="24"/>
          <w:lang w:eastAsia="en-GB"/>
        </w:rPr>
      </w:pPr>
      <w:r>
        <w:rPr>
          <w:rFonts w:eastAsia="Times New Roman" w:cs="Times New Roman"/>
          <w:iCs/>
          <w:sz w:val="24"/>
          <w:szCs w:val="24"/>
          <w:lang w:eastAsia="en-GB"/>
        </w:rPr>
        <w:t xml:space="preserve">As far as recruiting prosecutors was concerned, </w:t>
      </w:r>
      <w:r w:rsidR="00D422F5" w:rsidRPr="00780FD8">
        <w:rPr>
          <w:rFonts w:eastAsia="Times New Roman" w:cs="Times New Roman"/>
          <w:iCs/>
          <w:sz w:val="24"/>
          <w:szCs w:val="24"/>
          <w:lang w:eastAsia="en-GB"/>
        </w:rPr>
        <w:t xml:space="preserve">I </w:t>
      </w:r>
      <w:r w:rsidR="00FC6CC2">
        <w:rPr>
          <w:rFonts w:eastAsia="Times New Roman" w:cs="Times New Roman"/>
          <w:iCs/>
          <w:sz w:val="24"/>
          <w:szCs w:val="24"/>
          <w:lang w:eastAsia="en-GB"/>
        </w:rPr>
        <w:t xml:space="preserve">sent </w:t>
      </w:r>
      <w:r w:rsidR="00A32923">
        <w:rPr>
          <w:rFonts w:eastAsia="Times New Roman" w:cs="Times New Roman"/>
          <w:iCs/>
          <w:sz w:val="24"/>
          <w:szCs w:val="24"/>
          <w:lang w:eastAsia="en-GB"/>
        </w:rPr>
        <w:t xml:space="preserve">individual </w:t>
      </w:r>
      <w:r w:rsidR="00FC6CC2">
        <w:rPr>
          <w:rFonts w:eastAsia="Times New Roman" w:cs="Times New Roman"/>
          <w:iCs/>
          <w:sz w:val="24"/>
          <w:szCs w:val="24"/>
          <w:lang w:eastAsia="en-GB"/>
        </w:rPr>
        <w:t>letters</w:t>
      </w:r>
      <w:r w:rsidR="00D422F5" w:rsidRPr="00780FD8">
        <w:rPr>
          <w:rFonts w:eastAsia="Times New Roman" w:cs="Times New Roman"/>
          <w:iCs/>
          <w:sz w:val="24"/>
          <w:szCs w:val="24"/>
          <w:lang w:eastAsia="en-GB"/>
        </w:rPr>
        <w:t xml:space="preserve"> to </w:t>
      </w:r>
      <w:r w:rsidR="00A32923">
        <w:rPr>
          <w:rFonts w:eastAsia="Times New Roman" w:cs="Times New Roman"/>
          <w:iCs/>
          <w:sz w:val="24"/>
          <w:szCs w:val="24"/>
          <w:lang w:eastAsia="en-GB"/>
        </w:rPr>
        <w:t>named prosecutors</w:t>
      </w:r>
      <w:r w:rsidR="00D422F5" w:rsidRPr="00780FD8">
        <w:rPr>
          <w:rFonts w:eastAsia="Times New Roman" w:cs="Times New Roman"/>
          <w:iCs/>
          <w:sz w:val="24"/>
          <w:szCs w:val="24"/>
          <w:lang w:eastAsia="en-GB"/>
        </w:rPr>
        <w:t xml:space="preserve"> inviting them to take part, anonymously, in the research. As the project became known locally, prosecutors I had not approached directly volunteered themselves and gave me contact details of other potential interviewees. The sample was thus built from my initial local knowledge of prosecutors, networking and the effect of ‘snowballing’. The sample </w:t>
      </w:r>
      <w:r w:rsidR="00FC6CC2">
        <w:rPr>
          <w:rFonts w:eastAsia="Times New Roman" w:cs="Times New Roman"/>
          <w:iCs/>
          <w:sz w:val="24"/>
          <w:szCs w:val="24"/>
          <w:lang w:eastAsia="en-GB"/>
        </w:rPr>
        <w:lastRenderedPageBreak/>
        <w:t>drew</w:t>
      </w:r>
      <w:r w:rsidR="00D422F5" w:rsidRPr="00780FD8">
        <w:rPr>
          <w:rFonts w:eastAsia="Times New Roman" w:cs="Times New Roman"/>
          <w:iCs/>
          <w:sz w:val="24"/>
          <w:szCs w:val="24"/>
          <w:lang w:eastAsia="en-GB"/>
        </w:rPr>
        <w:t xml:space="preserve"> from one CPS area in the South of England; a region comprising rural areas and urban and coastal conurbations.</w:t>
      </w:r>
      <w:r w:rsidR="00D422F5">
        <w:rPr>
          <w:rFonts w:eastAsia="Times New Roman" w:cs="Times New Roman"/>
          <w:iCs/>
          <w:sz w:val="24"/>
          <w:szCs w:val="24"/>
          <w:lang w:eastAsia="en-GB"/>
        </w:rPr>
        <w:t xml:space="preserve"> </w:t>
      </w:r>
      <w:r w:rsidR="0020367D">
        <w:rPr>
          <w:rFonts w:eastAsia="Times New Roman" w:cs="Times New Roman"/>
          <w:iCs/>
          <w:sz w:val="24"/>
          <w:szCs w:val="24"/>
          <w:lang w:eastAsia="en-GB"/>
        </w:rPr>
        <w:t>T</w:t>
      </w:r>
      <w:r w:rsidR="00FC6CC2">
        <w:rPr>
          <w:rFonts w:eastAsia="Times New Roman" w:cs="Times New Roman"/>
          <w:iCs/>
          <w:sz w:val="24"/>
          <w:szCs w:val="24"/>
          <w:lang w:eastAsia="en-GB"/>
        </w:rPr>
        <w:t>hree</w:t>
      </w:r>
      <w:r w:rsidR="0020367D">
        <w:rPr>
          <w:rFonts w:eastAsia="Times New Roman" w:cs="Times New Roman"/>
          <w:iCs/>
          <w:sz w:val="24"/>
          <w:szCs w:val="24"/>
          <w:lang w:eastAsia="en-GB"/>
        </w:rPr>
        <w:t xml:space="preserve"> men and s</w:t>
      </w:r>
      <w:r w:rsidR="00FC6CC2">
        <w:rPr>
          <w:rFonts w:eastAsia="Times New Roman" w:cs="Times New Roman"/>
          <w:iCs/>
          <w:sz w:val="24"/>
          <w:szCs w:val="24"/>
          <w:lang w:eastAsia="en-GB"/>
        </w:rPr>
        <w:t>ix</w:t>
      </w:r>
      <w:r w:rsidR="0020367D">
        <w:rPr>
          <w:rFonts w:eastAsia="Times New Roman" w:cs="Times New Roman"/>
          <w:iCs/>
          <w:sz w:val="24"/>
          <w:szCs w:val="24"/>
          <w:lang w:eastAsia="en-GB"/>
        </w:rPr>
        <w:t xml:space="preserve"> women particip</w:t>
      </w:r>
      <w:r w:rsidR="007357EA">
        <w:rPr>
          <w:rFonts w:eastAsia="Times New Roman" w:cs="Times New Roman"/>
          <w:iCs/>
          <w:sz w:val="24"/>
          <w:szCs w:val="24"/>
          <w:lang w:eastAsia="en-GB"/>
        </w:rPr>
        <w:t>ated, eight white and one black,</w:t>
      </w:r>
      <w:r w:rsidR="0020367D">
        <w:rPr>
          <w:rFonts w:eastAsia="Times New Roman" w:cs="Times New Roman"/>
          <w:iCs/>
          <w:sz w:val="24"/>
          <w:szCs w:val="24"/>
          <w:lang w:eastAsia="en-GB"/>
        </w:rPr>
        <w:t xml:space="preserve"> with a spread of experience ranging from associate prosecutors to senior prosecutors with ma</w:t>
      </w:r>
      <w:r w:rsidR="007357EA">
        <w:rPr>
          <w:rFonts w:eastAsia="Times New Roman" w:cs="Times New Roman"/>
          <w:iCs/>
          <w:sz w:val="24"/>
          <w:szCs w:val="24"/>
          <w:lang w:eastAsia="en-GB"/>
        </w:rPr>
        <w:t>na</w:t>
      </w:r>
      <w:r w:rsidR="0020367D">
        <w:rPr>
          <w:rFonts w:eastAsia="Times New Roman" w:cs="Times New Roman"/>
          <w:iCs/>
          <w:sz w:val="24"/>
          <w:szCs w:val="24"/>
          <w:lang w:eastAsia="en-GB"/>
        </w:rPr>
        <w:t xml:space="preserve">gement experience. </w:t>
      </w:r>
    </w:p>
    <w:p w14:paraId="6D68BBD6" w14:textId="46F84A46" w:rsidR="006146F2" w:rsidRDefault="0020367D" w:rsidP="006146F2">
      <w:pPr>
        <w:spacing w:after="0" w:line="360" w:lineRule="auto"/>
        <w:ind w:firstLine="720"/>
        <w:rPr>
          <w:rFonts w:eastAsia="Times New Roman" w:cs="Times New Roman"/>
          <w:iCs/>
          <w:sz w:val="24"/>
          <w:szCs w:val="24"/>
          <w:lang w:eastAsia="en-GB"/>
        </w:rPr>
      </w:pPr>
      <w:r>
        <w:rPr>
          <w:rFonts w:eastAsia="Times New Roman" w:cs="Times New Roman"/>
          <w:iCs/>
          <w:sz w:val="24"/>
          <w:szCs w:val="24"/>
          <w:lang w:eastAsia="en-GB"/>
        </w:rPr>
        <w:t>S</w:t>
      </w:r>
      <w:r w:rsidR="00D422F5">
        <w:rPr>
          <w:rFonts w:eastAsia="Times New Roman" w:cs="Times New Roman"/>
          <w:iCs/>
          <w:sz w:val="24"/>
          <w:szCs w:val="24"/>
          <w:lang w:eastAsia="en-GB"/>
        </w:rPr>
        <w:t xml:space="preserve">urvivors volunteered to take part following my </w:t>
      </w:r>
      <w:r w:rsidR="007357EA">
        <w:rPr>
          <w:rFonts w:eastAsia="Times New Roman" w:cs="Times New Roman"/>
          <w:iCs/>
          <w:sz w:val="24"/>
          <w:szCs w:val="24"/>
          <w:lang w:eastAsia="en-GB"/>
        </w:rPr>
        <w:t xml:space="preserve">email and telephone </w:t>
      </w:r>
      <w:r w:rsidR="00D422F5">
        <w:rPr>
          <w:rFonts w:eastAsia="Times New Roman" w:cs="Times New Roman"/>
          <w:iCs/>
          <w:sz w:val="24"/>
          <w:szCs w:val="24"/>
          <w:lang w:eastAsia="en-GB"/>
        </w:rPr>
        <w:t>approach</w:t>
      </w:r>
      <w:r w:rsidR="007357EA">
        <w:rPr>
          <w:rFonts w:eastAsia="Times New Roman" w:cs="Times New Roman"/>
          <w:iCs/>
          <w:sz w:val="24"/>
          <w:szCs w:val="24"/>
          <w:lang w:eastAsia="en-GB"/>
        </w:rPr>
        <w:t>es</w:t>
      </w:r>
      <w:r w:rsidR="00D422F5">
        <w:rPr>
          <w:rFonts w:eastAsia="Times New Roman" w:cs="Times New Roman"/>
          <w:iCs/>
          <w:sz w:val="24"/>
          <w:szCs w:val="24"/>
          <w:lang w:eastAsia="en-GB"/>
        </w:rPr>
        <w:t xml:space="preserve"> to a number of domestic abuse support charities in the South of England</w:t>
      </w:r>
      <w:r w:rsidR="00096B3C">
        <w:rPr>
          <w:rFonts w:eastAsia="Times New Roman" w:cs="Times New Roman"/>
          <w:iCs/>
          <w:sz w:val="24"/>
          <w:szCs w:val="24"/>
          <w:lang w:eastAsia="en-GB"/>
        </w:rPr>
        <w:t xml:space="preserve"> (</w:t>
      </w:r>
      <w:r w:rsidR="00E826FE">
        <w:rPr>
          <w:rFonts w:eastAsia="Times New Roman" w:cs="Times New Roman"/>
          <w:iCs/>
          <w:sz w:val="24"/>
          <w:szCs w:val="24"/>
          <w:lang w:eastAsia="en-GB"/>
        </w:rPr>
        <w:t>one</w:t>
      </w:r>
      <w:r w:rsidR="00096B3C">
        <w:rPr>
          <w:rFonts w:eastAsia="Times New Roman" w:cs="Times New Roman"/>
          <w:iCs/>
          <w:sz w:val="24"/>
          <w:szCs w:val="24"/>
          <w:lang w:eastAsia="en-GB"/>
        </w:rPr>
        <w:t xml:space="preserve"> woman approached me directly having heard about the project independently of the charities I had approached)</w:t>
      </w:r>
      <w:r w:rsidR="007357EA">
        <w:rPr>
          <w:rFonts w:eastAsia="Times New Roman" w:cs="Times New Roman"/>
          <w:iCs/>
          <w:sz w:val="24"/>
          <w:szCs w:val="24"/>
          <w:lang w:eastAsia="en-GB"/>
        </w:rPr>
        <w:t xml:space="preserve">. </w:t>
      </w:r>
      <w:r w:rsidR="00FC6CC2">
        <w:rPr>
          <w:rFonts w:eastAsia="Times New Roman" w:cs="Times New Roman"/>
          <w:iCs/>
          <w:sz w:val="24"/>
          <w:szCs w:val="24"/>
          <w:lang w:eastAsia="en-GB"/>
        </w:rPr>
        <w:t>I also attended one charity in person</w:t>
      </w:r>
      <w:r w:rsidR="006146F2">
        <w:rPr>
          <w:rFonts w:eastAsia="Times New Roman" w:cs="Times New Roman"/>
          <w:iCs/>
          <w:sz w:val="24"/>
          <w:szCs w:val="24"/>
          <w:lang w:eastAsia="en-GB"/>
        </w:rPr>
        <w:t xml:space="preserve"> and spoke at their staff meeting to promote the project and my need for volunteers. </w:t>
      </w:r>
      <w:r w:rsidR="007357EA">
        <w:rPr>
          <w:rFonts w:eastAsia="Times New Roman" w:cs="Times New Roman"/>
          <w:iCs/>
          <w:sz w:val="24"/>
          <w:szCs w:val="24"/>
          <w:lang w:eastAsia="en-GB"/>
        </w:rPr>
        <w:t>The survivors in my sample were all women</w:t>
      </w:r>
      <w:r w:rsidR="00B71417">
        <w:rPr>
          <w:rFonts w:eastAsia="Times New Roman" w:cs="Times New Roman"/>
          <w:iCs/>
          <w:sz w:val="24"/>
          <w:szCs w:val="24"/>
          <w:lang w:eastAsia="en-GB"/>
        </w:rPr>
        <w:t>;</w:t>
      </w:r>
      <w:r w:rsidR="007357EA">
        <w:rPr>
          <w:rFonts w:eastAsia="Times New Roman" w:cs="Times New Roman"/>
          <w:iCs/>
          <w:sz w:val="24"/>
          <w:szCs w:val="24"/>
          <w:lang w:eastAsia="en-GB"/>
        </w:rPr>
        <w:t xml:space="preserve"> nine were white, one was black and one was Asian</w:t>
      </w:r>
      <w:r w:rsidR="006146F2">
        <w:rPr>
          <w:rFonts w:eastAsia="Times New Roman" w:cs="Times New Roman"/>
          <w:iCs/>
          <w:sz w:val="24"/>
          <w:szCs w:val="24"/>
          <w:lang w:eastAsia="en-GB"/>
        </w:rPr>
        <w:t>;</w:t>
      </w:r>
      <w:r w:rsidR="007357EA">
        <w:rPr>
          <w:rFonts w:eastAsia="Times New Roman" w:cs="Times New Roman"/>
          <w:iCs/>
          <w:sz w:val="24"/>
          <w:szCs w:val="24"/>
          <w:lang w:eastAsia="en-GB"/>
        </w:rPr>
        <w:t xml:space="preserve"> all were able bodied. </w:t>
      </w:r>
      <w:r w:rsidR="00F95775">
        <w:rPr>
          <w:rFonts w:eastAsia="Times New Roman" w:cs="Times New Roman"/>
          <w:iCs/>
          <w:sz w:val="24"/>
          <w:szCs w:val="24"/>
          <w:lang w:eastAsia="en-GB"/>
        </w:rPr>
        <w:t xml:space="preserve">Half of the interviews took place in the women’s homes and the other half </w:t>
      </w:r>
      <w:r w:rsidR="00B71417">
        <w:rPr>
          <w:rFonts w:eastAsia="Times New Roman" w:cs="Times New Roman"/>
          <w:iCs/>
          <w:sz w:val="24"/>
          <w:szCs w:val="24"/>
          <w:lang w:eastAsia="en-GB"/>
        </w:rPr>
        <w:t>at the offices of the charities that were supporting them.</w:t>
      </w:r>
    </w:p>
    <w:p w14:paraId="65E7DDB2" w14:textId="0670B1E1" w:rsidR="006146F2" w:rsidRDefault="003B34D6" w:rsidP="006146F2">
      <w:pPr>
        <w:spacing w:after="0" w:line="360" w:lineRule="auto"/>
        <w:ind w:firstLine="720"/>
        <w:rPr>
          <w:rFonts w:eastAsia="Times New Roman" w:cs="Times New Roman"/>
          <w:iCs/>
          <w:sz w:val="24"/>
          <w:szCs w:val="24"/>
          <w:lang w:eastAsia="en-GB"/>
        </w:rPr>
      </w:pPr>
      <w:r>
        <w:rPr>
          <w:rFonts w:eastAsia="Times New Roman" w:cs="Times New Roman"/>
          <w:iCs/>
          <w:sz w:val="24"/>
          <w:szCs w:val="24"/>
          <w:lang w:eastAsia="en-GB"/>
        </w:rPr>
        <w:t>The seventeen s</w:t>
      </w:r>
      <w:r w:rsidR="00096B3C">
        <w:rPr>
          <w:rFonts w:eastAsia="Times New Roman" w:cs="Times New Roman"/>
          <w:iCs/>
          <w:sz w:val="24"/>
          <w:szCs w:val="24"/>
          <w:lang w:eastAsia="en-GB"/>
        </w:rPr>
        <w:t xml:space="preserve">upport workers </w:t>
      </w:r>
      <w:r w:rsidR="00A32923">
        <w:rPr>
          <w:rFonts w:eastAsia="Times New Roman" w:cs="Times New Roman"/>
          <w:iCs/>
          <w:sz w:val="24"/>
          <w:szCs w:val="24"/>
          <w:lang w:eastAsia="en-GB"/>
        </w:rPr>
        <w:t xml:space="preserve">that took part in five focus groups (of sizes ranging from three to five participants) </w:t>
      </w:r>
      <w:r w:rsidR="00096B3C">
        <w:rPr>
          <w:rFonts w:eastAsia="Times New Roman" w:cs="Times New Roman"/>
          <w:iCs/>
          <w:sz w:val="24"/>
          <w:szCs w:val="24"/>
          <w:lang w:eastAsia="en-GB"/>
        </w:rPr>
        <w:t xml:space="preserve">drew from </w:t>
      </w:r>
      <w:r w:rsidR="00E826FE">
        <w:rPr>
          <w:rFonts w:eastAsia="Times New Roman" w:cs="Times New Roman"/>
          <w:iCs/>
          <w:sz w:val="24"/>
          <w:szCs w:val="24"/>
          <w:lang w:eastAsia="en-GB"/>
        </w:rPr>
        <w:t>five</w:t>
      </w:r>
      <w:r w:rsidR="00096B3C">
        <w:rPr>
          <w:rFonts w:eastAsia="Times New Roman" w:cs="Times New Roman"/>
          <w:iCs/>
          <w:sz w:val="24"/>
          <w:szCs w:val="24"/>
          <w:lang w:eastAsia="en-GB"/>
        </w:rPr>
        <w:t xml:space="preserve"> different charities </w:t>
      </w:r>
      <w:r w:rsidR="00A32923">
        <w:rPr>
          <w:rFonts w:eastAsia="Times New Roman" w:cs="Times New Roman"/>
          <w:iCs/>
          <w:sz w:val="24"/>
          <w:szCs w:val="24"/>
          <w:lang w:eastAsia="en-GB"/>
        </w:rPr>
        <w:t xml:space="preserve">that </w:t>
      </w:r>
      <w:r w:rsidR="00096B3C">
        <w:rPr>
          <w:rFonts w:eastAsia="Times New Roman" w:cs="Times New Roman"/>
          <w:iCs/>
          <w:sz w:val="24"/>
          <w:szCs w:val="24"/>
          <w:lang w:eastAsia="en-GB"/>
        </w:rPr>
        <w:t xml:space="preserve">I approached </w:t>
      </w:r>
      <w:r w:rsidR="00FC6CC2">
        <w:rPr>
          <w:rFonts w:eastAsia="Times New Roman" w:cs="Times New Roman"/>
          <w:iCs/>
          <w:sz w:val="24"/>
          <w:szCs w:val="24"/>
          <w:lang w:eastAsia="en-GB"/>
        </w:rPr>
        <w:t xml:space="preserve">via email or telephone </w:t>
      </w:r>
      <w:r w:rsidR="00096B3C">
        <w:rPr>
          <w:rFonts w:eastAsia="Times New Roman" w:cs="Times New Roman"/>
          <w:iCs/>
          <w:sz w:val="24"/>
          <w:szCs w:val="24"/>
          <w:lang w:eastAsia="en-GB"/>
        </w:rPr>
        <w:t>across Essex, London and Kent</w:t>
      </w:r>
      <w:r w:rsidR="00FC6CC2">
        <w:rPr>
          <w:rFonts w:eastAsia="Times New Roman" w:cs="Times New Roman"/>
          <w:iCs/>
          <w:sz w:val="24"/>
          <w:szCs w:val="24"/>
          <w:lang w:eastAsia="en-GB"/>
        </w:rPr>
        <w:t>.</w:t>
      </w:r>
      <w:r>
        <w:rPr>
          <w:rFonts w:eastAsia="Times New Roman" w:cs="Times New Roman"/>
          <w:iCs/>
          <w:sz w:val="24"/>
          <w:szCs w:val="24"/>
          <w:lang w:eastAsia="en-GB"/>
        </w:rPr>
        <w:t xml:space="preserve"> </w:t>
      </w:r>
      <w:r w:rsidR="00FC6CC2">
        <w:rPr>
          <w:rFonts w:eastAsia="Times New Roman" w:cs="Times New Roman"/>
          <w:iCs/>
          <w:sz w:val="24"/>
          <w:szCs w:val="24"/>
          <w:lang w:eastAsia="en-GB"/>
        </w:rPr>
        <w:t>A</w:t>
      </w:r>
      <w:r>
        <w:rPr>
          <w:rFonts w:eastAsia="Times New Roman" w:cs="Times New Roman"/>
          <w:iCs/>
          <w:sz w:val="24"/>
          <w:szCs w:val="24"/>
          <w:lang w:eastAsia="en-GB"/>
        </w:rPr>
        <w:t xml:space="preserve">ll were </w:t>
      </w:r>
      <w:r w:rsidR="00F95775">
        <w:rPr>
          <w:rFonts w:eastAsia="Times New Roman" w:cs="Times New Roman"/>
          <w:iCs/>
          <w:sz w:val="24"/>
          <w:szCs w:val="24"/>
          <w:lang w:eastAsia="en-GB"/>
        </w:rPr>
        <w:t xml:space="preserve">white </w:t>
      </w:r>
      <w:r>
        <w:rPr>
          <w:rFonts w:eastAsia="Times New Roman" w:cs="Times New Roman"/>
          <w:iCs/>
          <w:sz w:val="24"/>
          <w:szCs w:val="24"/>
          <w:lang w:eastAsia="en-GB"/>
        </w:rPr>
        <w:t>women</w:t>
      </w:r>
      <w:r w:rsidR="00F95775">
        <w:rPr>
          <w:rFonts w:eastAsia="Times New Roman" w:cs="Times New Roman"/>
          <w:iCs/>
          <w:sz w:val="24"/>
          <w:szCs w:val="24"/>
          <w:lang w:eastAsia="en-GB"/>
        </w:rPr>
        <w:t xml:space="preserve">. I travelled to </w:t>
      </w:r>
      <w:r w:rsidR="00B71417">
        <w:rPr>
          <w:rFonts w:eastAsia="Times New Roman" w:cs="Times New Roman"/>
          <w:iCs/>
          <w:sz w:val="24"/>
          <w:szCs w:val="24"/>
          <w:lang w:eastAsia="en-GB"/>
        </w:rPr>
        <w:t xml:space="preserve">their offices to </w:t>
      </w:r>
      <w:r w:rsidR="00F95775">
        <w:rPr>
          <w:rFonts w:eastAsia="Times New Roman" w:cs="Times New Roman"/>
          <w:iCs/>
          <w:sz w:val="24"/>
          <w:szCs w:val="24"/>
          <w:lang w:eastAsia="en-GB"/>
        </w:rPr>
        <w:t xml:space="preserve">facilitate the focus groups in person (on one occasion I secured an independent office space in a </w:t>
      </w:r>
      <w:r w:rsidR="00B71417">
        <w:rPr>
          <w:rFonts w:eastAsia="Times New Roman" w:cs="Times New Roman"/>
          <w:iCs/>
          <w:sz w:val="24"/>
          <w:szCs w:val="24"/>
          <w:lang w:eastAsia="en-GB"/>
        </w:rPr>
        <w:t xml:space="preserve">mutually </w:t>
      </w:r>
      <w:r w:rsidR="00F95775">
        <w:rPr>
          <w:rFonts w:eastAsia="Times New Roman" w:cs="Times New Roman"/>
          <w:iCs/>
          <w:sz w:val="24"/>
          <w:szCs w:val="24"/>
          <w:lang w:eastAsia="en-GB"/>
        </w:rPr>
        <w:t>convenient location).</w:t>
      </w:r>
    </w:p>
    <w:p w14:paraId="34BDDD0D" w14:textId="7D6C194D" w:rsidR="00B433F5" w:rsidRDefault="00FC6CC2" w:rsidP="00B433F5">
      <w:pPr>
        <w:spacing w:after="0" w:line="360" w:lineRule="auto"/>
        <w:ind w:firstLine="720"/>
        <w:rPr>
          <w:sz w:val="24"/>
          <w:szCs w:val="24"/>
        </w:rPr>
      </w:pPr>
      <w:r w:rsidRPr="00B433F5">
        <w:rPr>
          <w:rFonts w:eastAsia="Times New Roman" w:cs="Times New Roman"/>
          <w:iCs/>
          <w:sz w:val="24"/>
          <w:szCs w:val="24"/>
          <w:lang w:eastAsia="en-GB"/>
        </w:rPr>
        <w:t>I obtained ethical approval</w:t>
      </w:r>
      <w:r w:rsidR="00B433F5">
        <w:rPr>
          <w:rFonts w:eastAsia="Times New Roman" w:cs="Times New Roman"/>
          <w:iCs/>
          <w:sz w:val="24"/>
          <w:szCs w:val="24"/>
          <w:lang w:eastAsia="en-GB"/>
        </w:rPr>
        <w:t xml:space="preserve"> from Kent Law School</w:t>
      </w:r>
      <w:r w:rsidR="006146F2" w:rsidRPr="00B433F5">
        <w:rPr>
          <w:rFonts w:eastAsia="Times New Roman" w:cs="Times New Roman"/>
          <w:iCs/>
          <w:sz w:val="24"/>
          <w:szCs w:val="24"/>
          <w:lang w:eastAsia="en-GB"/>
        </w:rPr>
        <w:t>; a</w:t>
      </w:r>
      <w:r w:rsidR="00A21062" w:rsidRPr="00B433F5">
        <w:rPr>
          <w:sz w:val="24"/>
          <w:szCs w:val="24"/>
        </w:rPr>
        <w:t xml:space="preserve">ll the </w:t>
      </w:r>
      <w:r w:rsidR="00F95775">
        <w:rPr>
          <w:sz w:val="24"/>
          <w:szCs w:val="24"/>
        </w:rPr>
        <w:t>participants</w:t>
      </w:r>
      <w:r w:rsidR="00A21062" w:rsidRPr="00B433F5">
        <w:rPr>
          <w:sz w:val="24"/>
          <w:szCs w:val="24"/>
        </w:rPr>
        <w:t xml:space="preserve"> consented to have their testimonies recorded and transcribed</w:t>
      </w:r>
      <w:r w:rsidR="006146F2" w:rsidRPr="00B433F5">
        <w:rPr>
          <w:sz w:val="24"/>
          <w:szCs w:val="24"/>
        </w:rPr>
        <w:t xml:space="preserve"> and I gave reassurance that their anonymity would be preserved</w:t>
      </w:r>
      <w:r w:rsidR="00A21062" w:rsidRPr="00B433F5">
        <w:rPr>
          <w:sz w:val="24"/>
          <w:szCs w:val="24"/>
        </w:rPr>
        <w:t xml:space="preserve">. </w:t>
      </w:r>
      <w:r w:rsidR="006146F2" w:rsidRPr="00B433F5">
        <w:rPr>
          <w:sz w:val="24"/>
          <w:szCs w:val="24"/>
        </w:rPr>
        <w:t xml:space="preserve">All </w:t>
      </w:r>
      <w:r w:rsidR="009237FB" w:rsidRPr="00B433F5">
        <w:rPr>
          <w:sz w:val="24"/>
          <w:szCs w:val="24"/>
        </w:rPr>
        <w:t xml:space="preserve">empirical work </w:t>
      </w:r>
      <w:r w:rsidR="00B433F5">
        <w:rPr>
          <w:sz w:val="24"/>
          <w:szCs w:val="24"/>
        </w:rPr>
        <w:t xml:space="preserve">took place face to face in person and </w:t>
      </w:r>
      <w:r w:rsidR="006146F2" w:rsidRPr="00B433F5">
        <w:rPr>
          <w:sz w:val="24"/>
          <w:szCs w:val="24"/>
        </w:rPr>
        <w:t>was</w:t>
      </w:r>
      <w:r w:rsidR="009237FB" w:rsidRPr="00B433F5">
        <w:rPr>
          <w:sz w:val="24"/>
          <w:szCs w:val="24"/>
        </w:rPr>
        <w:t xml:space="preserve"> guided by the use of separate semi-structured interview schedules</w:t>
      </w:r>
      <w:r w:rsidR="006146F2" w:rsidRPr="00B433F5">
        <w:rPr>
          <w:sz w:val="24"/>
          <w:szCs w:val="24"/>
        </w:rPr>
        <w:t>/ focus group prompts</w:t>
      </w:r>
      <w:r w:rsidR="009237FB" w:rsidRPr="00B433F5">
        <w:rPr>
          <w:sz w:val="24"/>
          <w:szCs w:val="24"/>
        </w:rPr>
        <w:t xml:space="preserve">. </w:t>
      </w:r>
      <w:r w:rsidR="006146F2" w:rsidRPr="00B433F5">
        <w:rPr>
          <w:sz w:val="24"/>
          <w:szCs w:val="24"/>
        </w:rPr>
        <w:t>Flexible</w:t>
      </w:r>
      <w:r w:rsidR="009237FB" w:rsidRPr="00B433F5">
        <w:rPr>
          <w:sz w:val="24"/>
          <w:szCs w:val="24"/>
        </w:rPr>
        <w:t xml:space="preserve"> schedules acted as a topic guide</w:t>
      </w:r>
      <w:r w:rsidR="00B71417">
        <w:rPr>
          <w:sz w:val="24"/>
          <w:szCs w:val="24"/>
        </w:rPr>
        <w:t>,</w:t>
      </w:r>
      <w:r w:rsidR="009237FB" w:rsidRPr="00B433F5">
        <w:rPr>
          <w:sz w:val="24"/>
          <w:szCs w:val="24"/>
        </w:rPr>
        <w:t xml:space="preserve"> prompting me to cover the target areas of enquiry but allowing flexibility in terms of sequencing the questions. </w:t>
      </w:r>
      <w:r w:rsidR="00B71417">
        <w:rPr>
          <w:sz w:val="24"/>
          <w:szCs w:val="24"/>
        </w:rPr>
        <w:t>This method also</w:t>
      </w:r>
      <w:r w:rsidR="009237FB" w:rsidRPr="00B433F5">
        <w:rPr>
          <w:sz w:val="24"/>
          <w:szCs w:val="24"/>
        </w:rPr>
        <w:t xml:space="preserve"> allow</w:t>
      </w:r>
      <w:r w:rsidR="00B71417">
        <w:rPr>
          <w:sz w:val="24"/>
          <w:szCs w:val="24"/>
        </w:rPr>
        <w:t>ed</w:t>
      </w:r>
      <w:r w:rsidR="009237FB" w:rsidRPr="00B433F5">
        <w:rPr>
          <w:sz w:val="24"/>
          <w:szCs w:val="24"/>
        </w:rPr>
        <w:t xml:space="preserve"> latitude to explore topic</w:t>
      </w:r>
      <w:r w:rsidR="00B71417">
        <w:rPr>
          <w:sz w:val="24"/>
          <w:szCs w:val="24"/>
        </w:rPr>
        <w:t>s</w:t>
      </w:r>
      <w:r w:rsidR="009237FB" w:rsidRPr="00B433F5">
        <w:rPr>
          <w:sz w:val="24"/>
          <w:szCs w:val="24"/>
        </w:rPr>
        <w:t xml:space="preserve"> in depth where responses were felt to be significant.</w:t>
      </w:r>
      <w:r w:rsidR="009237FB" w:rsidRPr="00B433F5">
        <w:rPr>
          <w:rStyle w:val="FootnoteReference"/>
          <w:sz w:val="24"/>
          <w:szCs w:val="24"/>
        </w:rPr>
        <w:footnoteReference w:id="118"/>
      </w:r>
      <w:r w:rsidR="009237FB" w:rsidRPr="00B433F5">
        <w:rPr>
          <w:sz w:val="24"/>
          <w:szCs w:val="24"/>
        </w:rPr>
        <w:t xml:space="preserve"> The questions were largely open questions which invited extended </w:t>
      </w:r>
      <w:r w:rsidR="009237FB" w:rsidRPr="00B433F5">
        <w:rPr>
          <w:rFonts w:eastAsia="Times New Roman" w:cs="Times New Roman"/>
          <w:iCs/>
          <w:sz w:val="24"/>
          <w:szCs w:val="24"/>
          <w:lang w:eastAsia="en-GB"/>
        </w:rPr>
        <w:t xml:space="preserve">or </w:t>
      </w:r>
      <w:r w:rsidR="00B71417">
        <w:rPr>
          <w:rFonts w:eastAsia="Times New Roman" w:cs="Times New Roman"/>
          <w:iCs/>
          <w:sz w:val="24"/>
          <w:szCs w:val="24"/>
          <w:lang w:eastAsia="en-GB"/>
        </w:rPr>
        <w:t>‘</w:t>
      </w:r>
      <w:r w:rsidR="009237FB" w:rsidRPr="00B433F5">
        <w:rPr>
          <w:rFonts w:eastAsia="Times New Roman" w:cs="Times New Roman"/>
          <w:iCs/>
          <w:sz w:val="24"/>
          <w:szCs w:val="24"/>
          <w:lang w:eastAsia="en-GB"/>
        </w:rPr>
        <w:t>rich</w:t>
      </w:r>
      <w:r w:rsidR="00B71417">
        <w:rPr>
          <w:rFonts w:eastAsia="Times New Roman" w:cs="Times New Roman"/>
          <w:iCs/>
          <w:sz w:val="24"/>
          <w:szCs w:val="24"/>
          <w:lang w:eastAsia="en-GB"/>
        </w:rPr>
        <w:t>’</w:t>
      </w:r>
      <w:r w:rsidR="009237FB" w:rsidRPr="00B433F5">
        <w:rPr>
          <w:rStyle w:val="FootnoteReference"/>
          <w:iCs/>
          <w:sz w:val="24"/>
          <w:szCs w:val="24"/>
          <w:lang w:eastAsia="en-GB"/>
        </w:rPr>
        <w:footnoteReference w:id="119"/>
      </w:r>
      <w:r w:rsidR="009237FB" w:rsidRPr="00B433F5">
        <w:rPr>
          <w:rFonts w:eastAsia="Times New Roman" w:cs="Times New Roman"/>
          <w:iCs/>
          <w:sz w:val="24"/>
          <w:szCs w:val="24"/>
          <w:lang w:eastAsia="en-GB"/>
        </w:rPr>
        <w:t xml:space="preserve"> </w:t>
      </w:r>
      <w:r w:rsidR="009237FB" w:rsidRPr="00B433F5">
        <w:rPr>
          <w:sz w:val="24"/>
          <w:szCs w:val="24"/>
        </w:rPr>
        <w:t>responses from participant</w:t>
      </w:r>
      <w:r w:rsidR="00B433F5" w:rsidRPr="00B433F5">
        <w:rPr>
          <w:sz w:val="24"/>
          <w:szCs w:val="24"/>
        </w:rPr>
        <w:t>s</w:t>
      </w:r>
      <w:r w:rsidR="009237FB" w:rsidRPr="00B433F5">
        <w:rPr>
          <w:sz w:val="24"/>
          <w:szCs w:val="24"/>
        </w:rPr>
        <w:t>, permitting</w:t>
      </w:r>
      <w:r w:rsidR="009237FB" w:rsidRPr="00A815AD">
        <w:rPr>
          <w:sz w:val="24"/>
          <w:szCs w:val="24"/>
        </w:rPr>
        <w:t xml:space="preserve"> </w:t>
      </w:r>
      <w:r w:rsidR="00B433F5">
        <w:rPr>
          <w:sz w:val="24"/>
          <w:szCs w:val="24"/>
        </w:rPr>
        <w:t>respondents</w:t>
      </w:r>
      <w:r w:rsidR="009237FB" w:rsidRPr="00A815AD">
        <w:rPr>
          <w:sz w:val="24"/>
          <w:szCs w:val="24"/>
        </w:rPr>
        <w:t xml:space="preserve"> to answer in their own terms </w:t>
      </w:r>
      <w:r w:rsidR="00B433F5">
        <w:rPr>
          <w:sz w:val="24"/>
          <w:szCs w:val="24"/>
        </w:rPr>
        <w:t>and reducing direction or influence from</w:t>
      </w:r>
      <w:r w:rsidR="009237FB" w:rsidRPr="00A815AD">
        <w:rPr>
          <w:sz w:val="24"/>
          <w:szCs w:val="24"/>
        </w:rPr>
        <w:t xml:space="preserve"> </w:t>
      </w:r>
      <w:r w:rsidR="009237FB">
        <w:rPr>
          <w:sz w:val="24"/>
          <w:szCs w:val="24"/>
        </w:rPr>
        <w:t>me</w:t>
      </w:r>
      <w:r w:rsidR="009237FB" w:rsidRPr="00A815AD">
        <w:rPr>
          <w:sz w:val="24"/>
          <w:szCs w:val="24"/>
        </w:rPr>
        <w:t xml:space="preserve">. </w:t>
      </w:r>
      <w:bookmarkEnd w:id="91"/>
    </w:p>
    <w:p w14:paraId="13B13DED" w14:textId="3B7CF542" w:rsidR="002911C2" w:rsidRDefault="00A64B1C" w:rsidP="00073AEB">
      <w:pPr>
        <w:spacing w:after="0" w:line="360" w:lineRule="auto"/>
        <w:ind w:firstLine="720"/>
        <w:rPr>
          <w:sz w:val="24"/>
          <w:szCs w:val="24"/>
        </w:rPr>
      </w:pPr>
      <w:r w:rsidRPr="00CF30B4">
        <w:rPr>
          <w:sz w:val="24"/>
          <w:szCs w:val="24"/>
        </w:rPr>
        <w:t>Interviews with prosecutors employed, what Roulston has called, a neo-positive</w:t>
      </w:r>
      <w:r w:rsidRPr="00CF30B4">
        <w:rPr>
          <w:rStyle w:val="FootnoteReference"/>
        </w:rPr>
        <w:footnoteReference w:id="120"/>
      </w:r>
      <w:r w:rsidRPr="00CF30B4">
        <w:rPr>
          <w:sz w:val="24"/>
          <w:szCs w:val="24"/>
        </w:rPr>
        <w:t xml:space="preserve"> approach. A neo-positivist conception of the semi-structured interview technique assumes </w:t>
      </w:r>
      <w:r w:rsidRPr="00CF30B4">
        <w:rPr>
          <w:sz w:val="24"/>
          <w:szCs w:val="24"/>
        </w:rPr>
        <w:lastRenderedPageBreak/>
        <w:t>that the prosecutor being interviewed ‘has an inner or authentic self, not necessarily publicly visible, which may be revealed through careful questioning by an attentive and sensitive interviewer who contributes minimally to the talk’.</w:t>
      </w:r>
      <w:r w:rsidRPr="00CF30B4">
        <w:rPr>
          <w:rStyle w:val="FootnoteReference"/>
        </w:rPr>
        <w:footnoteReference w:id="121"/>
      </w:r>
      <w:r>
        <w:rPr>
          <w:sz w:val="24"/>
          <w:szCs w:val="24"/>
        </w:rPr>
        <w:t xml:space="preserve"> </w:t>
      </w:r>
      <w:r w:rsidR="007D7875">
        <w:rPr>
          <w:sz w:val="24"/>
          <w:szCs w:val="24"/>
        </w:rPr>
        <w:t xml:space="preserve">I used ‘open’ and ‘non-leading’ questions to uncover the prosecutors’ perspectives, opinions and experiences and </w:t>
      </w:r>
      <w:r w:rsidR="00073AEB">
        <w:rPr>
          <w:sz w:val="24"/>
          <w:szCs w:val="24"/>
        </w:rPr>
        <w:t>adopted</w:t>
      </w:r>
      <w:r>
        <w:rPr>
          <w:sz w:val="24"/>
          <w:szCs w:val="24"/>
        </w:rPr>
        <w:t xml:space="preserve"> a</w:t>
      </w:r>
      <w:r w:rsidRPr="00CF30B4">
        <w:rPr>
          <w:sz w:val="24"/>
          <w:szCs w:val="24"/>
        </w:rPr>
        <w:t xml:space="preserve"> neutral role </w:t>
      </w:r>
      <w:r w:rsidR="007D7875">
        <w:rPr>
          <w:sz w:val="24"/>
          <w:szCs w:val="24"/>
        </w:rPr>
        <w:t xml:space="preserve">(by not expressing my own perspective on the research topic). In so doing I endeavoured to </w:t>
      </w:r>
      <w:r w:rsidRPr="00CF30B4">
        <w:rPr>
          <w:sz w:val="24"/>
          <w:szCs w:val="24"/>
        </w:rPr>
        <w:t>minimise the risk of bias an</w:t>
      </w:r>
      <w:r>
        <w:rPr>
          <w:sz w:val="24"/>
          <w:szCs w:val="24"/>
        </w:rPr>
        <w:t>d researcher influence</w:t>
      </w:r>
      <w:r w:rsidR="002911C2">
        <w:rPr>
          <w:sz w:val="24"/>
          <w:szCs w:val="24"/>
        </w:rPr>
        <w:t xml:space="preserve"> during the collection of data</w:t>
      </w:r>
      <w:r w:rsidRPr="00CF30B4">
        <w:rPr>
          <w:sz w:val="24"/>
          <w:szCs w:val="24"/>
        </w:rPr>
        <w:t>.</w:t>
      </w:r>
      <w:r w:rsidR="000D0802">
        <w:rPr>
          <w:sz w:val="24"/>
          <w:szCs w:val="24"/>
        </w:rPr>
        <w:t xml:space="preserve"> </w:t>
      </w:r>
    </w:p>
    <w:p w14:paraId="3966A191" w14:textId="77777777" w:rsidR="00886A2C" w:rsidRDefault="00A64B1C" w:rsidP="00073AEB">
      <w:pPr>
        <w:spacing w:after="0" w:line="360" w:lineRule="auto"/>
        <w:ind w:firstLine="720"/>
        <w:rPr>
          <w:sz w:val="24"/>
          <w:szCs w:val="24"/>
        </w:rPr>
      </w:pPr>
      <w:r>
        <w:rPr>
          <w:sz w:val="24"/>
          <w:szCs w:val="24"/>
        </w:rPr>
        <w:t>Conversely</w:t>
      </w:r>
      <w:r w:rsidRPr="00CF30B4">
        <w:rPr>
          <w:sz w:val="24"/>
          <w:szCs w:val="24"/>
        </w:rPr>
        <w:t xml:space="preserve">, </w:t>
      </w:r>
      <w:r w:rsidR="002911C2">
        <w:rPr>
          <w:sz w:val="24"/>
          <w:szCs w:val="24"/>
        </w:rPr>
        <w:t xml:space="preserve">when interviewing women survivors, I </w:t>
      </w:r>
      <w:r w:rsidRPr="00CF30B4">
        <w:rPr>
          <w:sz w:val="24"/>
          <w:szCs w:val="24"/>
        </w:rPr>
        <w:t>adopt</w:t>
      </w:r>
      <w:r w:rsidR="002911C2">
        <w:rPr>
          <w:sz w:val="24"/>
          <w:szCs w:val="24"/>
        </w:rPr>
        <w:t>ed</w:t>
      </w:r>
      <w:r w:rsidRPr="00CF30B4">
        <w:rPr>
          <w:sz w:val="24"/>
          <w:szCs w:val="24"/>
        </w:rPr>
        <w:t xml:space="preserve"> Roulston’s ‘romantic’</w:t>
      </w:r>
      <w:r w:rsidRPr="00CF30B4">
        <w:rPr>
          <w:rStyle w:val="FootnoteReference"/>
        </w:rPr>
        <w:footnoteReference w:id="122"/>
      </w:r>
      <w:r w:rsidRPr="00CF30B4">
        <w:rPr>
          <w:sz w:val="24"/>
          <w:szCs w:val="24"/>
        </w:rPr>
        <w:t xml:space="preserve"> approach to </w:t>
      </w:r>
      <w:r w:rsidR="002911C2">
        <w:rPr>
          <w:sz w:val="24"/>
          <w:szCs w:val="24"/>
        </w:rPr>
        <w:t xml:space="preserve">interviewing. This meant that I </w:t>
      </w:r>
      <w:r w:rsidRPr="00CF30B4">
        <w:rPr>
          <w:sz w:val="24"/>
          <w:szCs w:val="24"/>
        </w:rPr>
        <w:t>express</w:t>
      </w:r>
      <w:r w:rsidR="002911C2">
        <w:rPr>
          <w:sz w:val="24"/>
          <w:szCs w:val="24"/>
        </w:rPr>
        <w:t>ed</w:t>
      </w:r>
      <w:r w:rsidRPr="00CF30B4">
        <w:rPr>
          <w:sz w:val="24"/>
          <w:szCs w:val="24"/>
        </w:rPr>
        <w:t xml:space="preserve"> empathy or interest in what was being said so that ‘genuine rapport and trust’</w:t>
      </w:r>
      <w:r w:rsidRPr="00CF30B4">
        <w:rPr>
          <w:rStyle w:val="FootnoteReference"/>
        </w:rPr>
        <w:footnoteReference w:id="123"/>
      </w:r>
      <w:r w:rsidRPr="00CF30B4">
        <w:rPr>
          <w:sz w:val="24"/>
          <w:szCs w:val="24"/>
        </w:rPr>
        <w:t xml:space="preserve"> could be built between myself and the participant</w:t>
      </w:r>
      <w:r>
        <w:rPr>
          <w:sz w:val="24"/>
          <w:szCs w:val="24"/>
        </w:rPr>
        <w:t xml:space="preserve">. </w:t>
      </w:r>
      <w:r w:rsidR="002911C2">
        <w:rPr>
          <w:sz w:val="24"/>
          <w:szCs w:val="24"/>
        </w:rPr>
        <w:t xml:space="preserve">I felt that such an approach was important because of the sensitive nature of the stories they were telling and the need for the women to feel supported and not judged. </w:t>
      </w:r>
      <w:r w:rsidR="000D0802">
        <w:rPr>
          <w:sz w:val="24"/>
          <w:szCs w:val="24"/>
        </w:rPr>
        <w:t xml:space="preserve">I hope that the approach also facilitated the women to feel like they could be open </w:t>
      </w:r>
      <w:r w:rsidR="000D0802" w:rsidRPr="00A32923">
        <w:rPr>
          <w:sz w:val="24"/>
          <w:szCs w:val="24"/>
        </w:rPr>
        <w:t xml:space="preserve">with me. </w:t>
      </w:r>
    </w:p>
    <w:p w14:paraId="31510F91" w14:textId="6DB75573" w:rsidR="00886A2C" w:rsidRDefault="00886A2C" w:rsidP="00886A2C">
      <w:pPr>
        <w:spacing w:after="0" w:line="360" w:lineRule="auto"/>
        <w:ind w:firstLine="720"/>
        <w:rPr>
          <w:sz w:val="24"/>
          <w:szCs w:val="24"/>
        </w:rPr>
      </w:pPr>
      <w:r w:rsidRPr="00784D4C">
        <w:rPr>
          <w:sz w:val="24"/>
          <w:szCs w:val="24"/>
        </w:rPr>
        <w:t>Central to the project is th</w:t>
      </w:r>
      <w:r>
        <w:rPr>
          <w:sz w:val="24"/>
          <w:szCs w:val="24"/>
        </w:rPr>
        <w:t>is</w:t>
      </w:r>
      <w:r w:rsidRPr="00784D4C">
        <w:rPr>
          <w:sz w:val="24"/>
          <w:szCs w:val="24"/>
        </w:rPr>
        <w:t xml:space="preserve"> perspective of the women affected. </w:t>
      </w:r>
      <w:r>
        <w:rPr>
          <w:sz w:val="24"/>
          <w:szCs w:val="24"/>
        </w:rPr>
        <w:t>My intention has always been</w:t>
      </w:r>
      <w:r w:rsidRPr="00784D4C">
        <w:rPr>
          <w:sz w:val="24"/>
          <w:szCs w:val="24"/>
        </w:rPr>
        <w:t xml:space="preserve"> to ‘</w:t>
      </w:r>
      <w:proofErr w:type="spellStart"/>
      <w:r w:rsidRPr="00784D4C">
        <w:rPr>
          <w:sz w:val="24"/>
          <w:szCs w:val="24"/>
        </w:rPr>
        <w:t>unsilence</w:t>
      </w:r>
      <w:proofErr w:type="spellEnd"/>
      <w:r w:rsidRPr="00784D4C">
        <w:rPr>
          <w:sz w:val="24"/>
          <w:szCs w:val="24"/>
        </w:rPr>
        <w:t xml:space="preserve">’ these women and </w:t>
      </w:r>
      <w:r>
        <w:rPr>
          <w:sz w:val="24"/>
          <w:szCs w:val="24"/>
        </w:rPr>
        <w:t>highlighting their perspective forms</w:t>
      </w:r>
      <w:r w:rsidRPr="00784D4C">
        <w:rPr>
          <w:sz w:val="24"/>
          <w:szCs w:val="24"/>
        </w:rPr>
        <w:t xml:space="preserve"> part of</w:t>
      </w:r>
      <w:r>
        <w:rPr>
          <w:sz w:val="24"/>
          <w:szCs w:val="24"/>
        </w:rPr>
        <w:t xml:space="preserve"> feminist</w:t>
      </w:r>
      <w:r w:rsidRPr="00784D4C">
        <w:rPr>
          <w:sz w:val="24"/>
          <w:szCs w:val="24"/>
        </w:rPr>
        <w:t xml:space="preserve"> ‘consciousness raising’.</w:t>
      </w:r>
      <w:r w:rsidRPr="00784D4C">
        <w:rPr>
          <w:rStyle w:val="FootnoteReference"/>
        </w:rPr>
        <w:footnoteReference w:id="124"/>
      </w:r>
      <w:r w:rsidRPr="00784D4C">
        <w:rPr>
          <w:sz w:val="24"/>
          <w:szCs w:val="24"/>
        </w:rPr>
        <w:t xml:space="preserve"> By telling their stories, </w:t>
      </w:r>
      <w:r>
        <w:rPr>
          <w:sz w:val="24"/>
          <w:szCs w:val="24"/>
        </w:rPr>
        <w:t xml:space="preserve">it becomes possible to notice not only differences between them but also their </w:t>
      </w:r>
      <w:r w:rsidRPr="00784D4C">
        <w:rPr>
          <w:sz w:val="24"/>
          <w:szCs w:val="24"/>
        </w:rPr>
        <w:t xml:space="preserve">shared perspectives and </w:t>
      </w:r>
      <w:r>
        <w:rPr>
          <w:sz w:val="24"/>
          <w:szCs w:val="24"/>
        </w:rPr>
        <w:t>experience</w:t>
      </w:r>
      <w:r w:rsidRPr="00784D4C">
        <w:rPr>
          <w:sz w:val="24"/>
          <w:szCs w:val="24"/>
        </w:rPr>
        <w:t>s</w:t>
      </w:r>
      <w:r>
        <w:rPr>
          <w:sz w:val="24"/>
          <w:szCs w:val="24"/>
        </w:rPr>
        <w:t xml:space="preserve">. </w:t>
      </w:r>
      <w:r w:rsidRPr="00784D4C">
        <w:rPr>
          <w:sz w:val="24"/>
          <w:szCs w:val="24"/>
        </w:rPr>
        <w:t xml:space="preserve">By </w:t>
      </w:r>
      <w:r>
        <w:rPr>
          <w:sz w:val="24"/>
          <w:szCs w:val="24"/>
        </w:rPr>
        <w:t>taking women’s standpoint</w:t>
      </w:r>
      <w:r w:rsidRPr="00784D4C">
        <w:rPr>
          <w:sz w:val="24"/>
          <w:szCs w:val="24"/>
        </w:rPr>
        <w:t xml:space="preserve"> </w:t>
      </w:r>
      <w:r>
        <w:rPr>
          <w:sz w:val="24"/>
          <w:szCs w:val="24"/>
        </w:rPr>
        <w:t>– that is by using women’s knowledge and social reality as the point of departure</w:t>
      </w:r>
      <w:r w:rsidR="006146F2">
        <w:rPr>
          <w:sz w:val="24"/>
          <w:szCs w:val="24"/>
        </w:rPr>
        <w:t xml:space="preserve"> </w:t>
      </w:r>
      <w:r>
        <w:rPr>
          <w:sz w:val="24"/>
          <w:szCs w:val="24"/>
        </w:rPr>
        <w:t xml:space="preserve">- </w:t>
      </w:r>
      <w:r w:rsidRPr="00784D4C">
        <w:rPr>
          <w:sz w:val="24"/>
          <w:szCs w:val="24"/>
        </w:rPr>
        <w:t xml:space="preserve">I </w:t>
      </w:r>
      <w:r>
        <w:rPr>
          <w:sz w:val="24"/>
          <w:szCs w:val="24"/>
        </w:rPr>
        <w:t xml:space="preserve">try to </w:t>
      </w:r>
      <w:r w:rsidRPr="00784D4C">
        <w:rPr>
          <w:sz w:val="24"/>
          <w:szCs w:val="24"/>
        </w:rPr>
        <w:t>expose</w:t>
      </w:r>
      <w:r>
        <w:rPr>
          <w:sz w:val="24"/>
          <w:szCs w:val="24"/>
        </w:rPr>
        <w:t xml:space="preserve"> the</w:t>
      </w:r>
      <w:r w:rsidRPr="00784D4C">
        <w:rPr>
          <w:sz w:val="24"/>
          <w:szCs w:val="24"/>
        </w:rPr>
        <w:t xml:space="preserve"> narratives </w:t>
      </w:r>
      <w:r>
        <w:rPr>
          <w:sz w:val="24"/>
          <w:szCs w:val="24"/>
        </w:rPr>
        <w:t>of survivors as they have encountered the law</w:t>
      </w:r>
      <w:r w:rsidRPr="00784D4C">
        <w:rPr>
          <w:sz w:val="24"/>
          <w:szCs w:val="24"/>
        </w:rPr>
        <w:t xml:space="preserve">. </w:t>
      </w:r>
      <w:bookmarkStart w:id="94" w:name="_Hlk34038110"/>
      <w:r>
        <w:rPr>
          <w:sz w:val="24"/>
          <w:szCs w:val="24"/>
        </w:rPr>
        <w:t xml:space="preserve">Chapter Five’s exploration of legal consciousness reinforces the </w:t>
      </w:r>
      <w:r w:rsidRPr="007F0257">
        <w:rPr>
          <w:i/>
          <w:sz w:val="24"/>
          <w:szCs w:val="24"/>
        </w:rPr>
        <w:t>variety</w:t>
      </w:r>
      <w:r>
        <w:rPr>
          <w:sz w:val="24"/>
          <w:szCs w:val="24"/>
        </w:rPr>
        <w:t xml:space="preserve"> of ways</w:t>
      </w:r>
      <w:r w:rsidRPr="00784D4C">
        <w:rPr>
          <w:sz w:val="24"/>
          <w:szCs w:val="24"/>
        </w:rPr>
        <w:t xml:space="preserve"> these women use and think about law in their daily lives</w:t>
      </w:r>
      <w:r w:rsidRPr="00784D4C">
        <w:rPr>
          <w:rStyle w:val="FootnoteReference"/>
        </w:rPr>
        <w:footnoteReference w:id="125"/>
      </w:r>
      <w:r>
        <w:rPr>
          <w:sz w:val="24"/>
          <w:szCs w:val="24"/>
        </w:rPr>
        <w:t xml:space="preserve"> thereby calling into question any prosecutorial approach that tends to uniformity</w:t>
      </w:r>
      <w:bookmarkEnd w:id="94"/>
      <w:r>
        <w:rPr>
          <w:sz w:val="24"/>
          <w:szCs w:val="24"/>
        </w:rPr>
        <w:t xml:space="preserve">. </w:t>
      </w:r>
    </w:p>
    <w:p w14:paraId="079F13FB" w14:textId="1617FFBF" w:rsidR="00A64B1C" w:rsidRPr="00073AEB" w:rsidRDefault="00A64B1C" w:rsidP="00746136">
      <w:pPr>
        <w:spacing w:after="100" w:afterAutospacing="1" w:line="360" w:lineRule="auto"/>
        <w:ind w:firstLine="720"/>
        <w:rPr>
          <w:sz w:val="24"/>
          <w:szCs w:val="24"/>
        </w:rPr>
      </w:pPr>
      <w:r>
        <w:rPr>
          <w:rFonts w:eastAsia="Times New Roman"/>
          <w:iCs/>
          <w:sz w:val="24"/>
          <w:szCs w:val="24"/>
          <w:lang w:eastAsia="en-GB"/>
        </w:rPr>
        <w:t>As an active researcher, I acknowledge my own theoretical and lived position in relation to the data,</w:t>
      </w:r>
      <w:r>
        <w:rPr>
          <w:rStyle w:val="FootnoteReference"/>
          <w:rFonts w:eastAsia="Times New Roman"/>
          <w:iCs/>
          <w:lang w:eastAsia="en-GB"/>
        </w:rPr>
        <w:footnoteReference w:id="126"/>
      </w:r>
      <w:r>
        <w:rPr>
          <w:rFonts w:eastAsia="Times New Roman"/>
          <w:iCs/>
          <w:sz w:val="24"/>
          <w:szCs w:val="24"/>
          <w:lang w:eastAsia="en-GB"/>
        </w:rPr>
        <w:t xml:space="preserve"> particularly as a former employee and current freelance agent of the CPS and as a white, middle class, heterosexual woman. Reflexivity is essential as it forefronts not only </w:t>
      </w:r>
      <w:r w:rsidR="00C63DBB">
        <w:rPr>
          <w:rFonts w:eastAsia="Times New Roman"/>
          <w:iCs/>
          <w:sz w:val="24"/>
          <w:szCs w:val="24"/>
          <w:lang w:eastAsia="en-GB"/>
        </w:rPr>
        <w:t xml:space="preserve">the </w:t>
      </w:r>
      <w:r>
        <w:rPr>
          <w:rFonts w:eastAsia="Times New Roman"/>
          <w:iCs/>
          <w:sz w:val="24"/>
          <w:szCs w:val="24"/>
          <w:lang w:eastAsia="en-GB"/>
        </w:rPr>
        <w:t>biases that may guide and motivate</w:t>
      </w:r>
      <w:r w:rsidR="00C63DBB">
        <w:rPr>
          <w:rFonts w:eastAsia="Times New Roman"/>
          <w:iCs/>
          <w:sz w:val="24"/>
          <w:szCs w:val="24"/>
          <w:lang w:eastAsia="en-GB"/>
        </w:rPr>
        <w:t xml:space="preserve"> me</w:t>
      </w:r>
      <w:r>
        <w:rPr>
          <w:rFonts w:eastAsia="Times New Roman"/>
          <w:iCs/>
          <w:sz w:val="24"/>
          <w:szCs w:val="24"/>
          <w:lang w:eastAsia="en-GB"/>
        </w:rPr>
        <w:t xml:space="preserve">, but </w:t>
      </w:r>
      <w:r w:rsidR="00C63DBB">
        <w:rPr>
          <w:rFonts w:eastAsia="Times New Roman"/>
          <w:iCs/>
          <w:sz w:val="24"/>
          <w:szCs w:val="24"/>
          <w:lang w:eastAsia="en-GB"/>
        </w:rPr>
        <w:t xml:space="preserve">it </w:t>
      </w:r>
      <w:r>
        <w:rPr>
          <w:rFonts w:eastAsia="Times New Roman"/>
          <w:iCs/>
          <w:sz w:val="24"/>
          <w:szCs w:val="24"/>
          <w:lang w:eastAsia="en-GB"/>
        </w:rPr>
        <w:t xml:space="preserve">also draws out what </w:t>
      </w:r>
      <w:r w:rsidR="00C63DBB">
        <w:rPr>
          <w:rFonts w:eastAsia="Times New Roman"/>
          <w:iCs/>
          <w:sz w:val="24"/>
          <w:szCs w:val="24"/>
          <w:lang w:eastAsia="en-GB"/>
        </w:rPr>
        <w:t xml:space="preserve">I </w:t>
      </w:r>
      <w:r>
        <w:rPr>
          <w:rFonts w:eastAsia="Times New Roman"/>
          <w:iCs/>
          <w:sz w:val="24"/>
          <w:szCs w:val="24"/>
          <w:lang w:eastAsia="en-GB"/>
        </w:rPr>
        <w:t xml:space="preserve">may be </w:t>
      </w:r>
      <w:r>
        <w:rPr>
          <w:rFonts w:eastAsia="Times New Roman"/>
          <w:iCs/>
          <w:sz w:val="24"/>
          <w:szCs w:val="24"/>
          <w:lang w:eastAsia="en-GB"/>
        </w:rPr>
        <w:lastRenderedPageBreak/>
        <w:t>inhibited from seeing.</w:t>
      </w:r>
      <w:r>
        <w:rPr>
          <w:rStyle w:val="FootnoteReference"/>
          <w:rFonts w:eastAsia="Times New Roman"/>
          <w:iCs/>
          <w:lang w:eastAsia="en-GB"/>
        </w:rPr>
        <w:footnoteReference w:id="127"/>
      </w:r>
      <w:r>
        <w:rPr>
          <w:rFonts w:eastAsia="Times New Roman"/>
          <w:iCs/>
          <w:sz w:val="24"/>
          <w:szCs w:val="24"/>
          <w:lang w:eastAsia="en-GB"/>
        </w:rPr>
        <w:t xml:space="preserve"> </w:t>
      </w:r>
      <w:r w:rsidR="00C63DBB">
        <w:rPr>
          <w:rFonts w:eastAsia="Times New Roman"/>
          <w:iCs/>
          <w:sz w:val="24"/>
          <w:szCs w:val="24"/>
          <w:lang w:eastAsia="en-GB"/>
        </w:rPr>
        <w:t>My own a</w:t>
      </w:r>
      <w:r>
        <w:rPr>
          <w:rFonts w:eastAsia="Times New Roman"/>
          <w:iCs/>
          <w:sz w:val="24"/>
          <w:szCs w:val="24"/>
          <w:lang w:eastAsia="en-GB"/>
        </w:rPr>
        <w:t>ssumptions, motives and pre-existing hypotheses may n</w:t>
      </w:r>
      <w:r w:rsidR="00C63DBB">
        <w:rPr>
          <w:rFonts w:eastAsia="Times New Roman"/>
          <w:iCs/>
          <w:sz w:val="24"/>
          <w:szCs w:val="24"/>
          <w:lang w:eastAsia="en-GB"/>
        </w:rPr>
        <w:t>e</w:t>
      </w:r>
      <w:r>
        <w:rPr>
          <w:rFonts w:eastAsia="Times New Roman"/>
          <w:iCs/>
          <w:sz w:val="24"/>
          <w:szCs w:val="24"/>
          <w:lang w:eastAsia="en-GB"/>
        </w:rPr>
        <w:t xml:space="preserve">ver be shaken off, but </w:t>
      </w:r>
      <w:r w:rsidR="00C63DBB">
        <w:rPr>
          <w:rFonts w:eastAsia="Times New Roman"/>
          <w:iCs/>
          <w:sz w:val="24"/>
          <w:szCs w:val="24"/>
          <w:lang w:eastAsia="en-GB"/>
        </w:rPr>
        <w:t xml:space="preserve">by </w:t>
      </w:r>
      <w:r>
        <w:rPr>
          <w:rFonts w:eastAsia="Times New Roman"/>
          <w:iCs/>
          <w:sz w:val="24"/>
          <w:szCs w:val="24"/>
          <w:lang w:eastAsia="en-GB"/>
        </w:rPr>
        <w:t xml:space="preserve">recognising them and making </w:t>
      </w:r>
      <w:r w:rsidR="00746136">
        <w:rPr>
          <w:rFonts w:eastAsia="Times New Roman"/>
          <w:iCs/>
          <w:sz w:val="24"/>
          <w:szCs w:val="24"/>
          <w:lang w:eastAsia="en-GB"/>
        </w:rPr>
        <w:t xml:space="preserve">my </w:t>
      </w:r>
      <w:r>
        <w:rPr>
          <w:rFonts w:eastAsia="Times New Roman"/>
          <w:iCs/>
          <w:sz w:val="24"/>
          <w:szCs w:val="24"/>
          <w:lang w:eastAsia="en-GB"/>
        </w:rPr>
        <w:t>personal experience known</w:t>
      </w:r>
      <w:r w:rsidR="00C63DBB">
        <w:rPr>
          <w:rFonts w:eastAsia="Times New Roman"/>
          <w:iCs/>
          <w:sz w:val="24"/>
          <w:szCs w:val="24"/>
          <w:lang w:eastAsia="en-GB"/>
        </w:rPr>
        <w:t>, I hope they</w:t>
      </w:r>
      <w:r>
        <w:rPr>
          <w:rFonts w:eastAsia="Times New Roman"/>
          <w:iCs/>
          <w:sz w:val="24"/>
          <w:szCs w:val="24"/>
          <w:lang w:eastAsia="en-GB"/>
        </w:rPr>
        <w:t xml:space="preserve"> might become an asset for </w:t>
      </w:r>
      <w:r w:rsidR="00C63DBB">
        <w:rPr>
          <w:rFonts w:eastAsia="Times New Roman"/>
          <w:iCs/>
          <w:sz w:val="24"/>
          <w:szCs w:val="24"/>
          <w:lang w:eastAsia="en-GB"/>
        </w:rPr>
        <w:t>my</w:t>
      </w:r>
      <w:r>
        <w:rPr>
          <w:rFonts w:eastAsia="Times New Roman"/>
          <w:iCs/>
          <w:sz w:val="24"/>
          <w:szCs w:val="24"/>
          <w:lang w:eastAsia="en-GB"/>
        </w:rPr>
        <w:t xml:space="preserve"> research.</w:t>
      </w:r>
      <w:r>
        <w:rPr>
          <w:rStyle w:val="FootnoteReference"/>
          <w:rFonts w:eastAsia="Times New Roman"/>
          <w:iCs/>
          <w:lang w:eastAsia="en-GB"/>
        </w:rPr>
        <w:footnoteReference w:id="128"/>
      </w:r>
      <w:r>
        <w:rPr>
          <w:rFonts w:eastAsia="Times New Roman"/>
          <w:iCs/>
          <w:sz w:val="24"/>
          <w:szCs w:val="24"/>
          <w:lang w:eastAsia="en-GB"/>
        </w:rPr>
        <w:t xml:space="preserve"> For example, I sensed that prosecutors felt able to speak candidly with me because they assumed that I would understand their perspective. </w:t>
      </w:r>
      <w:r w:rsidR="00C63DBB">
        <w:rPr>
          <w:rFonts w:eastAsia="Times New Roman"/>
          <w:iCs/>
          <w:sz w:val="24"/>
          <w:szCs w:val="24"/>
          <w:lang w:eastAsia="en-GB"/>
        </w:rPr>
        <w:t xml:space="preserve">I </w:t>
      </w:r>
      <w:r w:rsidR="00886A2C">
        <w:rPr>
          <w:rFonts w:eastAsia="Times New Roman"/>
          <w:iCs/>
          <w:sz w:val="24"/>
          <w:szCs w:val="24"/>
          <w:lang w:eastAsia="en-GB"/>
        </w:rPr>
        <w:t xml:space="preserve">therefore </w:t>
      </w:r>
      <w:r w:rsidR="00C63DBB">
        <w:rPr>
          <w:rFonts w:eastAsia="Times New Roman"/>
          <w:iCs/>
          <w:sz w:val="24"/>
          <w:szCs w:val="24"/>
          <w:lang w:eastAsia="en-GB"/>
        </w:rPr>
        <w:t xml:space="preserve">acknowledge that </w:t>
      </w:r>
      <w:r>
        <w:rPr>
          <w:rFonts w:eastAsia="Times New Roman"/>
          <w:iCs/>
          <w:sz w:val="24"/>
          <w:szCs w:val="24"/>
          <w:lang w:eastAsia="en-GB"/>
        </w:rPr>
        <w:t xml:space="preserve">my own ‘political and intellectual </w:t>
      </w:r>
      <w:proofErr w:type="spellStart"/>
      <w:r>
        <w:rPr>
          <w:rFonts w:eastAsia="Times New Roman"/>
          <w:iCs/>
          <w:sz w:val="24"/>
          <w:szCs w:val="24"/>
          <w:lang w:eastAsia="en-GB"/>
        </w:rPr>
        <w:t>autobiograph</w:t>
      </w:r>
      <w:proofErr w:type="spellEnd"/>
      <w:r>
        <w:rPr>
          <w:rFonts w:eastAsia="Times New Roman"/>
          <w:iCs/>
          <w:sz w:val="24"/>
          <w:szCs w:val="24"/>
          <w:lang w:eastAsia="en-GB"/>
        </w:rPr>
        <w:t>[y]’</w:t>
      </w:r>
      <w:r>
        <w:rPr>
          <w:rStyle w:val="FootnoteReference"/>
          <w:rFonts w:eastAsia="Times New Roman"/>
          <w:iCs/>
          <w:lang w:eastAsia="en-GB"/>
        </w:rPr>
        <w:footnoteReference w:id="129"/>
      </w:r>
      <w:r>
        <w:rPr>
          <w:rFonts w:eastAsia="Times New Roman"/>
          <w:iCs/>
          <w:sz w:val="24"/>
          <w:szCs w:val="24"/>
          <w:lang w:eastAsia="en-GB"/>
        </w:rPr>
        <w:t xml:space="preserve"> </w:t>
      </w:r>
      <w:r w:rsidR="00C63DBB">
        <w:rPr>
          <w:rFonts w:eastAsia="Times New Roman"/>
          <w:iCs/>
          <w:sz w:val="24"/>
          <w:szCs w:val="24"/>
          <w:lang w:eastAsia="en-GB"/>
        </w:rPr>
        <w:t>will have shaped</w:t>
      </w:r>
      <w:r>
        <w:rPr>
          <w:rFonts w:eastAsia="Times New Roman"/>
          <w:iCs/>
          <w:sz w:val="24"/>
          <w:szCs w:val="24"/>
          <w:lang w:eastAsia="en-GB"/>
        </w:rPr>
        <w:t xml:space="preserve"> the interview </w:t>
      </w:r>
      <w:r w:rsidR="00C63DBB">
        <w:rPr>
          <w:rFonts w:eastAsia="Times New Roman"/>
          <w:iCs/>
          <w:sz w:val="24"/>
          <w:szCs w:val="24"/>
          <w:lang w:eastAsia="en-GB"/>
        </w:rPr>
        <w:t xml:space="preserve">design </w:t>
      </w:r>
      <w:r w:rsidR="007D7875">
        <w:rPr>
          <w:rFonts w:eastAsia="Times New Roman"/>
          <w:iCs/>
          <w:sz w:val="24"/>
          <w:szCs w:val="24"/>
          <w:lang w:eastAsia="en-GB"/>
        </w:rPr>
        <w:t xml:space="preserve">(which questions to ask and how I was able to recruit prosecutors for example) </w:t>
      </w:r>
      <w:r w:rsidR="00C63DBB">
        <w:rPr>
          <w:rFonts w:eastAsia="Times New Roman"/>
          <w:iCs/>
          <w:sz w:val="24"/>
          <w:szCs w:val="24"/>
          <w:lang w:eastAsia="en-GB"/>
        </w:rPr>
        <w:t>and</w:t>
      </w:r>
      <w:r w:rsidR="005B1FF7">
        <w:rPr>
          <w:rFonts w:eastAsia="Times New Roman"/>
          <w:iCs/>
          <w:sz w:val="24"/>
          <w:szCs w:val="24"/>
          <w:lang w:eastAsia="en-GB"/>
        </w:rPr>
        <w:t xml:space="preserve"> the</w:t>
      </w:r>
      <w:r w:rsidR="002911C2">
        <w:rPr>
          <w:rFonts w:eastAsia="Times New Roman"/>
          <w:iCs/>
          <w:sz w:val="24"/>
          <w:szCs w:val="24"/>
          <w:lang w:eastAsia="en-GB"/>
        </w:rPr>
        <w:t xml:space="preserve"> interview</w:t>
      </w:r>
      <w:r w:rsidR="00C63DBB">
        <w:rPr>
          <w:rFonts w:eastAsia="Times New Roman"/>
          <w:iCs/>
          <w:sz w:val="24"/>
          <w:szCs w:val="24"/>
          <w:lang w:eastAsia="en-GB"/>
        </w:rPr>
        <w:t xml:space="preserve"> </w:t>
      </w:r>
      <w:r>
        <w:rPr>
          <w:rFonts w:eastAsia="Times New Roman"/>
          <w:iCs/>
          <w:sz w:val="24"/>
          <w:szCs w:val="24"/>
          <w:lang w:eastAsia="en-GB"/>
        </w:rPr>
        <w:t xml:space="preserve">process </w:t>
      </w:r>
      <w:r w:rsidR="005B1FF7">
        <w:rPr>
          <w:rFonts w:eastAsia="Times New Roman"/>
          <w:iCs/>
          <w:sz w:val="24"/>
          <w:szCs w:val="24"/>
          <w:lang w:eastAsia="en-GB"/>
        </w:rPr>
        <w:t xml:space="preserve">(which questions I asked and which answers I probed) </w:t>
      </w:r>
      <w:r>
        <w:rPr>
          <w:rFonts w:eastAsia="Times New Roman"/>
          <w:iCs/>
          <w:sz w:val="24"/>
          <w:szCs w:val="24"/>
          <w:lang w:eastAsia="en-GB"/>
        </w:rPr>
        <w:t>and</w:t>
      </w:r>
      <w:r w:rsidR="00C63DBB">
        <w:rPr>
          <w:rFonts w:eastAsia="Times New Roman"/>
          <w:iCs/>
          <w:sz w:val="24"/>
          <w:szCs w:val="24"/>
          <w:lang w:eastAsia="en-GB"/>
        </w:rPr>
        <w:t>, ultimately,</w:t>
      </w:r>
      <w:r>
        <w:rPr>
          <w:rFonts w:eastAsia="Times New Roman"/>
          <w:iCs/>
          <w:sz w:val="24"/>
          <w:szCs w:val="24"/>
          <w:lang w:eastAsia="en-GB"/>
        </w:rPr>
        <w:t xml:space="preserve"> the end product</w:t>
      </w:r>
      <w:r w:rsidR="005B1FF7">
        <w:rPr>
          <w:rFonts w:eastAsia="Times New Roman"/>
          <w:iCs/>
          <w:sz w:val="24"/>
          <w:szCs w:val="24"/>
          <w:lang w:eastAsia="en-GB"/>
        </w:rPr>
        <w:t xml:space="preserve"> (the identification of recurrent and pertinent themes and the interpretation of these)</w:t>
      </w:r>
      <w:r>
        <w:rPr>
          <w:rFonts w:eastAsia="Times New Roman"/>
          <w:iCs/>
          <w:sz w:val="24"/>
          <w:szCs w:val="24"/>
          <w:lang w:eastAsia="en-GB"/>
        </w:rPr>
        <w:t>. Despite this, throughout the data gathering process</w:t>
      </w:r>
      <w:r w:rsidR="000D0802">
        <w:rPr>
          <w:rFonts w:eastAsia="Times New Roman"/>
          <w:iCs/>
          <w:sz w:val="24"/>
          <w:szCs w:val="24"/>
          <w:lang w:eastAsia="en-GB"/>
        </w:rPr>
        <w:t>, thematic coding</w:t>
      </w:r>
      <w:r>
        <w:rPr>
          <w:rFonts w:eastAsia="Times New Roman"/>
          <w:iCs/>
          <w:sz w:val="24"/>
          <w:szCs w:val="24"/>
          <w:lang w:eastAsia="en-GB"/>
        </w:rPr>
        <w:t xml:space="preserve"> and interpretative analysis, I have endeavoured to apply </w:t>
      </w:r>
      <w:r w:rsidR="000D0802">
        <w:rPr>
          <w:rFonts w:eastAsia="Times New Roman"/>
          <w:iCs/>
          <w:sz w:val="24"/>
          <w:szCs w:val="24"/>
          <w:lang w:eastAsia="en-GB"/>
        </w:rPr>
        <w:t xml:space="preserve">objectivity to </w:t>
      </w:r>
      <w:r>
        <w:rPr>
          <w:rFonts w:eastAsia="Times New Roman"/>
          <w:iCs/>
          <w:sz w:val="24"/>
          <w:szCs w:val="24"/>
          <w:lang w:eastAsia="en-GB"/>
        </w:rPr>
        <w:t xml:space="preserve">uncover the </w:t>
      </w:r>
      <w:r w:rsidR="000D0802">
        <w:rPr>
          <w:rFonts w:eastAsia="Times New Roman"/>
          <w:iCs/>
          <w:sz w:val="24"/>
          <w:szCs w:val="24"/>
          <w:lang w:eastAsia="en-GB"/>
        </w:rPr>
        <w:t xml:space="preserve">themes’ </w:t>
      </w:r>
      <w:r>
        <w:rPr>
          <w:rFonts w:eastAsia="Times New Roman"/>
          <w:iCs/>
          <w:sz w:val="24"/>
          <w:szCs w:val="24"/>
          <w:lang w:eastAsia="en-GB"/>
        </w:rPr>
        <w:t>qualities, meanings and implications</w:t>
      </w:r>
      <w:r w:rsidR="000D0802">
        <w:rPr>
          <w:rFonts w:eastAsia="Times New Roman"/>
          <w:iCs/>
          <w:sz w:val="24"/>
          <w:szCs w:val="24"/>
          <w:lang w:eastAsia="en-GB"/>
        </w:rPr>
        <w:t>.</w:t>
      </w:r>
      <w:r>
        <w:rPr>
          <w:rStyle w:val="FootnoteReference"/>
          <w:rFonts w:eastAsia="Times New Roman"/>
          <w:iCs/>
          <w:lang w:eastAsia="en-GB"/>
        </w:rPr>
        <w:footnoteReference w:id="130"/>
      </w:r>
    </w:p>
    <w:p w14:paraId="1F0F3D30" w14:textId="77777777" w:rsidR="00AD41D0" w:rsidRDefault="00ED281C" w:rsidP="00746136">
      <w:pPr>
        <w:pStyle w:val="ListParagraph"/>
        <w:numPr>
          <w:ilvl w:val="0"/>
          <w:numId w:val="40"/>
        </w:numPr>
        <w:shd w:val="clear" w:color="auto" w:fill="FFFFFF"/>
        <w:spacing w:after="100" w:afterAutospacing="1" w:line="360" w:lineRule="auto"/>
        <w:rPr>
          <w:b/>
          <w:bCs/>
          <w:sz w:val="24"/>
          <w:szCs w:val="24"/>
        </w:rPr>
      </w:pPr>
      <w:bookmarkStart w:id="100" w:name="_Hlk517636495"/>
      <w:bookmarkStart w:id="101" w:name="Argument_overview"/>
      <w:r w:rsidRPr="00157BDE">
        <w:rPr>
          <w:b/>
          <w:bCs/>
          <w:sz w:val="24"/>
          <w:szCs w:val="24"/>
        </w:rPr>
        <w:t xml:space="preserve">Argument Overview and Chapter Outline </w:t>
      </w:r>
    </w:p>
    <w:p w14:paraId="32FFAFB3" w14:textId="3B42A3DC" w:rsidR="00AD41D0" w:rsidRPr="00AD41D0" w:rsidRDefault="00AD41D0" w:rsidP="00AD41D0">
      <w:pPr>
        <w:shd w:val="clear" w:color="auto" w:fill="FFFFFF"/>
        <w:spacing w:after="0" w:line="360" w:lineRule="auto"/>
        <w:ind w:firstLine="360"/>
        <w:rPr>
          <w:rFonts w:cs="Times New Roman"/>
          <w:b/>
          <w:bCs/>
          <w:sz w:val="24"/>
          <w:szCs w:val="24"/>
        </w:rPr>
      </w:pPr>
      <w:r w:rsidRPr="00AD41D0">
        <w:rPr>
          <w:rFonts w:cs="Arial"/>
          <w:sz w:val="24"/>
          <w:szCs w:val="24"/>
        </w:rPr>
        <w:t xml:space="preserve">Past inattentive treatment by state criminal justice agencies in relation to domestic abuse is now being self-consciously reversed by neoliberal governing agendas intent on denouncing crime and holding offenders to account. </w:t>
      </w:r>
      <w:r w:rsidR="00FC374E">
        <w:rPr>
          <w:rFonts w:cs="Arial"/>
          <w:sz w:val="24"/>
          <w:szCs w:val="24"/>
        </w:rPr>
        <w:t>G</w:t>
      </w:r>
      <w:r w:rsidRPr="00AD41D0">
        <w:rPr>
          <w:rFonts w:cs="Arial"/>
          <w:sz w:val="24"/>
          <w:szCs w:val="24"/>
        </w:rPr>
        <w:t>overning neoliberals</w:t>
      </w:r>
      <w:r w:rsidR="00FC374E">
        <w:rPr>
          <w:rFonts w:cs="Arial"/>
          <w:sz w:val="24"/>
          <w:szCs w:val="24"/>
        </w:rPr>
        <w:t xml:space="preserve"> have endorsed radical feminism’s ‘patriarchal force’ thesis</w:t>
      </w:r>
      <w:r w:rsidRPr="00AD41D0">
        <w:rPr>
          <w:rFonts w:cs="Arial"/>
          <w:sz w:val="24"/>
          <w:szCs w:val="24"/>
        </w:rPr>
        <w:t xml:space="preserve">, </w:t>
      </w:r>
      <w:r w:rsidR="00FC374E">
        <w:rPr>
          <w:rFonts w:cs="Arial"/>
          <w:sz w:val="24"/>
          <w:szCs w:val="24"/>
        </w:rPr>
        <w:t xml:space="preserve">which </w:t>
      </w:r>
      <w:r w:rsidRPr="00AD41D0">
        <w:rPr>
          <w:rFonts w:cs="Arial"/>
          <w:sz w:val="24"/>
          <w:szCs w:val="24"/>
        </w:rPr>
        <w:t>provid</w:t>
      </w:r>
      <w:r w:rsidR="00FC374E">
        <w:rPr>
          <w:rFonts w:cs="Arial"/>
          <w:sz w:val="24"/>
          <w:szCs w:val="24"/>
        </w:rPr>
        <w:t>es them</w:t>
      </w:r>
      <w:r w:rsidRPr="00AD41D0">
        <w:rPr>
          <w:rFonts w:cs="Arial"/>
          <w:sz w:val="24"/>
          <w:szCs w:val="24"/>
        </w:rPr>
        <w:t xml:space="preserve"> additional political fuel and theoretical justification for the apparent reliance on criminal justice as a primary means of addressing domestic abuse. In response to feminist calls -  to eradicate differing treatment of public and private violence and to understand abused women as vulnerable subjects in need of protection -  a ‘tenacious’ commitment to achieving prosecutions has emerged. </w:t>
      </w:r>
    </w:p>
    <w:p w14:paraId="273BB627" w14:textId="7AF3785D" w:rsidR="00ED281C" w:rsidRPr="00C037A5" w:rsidRDefault="00ED281C" w:rsidP="00ED281C">
      <w:pPr>
        <w:shd w:val="clear" w:color="auto" w:fill="FFFFFF"/>
        <w:spacing w:after="0" w:line="360" w:lineRule="auto"/>
        <w:ind w:firstLine="360"/>
        <w:rPr>
          <w:sz w:val="24"/>
          <w:szCs w:val="24"/>
        </w:rPr>
      </w:pPr>
      <w:r w:rsidRPr="00C037A5">
        <w:rPr>
          <w:sz w:val="24"/>
          <w:szCs w:val="24"/>
        </w:rPr>
        <w:t>The consequence</w:t>
      </w:r>
      <w:r w:rsidR="00C037A5" w:rsidRPr="00C037A5">
        <w:rPr>
          <w:sz w:val="24"/>
          <w:szCs w:val="24"/>
        </w:rPr>
        <w:t>s</w:t>
      </w:r>
      <w:r w:rsidRPr="00C037A5">
        <w:rPr>
          <w:sz w:val="24"/>
          <w:szCs w:val="24"/>
        </w:rPr>
        <w:t xml:space="preserve"> </w:t>
      </w:r>
      <w:r w:rsidR="00C037A5">
        <w:rPr>
          <w:sz w:val="24"/>
          <w:szCs w:val="24"/>
        </w:rPr>
        <w:t>of the current approach</w:t>
      </w:r>
      <w:r w:rsidRPr="00C037A5">
        <w:rPr>
          <w:sz w:val="24"/>
          <w:szCs w:val="24"/>
        </w:rPr>
        <w:t xml:space="preserve"> </w:t>
      </w:r>
      <w:r w:rsidR="00C037A5" w:rsidRPr="00C037A5">
        <w:rPr>
          <w:sz w:val="24"/>
          <w:szCs w:val="24"/>
        </w:rPr>
        <w:t>are</w:t>
      </w:r>
      <w:r w:rsidRPr="00C037A5">
        <w:rPr>
          <w:sz w:val="24"/>
          <w:szCs w:val="24"/>
        </w:rPr>
        <w:t xml:space="preserve"> that prosecutors invariably consider achieving conviction</w:t>
      </w:r>
      <w:r w:rsidR="006E2000" w:rsidRPr="00C037A5">
        <w:rPr>
          <w:sz w:val="24"/>
          <w:szCs w:val="24"/>
        </w:rPr>
        <w:t>s</w:t>
      </w:r>
      <w:r w:rsidRPr="00C037A5">
        <w:rPr>
          <w:sz w:val="24"/>
          <w:szCs w:val="24"/>
        </w:rPr>
        <w:t xml:space="preserve"> </w:t>
      </w:r>
      <w:r w:rsidR="00AD41D0" w:rsidRPr="00C037A5">
        <w:rPr>
          <w:sz w:val="24"/>
          <w:szCs w:val="24"/>
        </w:rPr>
        <w:t xml:space="preserve">in these cases </w:t>
      </w:r>
      <w:r w:rsidRPr="00C037A5">
        <w:rPr>
          <w:sz w:val="24"/>
          <w:szCs w:val="24"/>
        </w:rPr>
        <w:t>a</w:t>
      </w:r>
      <w:r w:rsidR="006E2000" w:rsidRPr="00C037A5">
        <w:rPr>
          <w:sz w:val="24"/>
          <w:szCs w:val="24"/>
        </w:rPr>
        <w:t>s</w:t>
      </w:r>
      <w:r w:rsidRPr="00C037A5">
        <w:rPr>
          <w:sz w:val="24"/>
          <w:szCs w:val="24"/>
        </w:rPr>
        <w:t xml:space="preserve"> success. </w:t>
      </w:r>
      <w:r w:rsidR="004812E0" w:rsidRPr="00C037A5">
        <w:rPr>
          <w:sz w:val="24"/>
          <w:szCs w:val="24"/>
        </w:rPr>
        <w:t>In the context of a prosecution service that is efficiency driven, p</w:t>
      </w:r>
      <w:r w:rsidRPr="00C037A5">
        <w:rPr>
          <w:sz w:val="24"/>
          <w:szCs w:val="24"/>
        </w:rPr>
        <w:t>rosecutors</w:t>
      </w:r>
      <w:r w:rsidR="004812E0" w:rsidRPr="00C037A5">
        <w:rPr>
          <w:sz w:val="24"/>
          <w:szCs w:val="24"/>
        </w:rPr>
        <w:t>’</w:t>
      </w:r>
      <w:r w:rsidRPr="00C037A5">
        <w:rPr>
          <w:sz w:val="24"/>
          <w:szCs w:val="24"/>
        </w:rPr>
        <w:t xml:space="preserve"> </w:t>
      </w:r>
      <w:r w:rsidR="004812E0" w:rsidRPr="00C037A5">
        <w:rPr>
          <w:sz w:val="24"/>
          <w:szCs w:val="24"/>
        </w:rPr>
        <w:t>read</w:t>
      </w:r>
      <w:r w:rsidR="000D0802">
        <w:rPr>
          <w:sz w:val="24"/>
          <w:szCs w:val="24"/>
        </w:rPr>
        <w:t>ily</w:t>
      </w:r>
      <w:r w:rsidR="004812E0" w:rsidRPr="00C037A5">
        <w:rPr>
          <w:sz w:val="24"/>
          <w:szCs w:val="24"/>
        </w:rPr>
        <w:t xml:space="preserve"> </w:t>
      </w:r>
      <w:r w:rsidRPr="00C037A5">
        <w:rPr>
          <w:sz w:val="24"/>
          <w:szCs w:val="24"/>
        </w:rPr>
        <w:t>conce</w:t>
      </w:r>
      <w:r w:rsidR="000D0802">
        <w:rPr>
          <w:sz w:val="24"/>
          <w:szCs w:val="24"/>
        </w:rPr>
        <w:t>ive</w:t>
      </w:r>
      <w:r w:rsidRPr="00C037A5">
        <w:rPr>
          <w:sz w:val="24"/>
          <w:szCs w:val="24"/>
        </w:rPr>
        <w:t xml:space="preserve"> of the </w:t>
      </w:r>
      <w:r w:rsidR="000D0802">
        <w:rPr>
          <w:sz w:val="24"/>
          <w:szCs w:val="24"/>
        </w:rPr>
        <w:t>abused</w:t>
      </w:r>
      <w:r w:rsidRPr="00C037A5">
        <w:rPr>
          <w:sz w:val="24"/>
          <w:szCs w:val="24"/>
        </w:rPr>
        <w:t xml:space="preserve"> legal subject as ‘at-risk’ or ‘vulnerable’</w:t>
      </w:r>
      <w:r w:rsidR="00B25FE0">
        <w:rPr>
          <w:sz w:val="24"/>
          <w:szCs w:val="24"/>
        </w:rPr>
        <w:t xml:space="preserve">. But this </w:t>
      </w:r>
      <w:r w:rsidRPr="00C037A5">
        <w:rPr>
          <w:sz w:val="24"/>
          <w:szCs w:val="24"/>
        </w:rPr>
        <w:t xml:space="preserve">can have the effect of requiring prosecution in all cases rather than </w:t>
      </w:r>
      <w:r w:rsidRPr="00C037A5">
        <w:rPr>
          <w:sz w:val="24"/>
          <w:szCs w:val="24"/>
        </w:rPr>
        <w:lastRenderedPageBreak/>
        <w:t>prompting</w:t>
      </w:r>
      <w:r w:rsidRPr="00C037A5">
        <w:rPr>
          <w:rFonts w:ascii="Calibri" w:hAnsi="Calibri" w:cs="Calibri"/>
        </w:rPr>
        <w:t xml:space="preserve"> </w:t>
      </w:r>
      <w:r w:rsidRPr="00C037A5">
        <w:rPr>
          <w:sz w:val="24"/>
          <w:szCs w:val="24"/>
        </w:rPr>
        <w:t>a genuine survivor-defined, case-by-case approach at the point a wom</w:t>
      </w:r>
      <w:r w:rsidR="004812E0" w:rsidRPr="00C037A5">
        <w:rPr>
          <w:sz w:val="24"/>
          <w:szCs w:val="24"/>
        </w:rPr>
        <w:t>a</w:t>
      </w:r>
      <w:r w:rsidRPr="00C037A5">
        <w:rPr>
          <w:sz w:val="24"/>
          <w:szCs w:val="24"/>
        </w:rPr>
        <w:t xml:space="preserve">n expresses her wish for case discontinuance. Criminal justice priorities and ways of working can also have the effect of foreclosing alternative ways of conceiving her agency and the ways she </w:t>
      </w:r>
      <w:r w:rsidR="00746136">
        <w:rPr>
          <w:sz w:val="24"/>
          <w:szCs w:val="24"/>
        </w:rPr>
        <w:t xml:space="preserve">can </w:t>
      </w:r>
      <w:r w:rsidRPr="00C037A5">
        <w:rPr>
          <w:sz w:val="24"/>
          <w:szCs w:val="24"/>
        </w:rPr>
        <w:t xml:space="preserve">navigate her safety. Reliance on criminal justice as the antidote to domestic abuse renders law and legal processes the preeminent ‘solution’, when in fact women can be frequently disappointed </w:t>
      </w:r>
      <w:r w:rsidR="004812E0" w:rsidRPr="00C037A5">
        <w:rPr>
          <w:sz w:val="24"/>
          <w:szCs w:val="24"/>
        </w:rPr>
        <w:t xml:space="preserve">or failed </w:t>
      </w:r>
      <w:r w:rsidRPr="00C037A5">
        <w:rPr>
          <w:sz w:val="24"/>
          <w:szCs w:val="24"/>
        </w:rPr>
        <w:t xml:space="preserve">by criminal justice outcomes. At the same time, other strategies to support women in the community to effect their safety become ancillary (such as providing adequate housing, access to an income and to childcare), whilst alternative discourses about the structural causes of and solutions to gendered intimate violence receive insufficient attention. </w:t>
      </w:r>
      <w:r w:rsidRPr="00C037A5">
        <w:rPr>
          <w:sz w:val="24"/>
          <w:szCs w:val="24"/>
        </w:rPr>
        <w:tab/>
      </w:r>
    </w:p>
    <w:p w14:paraId="08B199FD" w14:textId="6890A2C9" w:rsidR="00D0502E" w:rsidRDefault="00ED281C" w:rsidP="0092739F">
      <w:pPr>
        <w:autoSpaceDE w:val="0"/>
        <w:autoSpaceDN w:val="0"/>
        <w:adjustRightInd w:val="0"/>
        <w:spacing w:after="0" w:line="360" w:lineRule="auto"/>
        <w:ind w:firstLine="357"/>
        <w:rPr>
          <w:sz w:val="24"/>
          <w:szCs w:val="24"/>
        </w:rPr>
      </w:pPr>
      <w:r w:rsidRPr="006E2000">
        <w:rPr>
          <w:sz w:val="24"/>
          <w:szCs w:val="24"/>
        </w:rPr>
        <w:t xml:space="preserve">Chapter </w:t>
      </w:r>
      <w:r w:rsidR="00203EFF">
        <w:rPr>
          <w:sz w:val="24"/>
          <w:szCs w:val="24"/>
        </w:rPr>
        <w:t>Two</w:t>
      </w:r>
      <w:r w:rsidRPr="006E2000">
        <w:rPr>
          <w:sz w:val="24"/>
          <w:szCs w:val="24"/>
        </w:rPr>
        <w:t xml:space="preserve"> summari</w:t>
      </w:r>
      <w:r w:rsidR="00E204C2">
        <w:rPr>
          <w:sz w:val="24"/>
          <w:szCs w:val="24"/>
        </w:rPr>
        <w:t>s</w:t>
      </w:r>
      <w:r w:rsidRPr="006E2000">
        <w:rPr>
          <w:sz w:val="24"/>
          <w:szCs w:val="24"/>
        </w:rPr>
        <w:t xml:space="preserve">es some of the key moments in women’s history in respect of domestic abuse.  It reveals how feminism and its closely associated activist sister, the women’s movement, uncovered intimate partner abuse and rendered it an undeniable social problem. The chapter interrogates the public/ private divide as a </w:t>
      </w:r>
      <w:r w:rsidR="00B25FE0">
        <w:rPr>
          <w:sz w:val="24"/>
          <w:szCs w:val="24"/>
        </w:rPr>
        <w:t>means of</w:t>
      </w:r>
      <w:r w:rsidRPr="006E2000">
        <w:rPr>
          <w:sz w:val="24"/>
          <w:szCs w:val="24"/>
        </w:rPr>
        <w:t xml:space="preserve"> understanding the production of gender inequality (in society and in law) </w:t>
      </w:r>
      <w:r w:rsidR="00A427FF" w:rsidRPr="006E2000">
        <w:rPr>
          <w:sz w:val="24"/>
          <w:szCs w:val="24"/>
        </w:rPr>
        <w:t>said be at the root of domestic abuse</w:t>
      </w:r>
      <w:r w:rsidRPr="006E2000">
        <w:rPr>
          <w:sz w:val="24"/>
          <w:szCs w:val="24"/>
        </w:rPr>
        <w:t>. ‘</w:t>
      </w:r>
      <w:r w:rsidR="00A427FF" w:rsidRPr="006E2000">
        <w:rPr>
          <w:sz w:val="24"/>
          <w:szCs w:val="24"/>
        </w:rPr>
        <w:t>P</w:t>
      </w:r>
      <w:r w:rsidRPr="006E2000">
        <w:rPr>
          <w:sz w:val="24"/>
          <w:szCs w:val="24"/>
        </w:rPr>
        <w:t>rivacy’ was previously used to justify a lack of state intervention in abusive relationships</w:t>
      </w:r>
      <w:r w:rsidR="00F4257B">
        <w:rPr>
          <w:sz w:val="24"/>
          <w:szCs w:val="24"/>
        </w:rPr>
        <w:t xml:space="preserve"> but now </w:t>
      </w:r>
      <w:r w:rsidR="00D5579F">
        <w:rPr>
          <w:sz w:val="24"/>
          <w:szCs w:val="24"/>
        </w:rPr>
        <w:t xml:space="preserve">the notion </w:t>
      </w:r>
      <w:r w:rsidR="00F4257B">
        <w:rPr>
          <w:sz w:val="24"/>
          <w:szCs w:val="24"/>
        </w:rPr>
        <w:t>garners little rhetorical support</w:t>
      </w:r>
      <w:r w:rsidR="00D0502E">
        <w:rPr>
          <w:sz w:val="24"/>
          <w:szCs w:val="24"/>
        </w:rPr>
        <w:t xml:space="preserve"> and contemporary approaches to the </w:t>
      </w:r>
      <w:r w:rsidR="00B25FE0">
        <w:rPr>
          <w:sz w:val="24"/>
          <w:szCs w:val="24"/>
        </w:rPr>
        <w:t xml:space="preserve">domestic abuse </w:t>
      </w:r>
      <w:r w:rsidR="00FC374E">
        <w:rPr>
          <w:sz w:val="24"/>
          <w:szCs w:val="24"/>
        </w:rPr>
        <w:t xml:space="preserve">advocate that </w:t>
      </w:r>
      <w:r w:rsidR="00D0502E">
        <w:rPr>
          <w:sz w:val="24"/>
          <w:szCs w:val="24"/>
        </w:rPr>
        <w:t>prosecution</w:t>
      </w:r>
      <w:r w:rsidR="00746136">
        <w:rPr>
          <w:sz w:val="24"/>
          <w:szCs w:val="24"/>
        </w:rPr>
        <w:t xml:space="preserve">s </w:t>
      </w:r>
      <w:r w:rsidR="00FC374E">
        <w:rPr>
          <w:sz w:val="24"/>
          <w:szCs w:val="24"/>
        </w:rPr>
        <w:t xml:space="preserve">ought </w:t>
      </w:r>
      <w:r w:rsidR="00746136">
        <w:rPr>
          <w:sz w:val="24"/>
          <w:szCs w:val="24"/>
        </w:rPr>
        <w:t>to be pursued</w:t>
      </w:r>
      <w:r w:rsidR="00D0502E">
        <w:rPr>
          <w:sz w:val="24"/>
          <w:szCs w:val="24"/>
        </w:rPr>
        <w:t xml:space="preserve"> </w:t>
      </w:r>
      <w:r w:rsidR="00B25FE0">
        <w:rPr>
          <w:sz w:val="24"/>
          <w:szCs w:val="24"/>
        </w:rPr>
        <w:t xml:space="preserve">in the same way </w:t>
      </w:r>
      <w:r w:rsidR="00D0502E">
        <w:rPr>
          <w:sz w:val="24"/>
          <w:szCs w:val="24"/>
        </w:rPr>
        <w:t>as</w:t>
      </w:r>
      <w:r w:rsidR="00B25FE0">
        <w:rPr>
          <w:sz w:val="24"/>
          <w:szCs w:val="24"/>
        </w:rPr>
        <w:t xml:space="preserve"> </w:t>
      </w:r>
      <w:r w:rsidR="00D0502E">
        <w:rPr>
          <w:sz w:val="24"/>
          <w:szCs w:val="24"/>
        </w:rPr>
        <w:t>publicly occurring violence</w:t>
      </w:r>
      <w:r w:rsidR="006E4C76" w:rsidRPr="006E2000">
        <w:rPr>
          <w:sz w:val="24"/>
          <w:szCs w:val="24"/>
        </w:rPr>
        <w:t xml:space="preserve">. </w:t>
      </w:r>
      <w:r w:rsidR="0092739F">
        <w:rPr>
          <w:sz w:val="24"/>
          <w:szCs w:val="24"/>
        </w:rPr>
        <w:t xml:space="preserve">I ask whether a careful engagement with the affirmative potential of </w:t>
      </w:r>
      <w:r w:rsidR="00C037A5">
        <w:rPr>
          <w:sz w:val="24"/>
          <w:szCs w:val="24"/>
        </w:rPr>
        <w:t xml:space="preserve">women’s </w:t>
      </w:r>
      <w:r w:rsidR="0092739F">
        <w:rPr>
          <w:sz w:val="24"/>
          <w:szCs w:val="24"/>
        </w:rPr>
        <w:t>‘privacy’ might assist prosecutor</w:t>
      </w:r>
      <w:r w:rsidR="00D0502E">
        <w:rPr>
          <w:sz w:val="24"/>
          <w:szCs w:val="24"/>
        </w:rPr>
        <w:t>ial decision-making</w:t>
      </w:r>
      <w:r w:rsidR="0092739F">
        <w:rPr>
          <w:sz w:val="24"/>
          <w:szCs w:val="24"/>
        </w:rPr>
        <w:t xml:space="preserve"> when </w:t>
      </w:r>
      <w:r w:rsidR="00D0502E">
        <w:rPr>
          <w:sz w:val="24"/>
          <w:szCs w:val="24"/>
        </w:rPr>
        <w:t>a woman</w:t>
      </w:r>
      <w:r w:rsidR="0092739F">
        <w:rPr>
          <w:sz w:val="24"/>
          <w:szCs w:val="24"/>
        </w:rPr>
        <w:t xml:space="preserve"> withdraw</w:t>
      </w:r>
      <w:r w:rsidR="00D0502E">
        <w:rPr>
          <w:sz w:val="24"/>
          <w:szCs w:val="24"/>
        </w:rPr>
        <w:t>s her</w:t>
      </w:r>
      <w:r w:rsidR="0092739F">
        <w:rPr>
          <w:sz w:val="24"/>
          <w:szCs w:val="24"/>
        </w:rPr>
        <w:t xml:space="preserve"> support for the prosecution. </w:t>
      </w:r>
    </w:p>
    <w:p w14:paraId="6BA93EE9" w14:textId="4EFC5276" w:rsidR="00D5579F" w:rsidRPr="0092739F" w:rsidRDefault="00ED281C" w:rsidP="0092739F">
      <w:pPr>
        <w:autoSpaceDE w:val="0"/>
        <w:autoSpaceDN w:val="0"/>
        <w:adjustRightInd w:val="0"/>
        <w:spacing w:after="0" w:line="360" w:lineRule="auto"/>
        <w:ind w:firstLine="357"/>
        <w:rPr>
          <w:sz w:val="24"/>
          <w:szCs w:val="24"/>
        </w:rPr>
      </w:pPr>
      <w:r w:rsidRPr="0092739F">
        <w:rPr>
          <w:sz w:val="24"/>
          <w:szCs w:val="24"/>
        </w:rPr>
        <w:t xml:space="preserve">If domestic abuse is considered first and foremost as crime, </w:t>
      </w:r>
      <w:r w:rsidR="00F4257B" w:rsidRPr="0092739F">
        <w:rPr>
          <w:sz w:val="24"/>
          <w:szCs w:val="24"/>
        </w:rPr>
        <w:t xml:space="preserve">Chapter </w:t>
      </w:r>
      <w:r w:rsidR="00746136">
        <w:rPr>
          <w:sz w:val="24"/>
          <w:szCs w:val="24"/>
        </w:rPr>
        <w:t>Two</w:t>
      </w:r>
      <w:r w:rsidR="00F4257B" w:rsidRPr="0092739F">
        <w:rPr>
          <w:sz w:val="24"/>
          <w:szCs w:val="24"/>
        </w:rPr>
        <w:t xml:space="preserve"> </w:t>
      </w:r>
      <w:r w:rsidR="00FC374E">
        <w:rPr>
          <w:sz w:val="24"/>
          <w:szCs w:val="24"/>
        </w:rPr>
        <w:t xml:space="preserve">also </w:t>
      </w:r>
      <w:r w:rsidR="00F4257B" w:rsidRPr="0092739F">
        <w:rPr>
          <w:sz w:val="24"/>
          <w:szCs w:val="24"/>
        </w:rPr>
        <w:t>consider</w:t>
      </w:r>
      <w:r w:rsidR="00D0502E">
        <w:rPr>
          <w:sz w:val="24"/>
          <w:szCs w:val="24"/>
        </w:rPr>
        <w:t>s</w:t>
      </w:r>
      <w:r w:rsidR="00F4257B" w:rsidRPr="0092739F">
        <w:rPr>
          <w:sz w:val="24"/>
          <w:szCs w:val="24"/>
        </w:rPr>
        <w:t xml:space="preserve"> the criminal law itself to be </w:t>
      </w:r>
      <w:r w:rsidR="006E2000" w:rsidRPr="0092739F">
        <w:rPr>
          <w:sz w:val="24"/>
          <w:szCs w:val="24"/>
        </w:rPr>
        <w:t xml:space="preserve">a legitimate target for scrutiny </w:t>
      </w:r>
      <w:r w:rsidR="00F4257B" w:rsidRPr="0092739F">
        <w:rPr>
          <w:sz w:val="24"/>
          <w:szCs w:val="24"/>
        </w:rPr>
        <w:t>particularly in regards to the claim that it is a</w:t>
      </w:r>
      <w:r w:rsidR="006E4C76" w:rsidRPr="0092739F">
        <w:rPr>
          <w:sz w:val="24"/>
          <w:szCs w:val="24"/>
        </w:rPr>
        <w:t xml:space="preserve"> ‘gender-free zone’</w:t>
      </w:r>
      <w:r w:rsidR="006E4C76" w:rsidRPr="0092739F">
        <w:rPr>
          <w:rStyle w:val="FootnoteReference"/>
          <w:rFonts w:ascii="Calibri" w:eastAsia="Calibri" w:hAnsi="Calibri" w:cs="Times New Roman"/>
          <w:sz w:val="24"/>
          <w:szCs w:val="24"/>
        </w:rPr>
        <w:footnoteReference w:id="131"/>
      </w:r>
      <w:r w:rsidR="006E4C76" w:rsidRPr="0092739F">
        <w:rPr>
          <w:rStyle w:val="FootnoteReference"/>
          <w:rFonts w:ascii="Calibri" w:eastAsia="Calibri" w:hAnsi="Calibri" w:cs="Times New Roman"/>
          <w:sz w:val="24"/>
          <w:szCs w:val="24"/>
        </w:rPr>
        <w:t xml:space="preserve"> </w:t>
      </w:r>
      <w:r w:rsidR="006E2000" w:rsidRPr="0092739F">
        <w:rPr>
          <w:rStyle w:val="FootnoteReference"/>
          <w:rFonts w:ascii="Calibri" w:eastAsia="Calibri" w:hAnsi="Calibri" w:cs="Times New Roman"/>
          <w:sz w:val="24"/>
          <w:szCs w:val="24"/>
        </w:rPr>
        <w:t xml:space="preserve"> </w:t>
      </w:r>
      <w:r w:rsidR="006E4C76" w:rsidRPr="0092739F">
        <w:rPr>
          <w:sz w:val="24"/>
          <w:szCs w:val="24"/>
        </w:rPr>
        <w:t>where neutrality, fairness and truth prevails.</w:t>
      </w:r>
      <w:r w:rsidR="0092739F" w:rsidRPr="0092739F">
        <w:rPr>
          <w:sz w:val="24"/>
          <w:szCs w:val="24"/>
        </w:rPr>
        <w:t xml:space="preserve"> Prior to the current commitment to prosecutions</w:t>
      </w:r>
      <w:r w:rsidR="00D5579F" w:rsidRPr="0092739F">
        <w:rPr>
          <w:sz w:val="24"/>
          <w:szCs w:val="24"/>
        </w:rPr>
        <w:t>, when female domestic abuse victims retracted their support for a prosecution, cases were almost inevitably dropped.</w:t>
      </w:r>
      <w:r w:rsidR="0015619A">
        <w:rPr>
          <w:rStyle w:val="FootnoteReference"/>
          <w:sz w:val="24"/>
          <w:szCs w:val="24"/>
        </w:rPr>
        <w:footnoteReference w:id="132"/>
      </w:r>
      <w:r w:rsidR="00D5579F" w:rsidRPr="0092739F">
        <w:rPr>
          <w:sz w:val="24"/>
          <w:szCs w:val="24"/>
        </w:rPr>
        <w:t xml:space="preserve"> </w:t>
      </w:r>
      <w:r w:rsidR="0092739F" w:rsidRPr="0092739F">
        <w:rPr>
          <w:sz w:val="24"/>
          <w:szCs w:val="24"/>
        </w:rPr>
        <w:t>These w</w:t>
      </w:r>
      <w:r w:rsidR="00D5579F" w:rsidRPr="0092739F">
        <w:rPr>
          <w:sz w:val="24"/>
          <w:szCs w:val="24"/>
        </w:rPr>
        <w:t>omen were considered unreliable and non-credible as witnesses</w:t>
      </w:r>
      <w:r w:rsidR="0015619A">
        <w:rPr>
          <w:rStyle w:val="FootnoteReference"/>
          <w:sz w:val="24"/>
          <w:szCs w:val="24"/>
        </w:rPr>
        <w:footnoteReference w:id="133"/>
      </w:r>
      <w:r w:rsidR="00D5579F" w:rsidRPr="0092739F">
        <w:rPr>
          <w:sz w:val="24"/>
          <w:szCs w:val="24"/>
        </w:rPr>
        <w:t xml:space="preserve"> as they were failing to behave </w:t>
      </w:r>
      <w:r w:rsidR="00D5579F" w:rsidRPr="0092739F">
        <w:rPr>
          <w:sz w:val="24"/>
          <w:szCs w:val="24"/>
        </w:rPr>
        <w:lastRenderedPageBreak/>
        <w:t>in the ways expected from legal subjects; self-interested, measured and ‘rational’.</w:t>
      </w:r>
      <w:r w:rsidR="0015619A">
        <w:rPr>
          <w:rStyle w:val="FootnoteReference"/>
          <w:sz w:val="24"/>
          <w:szCs w:val="24"/>
        </w:rPr>
        <w:footnoteReference w:id="134"/>
      </w:r>
      <w:r w:rsidR="00D5579F" w:rsidRPr="0092739F">
        <w:rPr>
          <w:sz w:val="24"/>
          <w:szCs w:val="24"/>
        </w:rPr>
        <w:t xml:space="preserve"> More recently (I argue since</w:t>
      </w:r>
      <w:r w:rsidR="0015619A">
        <w:rPr>
          <w:sz w:val="24"/>
          <w:szCs w:val="24"/>
        </w:rPr>
        <w:t xml:space="preserve"> training </w:t>
      </w:r>
      <w:r w:rsidR="00746136">
        <w:rPr>
          <w:sz w:val="24"/>
          <w:szCs w:val="24"/>
        </w:rPr>
        <w:t>between</w:t>
      </w:r>
      <w:r w:rsidR="0015619A">
        <w:rPr>
          <w:sz w:val="24"/>
          <w:szCs w:val="24"/>
        </w:rPr>
        <w:t xml:space="preserve"> 2005-</w:t>
      </w:r>
      <w:r w:rsidR="00D5579F" w:rsidRPr="0092739F">
        <w:rPr>
          <w:sz w:val="24"/>
          <w:szCs w:val="24"/>
        </w:rPr>
        <w:t xml:space="preserve"> 2008) in re-assessing women’s decisions to retract, prosecutors make an assessment of what is in the best interest of the victim recogni</w:t>
      </w:r>
      <w:r w:rsidR="00E204C2">
        <w:rPr>
          <w:sz w:val="24"/>
          <w:szCs w:val="24"/>
        </w:rPr>
        <w:t>s</w:t>
      </w:r>
      <w:r w:rsidR="00D5579F" w:rsidRPr="0092739F">
        <w:rPr>
          <w:sz w:val="24"/>
          <w:szCs w:val="24"/>
        </w:rPr>
        <w:t>ing her ‘particular vulnerability’.</w:t>
      </w:r>
      <w:r w:rsidR="006B01AC">
        <w:rPr>
          <w:rStyle w:val="FootnoteReference"/>
          <w:sz w:val="24"/>
          <w:szCs w:val="24"/>
        </w:rPr>
        <w:footnoteReference w:id="135"/>
      </w:r>
      <w:r w:rsidR="00D5579F" w:rsidRPr="0092739F">
        <w:rPr>
          <w:sz w:val="24"/>
          <w:szCs w:val="24"/>
        </w:rPr>
        <w:t xml:space="preserve"> No longer dismissing unsupportive victims as unknowing irrational actors, prosecutors make an assessment of how far short of expected ‘norms’ she has fallen and how in need of protection she is. I suggest that ‘tenacious prosecutions’ are the CPS response to re-assessing the legal subject, motivated by a need to show understanding of her vulnerability and consequently to </w:t>
      </w:r>
      <w:r w:rsidR="00746136">
        <w:rPr>
          <w:sz w:val="24"/>
          <w:szCs w:val="24"/>
        </w:rPr>
        <w:t>‘</w:t>
      </w:r>
      <w:r w:rsidR="00D5579F" w:rsidRPr="0092739F">
        <w:rPr>
          <w:sz w:val="24"/>
          <w:szCs w:val="24"/>
        </w:rPr>
        <w:t>protect</w:t>
      </w:r>
      <w:r w:rsidR="00746136">
        <w:rPr>
          <w:sz w:val="24"/>
          <w:szCs w:val="24"/>
        </w:rPr>
        <w:t>’</w:t>
      </w:r>
      <w:r w:rsidR="00D5579F" w:rsidRPr="0092739F">
        <w:rPr>
          <w:sz w:val="24"/>
          <w:szCs w:val="24"/>
        </w:rPr>
        <w:t xml:space="preserve"> her from further harm. </w:t>
      </w:r>
    </w:p>
    <w:p w14:paraId="31D0CEDB" w14:textId="5F59AD5B" w:rsidR="00D5579F" w:rsidRPr="0092739F" w:rsidRDefault="00ED281C" w:rsidP="00D5579F">
      <w:pPr>
        <w:autoSpaceDE w:val="0"/>
        <w:autoSpaceDN w:val="0"/>
        <w:adjustRightInd w:val="0"/>
        <w:spacing w:after="0" w:line="360" w:lineRule="auto"/>
        <w:ind w:firstLine="357"/>
        <w:rPr>
          <w:sz w:val="24"/>
          <w:szCs w:val="24"/>
        </w:rPr>
      </w:pPr>
      <w:r w:rsidRPr="0092739F">
        <w:rPr>
          <w:sz w:val="24"/>
          <w:szCs w:val="24"/>
        </w:rPr>
        <w:t>Chapter T</w:t>
      </w:r>
      <w:r w:rsidR="00E204C2">
        <w:rPr>
          <w:sz w:val="24"/>
          <w:szCs w:val="24"/>
        </w:rPr>
        <w:t>hree</w:t>
      </w:r>
      <w:r w:rsidRPr="0092739F">
        <w:rPr>
          <w:sz w:val="24"/>
          <w:szCs w:val="24"/>
        </w:rPr>
        <w:t xml:space="preserve"> </w:t>
      </w:r>
      <w:r w:rsidR="00F4257B" w:rsidRPr="0092739F">
        <w:rPr>
          <w:sz w:val="24"/>
          <w:szCs w:val="24"/>
        </w:rPr>
        <w:t>sketches</w:t>
      </w:r>
      <w:r w:rsidRPr="0092739F">
        <w:rPr>
          <w:rFonts w:ascii="Calibri" w:hAnsi="Calibri" w:cs="Calibri"/>
          <w:sz w:val="24"/>
          <w:szCs w:val="24"/>
        </w:rPr>
        <w:t xml:space="preserve"> the values, strategies and practices of neoliberalism. It notes </w:t>
      </w:r>
      <w:r w:rsidR="00F4257B" w:rsidRPr="0092739F">
        <w:rPr>
          <w:rFonts w:ascii="Calibri" w:hAnsi="Calibri" w:cs="Calibri"/>
          <w:sz w:val="24"/>
          <w:szCs w:val="24"/>
        </w:rPr>
        <w:t>the deployment</w:t>
      </w:r>
      <w:r w:rsidRPr="0092739F">
        <w:rPr>
          <w:rFonts w:ascii="Calibri" w:hAnsi="Calibri" w:cs="Calibri"/>
          <w:sz w:val="24"/>
          <w:szCs w:val="24"/>
        </w:rPr>
        <w:t xml:space="preserve"> of </w:t>
      </w:r>
      <w:r w:rsidR="0057541F">
        <w:rPr>
          <w:rFonts w:ascii="Calibri" w:hAnsi="Calibri" w:cs="Calibri"/>
          <w:sz w:val="24"/>
          <w:szCs w:val="24"/>
        </w:rPr>
        <w:t xml:space="preserve">notions of </w:t>
      </w:r>
      <w:r w:rsidRPr="0092739F">
        <w:rPr>
          <w:rFonts w:ascii="Calibri" w:hAnsi="Calibri" w:cs="Calibri"/>
          <w:sz w:val="24"/>
          <w:szCs w:val="24"/>
        </w:rPr>
        <w:t>‘freedom’, ‘individualism’ and ‘</w:t>
      </w:r>
      <w:proofErr w:type="spellStart"/>
      <w:r w:rsidRPr="0092739F">
        <w:rPr>
          <w:rFonts w:ascii="Calibri" w:hAnsi="Calibri" w:cs="Calibri"/>
          <w:sz w:val="24"/>
          <w:szCs w:val="24"/>
        </w:rPr>
        <w:t>responsibili</w:t>
      </w:r>
      <w:r w:rsidR="00E204C2">
        <w:rPr>
          <w:rFonts w:ascii="Calibri" w:hAnsi="Calibri" w:cs="Calibri"/>
          <w:sz w:val="24"/>
          <w:szCs w:val="24"/>
        </w:rPr>
        <w:t>s</w:t>
      </w:r>
      <w:r w:rsidRPr="0092739F">
        <w:rPr>
          <w:rFonts w:ascii="Calibri" w:hAnsi="Calibri" w:cs="Calibri"/>
          <w:sz w:val="24"/>
          <w:szCs w:val="24"/>
        </w:rPr>
        <w:t>ation</w:t>
      </w:r>
      <w:proofErr w:type="spellEnd"/>
      <w:r w:rsidRPr="0092739F">
        <w:rPr>
          <w:rFonts w:ascii="Calibri" w:hAnsi="Calibri" w:cs="Calibri"/>
          <w:sz w:val="24"/>
          <w:szCs w:val="24"/>
        </w:rPr>
        <w:t>’ in the service of increased criminali</w:t>
      </w:r>
      <w:r w:rsidR="00E204C2">
        <w:rPr>
          <w:rFonts w:ascii="Calibri" w:hAnsi="Calibri" w:cs="Calibri"/>
          <w:sz w:val="24"/>
          <w:szCs w:val="24"/>
        </w:rPr>
        <w:t>s</w:t>
      </w:r>
      <w:r w:rsidRPr="0092739F">
        <w:rPr>
          <w:rFonts w:ascii="Calibri" w:hAnsi="Calibri" w:cs="Calibri"/>
          <w:sz w:val="24"/>
          <w:szCs w:val="24"/>
        </w:rPr>
        <w:t xml:space="preserve">ation and punitiveness. </w:t>
      </w:r>
      <w:r w:rsidRPr="0092739F">
        <w:rPr>
          <w:sz w:val="24"/>
          <w:szCs w:val="24"/>
        </w:rPr>
        <w:t xml:space="preserve"> Neoliberalism’s logics also </w:t>
      </w:r>
      <w:r w:rsidR="00D5579F" w:rsidRPr="0092739F">
        <w:rPr>
          <w:sz w:val="24"/>
          <w:szCs w:val="24"/>
        </w:rPr>
        <w:t>extend to</w:t>
      </w:r>
      <w:r w:rsidRPr="0092739F">
        <w:rPr>
          <w:sz w:val="24"/>
          <w:szCs w:val="24"/>
        </w:rPr>
        <w:t xml:space="preserve"> techniques of New Public Managerialism</w:t>
      </w:r>
      <w:r w:rsidR="00D5579F" w:rsidRPr="0092739F">
        <w:rPr>
          <w:sz w:val="24"/>
          <w:szCs w:val="24"/>
        </w:rPr>
        <w:t xml:space="preserve"> which, I suggest, are evident at the Crown Prosecution Service</w:t>
      </w:r>
      <w:r w:rsidRPr="0092739F">
        <w:rPr>
          <w:sz w:val="24"/>
          <w:szCs w:val="24"/>
        </w:rPr>
        <w:t>. If ‘neoliberalism’, broadly conceived, has been the dominant political ideology of recent times, Chapter T</w:t>
      </w:r>
      <w:r w:rsidR="00E204C2">
        <w:rPr>
          <w:sz w:val="24"/>
          <w:szCs w:val="24"/>
        </w:rPr>
        <w:t>hree</w:t>
      </w:r>
      <w:r w:rsidRPr="0092739F">
        <w:rPr>
          <w:sz w:val="24"/>
          <w:szCs w:val="24"/>
        </w:rPr>
        <w:t xml:space="preserve"> shows how its constraining logic </w:t>
      </w:r>
      <w:r w:rsidR="00F4257B" w:rsidRPr="0092739F">
        <w:rPr>
          <w:sz w:val="24"/>
          <w:szCs w:val="24"/>
        </w:rPr>
        <w:t>pervades</w:t>
      </w:r>
      <w:r w:rsidRPr="0092739F">
        <w:rPr>
          <w:sz w:val="24"/>
          <w:szCs w:val="24"/>
        </w:rPr>
        <w:t xml:space="preserve"> state responses to domestic abuse</w:t>
      </w:r>
      <w:r w:rsidR="00D5579F" w:rsidRPr="0092739F">
        <w:rPr>
          <w:sz w:val="24"/>
          <w:szCs w:val="24"/>
        </w:rPr>
        <w:t xml:space="preserve"> and </w:t>
      </w:r>
      <w:r w:rsidRPr="0092739F">
        <w:rPr>
          <w:sz w:val="24"/>
          <w:szCs w:val="24"/>
        </w:rPr>
        <w:t xml:space="preserve">stifles non-penal solutions that might tackle structural inequality in line with materialist and early radical ‘outsider’ feminist goals. </w:t>
      </w:r>
    </w:p>
    <w:p w14:paraId="56F849C6" w14:textId="11B50A55" w:rsidR="0092739F" w:rsidRDefault="00ED281C" w:rsidP="0092739F">
      <w:pPr>
        <w:autoSpaceDE w:val="0"/>
        <w:autoSpaceDN w:val="0"/>
        <w:adjustRightInd w:val="0"/>
        <w:spacing w:after="0" w:line="360" w:lineRule="auto"/>
        <w:ind w:firstLine="357"/>
        <w:rPr>
          <w:sz w:val="24"/>
          <w:szCs w:val="24"/>
        </w:rPr>
      </w:pPr>
      <w:r w:rsidRPr="0092739F">
        <w:rPr>
          <w:sz w:val="24"/>
          <w:szCs w:val="24"/>
        </w:rPr>
        <w:t xml:space="preserve">Neoliberalism strategically navigates for retention of power. Its embrace of feminist </w:t>
      </w:r>
      <w:r w:rsidR="00FC374E">
        <w:rPr>
          <w:sz w:val="24"/>
          <w:szCs w:val="24"/>
        </w:rPr>
        <w:t>demands</w:t>
      </w:r>
      <w:r w:rsidRPr="0092739F">
        <w:rPr>
          <w:sz w:val="24"/>
          <w:szCs w:val="24"/>
        </w:rPr>
        <w:t xml:space="preserve"> for a criminal justice response to domestic abuse at once bolsters its public credentials yet has the effect of depolitici</w:t>
      </w:r>
      <w:r w:rsidR="00E204C2">
        <w:rPr>
          <w:sz w:val="24"/>
          <w:szCs w:val="24"/>
        </w:rPr>
        <w:t>s</w:t>
      </w:r>
      <w:r w:rsidRPr="0092739F">
        <w:rPr>
          <w:sz w:val="24"/>
          <w:szCs w:val="24"/>
        </w:rPr>
        <w:t>ing and suppressing discordant feminist voices. By treating the social problem of domestic abuse as crime</w:t>
      </w:r>
      <w:r w:rsidR="006B01AC">
        <w:rPr>
          <w:sz w:val="24"/>
          <w:szCs w:val="24"/>
        </w:rPr>
        <w:t>,</w:t>
      </w:r>
      <w:r w:rsidR="006B01AC">
        <w:rPr>
          <w:rStyle w:val="FootnoteReference"/>
          <w:sz w:val="24"/>
          <w:szCs w:val="24"/>
        </w:rPr>
        <w:footnoteReference w:id="136"/>
      </w:r>
      <w:r w:rsidRPr="0092739F">
        <w:rPr>
          <w:sz w:val="24"/>
          <w:szCs w:val="24"/>
        </w:rPr>
        <w:t xml:space="preserve"> the state and criminal justice priority becomes one of ensuring individuals are both deterred from committing crime on the one hand – through consistent and committed prosecutions and sentencing – and of protecting victims from the risk of future crime on the other. This rationale has built a crime control culture in which, I argue, the prosecution of domestic abuse </w:t>
      </w:r>
      <w:r w:rsidR="0057541F">
        <w:rPr>
          <w:sz w:val="24"/>
          <w:szCs w:val="24"/>
        </w:rPr>
        <w:t>is part</w:t>
      </w:r>
      <w:r w:rsidRPr="0092739F">
        <w:rPr>
          <w:sz w:val="24"/>
          <w:szCs w:val="24"/>
        </w:rPr>
        <w:t xml:space="preserve">.  </w:t>
      </w:r>
    </w:p>
    <w:p w14:paraId="3D874181" w14:textId="469D1659" w:rsidR="00A53FDB" w:rsidRPr="006B01AC" w:rsidRDefault="00ED281C" w:rsidP="00A53FDB">
      <w:pPr>
        <w:autoSpaceDE w:val="0"/>
        <w:autoSpaceDN w:val="0"/>
        <w:adjustRightInd w:val="0"/>
        <w:spacing w:after="0" w:line="360" w:lineRule="auto"/>
        <w:ind w:firstLine="357"/>
        <w:rPr>
          <w:sz w:val="24"/>
          <w:szCs w:val="24"/>
        </w:rPr>
      </w:pPr>
      <w:r w:rsidRPr="006B01AC">
        <w:rPr>
          <w:sz w:val="24"/>
          <w:szCs w:val="24"/>
        </w:rPr>
        <w:t xml:space="preserve">The book turns its focus in Chapter </w:t>
      </w:r>
      <w:r w:rsidR="00E204C2" w:rsidRPr="006B01AC">
        <w:rPr>
          <w:sz w:val="24"/>
          <w:szCs w:val="24"/>
        </w:rPr>
        <w:t>Four</w:t>
      </w:r>
      <w:r w:rsidRPr="006B01AC">
        <w:rPr>
          <w:sz w:val="24"/>
          <w:szCs w:val="24"/>
        </w:rPr>
        <w:t xml:space="preserve"> </w:t>
      </w:r>
      <w:r w:rsidR="0092739F" w:rsidRPr="006B01AC">
        <w:rPr>
          <w:sz w:val="24"/>
          <w:szCs w:val="24"/>
        </w:rPr>
        <w:t>away from factors that m</w:t>
      </w:r>
      <w:r w:rsidR="006C5824" w:rsidRPr="006B01AC">
        <w:rPr>
          <w:sz w:val="24"/>
          <w:szCs w:val="24"/>
        </w:rPr>
        <w:t>a</w:t>
      </w:r>
      <w:r w:rsidR="0092739F" w:rsidRPr="006B01AC">
        <w:rPr>
          <w:sz w:val="24"/>
          <w:szCs w:val="24"/>
        </w:rPr>
        <w:t>y have led to the recent turn to crimin</w:t>
      </w:r>
      <w:r w:rsidR="006C5824" w:rsidRPr="006B01AC">
        <w:rPr>
          <w:sz w:val="24"/>
          <w:szCs w:val="24"/>
        </w:rPr>
        <w:t>a</w:t>
      </w:r>
      <w:r w:rsidR="0092739F" w:rsidRPr="006B01AC">
        <w:rPr>
          <w:sz w:val="24"/>
          <w:szCs w:val="24"/>
        </w:rPr>
        <w:t>lisation to</w:t>
      </w:r>
      <w:r w:rsidR="006C5824" w:rsidRPr="006B01AC">
        <w:rPr>
          <w:sz w:val="24"/>
          <w:szCs w:val="24"/>
        </w:rPr>
        <w:t>wards consideration of the consequences; speci</w:t>
      </w:r>
      <w:r w:rsidR="006B01AC">
        <w:rPr>
          <w:sz w:val="24"/>
          <w:szCs w:val="24"/>
        </w:rPr>
        <w:t>fic</w:t>
      </w:r>
      <w:r w:rsidR="006C5824" w:rsidRPr="006B01AC">
        <w:rPr>
          <w:sz w:val="24"/>
          <w:szCs w:val="24"/>
        </w:rPr>
        <w:t xml:space="preserve">ally in this chapter </w:t>
      </w:r>
      <w:r w:rsidRPr="006B01AC">
        <w:rPr>
          <w:sz w:val="24"/>
          <w:szCs w:val="24"/>
        </w:rPr>
        <w:t xml:space="preserve">Crown Prosecutors’ handling of intimate partner abuse cases. </w:t>
      </w:r>
      <w:r w:rsidR="006B01AC">
        <w:rPr>
          <w:sz w:val="24"/>
          <w:szCs w:val="24"/>
        </w:rPr>
        <w:t xml:space="preserve">Through analysis of </w:t>
      </w:r>
      <w:r w:rsidR="006B01AC">
        <w:rPr>
          <w:sz w:val="24"/>
          <w:szCs w:val="24"/>
        </w:rPr>
        <w:lastRenderedPageBreak/>
        <w:t xml:space="preserve">in-depth interviews with </w:t>
      </w:r>
      <w:r w:rsidRPr="006B01AC">
        <w:rPr>
          <w:sz w:val="24"/>
          <w:szCs w:val="24"/>
        </w:rPr>
        <w:t>prosecutors</w:t>
      </w:r>
      <w:r w:rsidR="006B01AC">
        <w:rPr>
          <w:sz w:val="24"/>
          <w:szCs w:val="24"/>
        </w:rPr>
        <w:t>, Chapter Four,</w:t>
      </w:r>
      <w:r w:rsidR="006C5824" w:rsidRPr="006B01AC">
        <w:rPr>
          <w:sz w:val="24"/>
          <w:szCs w:val="24"/>
        </w:rPr>
        <w:t xml:space="preserve"> show</w:t>
      </w:r>
      <w:r w:rsidR="006B01AC">
        <w:rPr>
          <w:sz w:val="24"/>
          <w:szCs w:val="24"/>
        </w:rPr>
        <w:t>s</w:t>
      </w:r>
      <w:r w:rsidR="006C5824" w:rsidRPr="006B01AC">
        <w:rPr>
          <w:sz w:val="24"/>
          <w:szCs w:val="24"/>
        </w:rPr>
        <w:t xml:space="preserve"> that in the CPS the neoliberal technique of New Public Managerialism</w:t>
      </w:r>
      <w:r w:rsidRPr="006B01AC">
        <w:rPr>
          <w:sz w:val="24"/>
          <w:szCs w:val="24"/>
        </w:rPr>
        <w:t xml:space="preserve"> </w:t>
      </w:r>
      <w:r w:rsidR="006C5824" w:rsidRPr="006B01AC">
        <w:rPr>
          <w:sz w:val="24"/>
          <w:szCs w:val="24"/>
        </w:rPr>
        <w:t>shapes</w:t>
      </w:r>
      <w:r w:rsidRPr="006B01AC">
        <w:rPr>
          <w:sz w:val="24"/>
          <w:szCs w:val="24"/>
        </w:rPr>
        <w:t xml:space="preserve"> everyday conduct and ‘working practice’. </w:t>
      </w:r>
      <w:r w:rsidR="00A53FDB" w:rsidRPr="006B01AC">
        <w:rPr>
          <w:sz w:val="24"/>
          <w:szCs w:val="24"/>
        </w:rPr>
        <w:t>M</w:t>
      </w:r>
      <w:r w:rsidRPr="006B01AC">
        <w:rPr>
          <w:sz w:val="24"/>
          <w:szCs w:val="24"/>
        </w:rPr>
        <w:t>anagerialism frames prosecutorial practice</w:t>
      </w:r>
      <w:r w:rsidR="00A53FDB" w:rsidRPr="006B01AC">
        <w:rPr>
          <w:sz w:val="24"/>
          <w:szCs w:val="24"/>
        </w:rPr>
        <w:t>s</w:t>
      </w:r>
      <w:r w:rsidRPr="006B01AC">
        <w:rPr>
          <w:sz w:val="24"/>
          <w:szCs w:val="24"/>
        </w:rPr>
        <w:t xml:space="preserve"> in terms of administrative outcomes and organi</w:t>
      </w:r>
      <w:r w:rsidR="00E204C2" w:rsidRPr="006B01AC">
        <w:rPr>
          <w:sz w:val="24"/>
          <w:szCs w:val="24"/>
        </w:rPr>
        <w:t>s</w:t>
      </w:r>
      <w:r w:rsidRPr="006B01AC">
        <w:rPr>
          <w:sz w:val="24"/>
          <w:szCs w:val="24"/>
        </w:rPr>
        <w:t>ational targets, specifically in the CPS by expecting increased conviction rates. The chapter shows how the tendency to ‘tenacious prosecutions’ can be attributed, at least in part, to features of</w:t>
      </w:r>
      <w:r w:rsidR="00A53FDB" w:rsidRPr="006B01AC">
        <w:rPr>
          <w:sz w:val="24"/>
          <w:szCs w:val="24"/>
        </w:rPr>
        <w:t xml:space="preserve"> New Public Managerialism.</w:t>
      </w:r>
      <w:r w:rsidRPr="006B01AC">
        <w:rPr>
          <w:sz w:val="24"/>
          <w:szCs w:val="24"/>
        </w:rPr>
        <w:t xml:space="preserve"> The chapter concludes by discussing prosecutors’ failure to articulate the gendered nature of domestic abuse (save to acknowledge that victims are usually women). The findings from Chapter </w:t>
      </w:r>
      <w:r w:rsidR="00E204C2" w:rsidRPr="006B01AC">
        <w:rPr>
          <w:sz w:val="24"/>
          <w:szCs w:val="24"/>
        </w:rPr>
        <w:t>Four</w:t>
      </w:r>
      <w:r w:rsidRPr="006B01AC">
        <w:rPr>
          <w:sz w:val="24"/>
          <w:szCs w:val="24"/>
        </w:rPr>
        <w:t xml:space="preserve"> lend some support to those feminists who have been reticent to harness the criminal justice system for fear, inter alia, that it fails to sensitively deliver nuanced, survivor-defined outcomes.</w:t>
      </w:r>
    </w:p>
    <w:p w14:paraId="69654C46" w14:textId="2037475D" w:rsidR="00ED281C" w:rsidRDefault="00A53FDB" w:rsidP="00705CF6">
      <w:pPr>
        <w:autoSpaceDE w:val="0"/>
        <w:autoSpaceDN w:val="0"/>
        <w:adjustRightInd w:val="0"/>
        <w:spacing w:after="0" w:line="360" w:lineRule="auto"/>
        <w:ind w:firstLine="357"/>
        <w:rPr>
          <w:sz w:val="24"/>
          <w:szCs w:val="24"/>
        </w:rPr>
      </w:pPr>
      <w:r w:rsidRPr="006B01AC">
        <w:rPr>
          <w:sz w:val="24"/>
          <w:szCs w:val="24"/>
        </w:rPr>
        <w:t>C</w:t>
      </w:r>
      <w:r w:rsidR="00ED281C" w:rsidRPr="006B01AC">
        <w:rPr>
          <w:sz w:val="24"/>
          <w:szCs w:val="24"/>
        </w:rPr>
        <w:t xml:space="preserve">hapter </w:t>
      </w:r>
      <w:r w:rsidR="00E204C2" w:rsidRPr="006B01AC">
        <w:rPr>
          <w:sz w:val="24"/>
          <w:szCs w:val="24"/>
        </w:rPr>
        <w:t>Five</w:t>
      </w:r>
      <w:r w:rsidR="00ED281C" w:rsidRPr="006B01AC">
        <w:rPr>
          <w:sz w:val="24"/>
          <w:szCs w:val="24"/>
        </w:rPr>
        <w:t xml:space="preserve"> uses empirical research</w:t>
      </w:r>
      <w:r w:rsidRPr="006B01AC">
        <w:rPr>
          <w:sz w:val="24"/>
          <w:szCs w:val="24"/>
        </w:rPr>
        <w:t xml:space="preserve"> </w:t>
      </w:r>
      <w:r w:rsidR="00ED281C" w:rsidRPr="006B01AC">
        <w:rPr>
          <w:sz w:val="24"/>
          <w:szCs w:val="24"/>
        </w:rPr>
        <w:t xml:space="preserve">conducted with women who have experienced intimate partner abuse, to assess the consequences for women from tenacious prosecutions. </w:t>
      </w:r>
      <w:r w:rsidRPr="006B01AC">
        <w:rPr>
          <w:sz w:val="24"/>
          <w:szCs w:val="24"/>
        </w:rPr>
        <w:t>I use</w:t>
      </w:r>
      <w:r w:rsidR="00ED281C" w:rsidRPr="006B01AC">
        <w:rPr>
          <w:sz w:val="24"/>
          <w:szCs w:val="24"/>
        </w:rPr>
        <w:t xml:space="preserve"> legal consciousness </w:t>
      </w:r>
      <w:r w:rsidRPr="006B01AC">
        <w:rPr>
          <w:sz w:val="24"/>
          <w:szCs w:val="24"/>
        </w:rPr>
        <w:t xml:space="preserve">- </w:t>
      </w:r>
      <w:proofErr w:type="spellStart"/>
      <w:r w:rsidRPr="006B01AC">
        <w:rPr>
          <w:sz w:val="24"/>
          <w:szCs w:val="24"/>
        </w:rPr>
        <w:t>Ewick</w:t>
      </w:r>
      <w:proofErr w:type="spellEnd"/>
      <w:r w:rsidRPr="006B01AC">
        <w:rPr>
          <w:sz w:val="24"/>
          <w:szCs w:val="24"/>
        </w:rPr>
        <w:t xml:space="preserve"> and </w:t>
      </w:r>
      <w:proofErr w:type="spellStart"/>
      <w:r w:rsidRPr="006B01AC">
        <w:rPr>
          <w:sz w:val="24"/>
          <w:szCs w:val="24"/>
        </w:rPr>
        <w:t>Silbey’s</w:t>
      </w:r>
      <w:proofErr w:type="spellEnd"/>
      <w:r w:rsidRPr="006B01AC">
        <w:rPr>
          <w:sz w:val="24"/>
          <w:szCs w:val="24"/>
        </w:rPr>
        <w:t xml:space="preserve"> </w:t>
      </w:r>
      <w:proofErr w:type="spellStart"/>
      <w:r w:rsidRPr="006B01AC">
        <w:rPr>
          <w:sz w:val="24"/>
          <w:szCs w:val="24"/>
        </w:rPr>
        <w:t>toxonomy</w:t>
      </w:r>
      <w:proofErr w:type="spellEnd"/>
      <w:r w:rsidRPr="006B01AC">
        <w:rPr>
          <w:sz w:val="24"/>
          <w:szCs w:val="24"/>
        </w:rPr>
        <w:t xml:space="preserve"> of being ‘before’, ‘with’ or ‘against’ the law - </w:t>
      </w:r>
      <w:r w:rsidR="00ED281C" w:rsidRPr="006B01AC">
        <w:rPr>
          <w:sz w:val="24"/>
          <w:szCs w:val="24"/>
        </w:rPr>
        <w:t>as a lens to analy</w:t>
      </w:r>
      <w:r w:rsidR="00E204C2" w:rsidRPr="006B01AC">
        <w:rPr>
          <w:sz w:val="24"/>
          <w:szCs w:val="24"/>
        </w:rPr>
        <w:t>s</w:t>
      </w:r>
      <w:r w:rsidR="00ED281C" w:rsidRPr="006B01AC">
        <w:rPr>
          <w:sz w:val="24"/>
          <w:szCs w:val="24"/>
        </w:rPr>
        <w:t>e how this group of women consider, behave and relate to criminal law in daily life.</w:t>
      </w:r>
      <w:r w:rsidR="00705CF6">
        <w:rPr>
          <w:rStyle w:val="FootnoteReference"/>
          <w:sz w:val="24"/>
          <w:szCs w:val="24"/>
        </w:rPr>
        <w:footnoteReference w:id="137"/>
      </w:r>
      <w:r w:rsidR="00ED281C" w:rsidRPr="006B01AC">
        <w:rPr>
          <w:sz w:val="24"/>
          <w:szCs w:val="24"/>
        </w:rPr>
        <w:t xml:space="preserve"> The qualitative interviews in Chapter F</w:t>
      </w:r>
      <w:r w:rsidR="00E204C2" w:rsidRPr="006B01AC">
        <w:rPr>
          <w:sz w:val="24"/>
          <w:szCs w:val="24"/>
        </w:rPr>
        <w:t>ive</w:t>
      </w:r>
      <w:r w:rsidR="00ED281C" w:rsidRPr="006B01AC">
        <w:rPr>
          <w:sz w:val="24"/>
          <w:szCs w:val="24"/>
        </w:rPr>
        <w:t xml:space="preserve"> reveal how law may not be a site of refuge or resolution for women survivors and confirms that the criminal process may not always facilitate wholly positive outcomes. Nonetheless, the chapter’s use of legal consciousness identifies the justice possible, if not consistently attained, through legal intervention. The chapter therefore raises a number of factors and lessons that merit prosecutorial attention. These are explored further in Chapter </w:t>
      </w:r>
      <w:r w:rsidR="00E204C2" w:rsidRPr="006B01AC">
        <w:rPr>
          <w:sz w:val="24"/>
          <w:szCs w:val="24"/>
        </w:rPr>
        <w:t>Six</w:t>
      </w:r>
      <w:r w:rsidR="00ED281C" w:rsidRPr="006B01AC">
        <w:rPr>
          <w:sz w:val="24"/>
          <w:szCs w:val="24"/>
        </w:rPr>
        <w:t>.</w:t>
      </w:r>
    </w:p>
    <w:p w14:paraId="5B3E2D18" w14:textId="298C4AE6" w:rsidR="00705CF6" w:rsidRDefault="00705CF6" w:rsidP="006714EA">
      <w:pPr>
        <w:autoSpaceDE w:val="0"/>
        <w:autoSpaceDN w:val="0"/>
        <w:adjustRightInd w:val="0"/>
        <w:spacing w:after="0" w:line="360" w:lineRule="auto"/>
        <w:ind w:firstLine="720"/>
        <w:rPr>
          <w:sz w:val="24"/>
          <w:szCs w:val="24"/>
        </w:rPr>
      </w:pPr>
      <w:r w:rsidRPr="00705CF6">
        <w:rPr>
          <w:sz w:val="24"/>
          <w:szCs w:val="24"/>
        </w:rPr>
        <w:t xml:space="preserve">Chapter Six builds </w:t>
      </w:r>
      <w:r w:rsidR="0057541F">
        <w:rPr>
          <w:sz w:val="24"/>
          <w:szCs w:val="24"/>
        </w:rPr>
        <w:t>on</w:t>
      </w:r>
      <w:r w:rsidRPr="00705CF6">
        <w:rPr>
          <w:sz w:val="24"/>
          <w:szCs w:val="24"/>
        </w:rPr>
        <w:t xml:space="preserve"> Chapter One’s observation that </w:t>
      </w:r>
      <w:r w:rsidR="0057541F">
        <w:rPr>
          <w:sz w:val="24"/>
          <w:szCs w:val="24"/>
        </w:rPr>
        <w:t xml:space="preserve">the </w:t>
      </w:r>
      <w:r w:rsidR="00ED281C" w:rsidRPr="00705CF6">
        <w:rPr>
          <w:sz w:val="24"/>
          <w:szCs w:val="24"/>
        </w:rPr>
        <w:t>common use of the term ‘vulnerable’ in CPS policy has an ‘othering’ effect, in which the ‘helpless’ victim is perceived to require state intervention in the form of tenacious penal solutions. The depiction of the vulnerable victim, whilst well-intended, is overly simplistic and the victim/ agent dichotomy that underpins it wrongly presupposes that one precludes the other. This final substantive chapter theori</w:t>
      </w:r>
      <w:r w:rsidR="00E204C2" w:rsidRPr="00705CF6">
        <w:rPr>
          <w:sz w:val="24"/>
          <w:szCs w:val="24"/>
        </w:rPr>
        <w:t>s</w:t>
      </w:r>
      <w:r w:rsidR="00ED281C" w:rsidRPr="00705CF6">
        <w:rPr>
          <w:sz w:val="24"/>
          <w:szCs w:val="24"/>
        </w:rPr>
        <w:t>es an alternative way of thinking about women who have been abused - as potential ‘</w:t>
      </w:r>
      <w:proofErr w:type="spellStart"/>
      <w:r w:rsidR="00ED281C" w:rsidRPr="00705CF6">
        <w:rPr>
          <w:sz w:val="24"/>
          <w:szCs w:val="24"/>
        </w:rPr>
        <w:t>thrivers</w:t>
      </w:r>
      <w:proofErr w:type="spellEnd"/>
      <w:r w:rsidR="00ED281C" w:rsidRPr="00705CF6">
        <w:rPr>
          <w:sz w:val="24"/>
          <w:szCs w:val="24"/>
        </w:rPr>
        <w:t xml:space="preserve">’ - and uses primary data gathered from focus groups with domestic abuse support workers to reflect on </w:t>
      </w:r>
      <w:r w:rsidR="0057541F">
        <w:rPr>
          <w:sz w:val="24"/>
          <w:szCs w:val="24"/>
        </w:rPr>
        <w:t>my theoretical observations and proposals</w:t>
      </w:r>
      <w:r w:rsidR="00ED281C" w:rsidRPr="00705CF6">
        <w:rPr>
          <w:sz w:val="24"/>
          <w:szCs w:val="24"/>
        </w:rPr>
        <w:t xml:space="preserve"> and suggest practical ways that prosecutors might improve outcomes for women survivors.</w:t>
      </w:r>
    </w:p>
    <w:p w14:paraId="1EFB7AD8" w14:textId="250F8980" w:rsidR="00D4256D" w:rsidRPr="006714EA" w:rsidRDefault="00ED281C" w:rsidP="006714EA">
      <w:pPr>
        <w:autoSpaceDE w:val="0"/>
        <w:autoSpaceDN w:val="0"/>
        <w:adjustRightInd w:val="0"/>
        <w:spacing w:after="0" w:line="360" w:lineRule="auto"/>
        <w:ind w:firstLine="720"/>
        <w:rPr>
          <w:sz w:val="24"/>
          <w:szCs w:val="24"/>
        </w:rPr>
      </w:pPr>
      <w:r w:rsidRPr="006714EA">
        <w:rPr>
          <w:sz w:val="24"/>
          <w:szCs w:val="24"/>
        </w:rPr>
        <w:lastRenderedPageBreak/>
        <w:t>Firstly, I propose that prosecutors</w:t>
      </w:r>
      <w:r w:rsidR="00705CF6" w:rsidRPr="006714EA">
        <w:rPr>
          <w:sz w:val="24"/>
          <w:szCs w:val="24"/>
        </w:rPr>
        <w:t xml:space="preserve"> </w:t>
      </w:r>
      <w:r w:rsidRPr="006714EA">
        <w:rPr>
          <w:sz w:val="24"/>
          <w:szCs w:val="24"/>
        </w:rPr>
        <w:t>recogni</w:t>
      </w:r>
      <w:r w:rsidR="00E204C2" w:rsidRPr="006714EA">
        <w:rPr>
          <w:sz w:val="24"/>
          <w:szCs w:val="24"/>
        </w:rPr>
        <w:t>s</w:t>
      </w:r>
      <w:r w:rsidRPr="006714EA">
        <w:rPr>
          <w:sz w:val="24"/>
          <w:szCs w:val="24"/>
        </w:rPr>
        <w:t>e that we are all ontologically vulnerable, and that, as such, the state bears responsibility to support us to be resilient</w:t>
      </w:r>
      <w:r w:rsidR="00705CF6" w:rsidRPr="006714EA">
        <w:rPr>
          <w:sz w:val="24"/>
          <w:szCs w:val="24"/>
        </w:rPr>
        <w:t>.</w:t>
      </w:r>
      <w:r w:rsidR="00705CF6" w:rsidRPr="006714EA">
        <w:rPr>
          <w:rStyle w:val="FootnoteReference"/>
          <w:sz w:val="24"/>
          <w:szCs w:val="24"/>
        </w:rPr>
        <w:footnoteReference w:id="138"/>
      </w:r>
      <w:r w:rsidRPr="006714EA">
        <w:rPr>
          <w:sz w:val="24"/>
          <w:szCs w:val="24"/>
        </w:rPr>
        <w:t xml:space="preserve">  As far as the criminal justice system is concerned, the presumption to prosecute </w:t>
      </w:r>
      <w:r w:rsidR="00D4256D" w:rsidRPr="006714EA">
        <w:rPr>
          <w:sz w:val="24"/>
          <w:szCs w:val="24"/>
        </w:rPr>
        <w:t>domestic abuse</w:t>
      </w:r>
      <w:r w:rsidRPr="006714EA">
        <w:rPr>
          <w:sz w:val="24"/>
          <w:szCs w:val="24"/>
        </w:rPr>
        <w:t xml:space="preserve"> (per CPS policy) meets the state responsibility to the extent that consistent prosecutions of abusers have the potential to challenge existing patriarchal structures and ideologies</w:t>
      </w:r>
      <w:r w:rsidR="00D4256D" w:rsidRPr="006714EA">
        <w:rPr>
          <w:sz w:val="24"/>
          <w:szCs w:val="24"/>
        </w:rPr>
        <w:t>.</w:t>
      </w:r>
      <w:r w:rsidR="00D4256D" w:rsidRPr="006714EA">
        <w:rPr>
          <w:rStyle w:val="FootnoteReference"/>
          <w:sz w:val="24"/>
          <w:szCs w:val="24"/>
        </w:rPr>
        <w:footnoteReference w:id="139"/>
      </w:r>
      <w:r w:rsidR="00D4256D" w:rsidRPr="006714EA">
        <w:rPr>
          <w:sz w:val="24"/>
          <w:szCs w:val="24"/>
        </w:rPr>
        <w:t xml:space="preserve"> </w:t>
      </w:r>
      <w:r w:rsidRPr="006714EA">
        <w:rPr>
          <w:sz w:val="24"/>
          <w:szCs w:val="24"/>
        </w:rPr>
        <w:t xml:space="preserve">Thus, the state begins to address the conditions said to be at the heart of much intimate partner abuse. However, this leaves the question open as to how a prosecutor should be guided when faced with a woman who no longer supports a prosecution through the courts. </w:t>
      </w:r>
    </w:p>
    <w:p w14:paraId="1CA014FB" w14:textId="54A3CD60" w:rsidR="00ED281C" w:rsidRPr="006714EA" w:rsidRDefault="00ED281C" w:rsidP="009D6246">
      <w:pPr>
        <w:autoSpaceDE w:val="0"/>
        <w:autoSpaceDN w:val="0"/>
        <w:adjustRightInd w:val="0"/>
        <w:spacing w:after="0" w:line="360" w:lineRule="auto"/>
        <w:ind w:firstLine="357"/>
        <w:rPr>
          <w:sz w:val="24"/>
          <w:szCs w:val="24"/>
        </w:rPr>
      </w:pPr>
      <w:r w:rsidRPr="006714EA">
        <w:rPr>
          <w:sz w:val="24"/>
          <w:szCs w:val="24"/>
        </w:rPr>
        <w:t xml:space="preserve">Secondly, building on the presumption to prosecute as a foundation to </w:t>
      </w:r>
      <w:r w:rsidR="00746136" w:rsidRPr="006714EA">
        <w:rPr>
          <w:sz w:val="24"/>
          <w:szCs w:val="24"/>
        </w:rPr>
        <w:t>domestic abuse</w:t>
      </w:r>
      <w:r w:rsidRPr="006714EA">
        <w:rPr>
          <w:sz w:val="24"/>
          <w:szCs w:val="24"/>
        </w:rPr>
        <w:t xml:space="preserve"> prosecutorial decision-making, I urge prosecutors to make tailored decisions at the point a woman expresses her wish for case termination. I argue that prosecutors should make decisions that are focused on enhancing survivors’ chances of ‘thriving’</w:t>
      </w:r>
      <w:r w:rsidR="00746136" w:rsidRPr="006714EA">
        <w:rPr>
          <w:rStyle w:val="FootnoteReference"/>
          <w:sz w:val="24"/>
          <w:szCs w:val="24"/>
        </w:rPr>
        <w:footnoteReference w:id="140"/>
      </w:r>
      <w:r w:rsidRPr="006714EA">
        <w:rPr>
          <w:sz w:val="24"/>
          <w:szCs w:val="24"/>
        </w:rPr>
        <w:t xml:space="preserve"> </w:t>
      </w:r>
      <w:r w:rsidR="006714EA" w:rsidRPr="006714EA">
        <w:rPr>
          <w:sz w:val="24"/>
          <w:szCs w:val="24"/>
        </w:rPr>
        <w:t xml:space="preserve">and argue that this focus is not necessarily incompatible with prosecutors’ managerial priorities. </w:t>
      </w:r>
      <w:r w:rsidRPr="006714EA">
        <w:rPr>
          <w:sz w:val="24"/>
          <w:szCs w:val="24"/>
        </w:rPr>
        <w:t>‘Thriving’ is characteri</w:t>
      </w:r>
      <w:r w:rsidR="00E204C2" w:rsidRPr="006714EA">
        <w:rPr>
          <w:sz w:val="24"/>
          <w:szCs w:val="24"/>
        </w:rPr>
        <w:t>s</w:t>
      </w:r>
      <w:r w:rsidRPr="006714EA">
        <w:rPr>
          <w:sz w:val="24"/>
          <w:szCs w:val="24"/>
        </w:rPr>
        <w:t xml:space="preserve">ed by </w:t>
      </w:r>
      <w:r w:rsidR="00D4256D" w:rsidRPr="006714EA">
        <w:rPr>
          <w:sz w:val="24"/>
          <w:szCs w:val="24"/>
        </w:rPr>
        <w:t xml:space="preserve">safety, </w:t>
      </w:r>
      <w:r w:rsidRPr="006714EA">
        <w:rPr>
          <w:sz w:val="24"/>
          <w:szCs w:val="24"/>
        </w:rPr>
        <w:t>a positive outlook, improved health and well-being and by a reclamation of the self.</w:t>
      </w:r>
      <w:r w:rsidR="00F41FDD" w:rsidRPr="006714EA">
        <w:rPr>
          <w:rStyle w:val="FootnoteReference"/>
          <w:sz w:val="24"/>
          <w:szCs w:val="24"/>
        </w:rPr>
        <w:footnoteReference w:id="141"/>
      </w:r>
      <w:r w:rsidRPr="006714EA">
        <w:rPr>
          <w:sz w:val="24"/>
          <w:szCs w:val="24"/>
        </w:rPr>
        <w:t xml:space="preserve"> ‘Thriving’ means that survivors are functioning well and are able to make decisions from a </w:t>
      </w:r>
      <w:r w:rsidR="006714EA" w:rsidRPr="006714EA">
        <w:rPr>
          <w:sz w:val="24"/>
          <w:szCs w:val="24"/>
        </w:rPr>
        <w:t>range</w:t>
      </w:r>
      <w:r w:rsidRPr="006714EA">
        <w:rPr>
          <w:sz w:val="24"/>
          <w:szCs w:val="24"/>
        </w:rPr>
        <w:t xml:space="preserve"> of options. Using techniques advocated by scholars in the field of therapeutic jurisprudence</w:t>
      </w:r>
      <w:r w:rsidR="001F6F53" w:rsidRPr="006714EA">
        <w:rPr>
          <w:rStyle w:val="FootnoteReference"/>
          <w:sz w:val="24"/>
          <w:szCs w:val="24"/>
        </w:rPr>
        <w:footnoteReference w:id="142"/>
      </w:r>
      <w:r w:rsidRPr="006714EA">
        <w:rPr>
          <w:sz w:val="24"/>
          <w:szCs w:val="24"/>
        </w:rPr>
        <w:t xml:space="preserve"> - such as displaying kindness and empathy to demonstrate sensitivity to victims’ needs</w:t>
      </w:r>
      <w:r w:rsidR="006714EA" w:rsidRPr="006714EA">
        <w:rPr>
          <w:sz w:val="24"/>
          <w:szCs w:val="24"/>
        </w:rPr>
        <w:t>, and being trauma-informed</w:t>
      </w:r>
      <w:r w:rsidRPr="006714EA">
        <w:rPr>
          <w:sz w:val="24"/>
          <w:szCs w:val="24"/>
        </w:rPr>
        <w:t xml:space="preserve"> - prosecutors should strive for the best ‘therapeutic’ (mental health and emotional) outcomes so that victims are supported to thrive. Prosecutors might be given training in counselling and inter-personal skills, be encouraged to liaise with </w:t>
      </w:r>
      <w:r w:rsidR="001F6F53" w:rsidRPr="006714EA">
        <w:rPr>
          <w:sz w:val="24"/>
          <w:szCs w:val="24"/>
        </w:rPr>
        <w:t>domestic abuse</w:t>
      </w:r>
      <w:r w:rsidRPr="006714EA">
        <w:rPr>
          <w:sz w:val="24"/>
          <w:szCs w:val="24"/>
        </w:rPr>
        <w:t xml:space="preserve"> support workers more freely and even to discuss the matter with the woman directly. Guided in this way, and taken together, a theoretically informed survivor-defined praxis can emerge.</w:t>
      </w:r>
      <w:r w:rsidR="009D6246" w:rsidRPr="006714EA">
        <w:rPr>
          <w:sz w:val="24"/>
          <w:szCs w:val="24"/>
        </w:rPr>
        <w:t xml:space="preserve"> </w:t>
      </w:r>
      <w:r w:rsidRPr="006714EA">
        <w:rPr>
          <w:sz w:val="24"/>
          <w:szCs w:val="24"/>
        </w:rPr>
        <w:t xml:space="preserve">Working with a presumption to prosecute yet considering how to support a survivor to thrive, would sharpen prosecutors’ regard for occasions when prosecution may not be preferable. </w:t>
      </w:r>
    </w:p>
    <w:p w14:paraId="1A4F70D0" w14:textId="69E9295E" w:rsidR="00ED281C" w:rsidRDefault="001F6F53" w:rsidP="009D6246">
      <w:pPr>
        <w:spacing w:line="360" w:lineRule="auto"/>
        <w:ind w:firstLine="357"/>
        <w:rPr>
          <w:sz w:val="24"/>
          <w:szCs w:val="24"/>
        </w:rPr>
      </w:pPr>
      <w:r>
        <w:rPr>
          <w:sz w:val="24"/>
          <w:szCs w:val="24"/>
        </w:rPr>
        <w:lastRenderedPageBreak/>
        <w:t>Finally, t</w:t>
      </w:r>
      <w:r w:rsidR="009D6246">
        <w:rPr>
          <w:sz w:val="24"/>
          <w:szCs w:val="24"/>
        </w:rPr>
        <w:t xml:space="preserve">he </w:t>
      </w:r>
      <w:r>
        <w:rPr>
          <w:sz w:val="24"/>
          <w:szCs w:val="24"/>
        </w:rPr>
        <w:t xml:space="preserve">book’s </w:t>
      </w:r>
      <w:r w:rsidR="009D6246">
        <w:rPr>
          <w:sz w:val="24"/>
          <w:szCs w:val="24"/>
        </w:rPr>
        <w:t>Conclusion notes p</w:t>
      </w:r>
      <w:r w:rsidR="00ED281C" w:rsidRPr="00705CF6">
        <w:rPr>
          <w:sz w:val="24"/>
          <w:szCs w:val="24"/>
        </w:rPr>
        <w:t>rosecutors eas</w:t>
      </w:r>
      <w:r w:rsidR="00E87858">
        <w:rPr>
          <w:sz w:val="24"/>
          <w:szCs w:val="24"/>
        </w:rPr>
        <w:t>ily</w:t>
      </w:r>
      <w:r w:rsidR="00ED281C" w:rsidRPr="00705CF6">
        <w:rPr>
          <w:sz w:val="24"/>
          <w:szCs w:val="24"/>
        </w:rPr>
        <w:t xml:space="preserve"> justif</w:t>
      </w:r>
      <w:r w:rsidR="00E87858">
        <w:rPr>
          <w:sz w:val="24"/>
          <w:szCs w:val="24"/>
        </w:rPr>
        <w:t xml:space="preserve">y </w:t>
      </w:r>
      <w:r w:rsidR="00ED281C" w:rsidRPr="00705CF6">
        <w:rPr>
          <w:sz w:val="24"/>
          <w:szCs w:val="24"/>
        </w:rPr>
        <w:t xml:space="preserve">‘tenacious prosecutions’ because the approach expresses state condemnation of domestic abuse as required by policy objectives on the one hand and because it </w:t>
      </w:r>
      <w:r w:rsidR="00E87858">
        <w:rPr>
          <w:sz w:val="24"/>
          <w:szCs w:val="24"/>
        </w:rPr>
        <w:t>aims for</w:t>
      </w:r>
      <w:r w:rsidR="00ED281C" w:rsidRPr="00705CF6">
        <w:rPr>
          <w:sz w:val="24"/>
          <w:szCs w:val="24"/>
        </w:rPr>
        <w:t xml:space="preserve"> ‘justice’ for victims and the public on the other. Such prosecutorial pursuit has the potential to be part of public education about domestic abuse, to punish and rehabilitate offenders through sentencing and to support victims by holding perpetrators to account. Yet criminali</w:t>
      </w:r>
      <w:r w:rsidR="00E204C2" w:rsidRPr="00705CF6">
        <w:rPr>
          <w:sz w:val="24"/>
          <w:szCs w:val="24"/>
        </w:rPr>
        <w:t>s</w:t>
      </w:r>
      <w:r w:rsidR="00ED281C" w:rsidRPr="00705CF6">
        <w:rPr>
          <w:sz w:val="24"/>
          <w:szCs w:val="24"/>
        </w:rPr>
        <w:t>ation heralds the depletion of other practical and conceptual remedies to end intimate partner abuse. Crucially, neoliberalism’s penal response to domestic abuse has the potential to misjudge abused women’s subjectivities and fails to conceive them as potential ‘</w:t>
      </w:r>
      <w:proofErr w:type="spellStart"/>
      <w:r w:rsidR="00ED281C" w:rsidRPr="00705CF6">
        <w:rPr>
          <w:sz w:val="24"/>
          <w:szCs w:val="24"/>
        </w:rPr>
        <w:t>thrivers</w:t>
      </w:r>
      <w:proofErr w:type="spellEnd"/>
      <w:r w:rsidR="00ED281C" w:rsidRPr="00705CF6">
        <w:rPr>
          <w:sz w:val="24"/>
          <w:szCs w:val="24"/>
        </w:rPr>
        <w:t>’.</w:t>
      </w:r>
      <w:r w:rsidR="009D6246">
        <w:rPr>
          <w:sz w:val="24"/>
          <w:szCs w:val="24"/>
        </w:rPr>
        <w:t xml:space="preserve"> The conclusion also steps back and reflects upon the gains and losses of feminism’s collaboration with the </w:t>
      </w:r>
      <w:r>
        <w:rPr>
          <w:sz w:val="24"/>
          <w:szCs w:val="24"/>
        </w:rPr>
        <w:t xml:space="preserve">neoliberal </w:t>
      </w:r>
      <w:r w:rsidR="009D6246">
        <w:rPr>
          <w:sz w:val="24"/>
          <w:szCs w:val="24"/>
        </w:rPr>
        <w:t>state and, moreover, makes observations about how the findings presented here contribute to the feminist legal project’s exposure of the inherent masculinity of law and legal processes.</w:t>
      </w:r>
    </w:p>
    <w:p w14:paraId="6539B86A" w14:textId="60D4AE2E" w:rsidR="00C07EB6" w:rsidRDefault="00C07EB6" w:rsidP="00C07EB6">
      <w:pPr>
        <w:spacing w:line="360" w:lineRule="auto"/>
        <w:rPr>
          <w:sz w:val="24"/>
          <w:szCs w:val="24"/>
        </w:rPr>
      </w:pPr>
    </w:p>
    <w:p w14:paraId="5A2B0B07" w14:textId="4C1FB567" w:rsidR="00C07EB6" w:rsidRDefault="00C07EB6" w:rsidP="00C07EB6">
      <w:pPr>
        <w:spacing w:line="360" w:lineRule="auto"/>
        <w:rPr>
          <w:sz w:val="24"/>
          <w:szCs w:val="24"/>
        </w:rPr>
      </w:pPr>
    </w:p>
    <w:p w14:paraId="78FB8CD5" w14:textId="77777777" w:rsidR="00C07EB6" w:rsidRDefault="00C07EB6" w:rsidP="00C07EB6">
      <w:pPr>
        <w:pBdr>
          <w:bottom w:val="single" w:sz="4" w:space="1" w:color="auto"/>
        </w:pBdr>
      </w:pPr>
      <w:r>
        <w:t>CHAPER ONE REFERENCE LIST</w:t>
      </w:r>
    </w:p>
    <w:p w14:paraId="6556C4A8" w14:textId="77777777" w:rsidR="00C07EB6" w:rsidRPr="00C07EB6" w:rsidRDefault="00C07EB6" w:rsidP="00C07EB6">
      <w:pPr>
        <w:spacing w:after="0"/>
        <w:rPr>
          <w:lang w:val="en-US"/>
        </w:rPr>
      </w:pPr>
      <w:r w:rsidRPr="00C07EB6">
        <w:rPr>
          <w:lang w:val="en-US"/>
        </w:rPr>
        <w:t xml:space="preserve">Ashworth A, ‘Developments in the Public Prosecutor’s Office in England and Wales’ (2000) European </w:t>
      </w:r>
    </w:p>
    <w:p w14:paraId="4CC355D8" w14:textId="77777777" w:rsidR="00C07EB6" w:rsidRPr="00C07EB6" w:rsidRDefault="00C07EB6" w:rsidP="00C07EB6">
      <w:pPr>
        <w:spacing w:after="0"/>
        <w:ind w:firstLine="720"/>
      </w:pPr>
      <w:r w:rsidRPr="00C07EB6">
        <w:rPr>
          <w:lang w:val="en-US"/>
        </w:rPr>
        <w:t>Journal of Crime, Criminal Law and Criminal Justice 257.</w:t>
      </w:r>
    </w:p>
    <w:p w14:paraId="632DCE00" w14:textId="77777777" w:rsidR="00C07EB6" w:rsidRDefault="00C07EB6" w:rsidP="00C07EB6">
      <w:pPr>
        <w:spacing w:after="0"/>
      </w:pPr>
    </w:p>
    <w:p w14:paraId="17FA519B" w14:textId="51DE9603" w:rsidR="00C07EB6" w:rsidRPr="00C07EB6" w:rsidRDefault="00C07EB6" w:rsidP="00C07EB6">
      <w:pPr>
        <w:spacing w:after="0"/>
      </w:pPr>
      <w:proofErr w:type="spellStart"/>
      <w:r w:rsidRPr="00C07EB6">
        <w:t>Auchmuty</w:t>
      </w:r>
      <w:proofErr w:type="spellEnd"/>
      <w:r w:rsidRPr="00C07EB6">
        <w:t xml:space="preserve"> R and Van </w:t>
      </w:r>
      <w:proofErr w:type="spellStart"/>
      <w:r w:rsidRPr="00C07EB6">
        <w:t>Marle</w:t>
      </w:r>
      <w:proofErr w:type="spellEnd"/>
      <w:r w:rsidRPr="00C07EB6">
        <w:t xml:space="preserve"> K, ‘Special Issue: Carol Smart’s Feminism and the Power of Law’ (2012) </w:t>
      </w:r>
    </w:p>
    <w:p w14:paraId="79196306" w14:textId="77777777" w:rsidR="00C07EB6" w:rsidRPr="00C07EB6" w:rsidRDefault="00C07EB6" w:rsidP="00C07EB6">
      <w:pPr>
        <w:spacing w:after="0"/>
        <w:ind w:firstLine="720"/>
      </w:pPr>
      <w:r w:rsidRPr="00C07EB6">
        <w:t>20 Feminist Legal Studies 65.</w:t>
      </w:r>
    </w:p>
    <w:p w14:paraId="5DF8D477" w14:textId="77777777" w:rsidR="00C07EB6" w:rsidRPr="00C07EB6" w:rsidRDefault="00C07EB6" w:rsidP="00C07EB6">
      <w:pPr>
        <w:spacing w:after="0"/>
      </w:pPr>
    </w:p>
    <w:p w14:paraId="2DFBB9AA" w14:textId="77777777" w:rsidR="00C07EB6" w:rsidRPr="00C07EB6" w:rsidRDefault="00C07EB6" w:rsidP="00C07EB6">
      <w:pPr>
        <w:spacing w:after="0"/>
      </w:pPr>
      <w:r w:rsidRPr="00C07EB6">
        <w:t xml:space="preserve">Barnett H, </w:t>
      </w:r>
      <w:r w:rsidRPr="00C07EB6">
        <w:rPr>
          <w:i/>
        </w:rPr>
        <w:t xml:space="preserve">Introduction to Feminist Jurisprudence </w:t>
      </w:r>
      <w:r w:rsidRPr="00C07EB6">
        <w:t>(Cavendish 1998).</w:t>
      </w:r>
    </w:p>
    <w:p w14:paraId="2D0E7FD5" w14:textId="77777777" w:rsidR="00C07EB6" w:rsidRPr="00C07EB6" w:rsidRDefault="00C07EB6" w:rsidP="00C07EB6">
      <w:pPr>
        <w:spacing w:after="0"/>
      </w:pPr>
    </w:p>
    <w:p w14:paraId="204AD663" w14:textId="77777777" w:rsidR="00C07EB6" w:rsidRPr="00C07EB6" w:rsidRDefault="00C07EB6" w:rsidP="00C07EB6">
      <w:pPr>
        <w:spacing w:after="0"/>
      </w:pPr>
      <w:r w:rsidRPr="00C07EB6">
        <w:t xml:space="preserve">Baxter P and Jack S, ‘Qualitative Case Study Methodology: Study Design and Implementation for </w:t>
      </w:r>
    </w:p>
    <w:p w14:paraId="720F5CCB" w14:textId="77777777" w:rsidR="00C07EB6" w:rsidRPr="00C07EB6" w:rsidRDefault="00C07EB6" w:rsidP="00C07EB6">
      <w:pPr>
        <w:spacing w:after="0"/>
        <w:ind w:firstLine="720"/>
      </w:pPr>
      <w:r w:rsidRPr="00C07EB6">
        <w:t>Novice Researchers’ (2008) The Qualitative Report 544.</w:t>
      </w:r>
    </w:p>
    <w:p w14:paraId="5267C6DD" w14:textId="77777777" w:rsidR="00C07EB6" w:rsidRPr="00C07EB6" w:rsidRDefault="00C07EB6" w:rsidP="00C07EB6">
      <w:pPr>
        <w:spacing w:after="0"/>
      </w:pPr>
    </w:p>
    <w:p w14:paraId="7244F482" w14:textId="77777777" w:rsidR="00C07EB6" w:rsidRPr="00C07EB6" w:rsidRDefault="00C07EB6" w:rsidP="00C07EB6">
      <w:pPr>
        <w:spacing w:after="0"/>
        <w:rPr>
          <w:lang w:val="en-US"/>
        </w:rPr>
      </w:pPr>
      <w:r w:rsidRPr="00C07EB6">
        <w:t xml:space="preserve">Bell E, </w:t>
      </w:r>
      <w:r w:rsidRPr="00C07EB6">
        <w:rPr>
          <w:i/>
          <w:iCs/>
        </w:rPr>
        <w:t xml:space="preserve">Criminal Justice and Neoliberalism </w:t>
      </w:r>
      <w:r w:rsidRPr="00C07EB6">
        <w:t>(Palgrave Macmillan 2011).</w:t>
      </w:r>
    </w:p>
    <w:p w14:paraId="5A651277" w14:textId="77777777" w:rsidR="00C07EB6" w:rsidRPr="00C07EB6" w:rsidRDefault="00C07EB6" w:rsidP="00C07EB6">
      <w:pPr>
        <w:spacing w:after="0"/>
        <w:rPr>
          <w:lang w:val="en-US"/>
        </w:rPr>
      </w:pPr>
    </w:p>
    <w:p w14:paraId="72824727" w14:textId="77777777" w:rsidR="00C07EB6" w:rsidRPr="00C07EB6" w:rsidRDefault="00C07EB6" w:rsidP="00C07EB6">
      <w:pPr>
        <w:spacing w:after="0"/>
        <w:rPr>
          <w:lang w:val="en-US"/>
        </w:rPr>
      </w:pPr>
      <w:proofErr w:type="spellStart"/>
      <w:r w:rsidRPr="00C07EB6">
        <w:rPr>
          <w:lang w:val="en-US"/>
        </w:rPr>
        <w:t>Bennion</w:t>
      </w:r>
      <w:proofErr w:type="spellEnd"/>
      <w:r w:rsidRPr="00C07EB6">
        <w:rPr>
          <w:lang w:val="en-US"/>
        </w:rPr>
        <w:t xml:space="preserve"> F, ‘The New Prosecution Arrangements’ (1986) Criminal Law Review 3. </w:t>
      </w:r>
    </w:p>
    <w:p w14:paraId="0AF0A0E7" w14:textId="77777777" w:rsidR="00C07EB6" w:rsidRPr="00C07EB6" w:rsidRDefault="00C07EB6" w:rsidP="00C07EB6">
      <w:pPr>
        <w:spacing w:after="0"/>
        <w:rPr>
          <w:lang w:val="en-US"/>
        </w:rPr>
      </w:pPr>
    </w:p>
    <w:p w14:paraId="4C59699A" w14:textId="77777777" w:rsidR="00C07EB6" w:rsidRPr="00C07EB6" w:rsidRDefault="00C07EB6" w:rsidP="00C07EB6">
      <w:pPr>
        <w:spacing w:after="0"/>
      </w:pPr>
      <w:r w:rsidRPr="00C07EB6">
        <w:t xml:space="preserve">Bernstein E, ‘Carceral Politics as Gender Justice? The “Traffic in Women” and Neoliberal Circuits of </w:t>
      </w:r>
    </w:p>
    <w:p w14:paraId="1D350ED1" w14:textId="77777777" w:rsidR="00C07EB6" w:rsidRPr="00C07EB6" w:rsidRDefault="00C07EB6" w:rsidP="00C07EB6">
      <w:pPr>
        <w:spacing w:after="0"/>
        <w:ind w:firstLine="720"/>
      </w:pPr>
      <w:r w:rsidRPr="00C07EB6">
        <w:t>Crime, Sex and Rights’ (2012) 41 Theoretical Society 233.</w:t>
      </w:r>
    </w:p>
    <w:p w14:paraId="1786218C" w14:textId="77777777" w:rsidR="00C07EB6" w:rsidRPr="00C07EB6" w:rsidRDefault="00C07EB6" w:rsidP="00C07EB6">
      <w:pPr>
        <w:spacing w:after="0"/>
      </w:pPr>
    </w:p>
    <w:p w14:paraId="0FC1C57D" w14:textId="77777777" w:rsidR="00C07EB6" w:rsidRPr="00C07EB6" w:rsidRDefault="00C07EB6" w:rsidP="00C07EB6">
      <w:pPr>
        <w:spacing w:after="0"/>
      </w:pPr>
      <w:r w:rsidRPr="00C07EB6">
        <w:t xml:space="preserve">Braun V and Clarke V, ‘Using Thematic Analysis in Psychology (2006) 3(2) Qualitative Research in </w:t>
      </w:r>
    </w:p>
    <w:p w14:paraId="17C206C8" w14:textId="77777777" w:rsidR="00C07EB6" w:rsidRPr="00C07EB6" w:rsidRDefault="00C07EB6" w:rsidP="00C07EB6">
      <w:pPr>
        <w:spacing w:after="0"/>
        <w:ind w:firstLine="720"/>
        <w:rPr>
          <w:lang w:val="en-US"/>
        </w:rPr>
      </w:pPr>
      <w:r w:rsidRPr="00C07EB6">
        <w:t>Psychology 77.</w:t>
      </w:r>
    </w:p>
    <w:p w14:paraId="098AED3E" w14:textId="77777777" w:rsidR="00C07EB6" w:rsidRPr="00C07EB6" w:rsidRDefault="00C07EB6" w:rsidP="00C07EB6">
      <w:pPr>
        <w:spacing w:after="0"/>
        <w:rPr>
          <w:lang w:val="en-US"/>
        </w:rPr>
      </w:pPr>
    </w:p>
    <w:p w14:paraId="31BC1B0C" w14:textId="77777777" w:rsidR="00C07EB6" w:rsidRPr="00C07EB6" w:rsidRDefault="00C07EB6" w:rsidP="00C07EB6">
      <w:pPr>
        <w:spacing w:after="0"/>
        <w:rPr>
          <w:i/>
          <w:iCs/>
          <w:lang w:val="en-US"/>
        </w:rPr>
      </w:pPr>
      <w:proofErr w:type="spellStart"/>
      <w:r w:rsidRPr="00C07EB6">
        <w:rPr>
          <w:lang w:val="en-US"/>
        </w:rPr>
        <w:t>Bumiller</w:t>
      </w:r>
      <w:proofErr w:type="spellEnd"/>
      <w:r w:rsidRPr="00C07EB6">
        <w:rPr>
          <w:lang w:val="en-US"/>
        </w:rPr>
        <w:t xml:space="preserve"> K, </w:t>
      </w:r>
      <w:r w:rsidRPr="00C07EB6">
        <w:rPr>
          <w:i/>
          <w:iCs/>
          <w:lang w:val="en-US"/>
        </w:rPr>
        <w:t xml:space="preserve">In an Abusive State: How Neoliberalism Appropriated the Feminist Movement Against </w:t>
      </w:r>
    </w:p>
    <w:p w14:paraId="186665B1" w14:textId="77777777" w:rsidR="00C07EB6" w:rsidRPr="00C07EB6" w:rsidRDefault="00C07EB6" w:rsidP="00C07EB6">
      <w:pPr>
        <w:spacing w:after="0"/>
        <w:ind w:firstLine="720"/>
        <w:rPr>
          <w:lang w:val="en-US"/>
        </w:rPr>
      </w:pPr>
      <w:r w:rsidRPr="00C07EB6">
        <w:rPr>
          <w:i/>
          <w:iCs/>
          <w:lang w:val="en-US"/>
        </w:rPr>
        <w:lastRenderedPageBreak/>
        <w:t>Sexual Violence</w:t>
      </w:r>
      <w:r w:rsidRPr="00C07EB6">
        <w:rPr>
          <w:lang w:val="en-US"/>
        </w:rPr>
        <w:t xml:space="preserve"> (Duke University Press 2008).</w:t>
      </w:r>
    </w:p>
    <w:p w14:paraId="2B57F1F9" w14:textId="77777777" w:rsidR="00C07EB6" w:rsidRPr="00C07EB6" w:rsidRDefault="00C07EB6" w:rsidP="00C07EB6">
      <w:pPr>
        <w:spacing w:after="0"/>
        <w:ind w:firstLine="720"/>
        <w:rPr>
          <w:lang w:val="en-US"/>
        </w:rPr>
      </w:pPr>
    </w:p>
    <w:p w14:paraId="67EA998C" w14:textId="77777777" w:rsidR="00C07EB6" w:rsidRPr="00C07EB6" w:rsidRDefault="00C07EB6" w:rsidP="00C07EB6">
      <w:pPr>
        <w:pStyle w:val="FootnoteText"/>
        <w:rPr>
          <w:rFonts w:asciiTheme="minorHAnsi" w:eastAsiaTheme="minorHAnsi" w:hAnsiTheme="minorHAnsi" w:cstheme="minorBidi"/>
          <w:sz w:val="22"/>
          <w:szCs w:val="22"/>
          <w:lang w:val="en-US"/>
        </w:rPr>
      </w:pPr>
      <w:proofErr w:type="spellStart"/>
      <w:r w:rsidRPr="00C07EB6">
        <w:rPr>
          <w:rFonts w:asciiTheme="minorHAnsi" w:eastAsiaTheme="minorHAnsi" w:hAnsiTheme="minorHAnsi" w:cstheme="minorBidi"/>
          <w:sz w:val="22"/>
          <w:szCs w:val="22"/>
          <w:lang w:val="en-US"/>
        </w:rPr>
        <w:t>Buzawa</w:t>
      </w:r>
      <w:proofErr w:type="spellEnd"/>
      <w:r w:rsidRPr="00C07EB6">
        <w:rPr>
          <w:rFonts w:asciiTheme="minorHAnsi" w:eastAsiaTheme="minorHAnsi" w:hAnsiTheme="minorHAnsi" w:cstheme="minorBidi"/>
          <w:sz w:val="22"/>
          <w:szCs w:val="22"/>
          <w:lang w:val="en-US"/>
        </w:rPr>
        <w:t xml:space="preserve"> E and </w:t>
      </w:r>
      <w:proofErr w:type="spellStart"/>
      <w:r w:rsidRPr="00C07EB6">
        <w:rPr>
          <w:rFonts w:asciiTheme="minorHAnsi" w:eastAsiaTheme="minorHAnsi" w:hAnsiTheme="minorHAnsi" w:cstheme="minorBidi"/>
          <w:sz w:val="22"/>
          <w:szCs w:val="22"/>
          <w:lang w:val="en-US"/>
        </w:rPr>
        <w:t>Buzawa</w:t>
      </w:r>
      <w:proofErr w:type="spellEnd"/>
      <w:r w:rsidRPr="00C07EB6">
        <w:rPr>
          <w:rFonts w:asciiTheme="minorHAnsi" w:eastAsiaTheme="minorHAnsi" w:hAnsiTheme="minorHAnsi" w:cstheme="minorBidi"/>
          <w:sz w:val="22"/>
          <w:szCs w:val="22"/>
          <w:lang w:val="en-US"/>
        </w:rPr>
        <w:t xml:space="preserve"> C, ‘Domestic Violence: The Criminal Justice Response’ (3rd </w:t>
      </w:r>
      <w:proofErr w:type="spellStart"/>
      <w:r w:rsidRPr="00C07EB6">
        <w:rPr>
          <w:rFonts w:asciiTheme="minorHAnsi" w:eastAsiaTheme="minorHAnsi" w:hAnsiTheme="minorHAnsi" w:cstheme="minorBidi"/>
          <w:sz w:val="22"/>
          <w:szCs w:val="22"/>
          <w:lang w:val="en-US"/>
        </w:rPr>
        <w:t>edn</w:t>
      </w:r>
      <w:proofErr w:type="spellEnd"/>
      <w:r w:rsidRPr="00C07EB6">
        <w:rPr>
          <w:rFonts w:asciiTheme="minorHAnsi" w:eastAsiaTheme="minorHAnsi" w:hAnsiTheme="minorHAnsi" w:cstheme="minorBidi"/>
          <w:sz w:val="22"/>
          <w:szCs w:val="22"/>
          <w:lang w:val="en-US"/>
        </w:rPr>
        <w:t xml:space="preserve">, Sage </w:t>
      </w:r>
    </w:p>
    <w:p w14:paraId="2E1183A0" w14:textId="77777777" w:rsidR="00C07EB6" w:rsidRPr="00C07EB6" w:rsidRDefault="00C07EB6" w:rsidP="00C07EB6">
      <w:pPr>
        <w:pStyle w:val="FootnoteText"/>
        <w:ind w:firstLine="720"/>
      </w:pPr>
      <w:r w:rsidRPr="00C07EB6">
        <w:rPr>
          <w:rFonts w:asciiTheme="minorHAnsi" w:eastAsiaTheme="minorHAnsi" w:hAnsiTheme="minorHAnsi" w:cstheme="minorBidi"/>
          <w:sz w:val="22"/>
          <w:szCs w:val="22"/>
          <w:lang w:val="en-US"/>
        </w:rPr>
        <w:t>2003).</w:t>
      </w:r>
    </w:p>
    <w:p w14:paraId="70F35CF3" w14:textId="77777777" w:rsidR="00C07EB6" w:rsidRPr="00C07EB6" w:rsidRDefault="00C07EB6" w:rsidP="00C07EB6">
      <w:pPr>
        <w:spacing w:after="0"/>
      </w:pPr>
    </w:p>
    <w:p w14:paraId="4341CF96" w14:textId="77777777" w:rsidR="00C07EB6" w:rsidRPr="00C07EB6" w:rsidRDefault="00C07EB6" w:rsidP="00C07EB6">
      <w:pPr>
        <w:spacing w:after="0"/>
      </w:pPr>
      <w:proofErr w:type="spellStart"/>
      <w:r w:rsidRPr="00C07EB6">
        <w:t>Cattaneo</w:t>
      </w:r>
      <w:proofErr w:type="spellEnd"/>
      <w:r w:rsidRPr="00C07EB6">
        <w:t xml:space="preserve"> L et al, ‘The Victim-informed Prosecution Project: A Quasi-experimental Test of a </w:t>
      </w:r>
    </w:p>
    <w:p w14:paraId="4EC58A54" w14:textId="77777777" w:rsidR="00C07EB6" w:rsidRPr="00C07EB6" w:rsidRDefault="00C07EB6" w:rsidP="00C07EB6">
      <w:pPr>
        <w:spacing w:after="0"/>
        <w:ind w:left="720"/>
        <w:rPr>
          <w:rFonts w:ascii="Arial" w:hAnsi="Arial" w:cs="Arial"/>
          <w:color w:val="222222"/>
          <w:shd w:val="clear" w:color="auto" w:fill="FFFFFF"/>
        </w:rPr>
      </w:pPr>
      <w:r w:rsidRPr="00C07EB6">
        <w:t>Collaborative Model for Cases of Intimate Partner Violence’ (2009) 15(10) Violence Against Women 1227</w:t>
      </w:r>
      <w:r w:rsidRPr="00C07EB6">
        <w:rPr>
          <w:rFonts w:ascii="Arial" w:hAnsi="Arial" w:cs="Arial"/>
          <w:color w:val="222222"/>
          <w:shd w:val="clear" w:color="auto" w:fill="FFFFFF"/>
        </w:rPr>
        <w:t>.</w:t>
      </w:r>
    </w:p>
    <w:p w14:paraId="0B589462" w14:textId="77777777" w:rsidR="00C07EB6" w:rsidRPr="00C07EB6" w:rsidRDefault="00C07EB6" w:rsidP="00C07EB6">
      <w:pPr>
        <w:spacing w:after="0"/>
        <w:rPr>
          <w:rFonts w:ascii="Arial" w:hAnsi="Arial" w:cs="Arial"/>
          <w:color w:val="222222"/>
          <w:shd w:val="clear" w:color="auto" w:fill="FFFFFF"/>
        </w:rPr>
      </w:pPr>
    </w:p>
    <w:p w14:paraId="60411B3D" w14:textId="77777777" w:rsidR="00C07EB6" w:rsidRPr="00C07EB6" w:rsidRDefault="00C07EB6" w:rsidP="00C07EB6">
      <w:pPr>
        <w:spacing w:after="0"/>
      </w:pPr>
      <w:r w:rsidRPr="00C07EB6">
        <w:t xml:space="preserve">Coker D, ‘Crime Control and Feminist Law Reform in Domestic Violence Law: A Critical Review’ </w:t>
      </w:r>
    </w:p>
    <w:p w14:paraId="3CBED05F" w14:textId="77777777" w:rsidR="00C07EB6" w:rsidRPr="00C07EB6" w:rsidRDefault="00C07EB6" w:rsidP="00C07EB6">
      <w:pPr>
        <w:spacing w:after="0"/>
        <w:ind w:firstLine="720"/>
      </w:pPr>
      <w:r w:rsidRPr="00C07EB6">
        <w:t>(2001) 4 Criminal Law Review 801.</w:t>
      </w:r>
    </w:p>
    <w:p w14:paraId="7F4CA4D9" w14:textId="77777777" w:rsidR="00C07EB6" w:rsidRPr="00C07EB6" w:rsidRDefault="00C07EB6" w:rsidP="00C07EB6">
      <w:pPr>
        <w:spacing w:after="0"/>
      </w:pPr>
    </w:p>
    <w:p w14:paraId="3A5D1EF4" w14:textId="77777777" w:rsidR="00C07EB6" w:rsidRPr="00C07EB6" w:rsidRDefault="00C07EB6" w:rsidP="00C07EB6">
      <w:pPr>
        <w:spacing w:after="0"/>
      </w:pPr>
      <w:proofErr w:type="spellStart"/>
      <w:r w:rsidRPr="00C07EB6">
        <w:t>Conaghan</w:t>
      </w:r>
      <w:proofErr w:type="spellEnd"/>
      <w:r w:rsidRPr="00C07EB6">
        <w:t xml:space="preserve"> J, </w:t>
      </w:r>
      <w:r w:rsidRPr="00C07EB6">
        <w:rPr>
          <w:i/>
        </w:rPr>
        <w:t xml:space="preserve">Law and Gender </w:t>
      </w:r>
      <w:r w:rsidRPr="00C07EB6">
        <w:t>(OUP 2013).</w:t>
      </w:r>
    </w:p>
    <w:p w14:paraId="217955E0" w14:textId="77777777" w:rsidR="00C07EB6" w:rsidRPr="00C07EB6" w:rsidRDefault="00C07EB6" w:rsidP="00C07EB6">
      <w:pPr>
        <w:spacing w:after="0"/>
      </w:pPr>
    </w:p>
    <w:p w14:paraId="46E0470B" w14:textId="77777777" w:rsidR="00C07EB6" w:rsidRPr="00C07EB6" w:rsidRDefault="00C07EB6" w:rsidP="00C07EB6">
      <w:pPr>
        <w:spacing w:after="0"/>
      </w:pPr>
      <w:proofErr w:type="spellStart"/>
      <w:r w:rsidRPr="00C07EB6">
        <w:t>Conaghan</w:t>
      </w:r>
      <w:proofErr w:type="spellEnd"/>
      <w:r w:rsidRPr="00C07EB6">
        <w:t xml:space="preserve"> J, ‘Reassessing the Feminist Theoretical Project in Law (2000) 27(3) Journal of Law and </w:t>
      </w:r>
    </w:p>
    <w:p w14:paraId="25125494" w14:textId="77777777" w:rsidR="00C07EB6" w:rsidRPr="00C07EB6" w:rsidRDefault="00C07EB6" w:rsidP="00C07EB6">
      <w:pPr>
        <w:spacing w:after="0"/>
        <w:ind w:firstLine="720"/>
      </w:pPr>
      <w:r w:rsidRPr="00C07EB6">
        <w:t>Society 351.</w:t>
      </w:r>
    </w:p>
    <w:p w14:paraId="4B43749A" w14:textId="77777777" w:rsidR="00C07EB6" w:rsidRPr="00C07EB6" w:rsidRDefault="00C07EB6" w:rsidP="00C07EB6">
      <w:pPr>
        <w:spacing w:after="0"/>
      </w:pPr>
    </w:p>
    <w:p w14:paraId="75DD12AE" w14:textId="77777777" w:rsidR="00C07EB6" w:rsidRPr="00C07EB6" w:rsidRDefault="00C07EB6" w:rsidP="00C07EB6">
      <w:pPr>
        <w:spacing w:after="0"/>
      </w:pPr>
      <w:proofErr w:type="spellStart"/>
      <w:r w:rsidRPr="00C07EB6">
        <w:t>Cotterrell</w:t>
      </w:r>
      <w:proofErr w:type="spellEnd"/>
      <w:r w:rsidRPr="00C07EB6">
        <w:t xml:space="preserve"> R, ‘Why Must Legal Ideas Be Interpreted Sociologically?’ (1998) Journal of Law and Society </w:t>
      </w:r>
    </w:p>
    <w:p w14:paraId="3D229C24" w14:textId="77777777" w:rsidR="00C07EB6" w:rsidRPr="00C07EB6" w:rsidRDefault="00C07EB6" w:rsidP="00C07EB6">
      <w:pPr>
        <w:spacing w:after="0"/>
        <w:ind w:firstLine="720"/>
      </w:pPr>
      <w:r w:rsidRPr="00C07EB6">
        <w:t>171.</w:t>
      </w:r>
    </w:p>
    <w:p w14:paraId="73CCDF86" w14:textId="77777777" w:rsidR="00C07EB6" w:rsidRPr="00C07EB6" w:rsidRDefault="00C07EB6" w:rsidP="00C07EB6">
      <w:pPr>
        <w:spacing w:after="0"/>
      </w:pPr>
    </w:p>
    <w:p w14:paraId="15A81EB4"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Cretney A and Gwynn Davis, 'Prosecuting Domestic Assault: Victims Failing Courts, or Courts Failing </w:t>
      </w:r>
    </w:p>
    <w:p w14:paraId="6DAE9F27"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Victims?' (1997) 36(2) The Howard Journal of Crime and Justice 146.</w:t>
      </w:r>
    </w:p>
    <w:p w14:paraId="5F1C8B1C" w14:textId="77777777" w:rsidR="00C07EB6" w:rsidRPr="00C07EB6" w:rsidRDefault="00C07EB6" w:rsidP="00C07EB6">
      <w:pPr>
        <w:spacing w:after="0"/>
        <w:rPr>
          <w:rFonts w:ascii="Arial" w:hAnsi="Arial" w:cs="Arial"/>
          <w:color w:val="222222"/>
          <w:shd w:val="clear" w:color="auto" w:fill="FFFFFF"/>
        </w:rPr>
      </w:pPr>
    </w:p>
    <w:p w14:paraId="65119965" w14:textId="77777777" w:rsidR="00C07EB6" w:rsidRPr="00C07EB6" w:rsidRDefault="00C07EB6" w:rsidP="00C07EB6">
      <w:pPr>
        <w:spacing w:after="0"/>
      </w:pPr>
      <w:r w:rsidRPr="00C07EB6">
        <w:t>--, ‘Prosecuting ‘Domestic’ Assault’ (1996) Criminal Law Review 162.</w:t>
      </w:r>
    </w:p>
    <w:p w14:paraId="6F36AAEE" w14:textId="77777777" w:rsidR="00C07EB6" w:rsidRPr="00C07EB6" w:rsidRDefault="00C07EB6" w:rsidP="00C07EB6">
      <w:pPr>
        <w:spacing w:after="0"/>
      </w:pPr>
    </w:p>
    <w:p w14:paraId="1F48543D" w14:textId="77777777" w:rsidR="00C07EB6" w:rsidRPr="00C07EB6" w:rsidRDefault="00C07EB6" w:rsidP="00C07EB6">
      <w:pPr>
        <w:spacing w:after="0"/>
      </w:pPr>
    </w:p>
    <w:p w14:paraId="34D471AA" w14:textId="77777777" w:rsidR="00C07EB6" w:rsidRPr="00C07EB6" w:rsidRDefault="00C07EB6" w:rsidP="00C07EB6">
      <w:pPr>
        <w:spacing w:after="0"/>
      </w:pPr>
    </w:p>
    <w:p w14:paraId="551967DD" w14:textId="77777777" w:rsidR="00C07EB6" w:rsidRPr="00C07EB6" w:rsidRDefault="00C07EB6" w:rsidP="00C07EB6">
      <w:pPr>
        <w:spacing w:after="0"/>
      </w:pPr>
      <w:r w:rsidRPr="00C07EB6">
        <w:t xml:space="preserve">Crown Prosecution Service, ‘Violence Against Women and Girls Report 2018-20 19 ’ (CPS 2019)  </w:t>
      </w:r>
    </w:p>
    <w:p w14:paraId="4AB272B5" w14:textId="77777777" w:rsidR="00C07EB6" w:rsidRPr="00C07EB6" w:rsidRDefault="00C07EB6" w:rsidP="00C07EB6">
      <w:pPr>
        <w:spacing w:after="0"/>
        <w:ind w:left="720"/>
      </w:pPr>
      <w:r w:rsidRPr="00C07EB6">
        <w:t>available at &lt;</w:t>
      </w:r>
      <w:hyperlink r:id="rId8" w:history="1">
        <w:r w:rsidRPr="00C07EB6">
          <w:rPr>
            <w:rStyle w:val="Hyperlink"/>
            <w:color w:val="auto"/>
            <w:u w:val="none"/>
          </w:rPr>
          <w:t>https://www.cps.gov.uk/sites/default/files/documents/publications/cps-vawg-report-2019.pdf</w:t>
        </w:r>
      </w:hyperlink>
      <w:r w:rsidRPr="00C07EB6">
        <w:t>&gt; accessed 28 January 2020.</w:t>
      </w:r>
    </w:p>
    <w:p w14:paraId="3AE77966" w14:textId="77777777" w:rsidR="00C07EB6" w:rsidRPr="00C07EB6" w:rsidRDefault="00C07EB6" w:rsidP="00C07EB6">
      <w:pPr>
        <w:spacing w:after="0"/>
      </w:pPr>
    </w:p>
    <w:p w14:paraId="5D290A41" w14:textId="77777777" w:rsidR="00C07EB6" w:rsidRPr="00C07EB6" w:rsidRDefault="00C07EB6" w:rsidP="00C07EB6">
      <w:pPr>
        <w:spacing w:after="0"/>
      </w:pPr>
      <w:r w:rsidRPr="00C07EB6">
        <w:t>--, ‘The Code for Prosecutors’ (CPS 2018) available at https://www.cps.gov.uk/sites/default/files/documents/publications/Code-for-Crown-Prosecutors-October-2018.pdf&gt; accessed 1 March 2020.</w:t>
      </w:r>
    </w:p>
    <w:p w14:paraId="0A7B5567" w14:textId="77777777" w:rsidR="00C07EB6" w:rsidRPr="00C07EB6" w:rsidRDefault="00C07EB6" w:rsidP="00C07EB6">
      <w:pPr>
        <w:spacing w:after="0"/>
      </w:pPr>
    </w:p>
    <w:p w14:paraId="38881893"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‘Domestic Abuse Guidelines for Prosecutors’ (CPS 2014) available at</w:t>
      </w:r>
    </w:p>
    <w:p w14:paraId="5823962B"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&lt;</w:t>
      </w:r>
      <w:hyperlink r:id="rId9" w:history="1">
        <w:r w:rsidRPr="00C07EB6">
          <w:rPr>
            <w:rStyle w:val="Hyperlink"/>
            <w:rFonts w:asciiTheme="minorHAnsi" w:eastAsiaTheme="minorHAnsi" w:hAnsiTheme="minorHAnsi" w:cstheme="minorBidi"/>
            <w:color w:val="auto"/>
            <w:sz w:val="22"/>
            <w:szCs w:val="22"/>
            <w:u w:val="none"/>
          </w:rPr>
          <w:t>https://www.cps.gov.uk/legal-guidance/domestic-abuse-guidelines-prosecutors</w:t>
        </w:r>
      </w:hyperlink>
      <w:r w:rsidRPr="00C07EB6">
        <w:rPr>
          <w:rFonts w:asciiTheme="minorHAnsi" w:eastAsiaTheme="minorHAnsi" w:hAnsiTheme="minorHAnsi" w:cstheme="minorBidi"/>
          <w:sz w:val="22"/>
          <w:szCs w:val="22"/>
        </w:rPr>
        <w:t>&gt; accessed 9 February 2020.</w:t>
      </w:r>
    </w:p>
    <w:p w14:paraId="6844D67F" w14:textId="77777777" w:rsidR="00C07EB6" w:rsidRPr="00C07EB6" w:rsidRDefault="00C07EB6" w:rsidP="00C07EB6">
      <w:pPr>
        <w:pStyle w:val="FootnoteText"/>
        <w:rPr>
          <w:rFonts w:asciiTheme="minorHAnsi" w:eastAsiaTheme="minorHAnsi" w:hAnsiTheme="minorHAnsi" w:cstheme="minorBidi"/>
          <w:sz w:val="22"/>
          <w:szCs w:val="22"/>
        </w:rPr>
      </w:pPr>
    </w:p>
    <w:p w14:paraId="33E5AF0A" w14:textId="77777777" w:rsidR="00C07EB6" w:rsidRPr="00C07EB6" w:rsidRDefault="00C07EB6" w:rsidP="00C07EB6">
      <w:pPr>
        <w:pStyle w:val="FootnoteText"/>
        <w:rPr>
          <w:rStyle w:val="Hyperlink"/>
          <w:rFonts w:asciiTheme="minorHAnsi" w:eastAsiaTheme="minorHAnsi" w:hAnsiTheme="minorHAnsi" w:cstheme="minorBidi"/>
          <w:color w:val="auto"/>
          <w:sz w:val="22"/>
          <w:szCs w:val="22"/>
          <w:u w:val="none"/>
        </w:rPr>
      </w:pPr>
      <w:r w:rsidRPr="00C07EB6">
        <w:rPr>
          <w:rStyle w:val="Hyperlink"/>
          <w:rFonts w:asciiTheme="minorHAnsi" w:eastAsiaTheme="minorHAnsi" w:hAnsiTheme="minorHAnsi" w:cstheme="minorBidi"/>
          <w:color w:val="auto"/>
          <w:sz w:val="22"/>
          <w:szCs w:val="22"/>
          <w:u w:val="none"/>
        </w:rPr>
        <w:t xml:space="preserve">--, ‘Delivering Justice: Violence Against Women and Girls Report, 10th Edition’ (CPS 2017) available </w:t>
      </w:r>
    </w:p>
    <w:p w14:paraId="0D78D180" w14:textId="77777777" w:rsidR="00C07EB6" w:rsidRPr="00C07EB6" w:rsidRDefault="00C07EB6" w:rsidP="00C07EB6">
      <w:pPr>
        <w:pStyle w:val="FootnoteText"/>
        <w:ind w:left="720"/>
        <w:rPr>
          <w:rStyle w:val="Hyperlink"/>
          <w:rFonts w:asciiTheme="minorHAnsi" w:eastAsiaTheme="minorHAnsi" w:hAnsiTheme="minorHAnsi" w:cstheme="minorBidi"/>
          <w:color w:val="auto"/>
          <w:sz w:val="22"/>
          <w:szCs w:val="22"/>
          <w:u w:val="none"/>
        </w:rPr>
      </w:pPr>
      <w:r w:rsidRPr="00C07EB6">
        <w:rPr>
          <w:rStyle w:val="Hyperlink"/>
          <w:rFonts w:asciiTheme="minorHAnsi" w:eastAsiaTheme="minorHAnsi" w:hAnsiTheme="minorHAnsi" w:cstheme="minorBidi"/>
          <w:color w:val="auto"/>
          <w:sz w:val="22"/>
          <w:szCs w:val="22"/>
          <w:u w:val="none"/>
        </w:rPr>
        <w:t>at &lt;</w:t>
      </w:r>
      <w:hyperlink r:id="rId10" w:history="1">
        <w:r w:rsidRPr="00C07EB6">
          <w:rPr>
            <w:rStyle w:val="Hyperlink"/>
            <w:rFonts w:asciiTheme="minorHAnsi" w:eastAsiaTheme="minorHAnsi" w:hAnsiTheme="minorHAnsi" w:cstheme="minorBidi"/>
            <w:color w:val="auto"/>
            <w:sz w:val="22"/>
            <w:szCs w:val="22"/>
            <w:u w:val="none"/>
          </w:rPr>
          <w:t>https://www.cps.gov.uk/sites/default/files/documents/publications/cps-vawg-report-2017.pdf</w:t>
        </w:r>
      </w:hyperlink>
      <w:r w:rsidRPr="00C07EB6">
        <w:rPr>
          <w:rStyle w:val="Hyperlink"/>
          <w:rFonts w:asciiTheme="minorHAnsi" w:eastAsiaTheme="minorHAnsi" w:hAnsiTheme="minorHAnsi" w:cstheme="minorBidi"/>
          <w:color w:val="auto"/>
          <w:sz w:val="22"/>
          <w:szCs w:val="22"/>
          <w:u w:val="none"/>
        </w:rPr>
        <w:t>&gt; accessed 28 January 2020.</w:t>
      </w:r>
    </w:p>
    <w:p w14:paraId="6F09DE2F" w14:textId="77777777" w:rsidR="00C07EB6" w:rsidRPr="00C07EB6" w:rsidRDefault="00C07EB6" w:rsidP="00C07EB6">
      <w:pPr>
        <w:pStyle w:val="FootnoteText"/>
        <w:rPr>
          <w:rStyle w:val="Hyperlink"/>
          <w:rFonts w:asciiTheme="minorHAnsi" w:eastAsiaTheme="minorHAnsi" w:hAnsiTheme="minorHAnsi" w:cstheme="minorBidi"/>
          <w:color w:val="auto"/>
          <w:sz w:val="22"/>
          <w:szCs w:val="22"/>
          <w:u w:val="none"/>
        </w:rPr>
      </w:pPr>
    </w:p>
    <w:p w14:paraId="689DA43D" w14:textId="77777777" w:rsidR="00C07EB6" w:rsidRPr="00C07EB6" w:rsidRDefault="00C07EB6" w:rsidP="00C07EB6">
      <w:pPr>
        <w:pStyle w:val="FootnoteText"/>
        <w:rPr>
          <w:rStyle w:val="Hyperlink"/>
          <w:rFonts w:asciiTheme="minorHAnsi" w:eastAsiaTheme="minorHAnsi" w:hAnsiTheme="minorHAnsi" w:cstheme="minorBidi"/>
          <w:color w:val="auto"/>
          <w:sz w:val="22"/>
          <w:szCs w:val="22"/>
          <w:u w:val="none"/>
        </w:rPr>
      </w:pPr>
      <w:r w:rsidRPr="00C07EB6">
        <w:rPr>
          <w:rStyle w:val="Hyperlink"/>
          <w:rFonts w:asciiTheme="minorHAnsi" w:eastAsiaTheme="minorHAnsi" w:hAnsiTheme="minorHAnsi" w:cstheme="minorBidi"/>
          <w:color w:val="auto"/>
          <w:sz w:val="22"/>
          <w:szCs w:val="22"/>
          <w:u w:val="none"/>
        </w:rPr>
        <w:t xml:space="preserve">--, ‘Crown Prosecution Service Annual Report and Accounts 2016-2017’ (2017) available at </w:t>
      </w:r>
    </w:p>
    <w:p w14:paraId="02B2990C" w14:textId="77777777" w:rsidR="00C07EB6" w:rsidRPr="00C07EB6" w:rsidRDefault="00C07EB6" w:rsidP="00C07EB6">
      <w:pPr>
        <w:pStyle w:val="FootnoteText"/>
        <w:ind w:left="720"/>
        <w:rPr>
          <w:rStyle w:val="Hyperlink"/>
          <w:rFonts w:asciiTheme="minorHAnsi" w:eastAsiaTheme="minorHAnsi" w:hAnsiTheme="minorHAnsi" w:cstheme="minorBidi"/>
          <w:color w:val="auto"/>
          <w:sz w:val="22"/>
          <w:szCs w:val="22"/>
          <w:u w:val="none"/>
        </w:rPr>
      </w:pPr>
      <w:r w:rsidRPr="00C07EB6">
        <w:rPr>
          <w:rStyle w:val="Hyperlink"/>
          <w:rFonts w:asciiTheme="minorHAnsi" w:eastAsiaTheme="minorHAnsi" w:hAnsiTheme="minorHAnsi" w:cstheme="minorBidi"/>
          <w:color w:val="auto"/>
          <w:sz w:val="22"/>
          <w:szCs w:val="22"/>
          <w:u w:val="none"/>
        </w:rPr>
        <w:t>&lt;</w:t>
      </w:r>
      <w:hyperlink r:id="rId11" w:history="1">
        <w:r w:rsidRPr="00C07EB6">
          <w:rPr>
            <w:rStyle w:val="Hyperlink"/>
            <w:rFonts w:asciiTheme="minorHAnsi" w:eastAsiaTheme="minorHAnsi" w:hAnsiTheme="minorHAnsi" w:cstheme="minorBidi"/>
            <w:color w:val="auto"/>
            <w:sz w:val="22"/>
            <w:szCs w:val="22"/>
            <w:u w:val="none"/>
          </w:rPr>
          <w:t>https://www.gov.uk/government/uploads/system/uploads/attachment_data/file/628968/CPS_annual_report_2016_17.pdf</w:t>
        </w:r>
      </w:hyperlink>
      <w:r w:rsidRPr="00C07EB6">
        <w:rPr>
          <w:rStyle w:val="Hyperlink"/>
          <w:rFonts w:asciiTheme="minorHAnsi" w:eastAsiaTheme="minorHAnsi" w:hAnsiTheme="minorHAnsi" w:cstheme="minorBidi"/>
          <w:color w:val="auto"/>
          <w:sz w:val="22"/>
          <w:szCs w:val="22"/>
          <w:u w:val="none"/>
        </w:rPr>
        <w:t>&gt; accessed 13 February 2020.</w:t>
      </w:r>
    </w:p>
    <w:p w14:paraId="18A60F85" w14:textId="77777777" w:rsidR="00C07EB6" w:rsidRPr="00C07EB6" w:rsidRDefault="00C07EB6" w:rsidP="00C07EB6">
      <w:pPr>
        <w:pStyle w:val="FootnoteText"/>
        <w:rPr>
          <w:rStyle w:val="Hyperlink"/>
          <w:rFonts w:asciiTheme="minorHAnsi" w:eastAsiaTheme="minorHAnsi" w:hAnsiTheme="minorHAnsi" w:cstheme="minorBidi"/>
          <w:color w:val="auto"/>
          <w:sz w:val="22"/>
          <w:szCs w:val="22"/>
          <w:u w:val="none"/>
        </w:rPr>
      </w:pPr>
      <w:r w:rsidRPr="00C07EB6">
        <w:rPr>
          <w:rStyle w:val="Hyperlink"/>
          <w:rFonts w:asciiTheme="minorHAnsi" w:eastAsiaTheme="minorHAnsi" w:hAnsiTheme="minorHAnsi" w:cstheme="minorBidi"/>
          <w:color w:val="auto"/>
          <w:sz w:val="22"/>
          <w:szCs w:val="22"/>
          <w:u w:val="none"/>
        </w:rPr>
        <w:tab/>
      </w:r>
    </w:p>
    <w:p w14:paraId="35AE1099" w14:textId="77777777" w:rsidR="00C07EB6" w:rsidRPr="00C07EB6" w:rsidRDefault="00C07EB6" w:rsidP="00C07EB6">
      <w:pPr>
        <w:pStyle w:val="FootnoteText"/>
        <w:rPr>
          <w:rStyle w:val="Hyperlink"/>
          <w:rFonts w:asciiTheme="minorHAnsi" w:eastAsiaTheme="minorHAnsi" w:hAnsiTheme="minorHAnsi" w:cstheme="minorBidi"/>
          <w:color w:val="auto"/>
          <w:sz w:val="22"/>
          <w:szCs w:val="22"/>
          <w:u w:val="none"/>
        </w:rPr>
      </w:pPr>
      <w:r w:rsidRPr="00C07EB6">
        <w:rPr>
          <w:rStyle w:val="Hyperlink"/>
          <w:rFonts w:asciiTheme="minorHAnsi" w:eastAsiaTheme="minorHAnsi" w:hAnsiTheme="minorHAnsi" w:cstheme="minorBidi"/>
          <w:color w:val="auto"/>
          <w:sz w:val="22"/>
          <w:szCs w:val="22"/>
          <w:u w:val="none"/>
        </w:rPr>
        <w:t xml:space="preserve">--, ‘Violence Against Women and Girls Crime Report 2015-16’ (CPS 2016) available at </w:t>
      </w:r>
    </w:p>
    <w:p w14:paraId="71BF9FA9" w14:textId="77777777" w:rsidR="00C07EB6" w:rsidRPr="00C07EB6" w:rsidRDefault="00C07EB6" w:rsidP="00C07EB6">
      <w:pPr>
        <w:pStyle w:val="FootnoteText"/>
        <w:ind w:left="720"/>
        <w:rPr>
          <w:rStyle w:val="Hyperlink"/>
          <w:rFonts w:asciiTheme="minorHAnsi" w:eastAsiaTheme="minorHAnsi" w:hAnsiTheme="minorHAnsi" w:cstheme="minorBidi"/>
          <w:color w:val="auto"/>
          <w:sz w:val="22"/>
          <w:szCs w:val="22"/>
          <w:u w:val="none"/>
        </w:rPr>
      </w:pPr>
      <w:r w:rsidRPr="00C07EB6">
        <w:rPr>
          <w:rStyle w:val="Hyperlink"/>
          <w:rFonts w:asciiTheme="minorHAnsi" w:eastAsiaTheme="minorHAnsi" w:hAnsiTheme="minorHAnsi" w:cstheme="minorBidi"/>
          <w:color w:val="auto"/>
          <w:sz w:val="22"/>
          <w:szCs w:val="22"/>
          <w:u w:val="none"/>
        </w:rPr>
        <w:lastRenderedPageBreak/>
        <w:t>&lt;</w:t>
      </w:r>
      <w:hyperlink r:id="rId12" w:history="1">
        <w:r w:rsidRPr="00C07EB6">
          <w:rPr>
            <w:rStyle w:val="Hyperlink"/>
            <w:rFonts w:asciiTheme="minorHAnsi" w:eastAsiaTheme="minorHAnsi" w:hAnsiTheme="minorHAnsi" w:cstheme="minorBidi"/>
            <w:color w:val="auto"/>
            <w:sz w:val="22"/>
            <w:szCs w:val="22"/>
            <w:u w:val="none"/>
          </w:rPr>
          <w:t>https://www.cps.gov.uk/sites/default/files/documents/publications/cps_vawg_report_2016.pdf</w:t>
        </w:r>
      </w:hyperlink>
      <w:r w:rsidRPr="00C07EB6">
        <w:rPr>
          <w:rStyle w:val="Hyperlink"/>
          <w:rFonts w:asciiTheme="minorHAnsi" w:eastAsiaTheme="minorHAnsi" w:hAnsiTheme="minorHAnsi" w:cstheme="minorBidi"/>
          <w:color w:val="auto"/>
          <w:sz w:val="22"/>
          <w:szCs w:val="22"/>
          <w:u w:val="none"/>
        </w:rPr>
        <w:t>&gt; accessed 9 February 2020.</w:t>
      </w:r>
    </w:p>
    <w:p w14:paraId="5F5D0DAE" w14:textId="77777777" w:rsidR="00C07EB6" w:rsidRPr="00C07EB6" w:rsidRDefault="00C07EB6" w:rsidP="00C07EB6">
      <w:pPr>
        <w:spacing w:after="0"/>
      </w:pPr>
    </w:p>
    <w:p w14:paraId="0FE2ACA6" w14:textId="77777777" w:rsidR="00C07EB6" w:rsidRPr="00C07EB6" w:rsidRDefault="00C07EB6" w:rsidP="00C07EB6">
      <w:pPr>
        <w:spacing w:after="0"/>
      </w:pPr>
      <w:r w:rsidRPr="00C07EB6">
        <w:t xml:space="preserve">--, ‘A Consultation on the CPS Violence Against Women Strategy and Action Plans- A Response to </w:t>
      </w:r>
    </w:p>
    <w:p w14:paraId="06060705" w14:textId="77777777" w:rsidR="00C07EB6" w:rsidRPr="00C07EB6" w:rsidRDefault="00C07EB6" w:rsidP="00C07EB6">
      <w:pPr>
        <w:spacing w:after="0"/>
        <w:ind w:left="720"/>
      </w:pPr>
      <w:r w:rsidRPr="00C07EB6">
        <w:t>Consultations’ (CPS 2012) available at &lt;</w:t>
      </w:r>
      <w:hyperlink r:id="rId13" w:history="1">
        <w:r w:rsidRPr="00C07EB6">
          <w:rPr>
            <w:rStyle w:val="Hyperlink"/>
            <w:color w:val="auto"/>
            <w:u w:val="none"/>
          </w:rPr>
          <w:t>https://www.cps.gov.uk/publication/consultation-cps-violence-against-women-strategy-and-action-plans-response-consultation</w:t>
        </w:r>
      </w:hyperlink>
      <w:r w:rsidRPr="00C07EB6">
        <w:t>&gt; accessed 10 February 2020.</w:t>
      </w:r>
    </w:p>
    <w:p w14:paraId="3047EC76" w14:textId="77777777" w:rsidR="00C07EB6" w:rsidRPr="00C07EB6" w:rsidRDefault="00C07EB6" w:rsidP="00C07EB6">
      <w:pPr>
        <w:spacing w:after="0"/>
      </w:pPr>
    </w:p>
    <w:p w14:paraId="524733B2" w14:textId="77777777" w:rsidR="00C07EB6" w:rsidRPr="00C07EB6" w:rsidRDefault="00C07EB6" w:rsidP="00C07EB6">
      <w:pPr>
        <w:pStyle w:val="FootnoteText"/>
        <w:rPr>
          <w:rStyle w:val="Hyperlink"/>
          <w:rFonts w:asciiTheme="minorHAnsi" w:eastAsiaTheme="minorHAnsi" w:hAnsiTheme="minorHAnsi" w:cstheme="minorBidi"/>
          <w:color w:val="auto"/>
          <w:sz w:val="22"/>
          <w:szCs w:val="22"/>
          <w:u w:val="none"/>
        </w:rPr>
      </w:pPr>
      <w:r w:rsidRPr="00C07EB6">
        <w:rPr>
          <w:rStyle w:val="Hyperlink"/>
          <w:rFonts w:asciiTheme="minorHAnsi" w:eastAsiaTheme="minorHAnsi" w:hAnsiTheme="minorHAnsi" w:cstheme="minorBidi"/>
          <w:color w:val="auto"/>
          <w:sz w:val="22"/>
          <w:szCs w:val="22"/>
          <w:u w:val="none"/>
        </w:rPr>
        <w:t>--, ‘Violence Against Women and Girls Crime Report 2010–2011’ (CPS 2011).</w:t>
      </w:r>
    </w:p>
    <w:p w14:paraId="109722C9" w14:textId="77777777" w:rsidR="00C07EB6" w:rsidRPr="00C07EB6" w:rsidRDefault="00C07EB6" w:rsidP="00C07EB6">
      <w:pPr>
        <w:spacing w:after="0"/>
      </w:pPr>
    </w:p>
    <w:p w14:paraId="111E3ACF"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 ‘Evaluation of the national domestic violence training programme 2005-2008’ (CPS 2008) available </w:t>
      </w:r>
    </w:p>
    <w:p w14:paraId="4FC2DD1B"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at &lt;</w:t>
      </w:r>
      <w:hyperlink r:id="rId14" w:history="1">
        <w:r w:rsidRPr="00C07EB6">
          <w:rPr>
            <w:rStyle w:val="Hyperlink"/>
            <w:rFonts w:asciiTheme="minorHAnsi" w:eastAsiaTheme="minorHAnsi" w:hAnsiTheme="minorHAnsi" w:cstheme="minorBidi"/>
            <w:color w:val="auto"/>
            <w:sz w:val="22"/>
            <w:szCs w:val="22"/>
            <w:u w:val="none"/>
          </w:rPr>
          <w:t>https://www.cps.gov.uk/publications/equality/evaluation_of_national_domestic_ violence_training_programme.html</w:t>
        </w:r>
      </w:hyperlink>
      <w:r w:rsidRPr="00C07EB6">
        <w:rPr>
          <w:rFonts w:asciiTheme="minorHAnsi" w:eastAsiaTheme="minorHAnsi" w:hAnsiTheme="minorHAnsi" w:cstheme="minorBidi"/>
          <w:sz w:val="22"/>
          <w:szCs w:val="22"/>
        </w:rPr>
        <w:t>&gt; accessed 29 June 2017.</w:t>
      </w:r>
    </w:p>
    <w:p w14:paraId="01A940B6" w14:textId="77777777" w:rsidR="00C07EB6" w:rsidRPr="00C07EB6" w:rsidRDefault="00C07EB6" w:rsidP="00C07EB6">
      <w:pPr>
        <w:pStyle w:val="FootnoteText"/>
        <w:rPr>
          <w:rFonts w:asciiTheme="minorHAnsi" w:eastAsiaTheme="minorHAnsi" w:hAnsiTheme="minorHAnsi" w:cstheme="minorBidi"/>
          <w:sz w:val="22"/>
          <w:szCs w:val="22"/>
        </w:rPr>
      </w:pPr>
    </w:p>
    <w:p w14:paraId="552428CF"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‘Policy for Prosecuting Cases of Domestic Violence’ (CPS HQ 2005) available at</w:t>
      </w:r>
    </w:p>
    <w:p w14:paraId="673E6ADC"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&lt;</w:t>
      </w:r>
      <w:hyperlink r:id="rId15" w:history="1">
        <w:r w:rsidRPr="00C07EB6">
          <w:rPr>
            <w:rFonts w:asciiTheme="minorHAnsi" w:eastAsiaTheme="minorHAnsi" w:hAnsiTheme="minorHAnsi" w:cstheme="minorBidi"/>
            <w:sz w:val="22"/>
            <w:szCs w:val="22"/>
          </w:rPr>
          <w:t>http://webarchive.nationalarchives.gov.uk/+/http:/www.crimereduction.homeoffice.gov.uk/domesticviolence/domesticviolence51.pdf</w:t>
        </w:r>
      </w:hyperlink>
      <w:r w:rsidRPr="00C07EB6">
        <w:rPr>
          <w:rFonts w:asciiTheme="minorHAnsi" w:eastAsiaTheme="minorHAnsi" w:hAnsiTheme="minorHAnsi" w:cstheme="minorBidi"/>
          <w:sz w:val="22"/>
          <w:szCs w:val="22"/>
        </w:rPr>
        <w:t>&gt; accessed 29 June 2017.</w:t>
      </w:r>
    </w:p>
    <w:p w14:paraId="6096612C" w14:textId="77777777" w:rsidR="00C07EB6" w:rsidRPr="00C07EB6" w:rsidRDefault="00C07EB6" w:rsidP="00C07EB6">
      <w:pPr>
        <w:pStyle w:val="FootnoteText"/>
        <w:rPr>
          <w:rFonts w:asciiTheme="minorHAnsi" w:eastAsiaTheme="minorHAnsi" w:hAnsiTheme="minorHAnsi" w:cstheme="minorBidi"/>
          <w:sz w:val="22"/>
          <w:szCs w:val="22"/>
        </w:rPr>
      </w:pPr>
    </w:p>
    <w:p w14:paraId="041ABA5E"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 ‘Domestic Violence: Good Practice Guidance’ (CPS HQ 2005) available at </w:t>
      </w:r>
    </w:p>
    <w:p w14:paraId="106C5269"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&lt;</w:t>
      </w:r>
      <w:hyperlink r:id="rId16" w:history="1">
        <w:r w:rsidRPr="00C07EB6">
          <w:rPr>
            <w:rFonts w:asciiTheme="minorHAnsi" w:eastAsiaTheme="minorHAnsi" w:hAnsiTheme="minorHAnsi" w:cstheme="minorBidi"/>
            <w:sz w:val="22"/>
            <w:szCs w:val="22"/>
          </w:rPr>
          <w:t>http://webarchive.nationalarchives.gov.uk/+/http:/www.crimereduction.homeoffice.gov.uk/domesticviolence/domesticviolence51.pdf</w:t>
        </w:r>
      </w:hyperlink>
      <w:r w:rsidRPr="00C07EB6">
        <w:rPr>
          <w:rFonts w:asciiTheme="minorHAnsi" w:eastAsiaTheme="minorHAnsi" w:hAnsiTheme="minorHAnsi" w:cstheme="minorBidi"/>
          <w:sz w:val="22"/>
          <w:szCs w:val="22"/>
        </w:rPr>
        <w:t>&gt; accessed 29 June 2017.</w:t>
      </w:r>
    </w:p>
    <w:p w14:paraId="26A24AB5" w14:textId="77777777" w:rsidR="00C07EB6" w:rsidRPr="00C07EB6" w:rsidRDefault="00C07EB6" w:rsidP="00C07EB6">
      <w:pPr>
        <w:pStyle w:val="FootnoteText"/>
        <w:rPr>
          <w:rFonts w:asciiTheme="minorHAnsi" w:eastAsiaTheme="minorHAnsi" w:hAnsiTheme="minorHAnsi" w:cstheme="minorBidi"/>
          <w:sz w:val="22"/>
          <w:szCs w:val="22"/>
        </w:rPr>
      </w:pPr>
    </w:p>
    <w:p w14:paraId="3B18BCF3"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Davies M, ‘Feminism and Flat Law Theory’ (2008) 16(3) Feminist Legal Studies 281.</w:t>
      </w:r>
    </w:p>
    <w:p w14:paraId="3F157CC9" w14:textId="77777777" w:rsidR="00C07EB6" w:rsidRPr="00C07EB6" w:rsidRDefault="00C07EB6" w:rsidP="00C07EB6">
      <w:pPr>
        <w:pStyle w:val="FootnoteText"/>
        <w:rPr>
          <w:rFonts w:asciiTheme="minorHAnsi" w:eastAsiaTheme="minorHAnsi" w:hAnsiTheme="minorHAnsi" w:cstheme="minorBidi"/>
          <w:sz w:val="22"/>
          <w:szCs w:val="22"/>
        </w:rPr>
      </w:pPr>
    </w:p>
    <w:p w14:paraId="366101F0"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Davies M and Munro V (eds), </w:t>
      </w:r>
      <w:r w:rsidRPr="00C07EB6">
        <w:rPr>
          <w:rFonts w:asciiTheme="minorHAnsi" w:eastAsiaTheme="minorHAnsi" w:hAnsiTheme="minorHAnsi" w:cstheme="minorBidi"/>
          <w:i/>
          <w:iCs/>
          <w:sz w:val="22"/>
          <w:szCs w:val="22"/>
        </w:rPr>
        <w:t>The Ashgate Research Companion to Feminist Legal Theory</w:t>
      </w:r>
      <w:r w:rsidRPr="00C07EB6">
        <w:rPr>
          <w:rFonts w:asciiTheme="minorHAnsi" w:eastAsiaTheme="minorHAnsi" w:hAnsiTheme="minorHAnsi" w:cstheme="minorBidi"/>
          <w:sz w:val="22"/>
          <w:szCs w:val="22"/>
        </w:rPr>
        <w:t xml:space="preserve"> (Ashgate </w:t>
      </w:r>
    </w:p>
    <w:p w14:paraId="429422A3"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2013).</w:t>
      </w:r>
    </w:p>
    <w:p w14:paraId="4801A7DF" w14:textId="77777777" w:rsidR="00C07EB6" w:rsidRPr="00C07EB6" w:rsidRDefault="00C07EB6" w:rsidP="00C07EB6">
      <w:pPr>
        <w:pStyle w:val="FootnoteText"/>
        <w:rPr>
          <w:rFonts w:asciiTheme="minorHAnsi" w:eastAsiaTheme="minorHAnsi" w:hAnsiTheme="minorHAnsi" w:cstheme="minorBidi"/>
          <w:sz w:val="22"/>
          <w:szCs w:val="22"/>
        </w:rPr>
      </w:pPr>
    </w:p>
    <w:p w14:paraId="0291FBFE"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Dobash</w:t>
      </w:r>
      <w:proofErr w:type="spellEnd"/>
      <w:r w:rsidRPr="00C07EB6">
        <w:rPr>
          <w:rFonts w:asciiTheme="minorHAnsi" w:eastAsiaTheme="minorHAnsi" w:hAnsiTheme="minorHAnsi" w:cstheme="minorBidi"/>
          <w:sz w:val="22"/>
          <w:szCs w:val="22"/>
        </w:rPr>
        <w:t xml:space="preserve"> R, </w:t>
      </w:r>
      <w:proofErr w:type="spellStart"/>
      <w:r w:rsidRPr="00C07EB6">
        <w:rPr>
          <w:rFonts w:asciiTheme="minorHAnsi" w:eastAsiaTheme="minorHAnsi" w:hAnsiTheme="minorHAnsi" w:cstheme="minorBidi"/>
          <w:sz w:val="22"/>
          <w:szCs w:val="22"/>
        </w:rPr>
        <w:t>Dobash</w:t>
      </w:r>
      <w:proofErr w:type="spellEnd"/>
      <w:r w:rsidRPr="00C07EB6">
        <w:rPr>
          <w:rFonts w:asciiTheme="minorHAnsi" w:eastAsiaTheme="minorHAnsi" w:hAnsiTheme="minorHAnsi" w:cstheme="minorBidi"/>
          <w:sz w:val="22"/>
          <w:szCs w:val="22"/>
        </w:rPr>
        <w:t xml:space="preserve"> RE, Cavanagh K and Lewis R, ‘Separate and Intersecting Realities: A Comparison of </w:t>
      </w:r>
    </w:p>
    <w:p w14:paraId="357CFAEB"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Men’s and Women’s Accounts of Violence Against Women’ (1998) 4(4) Violence Against Women 382.</w:t>
      </w:r>
    </w:p>
    <w:p w14:paraId="16B2D355" w14:textId="77777777" w:rsidR="00C07EB6" w:rsidRPr="00C07EB6" w:rsidRDefault="00C07EB6" w:rsidP="00C07EB6">
      <w:pPr>
        <w:pStyle w:val="FootnoteText"/>
        <w:rPr>
          <w:rFonts w:asciiTheme="minorHAnsi" w:eastAsiaTheme="minorHAnsi" w:hAnsiTheme="minorHAnsi" w:cstheme="minorBidi"/>
          <w:sz w:val="22"/>
          <w:szCs w:val="22"/>
        </w:rPr>
      </w:pPr>
    </w:p>
    <w:p w14:paraId="656212B5"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Douglas H, ‘Battered Women’s Experiences of the Criminal Justice System: Decentring Law’ (2012) </w:t>
      </w:r>
    </w:p>
    <w:p w14:paraId="7E7497BF"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20 Feminist Legal Studies 121.</w:t>
      </w:r>
    </w:p>
    <w:p w14:paraId="59EE6D1A" w14:textId="77777777" w:rsidR="00C07EB6" w:rsidRPr="00C07EB6" w:rsidRDefault="00C07EB6" w:rsidP="00C07EB6">
      <w:pPr>
        <w:pStyle w:val="FootnoteText"/>
        <w:ind w:firstLine="720"/>
        <w:rPr>
          <w:rFonts w:asciiTheme="minorHAnsi" w:eastAsiaTheme="minorHAnsi" w:hAnsiTheme="minorHAnsi" w:cstheme="minorBidi"/>
          <w:sz w:val="22"/>
          <w:szCs w:val="22"/>
        </w:rPr>
      </w:pPr>
    </w:p>
    <w:p w14:paraId="2ADC5BE2" w14:textId="77777777" w:rsidR="00C07EB6" w:rsidRPr="00C07EB6" w:rsidRDefault="00C07EB6" w:rsidP="00C07EB6">
      <w:pPr>
        <w:spacing w:after="0"/>
      </w:pPr>
      <w:r w:rsidRPr="00C07EB6">
        <w:t xml:space="preserve">Ellison L, ‘Prosecuting Domestic Violence without Victim Participation’ The Modern Law </w:t>
      </w:r>
    </w:p>
    <w:p w14:paraId="62BDB3FB" w14:textId="77777777" w:rsidR="00C07EB6" w:rsidRPr="00C07EB6" w:rsidRDefault="00C07EB6" w:rsidP="00C07EB6">
      <w:pPr>
        <w:spacing w:after="0"/>
        <w:ind w:firstLine="720"/>
      </w:pPr>
      <w:r w:rsidRPr="00C07EB6">
        <w:t>Review (2002) 834.</w:t>
      </w:r>
    </w:p>
    <w:p w14:paraId="22AE9DF2" w14:textId="77777777" w:rsidR="00C07EB6" w:rsidRPr="00C07EB6" w:rsidRDefault="00C07EB6" w:rsidP="00C07EB6">
      <w:pPr>
        <w:spacing w:after="0"/>
      </w:pPr>
    </w:p>
    <w:p w14:paraId="1FEE06C3" w14:textId="77777777" w:rsidR="00C07EB6" w:rsidRPr="00C07EB6" w:rsidRDefault="00C07EB6" w:rsidP="00C07EB6">
      <w:pPr>
        <w:spacing w:after="0"/>
      </w:pPr>
      <w:proofErr w:type="spellStart"/>
      <w:r w:rsidRPr="00C07EB6">
        <w:t>Ewick</w:t>
      </w:r>
      <w:proofErr w:type="spellEnd"/>
      <w:r w:rsidRPr="00C07EB6">
        <w:t xml:space="preserve"> P and </w:t>
      </w:r>
      <w:proofErr w:type="spellStart"/>
      <w:r w:rsidRPr="00C07EB6">
        <w:t>Silbey</w:t>
      </w:r>
      <w:proofErr w:type="spellEnd"/>
      <w:r w:rsidRPr="00C07EB6">
        <w:t xml:space="preserve"> S, </w:t>
      </w:r>
      <w:r w:rsidRPr="00C07EB6">
        <w:rPr>
          <w:i/>
        </w:rPr>
        <w:t xml:space="preserve">The Common Place of Law: Stories from Everyday Life </w:t>
      </w:r>
      <w:r w:rsidRPr="00C07EB6">
        <w:t xml:space="preserve">(University of Chicago </w:t>
      </w:r>
    </w:p>
    <w:p w14:paraId="09862303" w14:textId="77777777" w:rsidR="00C07EB6" w:rsidRPr="00C07EB6" w:rsidRDefault="00C07EB6" w:rsidP="00C07EB6">
      <w:pPr>
        <w:spacing w:after="0"/>
        <w:ind w:firstLine="720"/>
      </w:pPr>
      <w:r w:rsidRPr="00C07EB6">
        <w:t>Press 1998).</w:t>
      </w:r>
    </w:p>
    <w:p w14:paraId="79F9D818" w14:textId="77777777" w:rsidR="00C07EB6" w:rsidRPr="00C07EB6" w:rsidRDefault="00C07EB6" w:rsidP="00C07EB6">
      <w:pPr>
        <w:spacing w:after="0"/>
      </w:pPr>
    </w:p>
    <w:p w14:paraId="00E3FECB" w14:textId="77777777" w:rsidR="00C07EB6" w:rsidRPr="00C07EB6" w:rsidRDefault="00C07EB6" w:rsidP="00C07EB6">
      <w:pPr>
        <w:spacing w:after="0"/>
        <w:rPr>
          <w:rFonts w:cs="Calibri"/>
        </w:rPr>
      </w:pPr>
      <w:r w:rsidRPr="00C07EB6">
        <w:rPr>
          <w:rFonts w:cs="Calibri"/>
        </w:rPr>
        <w:t>Feeley M, ‘Crime, Social Order and the Rise of Neo</w:t>
      </w:r>
      <w:r w:rsidRPr="00C07EB6">
        <w:t>-</w:t>
      </w:r>
      <w:r w:rsidRPr="00C07EB6">
        <w:rPr>
          <w:rFonts w:cs="Calibri"/>
        </w:rPr>
        <w:t xml:space="preserve">Conservative Politics’ (2003) Theoretical </w:t>
      </w:r>
    </w:p>
    <w:p w14:paraId="45B25EC7" w14:textId="77777777" w:rsidR="00C07EB6" w:rsidRPr="00C07EB6" w:rsidRDefault="00C07EB6" w:rsidP="00C07EB6">
      <w:pPr>
        <w:spacing w:after="0"/>
        <w:ind w:firstLine="720"/>
      </w:pPr>
      <w:r w:rsidRPr="00C07EB6">
        <w:t>Criminology 111.</w:t>
      </w:r>
    </w:p>
    <w:p w14:paraId="66EAD880" w14:textId="77777777" w:rsidR="00C07EB6" w:rsidRPr="00C07EB6" w:rsidRDefault="00C07EB6" w:rsidP="00C07EB6">
      <w:pPr>
        <w:spacing w:after="0"/>
      </w:pPr>
    </w:p>
    <w:p w14:paraId="5A80947E" w14:textId="77777777" w:rsidR="00C07EB6" w:rsidRPr="00C07EB6" w:rsidRDefault="00C07EB6" w:rsidP="00C07EB6">
      <w:pPr>
        <w:pStyle w:val="FootnoteText"/>
        <w:rPr>
          <w:rFonts w:asciiTheme="minorHAnsi" w:eastAsiaTheme="minorHAnsi" w:hAnsiTheme="minorHAnsi" w:cs="Calibri"/>
          <w:sz w:val="22"/>
          <w:szCs w:val="22"/>
        </w:rPr>
      </w:pPr>
      <w:r w:rsidRPr="00C07EB6">
        <w:rPr>
          <w:rFonts w:asciiTheme="minorHAnsi" w:eastAsiaTheme="minorHAnsi" w:hAnsiTheme="minorHAnsi" w:cs="Calibri"/>
          <w:sz w:val="22"/>
          <w:szCs w:val="22"/>
        </w:rPr>
        <w:t xml:space="preserve">Fineman M, ‘The Vulnerable Subject: Anchoring Equality in the Human Condition’ (2008) 20 Yale </w:t>
      </w:r>
    </w:p>
    <w:p w14:paraId="11CD987E" w14:textId="77777777" w:rsidR="00C07EB6" w:rsidRPr="00C07EB6" w:rsidRDefault="00C07EB6" w:rsidP="00C07EB6">
      <w:pPr>
        <w:pStyle w:val="FootnoteText"/>
        <w:ind w:firstLine="720"/>
        <w:rPr>
          <w:rFonts w:asciiTheme="minorHAnsi" w:eastAsiaTheme="minorHAnsi" w:hAnsiTheme="minorHAnsi" w:cs="Calibri"/>
          <w:sz w:val="22"/>
          <w:szCs w:val="22"/>
        </w:rPr>
      </w:pPr>
      <w:r w:rsidRPr="00C07EB6">
        <w:rPr>
          <w:rFonts w:asciiTheme="minorHAnsi" w:eastAsiaTheme="minorHAnsi" w:hAnsiTheme="minorHAnsi" w:cs="Calibri"/>
          <w:sz w:val="22"/>
          <w:szCs w:val="22"/>
        </w:rPr>
        <w:t>Journal of Law and Feminism 1.</w:t>
      </w:r>
    </w:p>
    <w:p w14:paraId="175FD0C6" w14:textId="77777777" w:rsidR="00C07EB6" w:rsidRPr="00C07EB6" w:rsidRDefault="00C07EB6" w:rsidP="00C07EB6">
      <w:pPr>
        <w:spacing w:after="0"/>
      </w:pPr>
    </w:p>
    <w:p w14:paraId="51D8FBD8" w14:textId="77777777" w:rsidR="00C07EB6" w:rsidRPr="00C07EB6" w:rsidRDefault="00C07EB6" w:rsidP="00C07EB6">
      <w:pPr>
        <w:spacing w:after="0"/>
        <w:rPr>
          <w:i/>
          <w:iCs/>
        </w:rPr>
      </w:pPr>
      <w:r w:rsidRPr="00C07EB6">
        <w:t xml:space="preserve">Fineman M and </w:t>
      </w:r>
      <w:proofErr w:type="spellStart"/>
      <w:r w:rsidRPr="00C07EB6">
        <w:t>Mykitiuk</w:t>
      </w:r>
      <w:proofErr w:type="spellEnd"/>
      <w:r w:rsidRPr="00C07EB6">
        <w:t xml:space="preserve"> R (eds), </w:t>
      </w:r>
      <w:r w:rsidRPr="00C07EB6">
        <w:rPr>
          <w:i/>
          <w:iCs/>
        </w:rPr>
        <w:t xml:space="preserve">The public Nature of Private Violence: The Discovery of Domestic </w:t>
      </w:r>
    </w:p>
    <w:p w14:paraId="0C4264FD" w14:textId="77777777" w:rsidR="00C07EB6" w:rsidRPr="00C07EB6" w:rsidRDefault="00C07EB6" w:rsidP="00C07EB6">
      <w:pPr>
        <w:spacing w:after="0"/>
        <w:ind w:firstLine="720"/>
      </w:pPr>
      <w:r w:rsidRPr="00C07EB6">
        <w:rPr>
          <w:i/>
          <w:iCs/>
        </w:rPr>
        <w:t>Abuse</w:t>
      </w:r>
      <w:r w:rsidRPr="00C07EB6">
        <w:t xml:space="preserve"> (Routledge 1994).</w:t>
      </w:r>
    </w:p>
    <w:p w14:paraId="6A28F761" w14:textId="77777777" w:rsidR="00C07EB6" w:rsidRPr="00C07EB6" w:rsidRDefault="00C07EB6" w:rsidP="00C07EB6">
      <w:pPr>
        <w:spacing w:after="0"/>
      </w:pPr>
    </w:p>
    <w:p w14:paraId="40A72A4A" w14:textId="77777777" w:rsidR="00C07EB6" w:rsidRPr="00C07EB6" w:rsidRDefault="00C07EB6" w:rsidP="00C07EB6">
      <w:pPr>
        <w:spacing w:after="0"/>
        <w:rPr>
          <w:i/>
        </w:rPr>
      </w:pPr>
      <w:r w:rsidRPr="00C07EB6">
        <w:t xml:space="preserve">Foucault M, in </w:t>
      </w:r>
      <w:proofErr w:type="spellStart"/>
      <w:r w:rsidRPr="00C07EB6">
        <w:t>Senellart</w:t>
      </w:r>
      <w:proofErr w:type="spellEnd"/>
      <w:r w:rsidRPr="00C07EB6">
        <w:t xml:space="preserve"> M (ed), </w:t>
      </w:r>
      <w:r w:rsidRPr="00C07EB6">
        <w:rPr>
          <w:i/>
        </w:rPr>
        <w:t xml:space="preserve">The Birth of Biopolitics: Lectures at the College de France 1978-79 </w:t>
      </w:r>
    </w:p>
    <w:p w14:paraId="680E41DB" w14:textId="77777777" w:rsidR="00C07EB6" w:rsidRPr="00C07EB6" w:rsidRDefault="00C07EB6" w:rsidP="00C07EB6">
      <w:pPr>
        <w:spacing w:after="0"/>
        <w:ind w:firstLine="720"/>
      </w:pPr>
      <w:r w:rsidRPr="00C07EB6">
        <w:lastRenderedPageBreak/>
        <w:t>(Picador 2004).</w:t>
      </w:r>
    </w:p>
    <w:p w14:paraId="06015AC2" w14:textId="77777777" w:rsidR="00C07EB6" w:rsidRPr="00C07EB6" w:rsidRDefault="00C07EB6" w:rsidP="00C07EB6">
      <w:pPr>
        <w:spacing w:after="0"/>
        <w:ind w:firstLine="720"/>
      </w:pPr>
    </w:p>
    <w:p w14:paraId="7D03830A" w14:textId="77777777" w:rsidR="00C07EB6" w:rsidRPr="00C07EB6" w:rsidRDefault="00C07EB6" w:rsidP="00C07EB6">
      <w:pPr>
        <w:spacing w:after="0"/>
      </w:pPr>
      <w:r w:rsidRPr="00C07EB6">
        <w:t xml:space="preserve">Garland D, </w:t>
      </w:r>
      <w:r w:rsidRPr="00C07EB6">
        <w:rPr>
          <w:i/>
        </w:rPr>
        <w:t xml:space="preserve">The Culture of Control: Crime and Social Order in Contemporary Society </w:t>
      </w:r>
      <w:r w:rsidRPr="00C07EB6">
        <w:t>(OUP 2001).</w:t>
      </w:r>
    </w:p>
    <w:p w14:paraId="0AC70A2D" w14:textId="77777777" w:rsidR="00C07EB6" w:rsidRPr="00C07EB6" w:rsidRDefault="00C07EB6" w:rsidP="00C07EB6">
      <w:pPr>
        <w:pStyle w:val="FootnoteText"/>
        <w:rPr>
          <w:rFonts w:asciiTheme="minorHAnsi" w:eastAsiaTheme="minorHAnsi" w:hAnsiTheme="minorHAnsi" w:cstheme="minorBidi"/>
          <w:sz w:val="22"/>
          <w:szCs w:val="22"/>
        </w:rPr>
      </w:pPr>
    </w:p>
    <w:p w14:paraId="10DE176C"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Goodman L and Epstein D, ‘Listening to Battered Women: A Survivor Centred Approach to Advocacy, </w:t>
      </w:r>
    </w:p>
    <w:p w14:paraId="3335511E"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Mental Health and Justice’ (American Psychological Association 2009) 97.</w:t>
      </w:r>
    </w:p>
    <w:p w14:paraId="1F75BF4C" w14:textId="77777777" w:rsidR="00C07EB6" w:rsidRPr="00C07EB6" w:rsidRDefault="00C07EB6" w:rsidP="00C07EB6">
      <w:pPr>
        <w:pStyle w:val="FootnoteText"/>
        <w:rPr>
          <w:rFonts w:asciiTheme="minorHAnsi" w:eastAsiaTheme="minorHAnsi" w:hAnsiTheme="minorHAnsi" w:cstheme="minorBidi"/>
          <w:sz w:val="22"/>
          <w:szCs w:val="22"/>
        </w:rPr>
      </w:pPr>
    </w:p>
    <w:p w14:paraId="03388075"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Goodman L et al, ‘Survivor-defined Practice in Domestic Violence Work: Measure Development and </w:t>
      </w:r>
    </w:p>
    <w:p w14:paraId="29A4C4AC"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Preliminary Evidence of Link to Empowerment’ (2016) 31(1) Journal of Interpersonal Violence 163.</w:t>
      </w:r>
    </w:p>
    <w:p w14:paraId="3119CEDB" w14:textId="77777777" w:rsidR="00C07EB6" w:rsidRPr="00C07EB6" w:rsidRDefault="00C07EB6" w:rsidP="00C07EB6">
      <w:pPr>
        <w:pStyle w:val="FootnoteText"/>
        <w:rPr>
          <w:rFonts w:asciiTheme="minorHAnsi" w:eastAsiaTheme="minorHAnsi" w:hAnsiTheme="minorHAnsi" w:cstheme="minorBidi"/>
          <w:sz w:val="22"/>
          <w:szCs w:val="22"/>
        </w:rPr>
      </w:pPr>
    </w:p>
    <w:p w14:paraId="46218645"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Goodmark</w:t>
      </w:r>
      <w:proofErr w:type="spellEnd"/>
      <w:r w:rsidRPr="00C07EB6">
        <w:rPr>
          <w:rFonts w:asciiTheme="minorHAnsi" w:eastAsiaTheme="minorHAnsi" w:hAnsiTheme="minorHAnsi" w:cstheme="minorBidi"/>
          <w:sz w:val="22"/>
          <w:szCs w:val="22"/>
        </w:rPr>
        <w:t xml:space="preserve"> L, </w:t>
      </w:r>
      <w:r w:rsidRPr="00C07EB6">
        <w:rPr>
          <w:rFonts w:asciiTheme="minorHAnsi" w:eastAsiaTheme="minorHAnsi" w:hAnsiTheme="minorHAnsi" w:cstheme="minorBidi"/>
          <w:i/>
          <w:iCs/>
          <w:sz w:val="22"/>
          <w:szCs w:val="22"/>
        </w:rPr>
        <w:t>A Troubled Marriage: Domestic Violence and the Legal System</w:t>
      </w:r>
      <w:r w:rsidRPr="00C07EB6">
        <w:rPr>
          <w:rFonts w:asciiTheme="minorHAnsi" w:eastAsiaTheme="minorHAnsi" w:hAnsiTheme="minorHAnsi" w:cstheme="minorBidi"/>
          <w:sz w:val="22"/>
          <w:szCs w:val="22"/>
        </w:rPr>
        <w:t xml:space="preserve"> (New York University </w:t>
      </w:r>
    </w:p>
    <w:p w14:paraId="0F28CF53"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Press 2013). </w:t>
      </w:r>
    </w:p>
    <w:p w14:paraId="2BA656DB" w14:textId="77777777" w:rsidR="00C07EB6" w:rsidRPr="00C07EB6" w:rsidRDefault="00C07EB6" w:rsidP="00C07EB6">
      <w:pPr>
        <w:pStyle w:val="FootnoteText"/>
        <w:rPr>
          <w:rFonts w:asciiTheme="minorHAnsi" w:eastAsiaTheme="minorHAnsi" w:hAnsiTheme="minorHAnsi" w:cstheme="minorBidi"/>
          <w:sz w:val="22"/>
          <w:szCs w:val="22"/>
        </w:rPr>
      </w:pPr>
    </w:p>
    <w:p w14:paraId="275ECFC6"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 Decriminalizing Domestic Violence: A Balanced Policy Approach to Intimate Partner Violence </w:t>
      </w:r>
    </w:p>
    <w:p w14:paraId="7B55ABF4"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(University of California Press, 2018).</w:t>
      </w:r>
    </w:p>
    <w:p w14:paraId="20B2A55B" w14:textId="77777777" w:rsidR="00C07EB6" w:rsidRPr="00C07EB6" w:rsidRDefault="00C07EB6" w:rsidP="00C07EB6">
      <w:pPr>
        <w:pStyle w:val="FootnoteText"/>
        <w:ind w:firstLine="720"/>
      </w:pPr>
    </w:p>
    <w:p w14:paraId="007E5553"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Hall M, </w:t>
      </w:r>
      <w:r w:rsidRPr="00C07EB6">
        <w:rPr>
          <w:rFonts w:asciiTheme="minorHAnsi" w:eastAsiaTheme="minorHAnsi" w:hAnsiTheme="minorHAnsi" w:cstheme="minorBidi"/>
          <w:i/>
          <w:iCs/>
          <w:sz w:val="22"/>
          <w:szCs w:val="22"/>
        </w:rPr>
        <w:t>Victims of Crime: Policy and Practice in Criminal Justice</w:t>
      </w:r>
      <w:r w:rsidRPr="00C07EB6">
        <w:rPr>
          <w:rFonts w:asciiTheme="minorHAnsi" w:eastAsiaTheme="minorHAnsi" w:hAnsiTheme="minorHAnsi" w:cstheme="minorBidi"/>
          <w:sz w:val="22"/>
          <w:szCs w:val="22"/>
        </w:rPr>
        <w:t xml:space="preserve"> (Willan Publishing 2009).</w:t>
      </w:r>
    </w:p>
    <w:p w14:paraId="099C0CA6" w14:textId="77777777" w:rsidR="00C07EB6" w:rsidRPr="00C07EB6" w:rsidRDefault="00C07EB6" w:rsidP="00C07EB6">
      <w:pPr>
        <w:pStyle w:val="FootnoteText"/>
        <w:rPr>
          <w:rFonts w:asciiTheme="minorHAnsi" w:eastAsiaTheme="minorHAnsi" w:hAnsiTheme="minorHAnsi" w:cstheme="minorBidi"/>
          <w:sz w:val="22"/>
          <w:szCs w:val="22"/>
        </w:rPr>
      </w:pPr>
    </w:p>
    <w:p w14:paraId="429DF853"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Halley J, </w:t>
      </w:r>
      <w:proofErr w:type="spellStart"/>
      <w:r w:rsidRPr="00C07EB6">
        <w:rPr>
          <w:rFonts w:asciiTheme="minorHAnsi" w:eastAsiaTheme="minorHAnsi" w:hAnsiTheme="minorHAnsi" w:cstheme="minorBidi"/>
          <w:sz w:val="22"/>
          <w:szCs w:val="22"/>
        </w:rPr>
        <w:t>Kotiswaran</w:t>
      </w:r>
      <w:proofErr w:type="spellEnd"/>
      <w:r w:rsidRPr="00C07EB6">
        <w:rPr>
          <w:rFonts w:asciiTheme="minorHAnsi" w:eastAsiaTheme="minorHAnsi" w:hAnsiTheme="minorHAnsi" w:cstheme="minorBidi"/>
          <w:sz w:val="22"/>
          <w:szCs w:val="22"/>
        </w:rPr>
        <w:t xml:space="preserve"> P, </w:t>
      </w:r>
      <w:proofErr w:type="spellStart"/>
      <w:r w:rsidRPr="00C07EB6">
        <w:rPr>
          <w:rFonts w:asciiTheme="minorHAnsi" w:eastAsiaTheme="minorHAnsi" w:hAnsiTheme="minorHAnsi" w:cstheme="minorBidi"/>
          <w:sz w:val="22"/>
          <w:szCs w:val="22"/>
        </w:rPr>
        <w:t>Rebouché</w:t>
      </w:r>
      <w:proofErr w:type="spellEnd"/>
      <w:r w:rsidRPr="00C07EB6">
        <w:rPr>
          <w:rFonts w:asciiTheme="minorHAnsi" w:eastAsiaTheme="minorHAnsi" w:hAnsiTheme="minorHAnsi" w:cstheme="minorBidi"/>
          <w:sz w:val="22"/>
          <w:szCs w:val="22"/>
        </w:rPr>
        <w:t xml:space="preserve"> R and Shamir H, </w:t>
      </w:r>
      <w:r w:rsidRPr="00C07EB6">
        <w:rPr>
          <w:rFonts w:asciiTheme="minorHAnsi" w:eastAsiaTheme="minorHAnsi" w:hAnsiTheme="minorHAnsi" w:cstheme="minorBidi"/>
          <w:i/>
          <w:iCs/>
          <w:sz w:val="22"/>
          <w:szCs w:val="22"/>
        </w:rPr>
        <w:t>Governance Feminism: An Introduction</w:t>
      </w:r>
      <w:r w:rsidRPr="00C07EB6">
        <w:rPr>
          <w:rFonts w:asciiTheme="minorHAnsi" w:eastAsiaTheme="minorHAnsi" w:hAnsiTheme="minorHAnsi" w:cstheme="minorBidi"/>
          <w:sz w:val="22"/>
          <w:szCs w:val="22"/>
        </w:rPr>
        <w:t xml:space="preserve"> (University </w:t>
      </w:r>
    </w:p>
    <w:p w14:paraId="414C5A16"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of Minnesota Press 2018).</w:t>
      </w:r>
    </w:p>
    <w:p w14:paraId="2928DC8E" w14:textId="77777777" w:rsidR="00C07EB6" w:rsidRPr="00C07EB6" w:rsidRDefault="00C07EB6" w:rsidP="00C07EB6">
      <w:pPr>
        <w:pStyle w:val="FootnoteText"/>
        <w:rPr>
          <w:rFonts w:asciiTheme="minorHAnsi" w:eastAsiaTheme="minorHAnsi" w:hAnsiTheme="minorHAnsi" w:cstheme="minorBidi"/>
          <w:sz w:val="22"/>
          <w:szCs w:val="22"/>
        </w:rPr>
      </w:pPr>
    </w:p>
    <w:p w14:paraId="1FA1EFE8"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Harding R, ‘’Dogs are ‘registered’, people shouldn’t be’: Legal Consciousness and Lesbian and Gay </w:t>
      </w:r>
    </w:p>
    <w:p w14:paraId="227D533A"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Rights (2006) 15(4) Social and Legal Studies 511.</w:t>
      </w:r>
    </w:p>
    <w:p w14:paraId="3CEE9789" w14:textId="77777777" w:rsidR="00C07EB6" w:rsidRPr="00C07EB6" w:rsidRDefault="00C07EB6" w:rsidP="00C07EB6">
      <w:pPr>
        <w:pStyle w:val="FootnoteText"/>
        <w:rPr>
          <w:rFonts w:asciiTheme="minorHAnsi" w:eastAsiaTheme="minorHAnsi" w:hAnsiTheme="minorHAnsi" w:cstheme="minorBidi"/>
          <w:sz w:val="22"/>
          <w:szCs w:val="22"/>
        </w:rPr>
      </w:pPr>
    </w:p>
    <w:p w14:paraId="283836D7"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Harvey D, </w:t>
      </w:r>
      <w:r w:rsidRPr="00C07EB6">
        <w:rPr>
          <w:rFonts w:asciiTheme="minorHAnsi" w:eastAsiaTheme="minorHAnsi" w:hAnsiTheme="minorHAnsi" w:cstheme="minorBidi"/>
          <w:i/>
          <w:iCs/>
          <w:sz w:val="22"/>
          <w:szCs w:val="22"/>
        </w:rPr>
        <w:t>A Brief History of Neoliberalism</w:t>
      </w:r>
      <w:r w:rsidRPr="00C07EB6">
        <w:rPr>
          <w:rFonts w:asciiTheme="minorHAnsi" w:eastAsiaTheme="minorHAnsi" w:hAnsiTheme="minorHAnsi" w:cstheme="minorBidi"/>
          <w:sz w:val="22"/>
          <w:szCs w:val="22"/>
        </w:rPr>
        <w:t xml:space="preserve"> (OUP 2005).</w:t>
      </w:r>
    </w:p>
    <w:p w14:paraId="0F9CA84E" w14:textId="77777777" w:rsidR="00C07EB6" w:rsidRPr="00C07EB6" w:rsidRDefault="00C07EB6" w:rsidP="00C07EB6">
      <w:pPr>
        <w:pStyle w:val="FootnoteText"/>
        <w:rPr>
          <w:rFonts w:asciiTheme="minorHAnsi" w:eastAsiaTheme="minorHAnsi" w:hAnsiTheme="minorHAnsi" w:cstheme="minorBidi"/>
          <w:sz w:val="22"/>
          <w:szCs w:val="22"/>
        </w:rPr>
      </w:pPr>
    </w:p>
    <w:p w14:paraId="07F175C8"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Hawkins K, Law as Last Resort: Prosecution Decision-Making in a Regulatory Agency (Oxford </w:t>
      </w:r>
    </w:p>
    <w:p w14:paraId="55402B08"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University Press 2002) 422.</w:t>
      </w:r>
    </w:p>
    <w:p w14:paraId="19BFC6A6" w14:textId="77777777" w:rsidR="00C07EB6" w:rsidRPr="00C07EB6" w:rsidRDefault="00C07EB6" w:rsidP="00C07EB6">
      <w:pPr>
        <w:pStyle w:val="FootnoteText"/>
        <w:rPr>
          <w:rFonts w:asciiTheme="minorHAnsi" w:eastAsiaTheme="minorHAnsi" w:hAnsiTheme="minorHAnsi" w:cstheme="minorBidi"/>
          <w:sz w:val="22"/>
          <w:szCs w:val="22"/>
        </w:rPr>
      </w:pPr>
    </w:p>
    <w:p w14:paraId="6D3481A1"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Heise</w:t>
      </w:r>
      <w:proofErr w:type="spellEnd"/>
      <w:r w:rsidRPr="00C07EB6">
        <w:rPr>
          <w:rFonts w:asciiTheme="minorHAnsi" w:eastAsiaTheme="minorHAnsi" w:hAnsiTheme="minorHAnsi" w:cstheme="minorBidi"/>
          <w:sz w:val="22"/>
          <w:szCs w:val="22"/>
        </w:rPr>
        <w:t xml:space="preserve"> L, ‘Violence Against Women: An Integrated, Ecological Framework’ (1998) 4(3) Violence </w:t>
      </w:r>
    </w:p>
    <w:p w14:paraId="125DE797"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Against Women 262.</w:t>
      </w:r>
    </w:p>
    <w:p w14:paraId="378A4720" w14:textId="77777777" w:rsidR="00C07EB6" w:rsidRPr="00C07EB6" w:rsidRDefault="00C07EB6" w:rsidP="00C07EB6">
      <w:pPr>
        <w:pStyle w:val="FootnoteText"/>
      </w:pPr>
    </w:p>
    <w:p w14:paraId="4ED7641A"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Hester, ‘Who Does What to Whom? Gender and Domestic Violence Perpetrators in English Police </w:t>
      </w:r>
    </w:p>
    <w:p w14:paraId="38280C3E"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Records’ (2013) 10(5) European Journal of Criminology 623.</w:t>
      </w:r>
    </w:p>
    <w:p w14:paraId="736A7558" w14:textId="77777777" w:rsidR="00C07EB6" w:rsidRPr="00C07EB6" w:rsidRDefault="00C07EB6" w:rsidP="00C07EB6">
      <w:pPr>
        <w:pStyle w:val="FootnoteText"/>
        <w:rPr>
          <w:rFonts w:asciiTheme="minorHAnsi" w:eastAsiaTheme="minorHAnsi" w:hAnsiTheme="minorHAnsi" w:cstheme="minorBidi"/>
          <w:sz w:val="22"/>
          <w:szCs w:val="22"/>
        </w:rPr>
      </w:pPr>
    </w:p>
    <w:p w14:paraId="5624B478"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Heywood I, </w:t>
      </w:r>
      <w:proofErr w:type="spellStart"/>
      <w:r w:rsidRPr="00C07EB6">
        <w:rPr>
          <w:rFonts w:asciiTheme="minorHAnsi" w:eastAsiaTheme="minorHAnsi" w:hAnsiTheme="minorHAnsi" w:cstheme="minorBidi"/>
          <w:sz w:val="22"/>
          <w:szCs w:val="22"/>
        </w:rPr>
        <w:t>Sammut</w:t>
      </w:r>
      <w:proofErr w:type="spellEnd"/>
      <w:r w:rsidRPr="00C07EB6">
        <w:rPr>
          <w:rFonts w:asciiTheme="minorHAnsi" w:eastAsiaTheme="minorHAnsi" w:hAnsiTheme="minorHAnsi" w:cstheme="minorBidi"/>
          <w:sz w:val="22"/>
          <w:szCs w:val="22"/>
        </w:rPr>
        <w:t xml:space="preserve"> D and Bradbury-Jones C, ‘A Qualitative Exploration of ‘</w:t>
      </w:r>
      <w:proofErr w:type="spellStart"/>
      <w:r w:rsidRPr="00C07EB6">
        <w:rPr>
          <w:rFonts w:asciiTheme="minorHAnsi" w:eastAsiaTheme="minorHAnsi" w:hAnsiTheme="minorHAnsi" w:cstheme="minorBidi"/>
          <w:sz w:val="22"/>
          <w:szCs w:val="22"/>
        </w:rPr>
        <w:t>Thrivership</w:t>
      </w:r>
      <w:proofErr w:type="spellEnd"/>
      <w:r w:rsidRPr="00C07EB6">
        <w:rPr>
          <w:rFonts w:asciiTheme="minorHAnsi" w:eastAsiaTheme="minorHAnsi" w:hAnsiTheme="minorHAnsi" w:cstheme="minorBidi"/>
          <w:sz w:val="22"/>
          <w:szCs w:val="22"/>
        </w:rPr>
        <w:t xml:space="preserve">’ </w:t>
      </w:r>
    </w:p>
    <w:p w14:paraId="592C310A"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among Women who have experienced Domestic Violence and Abuse: Development of a New Model’(2019) 19 British Medical Council Women's Health 106.</w:t>
      </w:r>
    </w:p>
    <w:p w14:paraId="0F62377C" w14:textId="77777777" w:rsidR="00C07EB6" w:rsidRPr="00C07EB6" w:rsidRDefault="00C07EB6" w:rsidP="00C07EB6">
      <w:pPr>
        <w:pStyle w:val="FootnoteText"/>
        <w:rPr>
          <w:rFonts w:asciiTheme="minorHAnsi" w:eastAsiaTheme="minorHAnsi" w:hAnsiTheme="minorHAnsi" w:cstheme="minorBidi"/>
          <w:sz w:val="22"/>
          <w:szCs w:val="22"/>
        </w:rPr>
      </w:pPr>
    </w:p>
    <w:p w14:paraId="45F74446"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Houston C, ‘How Feminist Theory became (Criminal) Law: Tracing the Path to Mandatory Criminal </w:t>
      </w:r>
    </w:p>
    <w:p w14:paraId="3A02FC0F"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Intervention in Domestic Violence Cases’ (2014) Modern Law Review 217.</w:t>
      </w:r>
    </w:p>
    <w:p w14:paraId="1F8CA1FE" w14:textId="77777777" w:rsidR="00C07EB6" w:rsidRPr="00C07EB6" w:rsidRDefault="00C07EB6" w:rsidP="00C07EB6">
      <w:pPr>
        <w:pStyle w:val="FootnoteText"/>
        <w:rPr>
          <w:rFonts w:asciiTheme="minorHAnsi" w:eastAsiaTheme="minorHAnsi" w:hAnsiTheme="minorHAnsi" w:cstheme="minorBidi"/>
          <w:sz w:val="22"/>
          <w:szCs w:val="22"/>
        </w:rPr>
      </w:pPr>
    </w:p>
    <w:p w14:paraId="712F5F3E"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Hoyle C, ‘Feminism, Victimology and Domestic Violence’ in Sandra </w:t>
      </w:r>
      <w:proofErr w:type="spellStart"/>
      <w:r w:rsidRPr="00C07EB6">
        <w:rPr>
          <w:rFonts w:asciiTheme="minorHAnsi" w:eastAsiaTheme="minorHAnsi" w:hAnsiTheme="minorHAnsi" w:cstheme="minorBidi"/>
          <w:sz w:val="22"/>
          <w:szCs w:val="22"/>
        </w:rPr>
        <w:t>Walklate</w:t>
      </w:r>
      <w:proofErr w:type="spellEnd"/>
      <w:r w:rsidRPr="00C07EB6">
        <w:rPr>
          <w:rFonts w:asciiTheme="minorHAnsi" w:eastAsiaTheme="minorHAnsi" w:hAnsiTheme="minorHAnsi" w:cstheme="minorBidi"/>
          <w:sz w:val="22"/>
          <w:szCs w:val="22"/>
        </w:rPr>
        <w:t xml:space="preserve"> (ed), Handbook of </w:t>
      </w:r>
    </w:p>
    <w:p w14:paraId="4165C2C9"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Victims and Victimology (Taylor and Frances 2012).</w:t>
      </w:r>
    </w:p>
    <w:p w14:paraId="77EE7D32" w14:textId="77777777" w:rsidR="00C07EB6" w:rsidRPr="00C07EB6" w:rsidRDefault="00C07EB6" w:rsidP="00C07EB6">
      <w:pPr>
        <w:pStyle w:val="FootnoteText"/>
        <w:rPr>
          <w:rFonts w:asciiTheme="minorHAnsi" w:eastAsiaTheme="minorHAnsi" w:hAnsiTheme="minorHAnsi" w:cstheme="minorBidi"/>
          <w:sz w:val="22"/>
          <w:szCs w:val="22"/>
        </w:rPr>
      </w:pPr>
    </w:p>
    <w:p w14:paraId="1345E1C0"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Hoyle C and Sanders A, ‘Police Response to Domestic Violence: From Victim Choice to Victim </w:t>
      </w:r>
    </w:p>
    <w:p w14:paraId="7AF23C84"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Empowerment’ (2000) 40(1) British Journal of Criminology 14.</w:t>
      </w:r>
    </w:p>
    <w:p w14:paraId="3A0895E1" w14:textId="77777777" w:rsidR="00C07EB6" w:rsidRPr="00C07EB6" w:rsidRDefault="00C07EB6" w:rsidP="00C07EB6">
      <w:pPr>
        <w:pStyle w:val="FootnoteText"/>
        <w:rPr>
          <w:rFonts w:asciiTheme="minorHAnsi" w:eastAsiaTheme="minorHAnsi" w:hAnsiTheme="minorHAnsi" w:cstheme="minorBidi"/>
          <w:sz w:val="22"/>
          <w:szCs w:val="22"/>
        </w:rPr>
      </w:pPr>
    </w:p>
    <w:p w14:paraId="766AB160"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Ishkanian</w:t>
      </w:r>
      <w:proofErr w:type="spellEnd"/>
      <w:r w:rsidRPr="00C07EB6">
        <w:rPr>
          <w:rFonts w:asciiTheme="minorHAnsi" w:eastAsiaTheme="minorHAnsi" w:hAnsiTheme="minorHAnsi" w:cstheme="minorBidi"/>
          <w:sz w:val="22"/>
          <w:szCs w:val="22"/>
        </w:rPr>
        <w:t xml:space="preserve"> A, ‘Neoliberalism and Violence: The Big Society and the Changing Politics of Domestic </w:t>
      </w:r>
    </w:p>
    <w:p w14:paraId="7623AB81"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Violence in England’ (2014) 34(3) Critical Social Policy 333.</w:t>
      </w:r>
    </w:p>
    <w:p w14:paraId="517768FA" w14:textId="77777777" w:rsidR="00C07EB6" w:rsidRPr="00C07EB6" w:rsidRDefault="00C07EB6" w:rsidP="00C07EB6">
      <w:pPr>
        <w:pStyle w:val="FootnoteText"/>
        <w:rPr>
          <w:rFonts w:asciiTheme="minorHAnsi" w:eastAsiaTheme="minorHAnsi" w:hAnsiTheme="minorHAnsi" w:cstheme="minorBidi"/>
          <w:sz w:val="22"/>
          <w:szCs w:val="22"/>
        </w:rPr>
      </w:pPr>
    </w:p>
    <w:p w14:paraId="6D03150F"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Johnson M, A Typology of Domestic Violence: Intimate Terrorism, Violent Resistance and Situational </w:t>
      </w:r>
    </w:p>
    <w:p w14:paraId="2A4BE347"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Couple Violence (</w:t>
      </w:r>
      <w:proofErr w:type="spellStart"/>
      <w:r w:rsidRPr="00C07EB6">
        <w:rPr>
          <w:rFonts w:asciiTheme="minorHAnsi" w:eastAsiaTheme="minorHAnsi" w:hAnsiTheme="minorHAnsi" w:cstheme="minorBidi"/>
          <w:sz w:val="22"/>
          <w:szCs w:val="22"/>
        </w:rPr>
        <w:t>Northeastern</w:t>
      </w:r>
      <w:proofErr w:type="spellEnd"/>
      <w:r w:rsidRPr="00C07EB6">
        <w:rPr>
          <w:rFonts w:asciiTheme="minorHAnsi" w:eastAsiaTheme="minorHAnsi" w:hAnsiTheme="minorHAnsi" w:cstheme="minorBidi"/>
          <w:sz w:val="22"/>
          <w:szCs w:val="22"/>
        </w:rPr>
        <w:t xml:space="preserve"> University Press 2008)</w:t>
      </w:r>
    </w:p>
    <w:p w14:paraId="3C5AD3F7" w14:textId="77777777" w:rsidR="00C07EB6" w:rsidRPr="00C07EB6" w:rsidRDefault="00C07EB6" w:rsidP="00C07EB6">
      <w:pPr>
        <w:pStyle w:val="FootnoteText"/>
        <w:rPr>
          <w:rFonts w:asciiTheme="minorHAnsi" w:eastAsiaTheme="minorHAnsi" w:hAnsiTheme="minorHAnsi" w:cstheme="minorBidi"/>
          <w:sz w:val="22"/>
          <w:szCs w:val="22"/>
        </w:rPr>
      </w:pPr>
    </w:p>
    <w:p w14:paraId="038274EA"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Kim M, ‘Challenging the Pursuit of Criminalisation in an Era of Mass Incarceration: The Limitations of </w:t>
      </w:r>
    </w:p>
    <w:p w14:paraId="3ECBE1BE"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the Social Work Response to Domestic Violence in the USA’ (2013) 43 British Journal of Social Work 1276.</w:t>
      </w:r>
    </w:p>
    <w:p w14:paraId="2E9FFA5C" w14:textId="77777777" w:rsidR="00C07EB6" w:rsidRPr="00C07EB6" w:rsidRDefault="00C07EB6" w:rsidP="00C07EB6">
      <w:pPr>
        <w:pStyle w:val="FootnoteText"/>
        <w:rPr>
          <w:rFonts w:asciiTheme="minorHAnsi" w:eastAsiaTheme="minorHAnsi" w:hAnsiTheme="minorHAnsi" w:cstheme="minorBidi"/>
          <w:sz w:val="22"/>
          <w:szCs w:val="22"/>
        </w:rPr>
      </w:pPr>
    </w:p>
    <w:p w14:paraId="4A546813"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Kimmel M, ‘“Gender Symmetry” in Domestic Violence: A Substantive and Methodological Review’ </w:t>
      </w:r>
    </w:p>
    <w:p w14:paraId="232973C6"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(2002) Violence Against Women 1332.</w:t>
      </w:r>
    </w:p>
    <w:p w14:paraId="084B48BA" w14:textId="77777777" w:rsidR="00C07EB6" w:rsidRPr="00C07EB6" w:rsidRDefault="00C07EB6" w:rsidP="00C07EB6">
      <w:pPr>
        <w:pStyle w:val="FootnoteText"/>
        <w:rPr>
          <w:rFonts w:asciiTheme="minorHAnsi" w:eastAsiaTheme="minorHAnsi" w:hAnsiTheme="minorHAnsi" w:cstheme="minorBidi"/>
          <w:sz w:val="22"/>
          <w:szCs w:val="22"/>
        </w:rPr>
      </w:pPr>
    </w:p>
    <w:p w14:paraId="4B31BA39"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Lewis R, ‘Making Justice Work: Effective Legal Interventions for Domestic Violence’ (2004) 44 The </w:t>
      </w:r>
    </w:p>
    <w:p w14:paraId="4DC1EE74"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British Journal of Criminology 204.</w:t>
      </w:r>
    </w:p>
    <w:p w14:paraId="23E5B880" w14:textId="77777777" w:rsidR="00C07EB6" w:rsidRPr="00C07EB6" w:rsidRDefault="00C07EB6" w:rsidP="00C07EB6">
      <w:pPr>
        <w:pStyle w:val="FootnoteText"/>
        <w:rPr>
          <w:rFonts w:asciiTheme="minorHAnsi" w:eastAsiaTheme="minorHAnsi" w:hAnsiTheme="minorHAnsi" w:cstheme="minorBidi"/>
          <w:sz w:val="22"/>
          <w:szCs w:val="22"/>
        </w:rPr>
      </w:pPr>
    </w:p>
    <w:p w14:paraId="3EE3D09B"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Madden-Dempsey M, Prosecuting Domestic Violence: A Philosophical Analysis (OUP 2009).</w:t>
      </w:r>
    </w:p>
    <w:p w14:paraId="44C69670" w14:textId="77777777" w:rsidR="00C07EB6" w:rsidRPr="00C07EB6" w:rsidRDefault="00C07EB6" w:rsidP="00C07EB6">
      <w:pPr>
        <w:pStyle w:val="FootnoteText"/>
        <w:rPr>
          <w:rFonts w:asciiTheme="minorHAnsi" w:eastAsiaTheme="minorHAnsi" w:hAnsiTheme="minorHAnsi" w:cstheme="minorBidi"/>
          <w:sz w:val="22"/>
          <w:szCs w:val="22"/>
        </w:rPr>
      </w:pPr>
    </w:p>
    <w:p w14:paraId="11860F25"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Maguigan</w:t>
      </w:r>
      <w:proofErr w:type="spellEnd"/>
      <w:r w:rsidRPr="00C07EB6">
        <w:rPr>
          <w:rFonts w:asciiTheme="minorHAnsi" w:eastAsiaTheme="minorHAnsi" w:hAnsiTheme="minorHAnsi" w:cstheme="minorBidi"/>
          <w:sz w:val="22"/>
          <w:szCs w:val="22"/>
        </w:rPr>
        <w:t xml:space="preserve"> H, ‘Wading into Professor Schneider’s “Murky Middle Ground” Between Acceptance and </w:t>
      </w:r>
    </w:p>
    <w:p w14:paraId="5EFFCAB8"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Rejection of Criminal Justice Responses to Domestic Violence’ (2002) 11 American University Journal Gender Society Policy and Law 427. </w:t>
      </w:r>
    </w:p>
    <w:p w14:paraId="1610CB3D" w14:textId="77777777" w:rsidR="00C07EB6" w:rsidRPr="00C07EB6" w:rsidRDefault="00C07EB6" w:rsidP="00C07EB6">
      <w:pPr>
        <w:pStyle w:val="FootnoteText"/>
        <w:rPr>
          <w:rFonts w:asciiTheme="minorHAnsi" w:eastAsiaTheme="minorHAnsi" w:hAnsiTheme="minorHAnsi" w:cstheme="minorBidi"/>
          <w:sz w:val="22"/>
          <w:szCs w:val="22"/>
        </w:rPr>
      </w:pPr>
    </w:p>
    <w:p w14:paraId="1D51A733"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Mills L, Killing Her Softly: Intimate Abuse and the Violence of State Intervention (1999) Harvard Law </w:t>
      </w:r>
    </w:p>
    <w:p w14:paraId="6088004E"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Review 550.</w:t>
      </w:r>
    </w:p>
    <w:p w14:paraId="5C8093B0" w14:textId="77777777" w:rsidR="00C07EB6" w:rsidRPr="00C07EB6" w:rsidRDefault="00C07EB6" w:rsidP="00C07EB6">
      <w:pPr>
        <w:pStyle w:val="FootnoteText"/>
        <w:rPr>
          <w:rFonts w:asciiTheme="minorHAnsi" w:eastAsiaTheme="minorHAnsi" w:hAnsiTheme="minorHAnsi" w:cstheme="minorBidi"/>
          <w:sz w:val="22"/>
          <w:szCs w:val="22"/>
        </w:rPr>
      </w:pPr>
    </w:p>
    <w:p w14:paraId="4BAEC198"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Naffine</w:t>
      </w:r>
      <w:proofErr w:type="spellEnd"/>
      <w:r w:rsidRPr="00C07EB6">
        <w:rPr>
          <w:rFonts w:asciiTheme="minorHAnsi" w:eastAsiaTheme="minorHAnsi" w:hAnsiTheme="minorHAnsi" w:cstheme="minorBidi"/>
          <w:sz w:val="22"/>
          <w:szCs w:val="22"/>
        </w:rPr>
        <w:t xml:space="preserve"> N, </w:t>
      </w:r>
      <w:r w:rsidRPr="00C07EB6">
        <w:rPr>
          <w:rFonts w:asciiTheme="minorHAnsi" w:eastAsiaTheme="minorHAnsi" w:hAnsiTheme="minorHAnsi" w:cstheme="minorBidi"/>
          <w:i/>
          <w:iCs/>
          <w:sz w:val="22"/>
          <w:szCs w:val="22"/>
        </w:rPr>
        <w:t>Sexing the Subject (of Law)</w:t>
      </w:r>
      <w:r w:rsidRPr="00C07EB6">
        <w:rPr>
          <w:rFonts w:asciiTheme="minorHAnsi" w:eastAsiaTheme="minorHAnsi" w:hAnsiTheme="minorHAnsi" w:cstheme="minorBidi"/>
          <w:sz w:val="22"/>
          <w:szCs w:val="22"/>
        </w:rPr>
        <w:t xml:space="preserve"> (Oxford University Press 1995).</w:t>
      </w:r>
    </w:p>
    <w:p w14:paraId="0A45CB53" w14:textId="77777777" w:rsidR="00C07EB6" w:rsidRPr="00C07EB6" w:rsidRDefault="00C07EB6" w:rsidP="00C07EB6">
      <w:pPr>
        <w:pStyle w:val="FootnoteText"/>
        <w:rPr>
          <w:rFonts w:asciiTheme="minorHAnsi" w:eastAsiaTheme="minorHAnsi" w:hAnsiTheme="minorHAnsi" w:cstheme="minorBidi"/>
          <w:sz w:val="22"/>
          <w:szCs w:val="22"/>
        </w:rPr>
      </w:pPr>
    </w:p>
    <w:p w14:paraId="3295E03B"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Natile</w:t>
      </w:r>
      <w:proofErr w:type="spellEnd"/>
      <w:r w:rsidRPr="00C07EB6">
        <w:rPr>
          <w:rFonts w:asciiTheme="minorHAnsi" w:eastAsiaTheme="minorHAnsi" w:hAnsiTheme="minorHAnsi" w:cstheme="minorBidi"/>
          <w:sz w:val="22"/>
          <w:szCs w:val="22"/>
        </w:rPr>
        <w:t xml:space="preserve"> S and Tapia S, ‘Governance Feminism: An Introduction’ (2018) 52(4) Law and Society 1106.</w:t>
      </w:r>
    </w:p>
    <w:p w14:paraId="3AC8104D" w14:textId="77777777" w:rsidR="00C07EB6" w:rsidRPr="00C07EB6" w:rsidRDefault="00C07EB6" w:rsidP="00C07EB6">
      <w:pPr>
        <w:pStyle w:val="FootnoteText"/>
        <w:rPr>
          <w:rFonts w:asciiTheme="minorHAnsi" w:eastAsiaTheme="minorHAnsi" w:hAnsiTheme="minorHAnsi" w:cstheme="minorBidi"/>
          <w:sz w:val="22"/>
          <w:szCs w:val="22"/>
        </w:rPr>
      </w:pPr>
    </w:p>
    <w:p w14:paraId="28261DC9"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Nichols A, ‘No-drop Prosecution in Domestic Violence Cases: Survivor-Defined and Social Change </w:t>
      </w:r>
    </w:p>
    <w:p w14:paraId="59516A41"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Approaches to Victim Advocacy’ (2014) 29(11) Journal of Interpersonal Violence 2114.</w:t>
      </w:r>
    </w:p>
    <w:p w14:paraId="23662F55" w14:textId="77777777" w:rsidR="00C07EB6" w:rsidRPr="00C07EB6" w:rsidRDefault="00C07EB6" w:rsidP="00C07EB6">
      <w:pPr>
        <w:pStyle w:val="FootnoteText"/>
        <w:rPr>
          <w:rFonts w:asciiTheme="minorHAnsi" w:eastAsiaTheme="minorHAnsi" w:hAnsiTheme="minorHAnsi" w:cstheme="minorBidi"/>
          <w:sz w:val="22"/>
          <w:szCs w:val="22"/>
        </w:rPr>
      </w:pPr>
    </w:p>
    <w:p w14:paraId="2232A30D"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Norrie A, </w:t>
      </w:r>
      <w:r w:rsidRPr="00C07EB6">
        <w:rPr>
          <w:rFonts w:asciiTheme="minorHAnsi" w:eastAsiaTheme="minorHAnsi" w:hAnsiTheme="minorHAnsi" w:cstheme="minorBidi"/>
          <w:i/>
          <w:iCs/>
          <w:sz w:val="22"/>
          <w:szCs w:val="22"/>
        </w:rPr>
        <w:t>Law and the Beautiful Soul</w:t>
      </w:r>
      <w:r w:rsidRPr="00C07EB6">
        <w:rPr>
          <w:rFonts w:asciiTheme="minorHAnsi" w:eastAsiaTheme="minorHAnsi" w:hAnsiTheme="minorHAnsi" w:cstheme="minorBidi"/>
          <w:sz w:val="22"/>
          <w:szCs w:val="22"/>
        </w:rPr>
        <w:t xml:space="preserve"> (Glasshouse 2005).</w:t>
      </w:r>
    </w:p>
    <w:p w14:paraId="0BA5F507" w14:textId="77777777" w:rsidR="00C07EB6" w:rsidRPr="00C07EB6" w:rsidRDefault="00C07EB6" w:rsidP="00C07EB6">
      <w:pPr>
        <w:pStyle w:val="FootnoteText"/>
        <w:rPr>
          <w:rFonts w:asciiTheme="minorHAnsi" w:eastAsiaTheme="minorHAnsi" w:hAnsiTheme="minorHAnsi" w:cstheme="minorBidi"/>
          <w:sz w:val="22"/>
          <w:szCs w:val="22"/>
        </w:rPr>
      </w:pPr>
    </w:p>
    <w:p w14:paraId="78B5D612"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Reiner R, </w:t>
      </w:r>
      <w:r w:rsidRPr="00C07EB6">
        <w:rPr>
          <w:rFonts w:asciiTheme="minorHAnsi" w:eastAsiaTheme="minorHAnsi" w:hAnsiTheme="minorHAnsi" w:cstheme="minorBidi"/>
          <w:i/>
          <w:iCs/>
          <w:sz w:val="22"/>
          <w:szCs w:val="22"/>
        </w:rPr>
        <w:t>Law and Order: An Honest Citizen’s Guide to Crime Control</w:t>
      </w:r>
      <w:r w:rsidRPr="00C07EB6">
        <w:rPr>
          <w:rFonts w:asciiTheme="minorHAnsi" w:eastAsiaTheme="minorHAnsi" w:hAnsiTheme="minorHAnsi" w:cstheme="minorBidi"/>
          <w:sz w:val="22"/>
          <w:szCs w:val="22"/>
        </w:rPr>
        <w:t xml:space="preserve"> (Polity 2007).</w:t>
      </w:r>
    </w:p>
    <w:p w14:paraId="72E26A25" w14:textId="77777777" w:rsidR="00C07EB6" w:rsidRPr="00C07EB6" w:rsidRDefault="00C07EB6" w:rsidP="00C07EB6">
      <w:pPr>
        <w:pStyle w:val="FootnoteText"/>
        <w:rPr>
          <w:rFonts w:asciiTheme="minorHAnsi" w:eastAsiaTheme="minorHAnsi" w:hAnsiTheme="minorHAnsi" w:cstheme="minorBidi"/>
          <w:sz w:val="22"/>
          <w:szCs w:val="22"/>
        </w:rPr>
      </w:pPr>
    </w:p>
    <w:p w14:paraId="730F0626" w14:textId="77777777" w:rsidR="00C07EB6" w:rsidRPr="00C07EB6" w:rsidRDefault="00C07EB6" w:rsidP="00C07EB6">
      <w:pPr>
        <w:pStyle w:val="FootnoteText"/>
        <w:rPr>
          <w:rFonts w:asciiTheme="minorHAnsi" w:eastAsiaTheme="minorHAnsi" w:hAnsiTheme="minorHAnsi" w:cstheme="minorBidi"/>
          <w:i/>
          <w:iCs/>
          <w:sz w:val="22"/>
          <w:szCs w:val="22"/>
        </w:rPr>
      </w:pPr>
      <w:proofErr w:type="spellStart"/>
      <w:r w:rsidRPr="00C07EB6">
        <w:rPr>
          <w:rFonts w:asciiTheme="minorHAnsi" w:eastAsiaTheme="minorHAnsi" w:hAnsiTheme="minorHAnsi" w:cstheme="minorBidi"/>
          <w:sz w:val="22"/>
          <w:szCs w:val="22"/>
        </w:rPr>
        <w:t>Ribbens</w:t>
      </w:r>
      <w:proofErr w:type="spellEnd"/>
      <w:r w:rsidRPr="00C07EB6">
        <w:rPr>
          <w:rFonts w:asciiTheme="minorHAnsi" w:eastAsiaTheme="minorHAnsi" w:hAnsiTheme="minorHAnsi" w:cstheme="minorBidi"/>
          <w:sz w:val="22"/>
          <w:szCs w:val="22"/>
        </w:rPr>
        <w:t xml:space="preserve"> J and Edwards R, </w:t>
      </w:r>
      <w:r w:rsidRPr="00C07EB6">
        <w:rPr>
          <w:rFonts w:asciiTheme="minorHAnsi" w:eastAsiaTheme="minorHAnsi" w:hAnsiTheme="minorHAnsi" w:cstheme="minorBidi"/>
          <w:i/>
          <w:iCs/>
          <w:sz w:val="22"/>
          <w:szCs w:val="22"/>
        </w:rPr>
        <w:t xml:space="preserve">Feminist Dilemmas in Qualitative Research: Public Knowledge and Private </w:t>
      </w:r>
    </w:p>
    <w:p w14:paraId="226BD19F"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i/>
          <w:iCs/>
          <w:sz w:val="22"/>
          <w:szCs w:val="22"/>
        </w:rPr>
        <w:t>Lives</w:t>
      </w:r>
      <w:r w:rsidRPr="00C07EB6">
        <w:rPr>
          <w:rFonts w:asciiTheme="minorHAnsi" w:eastAsiaTheme="minorHAnsi" w:hAnsiTheme="minorHAnsi" w:cstheme="minorBidi"/>
          <w:sz w:val="22"/>
          <w:szCs w:val="22"/>
        </w:rPr>
        <w:t xml:space="preserve"> (Sage 1998). </w:t>
      </w:r>
    </w:p>
    <w:p w14:paraId="1D55974E" w14:textId="77777777" w:rsidR="00C07EB6" w:rsidRPr="00C07EB6" w:rsidRDefault="00C07EB6" w:rsidP="00C07EB6">
      <w:pPr>
        <w:pStyle w:val="FootnoteText"/>
        <w:rPr>
          <w:rFonts w:asciiTheme="minorHAnsi" w:eastAsiaTheme="minorHAnsi" w:hAnsiTheme="minorHAnsi" w:cstheme="minorBidi"/>
          <w:sz w:val="22"/>
          <w:szCs w:val="22"/>
        </w:rPr>
      </w:pPr>
    </w:p>
    <w:p w14:paraId="779A5D4E"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Roulston K, ‘Considering quality in qualitative interviewing’ (2010) Qualitative Research 199.</w:t>
      </w:r>
    </w:p>
    <w:p w14:paraId="77FA6E98" w14:textId="77777777" w:rsidR="00C07EB6" w:rsidRPr="00C07EB6" w:rsidRDefault="00C07EB6" w:rsidP="00C07EB6">
      <w:pPr>
        <w:pStyle w:val="FootnoteText"/>
        <w:rPr>
          <w:rFonts w:asciiTheme="minorHAnsi" w:eastAsiaTheme="minorHAnsi" w:hAnsiTheme="minorHAnsi" w:cstheme="minorBidi"/>
          <w:sz w:val="22"/>
          <w:szCs w:val="22"/>
        </w:rPr>
      </w:pPr>
    </w:p>
    <w:p w14:paraId="5D71C7C2"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Saccuzzo</w:t>
      </w:r>
      <w:proofErr w:type="spellEnd"/>
      <w:r w:rsidRPr="00C07EB6">
        <w:rPr>
          <w:rFonts w:asciiTheme="minorHAnsi" w:eastAsiaTheme="minorHAnsi" w:hAnsiTheme="minorHAnsi" w:cstheme="minorBidi"/>
          <w:sz w:val="22"/>
          <w:szCs w:val="22"/>
        </w:rPr>
        <w:t xml:space="preserve"> D, ‘How Should Police Respond to Domestic Violence: A Therapeutic Jurisprudence Analysis </w:t>
      </w:r>
    </w:p>
    <w:p w14:paraId="71095822"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of Mandatory Arrest’ (1998) 39 Santa Clara Law Review 765.</w:t>
      </w:r>
    </w:p>
    <w:p w14:paraId="0E86F775" w14:textId="77777777" w:rsidR="00C07EB6" w:rsidRPr="00C07EB6" w:rsidRDefault="00C07EB6" w:rsidP="00C07EB6">
      <w:pPr>
        <w:pStyle w:val="FootnoteText"/>
        <w:rPr>
          <w:rFonts w:asciiTheme="minorHAnsi" w:eastAsiaTheme="minorHAnsi" w:hAnsiTheme="minorHAnsi" w:cstheme="minorBidi"/>
          <w:sz w:val="22"/>
          <w:szCs w:val="22"/>
        </w:rPr>
      </w:pPr>
    </w:p>
    <w:p w14:paraId="6ACFF494"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Schneider E, Battered Women and Feminist </w:t>
      </w:r>
      <w:proofErr w:type="spellStart"/>
      <w:r w:rsidRPr="00C07EB6">
        <w:rPr>
          <w:rFonts w:asciiTheme="minorHAnsi" w:eastAsiaTheme="minorHAnsi" w:hAnsiTheme="minorHAnsi" w:cstheme="minorBidi"/>
          <w:sz w:val="22"/>
          <w:szCs w:val="22"/>
        </w:rPr>
        <w:t>Lawmaking</w:t>
      </w:r>
      <w:proofErr w:type="spellEnd"/>
      <w:r w:rsidRPr="00C07EB6">
        <w:rPr>
          <w:rFonts w:asciiTheme="minorHAnsi" w:eastAsiaTheme="minorHAnsi" w:hAnsiTheme="minorHAnsi" w:cstheme="minorBidi"/>
          <w:sz w:val="22"/>
          <w:szCs w:val="22"/>
        </w:rPr>
        <w:t xml:space="preserve"> (Yale University Press 2000).</w:t>
      </w:r>
    </w:p>
    <w:p w14:paraId="46E6D0FE" w14:textId="77777777" w:rsidR="00C07EB6" w:rsidRPr="00C07EB6" w:rsidRDefault="00C07EB6" w:rsidP="00C07EB6">
      <w:pPr>
        <w:pStyle w:val="FootnoteText"/>
        <w:rPr>
          <w:rFonts w:asciiTheme="minorHAnsi" w:eastAsiaTheme="minorHAnsi" w:hAnsiTheme="minorHAnsi" w:cstheme="minorBidi"/>
          <w:sz w:val="22"/>
          <w:szCs w:val="22"/>
        </w:rPr>
      </w:pPr>
    </w:p>
    <w:p w14:paraId="1FEC8A99"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Smart C, </w:t>
      </w:r>
      <w:r w:rsidRPr="00C07EB6">
        <w:rPr>
          <w:rFonts w:asciiTheme="minorHAnsi" w:eastAsiaTheme="minorHAnsi" w:hAnsiTheme="minorHAnsi" w:cstheme="minorBidi"/>
          <w:i/>
          <w:iCs/>
          <w:sz w:val="22"/>
          <w:szCs w:val="22"/>
        </w:rPr>
        <w:t>Feminism and the Power of the Law</w:t>
      </w:r>
      <w:r w:rsidRPr="00C07EB6">
        <w:rPr>
          <w:rFonts w:asciiTheme="minorHAnsi" w:eastAsiaTheme="minorHAnsi" w:hAnsiTheme="minorHAnsi" w:cstheme="minorBidi"/>
          <w:sz w:val="22"/>
          <w:szCs w:val="22"/>
        </w:rPr>
        <w:t xml:space="preserve"> (Routledge, 1989).</w:t>
      </w:r>
    </w:p>
    <w:p w14:paraId="508DDFC1" w14:textId="77777777" w:rsidR="00C07EB6" w:rsidRPr="00C07EB6" w:rsidRDefault="00C07EB6" w:rsidP="00C07EB6">
      <w:pPr>
        <w:pStyle w:val="FootnoteText"/>
        <w:rPr>
          <w:rFonts w:asciiTheme="minorHAnsi" w:eastAsiaTheme="minorHAnsi" w:hAnsiTheme="minorHAnsi" w:cstheme="minorBidi"/>
          <w:sz w:val="22"/>
          <w:szCs w:val="22"/>
        </w:rPr>
      </w:pPr>
    </w:p>
    <w:p w14:paraId="6DCDD696"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‘Reflection’ (2012) 20 Feminist Legal Studies, 161.</w:t>
      </w:r>
    </w:p>
    <w:p w14:paraId="0CAE32C7" w14:textId="77777777" w:rsidR="00C07EB6" w:rsidRPr="00C07EB6" w:rsidRDefault="00C07EB6" w:rsidP="00C07EB6">
      <w:pPr>
        <w:pStyle w:val="FootnoteText"/>
        <w:rPr>
          <w:rFonts w:asciiTheme="minorHAnsi" w:eastAsiaTheme="minorHAnsi" w:hAnsiTheme="minorHAnsi" w:cstheme="minorBidi"/>
          <w:sz w:val="22"/>
          <w:szCs w:val="22"/>
        </w:rPr>
      </w:pPr>
    </w:p>
    <w:p w14:paraId="11DEC08E"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Stark E, ‘Mandatory Arrest of Batterers: A Reply to its Critics’ (1993) 36(5) American </w:t>
      </w:r>
      <w:proofErr w:type="spellStart"/>
      <w:r w:rsidRPr="00C07EB6">
        <w:rPr>
          <w:rFonts w:asciiTheme="minorHAnsi" w:eastAsiaTheme="minorHAnsi" w:hAnsiTheme="minorHAnsi" w:cstheme="minorBidi"/>
          <w:sz w:val="22"/>
          <w:szCs w:val="22"/>
        </w:rPr>
        <w:t>Behavioral</w:t>
      </w:r>
      <w:proofErr w:type="spellEnd"/>
      <w:r w:rsidRPr="00C07EB6">
        <w:rPr>
          <w:rFonts w:asciiTheme="minorHAnsi" w:eastAsiaTheme="minorHAnsi" w:hAnsiTheme="minorHAnsi" w:cstheme="minorBidi"/>
          <w:sz w:val="22"/>
          <w:szCs w:val="22"/>
        </w:rPr>
        <w:t xml:space="preserve"> </w:t>
      </w:r>
    </w:p>
    <w:p w14:paraId="298DCD45"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Scientist 651.</w:t>
      </w:r>
    </w:p>
    <w:p w14:paraId="4008A70F" w14:textId="77777777" w:rsidR="00C07EB6" w:rsidRPr="00C07EB6" w:rsidRDefault="00C07EB6" w:rsidP="00C07EB6">
      <w:pPr>
        <w:pStyle w:val="FootnoteText"/>
        <w:rPr>
          <w:rFonts w:asciiTheme="minorHAnsi" w:eastAsiaTheme="minorHAnsi" w:hAnsiTheme="minorHAnsi" w:cstheme="minorBidi"/>
          <w:sz w:val="22"/>
          <w:szCs w:val="22"/>
        </w:rPr>
      </w:pPr>
    </w:p>
    <w:p w14:paraId="26FDBFDF"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lastRenderedPageBreak/>
        <w:t xml:space="preserve">Straus M, ‘Yes, Physical Assaults by Women Partners: A Major Social Problem’ in Mary Walsh (ed), </w:t>
      </w:r>
    </w:p>
    <w:p w14:paraId="6FB6842F"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Women, Men and Gender: Ongoing Debates (Yale University Press 1997).</w:t>
      </w:r>
    </w:p>
    <w:p w14:paraId="47F9E56D" w14:textId="77777777" w:rsidR="00C07EB6" w:rsidRPr="00C07EB6" w:rsidRDefault="00C07EB6" w:rsidP="00C07EB6">
      <w:pPr>
        <w:pStyle w:val="FootnoteText"/>
      </w:pPr>
    </w:p>
    <w:p w14:paraId="58E3653B"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 ‘Measuring Intrafamily Conflict and Violence: The Conflict Tactics (CT) Scales’ (1979) Journal of </w:t>
      </w:r>
    </w:p>
    <w:p w14:paraId="26AF7216"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Marriage and the Family 75.</w:t>
      </w:r>
    </w:p>
    <w:p w14:paraId="33B86DD1" w14:textId="77777777" w:rsidR="00C07EB6" w:rsidRPr="00C07EB6" w:rsidRDefault="00C07EB6" w:rsidP="00C07EB6">
      <w:pPr>
        <w:pStyle w:val="FootnoteText"/>
        <w:rPr>
          <w:rFonts w:asciiTheme="minorHAnsi" w:eastAsiaTheme="minorHAnsi" w:hAnsiTheme="minorHAnsi" w:cstheme="minorBidi"/>
          <w:sz w:val="22"/>
          <w:szCs w:val="22"/>
        </w:rPr>
      </w:pPr>
    </w:p>
    <w:p w14:paraId="4559AAC4"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Sunstein C, ‘Social Norms and Social Roles’ (1996) Columbia Law Review 903.</w:t>
      </w:r>
    </w:p>
    <w:p w14:paraId="1BF8F1C1" w14:textId="77777777" w:rsidR="00C07EB6" w:rsidRPr="00C07EB6" w:rsidRDefault="00C07EB6" w:rsidP="00C07EB6">
      <w:pPr>
        <w:pStyle w:val="FootnoteText"/>
        <w:rPr>
          <w:rFonts w:asciiTheme="minorHAnsi" w:eastAsiaTheme="minorHAnsi" w:hAnsiTheme="minorHAnsi" w:cstheme="minorBidi"/>
          <w:sz w:val="22"/>
          <w:szCs w:val="22"/>
        </w:rPr>
      </w:pPr>
    </w:p>
    <w:p w14:paraId="385F36B5"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United Nations, ‘15 of the United Nations Special Rapporteur on Violence Against Women, Its Causes </w:t>
      </w:r>
    </w:p>
    <w:p w14:paraId="37C27D12" w14:textId="77777777" w:rsidR="00C07EB6" w:rsidRPr="00C07EB6" w:rsidRDefault="00C07EB6" w:rsidP="00C07EB6">
      <w:pPr>
        <w:pStyle w:val="FootnoteText"/>
        <w:ind w:left="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and Consequences: A Critical Review (1994- 2009)’ (2009) 27 available at &lt;</w:t>
      </w:r>
      <w:hyperlink r:id="rId17" w:history="1">
        <w:r w:rsidRPr="00C07EB6">
          <w:rPr>
            <w:rFonts w:asciiTheme="minorHAnsi" w:eastAsiaTheme="minorHAnsi" w:hAnsiTheme="minorHAnsi" w:cstheme="minorBidi"/>
            <w:sz w:val="22"/>
            <w:szCs w:val="22"/>
          </w:rPr>
          <w:t>http://www.ohchr.org/Documents/Issues/Women/15YearReviewofVAWMandate.pdf</w:t>
        </w:r>
      </w:hyperlink>
      <w:r w:rsidRPr="00C07EB6">
        <w:rPr>
          <w:rFonts w:asciiTheme="minorHAnsi" w:eastAsiaTheme="minorHAnsi" w:hAnsiTheme="minorHAnsi" w:cstheme="minorBidi"/>
          <w:sz w:val="22"/>
          <w:szCs w:val="22"/>
        </w:rPr>
        <w:t>&gt; accessed 20 February 2020.</w:t>
      </w:r>
    </w:p>
    <w:p w14:paraId="3B44E1AC" w14:textId="77777777" w:rsidR="00C07EB6" w:rsidRPr="00C07EB6" w:rsidRDefault="00C07EB6" w:rsidP="00C07EB6">
      <w:pPr>
        <w:pStyle w:val="FootnoteText"/>
        <w:rPr>
          <w:rFonts w:asciiTheme="minorHAnsi" w:eastAsiaTheme="minorHAnsi" w:hAnsiTheme="minorHAnsi" w:cstheme="minorBidi"/>
          <w:sz w:val="22"/>
          <w:szCs w:val="22"/>
        </w:rPr>
      </w:pPr>
    </w:p>
    <w:p w14:paraId="5C925DEC"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Walby</w:t>
      </w:r>
      <w:proofErr w:type="spellEnd"/>
      <w:r w:rsidRPr="00C07EB6">
        <w:rPr>
          <w:rFonts w:asciiTheme="minorHAnsi" w:eastAsiaTheme="minorHAnsi" w:hAnsiTheme="minorHAnsi" w:cstheme="minorBidi"/>
          <w:sz w:val="22"/>
          <w:szCs w:val="22"/>
        </w:rPr>
        <w:t xml:space="preserve"> S and Allen J, ‘Domestic Violence, Sexual Assault and Stalking: Findings from the British Crime </w:t>
      </w:r>
    </w:p>
    <w:p w14:paraId="762A09C9"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Survey’ (Home Office 2004) vii.</w:t>
      </w:r>
    </w:p>
    <w:p w14:paraId="45C6692B" w14:textId="77777777" w:rsidR="00C07EB6" w:rsidRPr="00C07EB6" w:rsidRDefault="00C07EB6" w:rsidP="00C07EB6">
      <w:pPr>
        <w:pStyle w:val="FootnoteText"/>
        <w:rPr>
          <w:rFonts w:asciiTheme="minorHAnsi" w:eastAsiaTheme="minorHAnsi" w:hAnsiTheme="minorHAnsi" w:cstheme="minorBidi"/>
          <w:sz w:val="22"/>
          <w:szCs w:val="22"/>
        </w:rPr>
      </w:pPr>
    </w:p>
    <w:p w14:paraId="67BD67EB"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Walker L, </w:t>
      </w:r>
      <w:r w:rsidRPr="00C07EB6">
        <w:rPr>
          <w:rFonts w:asciiTheme="minorHAnsi" w:eastAsiaTheme="minorHAnsi" w:hAnsiTheme="minorHAnsi" w:cstheme="minorBidi"/>
          <w:i/>
          <w:iCs/>
          <w:sz w:val="22"/>
          <w:szCs w:val="22"/>
        </w:rPr>
        <w:t>The Battered Woman Syndrome</w:t>
      </w:r>
      <w:r w:rsidRPr="00C07EB6">
        <w:rPr>
          <w:rFonts w:asciiTheme="minorHAnsi" w:eastAsiaTheme="minorHAnsi" w:hAnsiTheme="minorHAnsi" w:cstheme="minorBidi"/>
          <w:sz w:val="22"/>
          <w:szCs w:val="22"/>
        </w:rPr>
        <w:t xml:space="preserve"> (4th </w:t>
      </w:r>
      <w:proofErr w:type="spellStart"/>
      <w:r w:rsidRPr="00C07EB6">
        <w:rPr>
          <w:rFonts w:asciiTheme="minorHAnsi" w:eastAsiaTheme="minorHAnsi" w:hAnsiTheme="minorHAnsi" w:cstheme="minorBidi"/>
          <w:sz w:val="22"/>
          <w:szCs w:val="22"/>
        </w:rPr>
        <w:t>edn</w:t>
      </w:r>
      <w:proofErr w:type="spellEnd"/>
      <w:r w:rsidRPr="00C07EB6">
        <w:rPr>
          <w:rFonts w:asciiTheme="minorHAnsi" w:eastAsiaTheme="minorHAnsi" w:hAnsiTheme="minorHAnsi" w:cstheme="minorBidi"/>
          <w:sz w:val="22"/>
          <w:szCs w:val="22"/>
        </w:rPr>
        <w:t>, Springer 2016).</w:t>
      </w:r>
    </w:p>
    <w:p w14:paraId="68487F48" w14:textId="77777777" w:rsidR="00C07EB6" w:rsidRPr="00C07EB6" w:rsidRDefault="00C07EB6" w:rsidP="00C07EB6">
      <w:pPr>
        <w:pStyle w:val="FootnoteText"/>
        <w:rPr>
          <w:rFonts w:asciiTheme="minorHAnsi" w:eastAsiaTheme="minorHAnsi" w:hAnsiTheme="minorHAnsi" w:cstheme="minorBidi"/>
          <w:sz w:val="22"/>
          <w:szCs w:val="22"/>
        </w:rPr>
      </w:pPr>
    </w:p>
    <w:p w14:paraId="4047CFFD"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Watt D, ‘On Becoming a Qualitative Researcher: The Value of Reflexivity’ (2007) 12(1) The </w:t>
      </w:r>
    </w:p>
    <w:p w14:paraId="1E02E6CB"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Qualitative Report 182.</w:t>
      </w:r>
    </w:p>
    <w:p w14:paraId="705CB0F7" w14:textId="77777777" w:rsidR="00C07EB6" w:rsidRPr="00C07EB6" w:rsidRDefault="00C07EB6" w:rsidP="00C07EB6">
      <w:pPr>
        <w:pStyle w:val="FootnoteText"/>
        <w:rPr>
          <w:rFonts w:asciiTheme="minorHAnsi" w:eastAsiaTheme="minorHAnsi" w:hAnsiTheme="minorHAnsi" w:cstheme="minorBidi"/>
          <w:sz w:val="22"/>
          <w:szCs w:val="22"/>
        </w:rPr>
      </w:pPr>
    </w:p>
    <w:p w14:paraId="2EFDEEEA"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Watts S, ‘User Skills for Qualitative Analysis: Perspective, Interpretation and the Delivery of Impact’ </w:t>
      </w:r>
    </w:p>
    <w:p w14:paraId="5EC35229"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(2014) 11(1) Qualitative Research in Psychology 1.</w:t>
      </w:r>
    </w:p>
    <w:p w14:paraId="0633CFDB" w14:textId="77777777" w:rsidR="00C07EB6" w:rsidRPr="00C07EB6" w:rsidRDefault="00C07EB6" w:rsidP="00C07EB6">
      <w:pPr>
        <w:pStyle w:val="FootnoteText"/>
        <w:rPr>
          <w:rFonts w:asciiTheme="minorHAnsi" w:eastAsiaTheme="minorHAnsi" w:hAnsiTheme="minorHAnsi" w:cstheme="minorBidi"/>
          <w:sz w:val="22"/>
          <w:szCs w:val="22"/>
        </w:rPr>
      </w:pPr>
    </w:p>
    <w:p w14:paraId="0CB9B9B0"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Wexler D, 'Applying the Law Therapeutically' (1996) 5(3) Applied and Preventive Psychology 179.</w:t>
      </w:r>
    </w:p>
    <w:p w14:paraId="4C154019" w14:textId="77777777" w:rsidR="00C07EB6" w:rsidRPr="00C07EB6" w:rsidRDefault="00C07EB6" w:rsidP="00C07EB6">
      <w:pPr>
        <w:pStyle w:val="FootnoteText"/>
        <w:rPr>
          <w:rFonts w:asciiTheme="minorHAnsi" w:eastAsiaTheme="minorHAnsi" w:hAnsiTheme="minorHAnsi" w:cstheme="minorBidi"/>
          <w:sz w:val="22"/>
          <w:szCs w:val="22"/>
        </w:rPr>
      </w:pPr>
    </w:p>
    <w:p w14:paraId="6648CA88"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Wills D, ‘Domestic Violence: The Case for Aggressive Prosecution’ (1997) University California Los </w:t>
      </w:r>
    </w:p>
    <w:p w14:paraId="118EC03D"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Angeles Women’s Law Journal 173.</w:t>
      </w:r>
    </w:p>
    <w:p w14:paraId="2C71AF2A" w14:textId="77777777" w:rsidR="00C07EB6" w:rsidRPr="00C07EB6" w:rsidRDefault="00C07EB6" w:rsidP="00C07EB6">
      <w:pPr>
        <w:pStyle w:val="FootnoteText"/>
        <w:rPr>
          <w:rFonts w:asciiTheme="minorHAnsi" w:eastAsiaTheme="minorHAnsi" w:hAnsiTheme="minorHAnsi" w:cstheme="minorBidi"/>
          <w:sz w:val="22"/>
          <w:szCs w:val="22"/>
        </w:rPr>
      </w:pPr>
    </w:p>
    <w:p w14:paraId="2059B148" w14:textId="77777777" w:rsidR="00C07EB6" w:rsidRPr="00C07EB6" w:rsidRDefault="00C07EB6" w:rsidP="00C07EB6">
      <w:pPr>
        <w:pStyle w:val="FootnoteText"/>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 xml:space="preserve">Winick B, ‘Applying the Law Therapeutically in Domestic Violence Cases’ (2000) 69 UMKC Law </w:t>
      </w:r>
    </w:p>
    <w:p w14:paraId="2BF2D486" w14:textId="77777777" w:rsidR="00C07EB6" w:rsidRPr="00C07EB6" w:rsidRDefault="00C07EB6" w:rsidP="00C07EB6">
      <w:pPr>
        <w:pStyle w:val="FootnoteText"/>
        <w:ind w:firstLine="720"/>
        <w:rPr>
          <w:rFonts w:asciiTheme="minorHAnsi" w:eastAsiaTheme="minorHAnsi" w:hAnsiTheme="minorHAnsi" w:cstheme="minorBidi"/>
          <w:sz w:val="22"/>
          <w:szCs w:val="22"/>
        </w:rPr>
      </w:pPr>
      <w:r w:rsidRPr="00C07EB6">
        <w:rPr>
          <w:rFonts w:asciiTheme="minorHAnsi" w:eastAsiaTheme="minorHAnsi" w:hAnsiTheme="minorHAnsi" w:cstheme="minorBidi"/>
          <w:sz w:val="22"/>
          <w:szCs w:val="22"/>
        </w:rPr>
        <w:t>Review 33.</w:t>
      </w:r>
    </w:p>
    <w:p w14:paraId="1DCFE974" w14:textId="77777777" w:rsidR="00C07EB6" w:rsidRPr="00C07EB6" w:rsidRDefault="00C07EB6" w:rsidP="00C07EB6">
      <w:pPr>
        <w:pStyle w:val="FootnoteText"/>
        <w:rPr>
          <w:rFonts w:asciiTheme="minorHAnsi" w:eastAsiaTheme="minorHAnsi" w:hAnsiTheme="minorHAnsi" w:cstheme="minorBidi"/>
          <w:sz w:val="22"/>
          <w:szCs w:val="22"/>
        </w:rPr>
      </w:pPr>
    </w:p>
    <w:p w14:paraId="4C3BD9A3" w14:textId="77777777" w:rsidR="00C07EB6" w:rsidRPr="00C07EB6" w:rsidRDefault="00C07EB6" w:rsidP="00C07EB6">
      <w:pPr>
        <w:pStyle w:val="FootnoteText"/>
        <w:rPr>
          <w:rFonts w:asciiTheme="minorHAnsi" w:eastAsiaTheme="minorHAnsi" w:hAnsiTheme="minorHAnsi" w:cstheme="minorBidi"/>
          <w:sz w:val="22"/>
          <w:szCs w:val="22"/>
        </w:rPr>
      </w:pPr>
      <w:proofErr w:type="spellStart"/>
      <w:r w:rsidRPr="00C07EB6">
        <w:rPr>
          <w:rFonts w:asciiTheme="minorHAnsi" w:eastAsiaTheme="minorHAnsi" w:hAnsiTheme="minorHAnsi" w:cstheme="minorBidi"/>
          <w:sz w:val="22"/>
          <w:szCs w:val="22"/>
        </w:rPr>
        <w:t>Zedner</w:t>
      </w:r>
      <w:proofErr w:type="spellEnd"/>
      <w:r w:rsidRPr="00C07EB6">
        <w:rPr>
          <w:rFonts w:asciiTheme="minorHAnsi" w:eastAsiaTheme="minorHAnsi" w:hAnsiTheme="minorHAnsi" w:cstheme="minorBidi"/>
          <w:sz w:val="22"/>
          <w:szCs w:val="22"/>
        </w:rPr>
        <w:t xml:space="preserve"> L, Criminal Justice (2nd </w:t>
      </w:r>
      <w:proofErr w:type="spellStart"/>
      <w:r w:rsidRPr="00C07EB6">
        <w:rPr>
          <w:rFonts w:asciiTheme="minorHAnsi" w:eastAsiaTheme="minorHAnsi" w:hAnsiTheme="minorHAnsi" w:cstheme="minorBidi"/>
          <w:sz w:val="22"/>
          <w:szCs w:val="22"/>
        </w:rPr>
        <w:t>edn</w:t>
      </w:r>
      <w:proofErr w:type="spellEnd"/>
      <w:r w:rsidRPr="00C07EB6">
        <w:rPr>
          <w:rFonts w:asciiTheme="minorHAnsi" w:eastAsiaTheme="minorHAnsi" w:hAnsiTheme="minorHAnsi" w:cstheme="minorBidi"/>
          <w:sz w:val="22"/>
          <w:szCs w:val="22"/>
        </w:rPr>
        <w:t>, Oxford University Press 2010).</w:t>
      </w:r>
    </w:p>
    <w:p w14:paraId="777F0FCC" w14:textId="77777777" w:rsidR="00C07EB6" w:rsidRPr="00705CF6" w:rsidRDefault="00C07EB6" w:rsidP="00C07EB6">
      <w:pPr>
        <w:spacing w:line="360" w:lineRule="auto"/>
        <w:rPr>
          <w:sz w:val="24"/>
          <w:szCs w:val="24"/>
        </w:rPr>
      </w:pPr>
    </w:p>
    <w:bookmarkEnd w:id="100"/>
    <w:bookmarkEnd w:id="101"/>
    <w:p w14:paraId="4119EA7C" w14:textId="30CC37DE" w:rsidR="00A64B1C" w:rsidRPr="00705CF6" w:rsidRDefault="00A64B1C" w:rsidP="00705CF6">
      <w:pPr>
        <w:spacing w:line="360" w:lineRule="auto"/>
        <w:rPr>
          <w:sz w:val="24"/>
          <w:szCs w:val="24"/>
        </w:rPr>
      </w:pPr>
    </w:p>
    <w:sectPr w:rsidR="00A64B1C" w:rsidRPr="00705CF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B92D5" w14:textId="77777777" w:rsidR="005F213D" w:rsidRDefault="005F213D" w:rsidP="00A64B1C">
      <w:pPr>
        <w:spacing w:after="0" w:line="240" w:lineRule="auto"/>
      </w:pPr>
      <w:r>
        <w:separator/>
      </w:r>
    </w:p>
  </w:endnote>
  <w:endnote w:type="continuationSeparator" w:id="0">
    <w:p w14:paraId="7AB9B4B5" w14:textId="77777777" w:rsidR="005F213D" w:rsidRDefault="005F213D" w:rsidP="00A6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Ìf’'F">
    <w:altName w:val="Cambr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07519"/>
      <w:docPartObj>
        <w:docPartGallery w:val="Page Numbers (Bottom of Page)"/>
        <w:docPartUnique/>
      </w:docPartObj>
    </w:sdtPr>
    <w:sdtEndPr>
      <w:rPr>
        <w:noProof/>
      </w:rPr>
    </w:sdtEndPr>
    <w:sdtContent>
      <w:p w14:paraId="598F549C" w14:textId="2A2CCE54" w:rsidR="005F213D" w:rsidRDefault="005F2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A47C1A" w14:textId="77777777" w:rsidR="005F213D" w:rsidRDefault="005F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221DF" w14:textId="77777777" w:rsidR="005F213D" w:rsidRDefault="005F213D" w:rsidP="00A64B1C">
      <w:pPr>
        <w:spacing w:after="0" w:line="240" w:lineRule="auto"/>
      </w:pPr>
      <w:r>
        <w:separator/>
      </w:r>
    </w:p>
  </w:footnote>
  <w:footnote w:type="continuationSeparator" w:id="0">
    <w:p w14:paraId="343614E7" w14:textId="77777777" w:rsidR="005F213D" w:rsidRDefault="005F213D" w:rsidP="00A64B1C">
      <w:pPr>
        <w:spacing w:after="0" w:line="240" w:lineRule="auto"/>
      </w:pPr>
      <w:r>
        <w:continuationSeparator/>
      </w:r>
    </w:p>
  </w:footnote>
  <w:footnote w:id="1">
    <w:p w14:paraId="56FA45E6" w14:textId="533B4D87" w:rsidR="005F213D" w:rsidRPr="00B93133" w:rsidRDefault="005F213D" w:rsidP="00A64B1C">
      <w:pPr>
        <w:pStyle w:val="FootnoteText"/>
      </w:pPr>
      <w:r>
        <w:rPr>
          <w:rStyle w:val="FootnoteReference"/>
        </w:rPr>
        <w:footnoteRef/>
      </w:r>
      <w:r>
        <w:t xml:space="preserve"> Use of the term ‘victim’ in the book reflects its usage in the criminal justice system. In no way do I intend to totalise women’s experiences or overlook the empowered agency of women who have experienced domestic abuse. Crown Prosecution Service, ‘Violence Against Women and Girls Report 2018-20 19 ’ (2019 CPS)</w:t>
      </w:r>
      <w:r w:rsidRPr="00B93133">
        <w:t xml:space="preserve"> </w:t>
      </w:r>
      <w:r>
        <w:t>A13 available at &lt;</w:t>
      </w:r>
      <w:hyperlink r:id="rId1" w:history="1">
        <w:r w:rsidRPr="007F3BEF">
          <w:rPr>
            <w:rStyle w:val="Hyperlink"/>
            <w:color w:val="auto"/>
            <w:u w:val="none"/>
          </w:rPr>
          <w:t>https://www.cps.gov.uk/sites/default/files/documents/publications/cps-vawg-report-2019.pdf</w:t>
        </w:r>
      </w:hyperlink>
      <w:r w:rsidRPr="007F3BEF">
        <w:t xml:space="preserve">&gt; </w:t>
      </w:r>
      <w:r>
        <w:t>a</w:t>
      </w:r>
      <w:r w:rsidRPr="00B93133">
        <w:t>ccessed 28 January 20</w:t>
      </w:r>
      <w:r>
        <w:t>20</w:t>
      </w:r>
      <w:r w:rsidRPr="00B93133">
        <w:t>.</w:t>
      </w:r>
    </w:p>
  </w:footnote>
  <w:footnote w:id="2">
    <w:p w14:paraId="52504F37" w14:textId="35C1603D" w:rsidR="005F213D" w:rsidRDefault="005F213D" w:rsidP="008A105C">
      <w:pPr>
        <w:pStyle w:val="FootnoteText"/>
      </w:pPr>
      <w:r>
        <w:rPr>
          <w:rStyle w:val="FootnoteReference"/>
        </w:rPr>
        <w:footnoteRef/>
      </w:r>
      <w:r>
        <w:t xml:space="preserve"> </w:t>
      </w:r>
      <w:r w:rsidRPr="00B93133">
        <w:t>Here, I use the term ‘domestic violence’ and not ‘domestic abuse’ because this reflects CPS terminology in 2007.</w:t>
      </w:r>
      <w:r>
        <w:t xml:space="preserve"> Crown Prosecution Service, ‘Policy for Prosecuting Cases of Domestic Violence’ (CPS HQ 2005) and Crown Prosecution Service, ‘Domestic Violence: Good Practice Guidance’ (CPS HQ 2005) available at &lt;</w:t>
      </w:r>
      <w:hyperlink r:id="rId2" w:history="1">
        <w:r w:rsidRPr="0059081B">
          <w:rPr>
            <w:rStyle w:val="Hyperlink"/>
            <w:color w:val="000000"/>
            <w:u w:val="none"/>
          </w:rPr>
          <w:t>http://webarchive.nationalarchives.gov.uk/+/http:/www.crimereduction.homeoffice.gov.uk/domesticviolence/domesticviolence51.pdf</w:t>
        </w:r>
      </w:hyperlink>
      <w:r w:rsidRPr="0059081B">
        <w:rPr>
          <w:color w:val="000000"/>
        </w:rPr>
        <w:t>&gt;</w:t>
      </w:r>
      <w:bookmarkStart w:id="3" w:name="_Hlk508783489"/>
      <w:r>
        <w:t xml:space="preserve"> and </w:t>
      </w:r>
      <w:r w:rsidRPr="00B93133">
        <w:t xml:space="preserve">Crown Prosecution Service, ‘Evaluation of the national domestic violence training programme 2005-2008’ </w:t>
      </w:r>
      <w:r>
        <w:t xml:space="preserve">(2008) </w:t>
      </w:r>
      <w:r w:rsidRPr="00B93133">
        <w:t>available at &lt;</w:t>
      </w:r>
      <w:hyperlink r:id="rId3" w:history="1">
        <w:r w:rsidRPr="00B93133">
          <w:rPr>
            <w:rStyle w:val="Hyperlink"/>
            <w:color w:val="auto"/>
            <w:u w:val="none"/>
          </w:rPr>
          <w:t>https://www.cps.gov.uk/publications/equality/evaluation_of_national_domestic_violence_training_programme.html</w:t>
        </w:r>
      </w:hyperlink>
      <w:r w:rsidRPr="00B93133">
        <w:rPr>
          <w:rStyle w:val="Hyperlink"/>
          <w:color w:val="auto"/>
          <w:u w:val="none"/>
        </w:rPr>
        <w:t>&gt;</w:t>
      </w:r>
      <w:r w:rsidRPr="00B93133">
        <w:t xml:space="preserve">  accessed 29 June 2017.</w:t>
      </w:r>
      <w:bookmarkEnd w:id="3"/>
    </w:p>
  </w:footnote>
  <w:footnote w:id="3">
    <w:p w14:paraId="7D48EAA5" w14:textId="03803189" w:rsidR="005F213D" w:rsidRPr="00B93133" w:rsidRDefault="005F213D" w:rsidP="00E675F1">
      <w:pPr>
        <w:pStyle w:val="FootnoteText"/>
      </w:pPr>
      <w:r w:rsidRPr="00B93133">
        <w:rPr>
          <w:rStyle w:val="FootnoteReference"/>
        </w:rPr>
        <w:footnoteRef/>
      </w:r>
      <w:r w:rsidRPr="00B93133">
        <w:t xml:space="preserve"> </w:t>
      </w:r>
      <w:bookmarkStart w:id="4" w:name="_Hlk508783506"/>
      <w:r w:rsidRPr="00B93133">
        <w:t>Crown Prosecution Service, ‘A Consultation on the CPS Violence Against Women Strategy and Action Plans- A Response to Consultations’ (2012)</w:t>
      </w:r>
      <w:r>
        <w:t xml:space="preserve"> </w:t>
      </w:r>
      <w:r w:rsidRPr="00B93133">
        <w:t>available at &lt;</w:t>
      </w:r>
      <w:hyperlink r:id="rId4" w:history="1">
        <w:r w:rsidRPr="00B93133">
          <w:rPr>
            <w:rStyle w:val="Hyperlink"/>
            <w:color w:val="auto"/>
            <w:u w:val="none"/>
          </w:rPr>
          <w:t>https://www.cps.gov.uk/publication/consultation-cps-violence-against-women-strategy-and-action-plans-response-consultation</w:t>
        </w:r>
      </w:hyperlink>
      <w:r w:rsidRPr="00B93133">
        <w:rPr>
          <w:rStyle w:val="Hyperlink"/>
          <w:color w:val="auto"/>
          <w:u w:val="none"/>
        </w:rPr>
        <w:t>&gt;</w:t>
      </w:r>
      <w:r w:rsidRPr="00B93133">
        <w:t xml:space="preserve"> accessed 6 February 20</w:t>
      </w:r>
      <w:r>
        <w:t>20</w:t>
      </w:r>
      <w:r w:rsidRPr="00B93133">
        <w:t>.</w:t>
      </w:r>
      <w:bookmarkEnd w:id="4"/>
      <w:r w:rsidRPr="00E675F1">
        <w:t xml:space="preserve"> </w:t>
      </w:r>
      <w:r w:rsidRPr="00B93133">
        <w:t>Crown Prosecution Service, ‘Domestic Abuse Guidelines for Prosecutors’ available at &lt;</w:t>
      </w:r>
      <w:hyperlink r:id="rId5" w:history="1">
        <w:r w:rsidRPr="00B93133">
          <w:rPr>
            <w:rStyle w:val="Hyperlink"/>
            <w:color w:val="auto"/>
            <w:u w:val="none"/>
          </w:rPr>
          <w:t>https://www.cps.gov.uk/legal-guidance/domestic-abuse-guidelines-prosecutors</w:t>
        </w:r>
      </w:hyperlink>
      <w:r w:rsidRPr="00B93133">
        <w:rPr>
          <w:rStyle w:val="Hyperlink"/>
          <w:color w:val="auto"/>
          <w:u w:val="none"/>
        </w:rPr>
        <w:t>&gt;</w:t>
      </w:r>
      <w:r w:rsidRPr="00B93133">
        <w:t xml:space="preserve"> accessed 9 February 20</w:t>
      </w:r>
      <w:r>
        <w:t>20</w:t>
      </w:r>
      <w:r w:rsidRPr="00B93133">
        <w:t>.</w:t>
      </w:r>
    </w:p>
  </w:footnote>
  <w:footnote w:id="4">
    <w:p w14:paraId="1EF06650" w14:textId="5A8CB60B" w:rsidR="005F213D" w:rsidRDefault="005F213D" w:rsidP="00A64B1C">
      <w:pPr>
        <w:pStyle w:val="FootnoteText"/>
      </w:pPr>
      <w:r w:rsidRPr="00B93133">
        <w:rPr>
          <w:rStyle w:val="FootnoteReference"/>
        </w:rPr>
        <w:footnoteRef/>
      </w:r>
      <w:r w:rsidRPr="00B93133">
        <w:t xml:space="preserve"> </w:t>
      </w:r>
      <w:bookmarkStart w:id="5" w:name="_Hlk508783589"/>
      <w:r w:rsidRPr="00B93133">
        <w:t>Crown Prosecution Service, ‘Delivering Justice: Violence Against Women and Girls Report, 10</w:t>
      </w:r>
      <w:r w:rsidRPr="00B93133">
        <w:rPr>
          <w:vertAlign w:val="superscript"/>
        </w:rPr>
        <w:t>th</w:t>
      </w:r>
      <w:r w:rsidRPr="00B93133">
        <w:t xml:space="preserve"> Edition’ (2017) 1 available at &lt;</w:t>
      </w:r>
      <w:hyperlink r:id="rId6" w:history="1">
        <w:r w:rsidRPr="00B93133">
          <w:rPr>
            <w:rStyle w:val="Hyperlink"/>
            <w:color w:val="auto"/>
            <w:u w:val="none"/>
          </w:rPr>
          <w:t>https://www.cps.gov.uk/sites/default/files/documents/publications/cps-vawg-report-2017.pdf</w:t>
        </w:r>
      </w:hyperlink>
      <w:r w:rsidRPr="00B93133">
        <w:rPr>
          <w:rStyle w:val="Hyperlink"/>
          <w:color w:val="auto"/>
          <w:u w:val="none"/>
        </w:rPr>
        <w:t>&gt;</w:t>
      </w:r>
      <w:r w:rsidRPr="00B93133">
        <w:t xml:space="preserve"> accessed 28 January 20</w:t>
      </w:r>
      <w:r>
        <w:t>20</w:t>
      </w:r>
      <w:r w:rsidRPr="00B93133">
        <w:t>.</w:t>
      </w:r>
    </w:p>
    <w:bookmarkEnd w:id="5"/>
  </w:footnote>
  <w:footnote w:id="5">
    <w:p w14:paraId="4BC65FDB" w14:textId="1A33B43C" w:rsidR="005F213D" w:rsidRPr="006F64EE" w:rsidRDefault="005F213D" w:rsidP="005714A2">
      <w:pPr>
        <w:pStyle w:val="FootnoteText"/>
      </w:pPr>
      <w:r>
        <w:rPr>
          <w:rStyle w:val="FootnoteReference"/>
        </w:rPr>
        <w:footnoteRef/>
      </w:r>
      <w:r>
        <w:t xml:space="preserve"> Vanessa Munro, ‘Violence Against Women, ‘Victimhood’ and the (Neo)Liberal State’ in </w:t>
      </w:r>
      <w:bookmarkStart w:id="6" w:name="_Hlk40679921"/>
      <w:r>
        <w:t xml:space="preserve">Margaret Davies and Vanessa Munro (eds), </w:t>
      </w:r>
      <w:r>
        <w:rPr>
          <w:i/>
        </w:rPr>
        <w:t xml:space="preserve">The Ashgate Research Companion to Feminist Legal Theory </w:t>
      </w:r>
      <w:r>
        <w:t xml:space="preserve">(Ashgate 2013) </w:t>
      </w:r>
      <w:bookmarkEnd w:id="6"/>
      <w:r>
        <w:t>234.</w:t>
      </w:r>
      <w:r w:rsidRPr="005714A2">
        <w:t xml:space="preserve"> </w:t>
      </w:r>
      <w:r>
        <w:t xml:space="preserve">What I mean by New Public Managerialism is described in Chapters Three and Four. Succinctly, it describes an ideology usually associated with the private business sector (here the public sector) that strives for systems efficiency and economy, typically overseen by an expanded management structure. </w:t>
      </w:r>
    </w:p>
  </w:footnote>
  <w:footnote w:id="6">
    <w:p w14:paraId="4FF56232" w14:textId="7618A285" w:rsidR="005F213D" w:rsidRDefault="005F213D">
      <w:pPr>
        <w:pStyle w:val="FootnoteText"/>
      </w:pPr>
      <w:r>
        <w:rPr>
          <w:rStyle w:val="FootnoteReference"/>
        </w:rPr>
        <w:footnoteRef/>
      </w:r>
      <w:r>
        <w:t xml:space="preserve"> </w:t>
      </w:r>
      <w:r w:rsidRPr="00A815AC">
        <w:t>Domestic abuse, or domestic violence, is defined across government as, ‘any incident of controlling, coercive or threatening behaviour, violence or abuse between those aged 16 or over who are or have been intimate partners</w:t>
      </w:r>
      <w:r>
        <w:t xml:space="preserve"> …</w:t>
      </w:r>
      <w:r w:rsidRPr="00A815AC">
        <w:t xml:space="preserve"> regardless of their gender or sexuality’</w:t>
      </w:r>
      <w:r>
        <w:t xml:space="preserve"> and covers </w:t>
      </w:r>
      <w:r w:rsidRPr="00606193">
        <w:t>a range of types of abuse, ‘including, but not limited to, psychological, physical, sexual, financial or emotional abuse’</w:t>
      </w:r>
      <w:r w:rsidRPr="00A815AC">
        <w:t xml:space="preserve"> in Crown Prosecution Service</w:t>
      </w:r>
      <w:r>
        <w:t>, ‘Domestic Abuse Guidelines for Prosecutors’ (CPS 2014) available at &lt;</w:t>
      </w:r>
      <w:r w:rsidRPr="00606193">
        <w:t>https://www.cps.gov.uk/legal-guidance/domestic-abuse-guidelines-prosecutors</w:t>
      </w:r>
      <w:r>
        <w:t>&gt; accessed 2 March 2020</w:t>
      </w:r>
    </w:p>
  </w:footnote>
  <w:footnote w:id="7">
    <w:p w14:paraId="37CE52BB" w14:textId="76743612" w:rsidR="005F213D" w:rsidRDefault="005F213D" w:rsidP="00F40405">
      <w:pPr>
        <w:pStyle w:val="FootnoteText"/>
      </w:pPr>
      <w:r>
        <w:rPr>
          <w:rStyle w:val="FootnoteReference"/>
        </w:rPr>
        <w:footnoteRef/>
      </w:r>
      <w:r>
        <w:t xml:space="preserve"> </w:t>
      </w:r>
      <w:bookmarkStart w:id="8" w:name="_Hlk40680012"/>
      <w:r>
        <w:t>Crown Prosecution Service, ‘Violence Against Women and Girls Crime Report 2015-16’ (CPS 2016) 31 available at &lt;</w:t>
      </w:r>
      <w:hyperlink r:id="rId7" w:history="1">
        <w:r w:rsidRPr="00A815AC">
          <w:rPr>
            <w:rStyle w:val="Hyperlink"/>
            <w:color w:val="auto"/>
            <w:u w:val="none"/>
          </w:rPr>
          <w:t>https://www.cps.gov.uk/sites/default/files/documents/publications/cps_vawg_report_2016.pdf</w:t>
        </w:r>
      </w:hyperlink>
      <w:r w:rsidRPr="00A815AC">
        <w:rPr>
          <w:rStyle w:val="Hyperlink"/>
          <w:color w:val="auto"/>
          <w:u w:val="none"/>
        </w:rPr>
        <w:t>&gt;</w:t>
      </w:r>
      <w:r>
        <w:t xml:space="preserve"> accessed 17 April 2018.</w:t>
      </w:r>
      <w:bookmarkEnd w:id="8"/>
    </w:p>
  </w:footnote>
  <w:footnote w:id="8">
    <w:p w14:paraId="0148A1D6" w14:textId="63A0136B" w:rsidR="005F213D" w:rsidRDefault="005F213D" w:rsidP="00F40405">
      <w:pPr>
        <w:pStyle w:val="FootnoteText"/>
      </w:pPr>
      <w:r>
        <w:rPr>
          <w:rStyle w:val="FootnoteReference"/>
        </w:rPr>
        <w:footnoteRef/>
      </w:r>
      <w:r>
        <w:t xml:space="preserve"> </w:t>
      </w:r>
      <w:r w:rsidRPr="00AA7A63">
        <w:t>Crown Prosecution Service, Violence Against Women and Girls Crime Report 2010–2011 (CPS 2011)</w:t>
      </w:r>
      <w:r>
        <w:t>.</w:t>
      </w:r>
    </w:p>
  </w:footnote>
  <w:footnote w:id="9">
    <w:p w14:paraId="5A75304F" w14:textId="77777777" w:rsidR="005F213D" w:rsidRDefault="005F213D" w:rsidP="00F40405">
      <w:pPr>
        <w:pStyle w:val="FootnoteText"/>
      </w:pPr>
      <w:r w:rsidRPr="00050DA6">
        <w:rPr>
          <w:rStyle w:val="FootnoteReference"/>
        </w:rPr>
        <w:footnoteRef/>
      </w:r>
      <w:r>
        <w:t xml:space="preserve"> Crown Prosecution Service, ‘Violence Against Women and Girls Crime Report 2015-16’ (CPS 2016) 31.</w:t>
      </w:r>
      <w:r w:rsidRPr="005D0E3E">
        <w:t xml:space="preserve"> </w:t>
      </w:r>
      <w:r>
        <w:t>Available at &lt;</w:t>
      </w:r>
      <w:hyperlink r:id="rId8" w:history="1">
        <w:r w:rsidRPr="00AA7A63">
          <w:t>https://www.cps.gov.uk/sites/default/files/documents/publications/cps_vawg_report_2016.pdf</w:t>
        </w:r>
      </w:hyperlink>
      <w:r w:rsidRPr="00AA7A63">
        <w:t>&gt;</w:t>
      </w:r>
      <w:r>
        <w:t xml:space="preserve"> accessed 17 April 2018.</w:t>
      </w:r>
    </w:p>
  </w:footnote>
  <w:footnote w:id="10">
    <w:p w14:paraId="79D4126F" w14:textId="281A5CAF" w:rsidR="005F213D" w:rsidRPr="006C4E98" w:rsidRDefault="005F213D" w:rsidP="00F40405">
      <w:pPr>
        <w:pStyle w:val="FootnoteText"/>
      </w:pPr>
      <w:r>
        <w:rPr>
          <w:rStyle w:val="FootnoteReference"/>
        </w:rPr>
        <w:footnoteRef/>
      </w:r>
      <w:r>
        <w:t xml:space="preserve"> Women may withdraw support for the prosecution due to, inter alia, f</w:t>
      </w:r>
      <w:r w:rsidRPr="00AA7A63">
        <w:t>ear</w:t>
      </w:r>
      <w:r>
        <w:t xml:space="preserve"> of</w:t>
      </w:r>
      <w:r w:rsidRPr="00AA7A63">
        <w:t xml:space="preserve"> retaliation by the perpetrator</w:t>
      </w:r>
      <w:r>
        <w:t xml:space="preserve">/ </w:t>
      </w:r>
      <w:r w:rsidRPr="00AA7A63">
        <w:t>his associates</w:t>
      </w:r>
      <w:r>
        <w:t>;</w:t>
      </w:r>
      <w:r w:rsidRPr="00AA7A63">
        <w:t xml:space="preserve"> concerns about the court process or outcome</w:t>
      </w:r>
      <w:r>
        <w:t>; or ongoing proceedings creating problems in their continued intimate relationship.</w:t>
      </w:r>
      <w:r w:rsidRPr="00AA7A63">
        <w:t xml:space="preserve"> </w:t>
      </w:r>
      <w:r>
        <w:t xml:space="preserve">See </w:t>
      </w:r>
      <w:bookmarkStart w:id="9" w:name="_Hlk40680252"/>
      <w:r>
        <w:t xml:space="preserve">Lisa Goodman and Deborah Epstein, </w:t>
      </w:r>
      <w:r>
        <w:rPr>
          <w:i/>
        </w:rPr>
        <w:t xml:space="preserve">Listening to Battered Women: A Survivor Centred Approach to Advocacy, Mental Health and Justice </w:t>
      </w:r>
      <w:r>
        <w:t>(American Psychological Association 2009) 97.</w:t>
      </w:r>
    </w:p>
    <w:bookmarkEnd w:id="9"/>
  </w:footnote>
  <w:footnote w:id="11">
    <w:p w14:paraId="7843EE48" w14:textId="75FD3075" w:rsidR="005F213D" w:rsidRPr="00A815AC" w:rsidRDefault="005F213D" w:rsidP="00606193">
      <w:pPr>
        <w:pStyle w:val="FootnoteText"/>
      </w:pPr>
      <w:r>
        <w:rPr>
          <w:rStyle w:val="FootnoteReference"/>
        </w:rPr>
        <w:footnoteRef/>
      </w:r>
      <w:r>
        <w:t xml:space="preserve"> </w:t>
      </w:r>
      <w:bookmarkStart w:id="10" w:name="_Hlk40680369"/>
      <w:r>
        <w:rPr>
          <w:lang w:val="en-US"/>
        </w:rPr>
        <w:t xml:space="preserve">Francis </w:t>
      </w:r>
      <w:proofErr w:type="spellStart"/>
      <w:r>
        <w:rPr>
          <w:lang w:val="en-US"/>
        </w:rPr>
        <w:t>Bennion</w:t>
      </w:r>
      <w:proofErr w:type="spellEnd"/>
      <w:r w:rsidRPr="00A815AC">
        <w:rPr>
          <w:lang w:val="en-US"/>
        </w:rPr>
        <w:t>, ‘The New Prosecution Arrangements’ (1986) C</w:t>
      </w:r>
      <w:r>
        <w:rPr>
          <w:lang w:val="en-US"/>
        </w:rPr>
        <w:t xml:space="preserve">riminal </w:t>
      </w:r>
      <w:r w:rsidRPr="00A815AC">
        <w:rPr>
          <w:lang w:val="en-US"/>
        </w:rPr>
        <w:t>L</w:t>
      </w:r>
      <w:r>
        <w:rPr>
          <w:lang w:val="en-US"/>
        </w:rPr>
        <w:t xml:space="preserve">aw </w:t>
      </w:r>
      <w:r w:rsidRPr="00A815AC">
        <w:rPr>
          <w:lang w:val="en-US"/>
        </w:rPr>
        <w:t>R</w:t>
      </w:r>
      <w:r>
        <w:rPr>
          <w:lang w:val="en-US"/>
        </w:rPr>
        <w:t>eview</w:t>
      </w:r>
      <w:r w:rsidRPr="00A815AC">
        <w:rPr>
          <w:lang w:val="en-US"/>
        </w:rPr>
        <w:t xml:space="preserve"> 3- 15, 3</w:t>
      </w:r>
      <w:r>
        <w:rPr>
          <w:lang w:val="en-US"/>
        </w:rPr>
        <w:t xml:space="preserve">; and </w:t>
      </w:r>
      <w:bookmarkStart w:id="11" w:name="_Hlk508783619"/>
      <w:r w:rsidRPr="00A815AC">
        <w:t>Crown Prosecution Service, ‘The Decision to Charge’ available at &lt;</w:t>
      </w:r>
      <w:hyperlink r:id="rId9" w:history="1">
        <w:r w:rsidRPr="00A815AC">
          <w:rPr>
            <w:rStyle w:val="Hyperlink"/>
            <w:color w:val="auto"/>
            <w:u w:val="none"/>
          </w:rPr>
          <w:t>https://www.cps.gov.uk/cps-page/decision-charge</w:t>
        </w:r>
      </w:hyperlink>
      <w:r w:rsidRPr="00A815AC">
        <w:rPr>
          <w:rStyle w:val="Hyperlink"/>
          <w:color w:val="auto"/>
          <w:u w:val="none"/>
        </w:rPr>
        <w:t>&gt;</w:t>
      </w:r>
      <w:r w:rsidRPr="00A815AC">
        <w:t xml:space="preserve"> accessed 1 March 20</w:t>
      </w:r>
      <w:r>
        <w:t>20</w:t>
      </w:r>
      <w:r w:rsidRPr="00A815AC">
        <w:t>.</w:t>
      </w:r>
      <w:bookmarkEnd w:id="11"/>
      <w:bookmarkEnd w:id="10"/>
    </w:p>
  </w:footnote>
  <w:footnote w:id="12">
    <w:p w14:paraId="381479BA" w14:textId="685BA069" w:rsidR="005F213D" w:rsidRPr="00A815AC" w:rsidRDefault="005F213D" w:rsidP="00EF634A">
      <w:pPr>
        <w:pStyle w:val="FootnoteText"/>
      </w:pPr>
      <w:r w:rsidRPr="00A815AC">
        <w:rPr>
          <w:rStyle w:val="FootnoteReference"/>
        </w:rPr>
        <w:footnoteRef/>
      </w:r>
      <w:bookmarkStart w:id="12" w:name="_Hlk508783642"/>
      <w:r w:rsidRPr="00A815AC">
        <w:t xml:space="preserve"> </w:t>
      </w:r>
      <w:r>
        <w:t>The ‘realistic prospect of conviction’ or ‘evidential’ test is met when impartial assessment of all admissible evidence concludes that a court would be ‘</w:t>
      </w:r>
      <w:r w:rsidRPr="00434C1E">
        <w:t>more likely than not to convict the defendant of the charge alleged’</w:t>
      </w:r>
      <w:r>
        <w:t xml:space="preserve">. </w:t>
      </w:r>
      <w:bookmarkStart w:id="13" w:name="_Hlk40681250"/>
      <w:r w:rsidRPr="00A815AC">
        <w:t>Crown Prosecution Service, ‘The Code for Prosecutors’ (201</w:t>
      </w:r>
      <w:r>
        <w:t>8</w:t>
      </w:r>
      <w:r w:rsidRPr="00A815AC">
        <w:t xml:space="preserve">) available at </w:t>
      </w:r>
      <w:r>
        <w:t>&lt;</w:t>
      </w:r>
      <w:r w:rsidRPr="008374A6">
        <w:t>https://www.cps.gov.uk/sites/default/files/documents/publications/Code-for-Crown-Prosecutors-October-2018.pdf</w:t>
      </w:r>
      <w:r>
        <w:t xml:space="preserve">&gt; </w:t>
      </w:r>
      <w:r w:rsidRPr="00A815AC">
        <w:t>accessed 1 March 20</w:t>
      </w:r>
      <w:r>
        <w:t>20</w:t>
      </w:r>
      <w:r w:rsidRPr="00A815AC">
        <w:t>.</w:t>
      </w:r>
      <w:bookmarkEnd w:id="12"/>
      <w:bookmarkEnd w:id="13"/>
    </w:p>
  </w:footnote>
  <w:footnote w:id="13">
    <w:p w14:paraId="556BA415" w14:textId="7F2B33B9" w:rsidR="005F213D" w:rsidRDefault="005F213D" w:rsidP="00A64B1C">
      <w:pPr>
        <w:pStyle w:val="FootnoteText"/>
      </w:pPr>
      <w:r w:rsidRPr="00A815AC">
        <w:rPr>
          <w:rStyle w:val="FootnoteReference"/>
        </w:rPr>
        <w:footnoteRef/>
      </w:r>
      <w:r w:rsidRPr="00A815AC">
        <w:t xml:space="preserve"> Crown Prosecution Service</w:t>
      </w:r>
      <w:r>
        <w:t>, ‘Domestic Abuse Guidelines for Prosecutors’ (CPS 2014) available at &lt;</w:t>
      </w:r>
      <w:r w:rsidRPr="00606193">
        <w:t>https://www.cps.gov.uk/legal-guidance/domestic-abuse-guidelines-prosecutors</w:t>
      </w:r>
      <w:r>
        <w:t>&gt; accessed 2 March 2020</w:t>
      </w:r>
    </w:p>
  </w:footnote>
  <w:footnote w:id="14">
    <w:p w14:paraId="09F3D40C" w14:textId="77777777" w:rsidR="005F213D" w:rsidRPr="00280D4F" w:rsidRDefault="005F213D" w:rsidP="009C2340">
      <w:pPr>
        <w:pStyle w:val="EndnoteText"/>
        <w:rPr>
          <w:i/>
          <w:iCs/>
        </w:rPr>
      </w:pPr>
      <w:r>
        <w:rPr>
          <w:rStyle w:val="FootnoteReference"/>
          <w:rFonts w:eastAsia="Calibri"/>
        </w:rPr>
        <w:footnoteRef/>
      </w:r>
      <w:r>
        <w:t xml:space="preserve"> A Crown Prosecutor has discretion to discontinue a case under s23 Prosecution of Offences Act 1985 or apply to withdraw the charge or offer no evidence in court. In the Crown Court, alternatively, the prosecutor may ask that the count be left to lie on the indictment, apply for a motion to quash the count or invite the Attorney General to enter </w:t>
      </w:r>
      <w:r>
        <w:rPr>
          <w:i/>
          <w:iCs/>
        </w:rPr>
        <w:t>nolle prosequi.</w:t>
      </w:r>
    </w:p>
  </w:footnote>
  <w:footnote w:id="15">
    <w:p w14:paraId="3914DF01" w14:textId="71CE7EA2" w:rsidR="005F213D" w:rsidRDefault="005F213D" w:rsidP="00A64B1C">
      <w:pPr>
        <w:pStyle w:val="FootnoteText"/>
      </w:pPr>
      <w:r>
        <w:rPr>
          <w:rStyle w:val="FootnoteReference"/>
        </w:rPr>
        <w:footnoteRef/>
      </w:r>
      <w:r>
        <w:t xml:space="preserve"> A hearsay application may be made as follows: s116(2)e Criminal Justice Act 2003 if the victim is in fear; s114(1)d if it is considered ‘in the interests of justice’ to do so; s118/ common law if it falls under the principles of res gestae.</w:t>
      </w:r>
    </w:p>
  </w:footnote>
  <w:footnote w:id="16">
    <w:p w14:paraId="7632E650" w14:textId="409276F2" w:rsidR="005F213D" w:rsidRDefault="005F213D" w:rsidP="00A64B1C">
      <w:pPr>
        <w:pStyle w:val="FootnoteText"/>
      </w:pPr>
      <w:r>
        <w:rPr>
          <w:rStyle w:val="FootnoteReference"/>
        </w:rPr>
        <w:footnoteRef/>
      </w:r>
      <w:r>
        <w:t xml:space="preserve"> Crown Prosecution Service, </w:t>
      </w:r>
      <w:r w:rsidRPr="00B93133">
        <w:t>‘Domestic Abuse Guidelines for Prosecutors’</w:t>
      </w:r>
      <w:r>
        <w:t xml:space="preserve"> (n 13).</w:t>
      </w:r>
    </w:p>
  </w:footnote>
  <w:footnote w:id="17">
    <w:p w14:paraId="19BA7AA2" w14:textId="77777777" w:rsidR="005F213D" w:rsidRDefault="005F213D" w:rsidP="00A64B1C">
      <w:pPr>
        <w:pStyle w:val="EndnoteText"/>
      </w:pPr>
      <w:r>
        <w:rPr>
          <w:rStyle w:val="FootnoteReference"/>
          <w:rFonts w:eastAsia="Calibri"/>
        </w:rPr>
        <w:footnoteRef/>
      </w:r>
      <w:r>
        <w:t xml:space="preserve"> The court has power to issue a summons under Serious Organised Crime and Police Act 2005, s169 where the court deems it is in the interests of justice to secure the material evidence of the witness at trial.</w:t>
      </w:r>
    </w:p>
  </w:footnote>
  <w:footnote w:id="18">
    <w:p w14:paraId="76BFF451" w14:textId="085C2E59" w:rsidR="005F213D" w:rsidRDefault="005F213D" w:rsidP="005425FE">
      <w:pPr>
        <w:pStyle w:val="FootnoteText"/>
      </w:pPr>
      <w:r>
        <w:rPr>
          <w:rStyle w:val="FootnoteReference"/>
        </w:rPr>
        <w:footnoteRef/>
      </w:r>
      <w:r>
        <w:t xml:space="preserve"> Crown Prosecution Service, ‘Policy for Prosecuting Cases of Domestic Violence: 2005’ (n 2).</w:t>
      </w:r>
    </w:p>
  </w:footnote>
  <w:footnote w:id="19">
    <w:p w14:paraId="0F22C506" w14:textId="4BC0CC32" w:rsidR="005F213D" w:rsidRDefault="005F213D" w:rsidP="004E47AC">
      <w:pPr>
        <w:pStyle w:val="FootnoteText"/>
      </w:pPr>
      <w:r>
        <w:rPr>
          <w:rStyle w:val="FootnoteReference"/>
        </w:rPr>
        <w:footnoteRef/>
      </w:r>
      <w:r>
        <w:t xml:space="preserve"> </w:t>
      </w:r>
      <w:r w:rsidRPr="00B16837">
        <w:t xml:space="preserve">In spring 2017, the CPS introduced </w:t>
      </w:r>
      <w:r>
        <w:t>four new mandatory domestic abuse e</w:t>
      </w:r>
      <w:bookmarkStart w:id="15" w:name="_Hlk508783711"/>
      <w:r>
        <w:t>-learning modules. Crown Prosecution Service, ‘Crown Prosecution Service Annual Report and Accounts 2016-2017’ (2017) available at &lt;</w:t>
      </w:r>
      <w:hyperlink r:id="rId10" w:history="1">
        <w:r w:rsidRPr="00A815AC">
          <w:rPr>
            <w:rStyle w:val="Hyperlink"/>
            <w:color w:val="auto"/>
            <w:u w:val="none"/>
          </w:rPr>
          <w:t>https://www.gov.uk/government/uploads/system/uploads/attachment_data/file/628968/CPS_annual_report_2016_17.pdf</w:t>
        </w:r>
      </w:hyperlink>
      <w:r w:rsidRPr="00A815AC">
        <w:rPr>
          <w:rStyle w:val="Hyperlink"/>
          <w:color w:val="auto"/>
          <w:u w:val="none"/>
        </w:rPr>
        <w:t>&gt;</w:t>
      </w:r>
      <w:r>
        <w:t xml:space="preserve"> accessed 13 February 2020.</w:t>
      </w:r>
      <w:bookmarkEnd w:id="15"/>
    </w:p>
  </w:footnote>
  <w:footnote w:id="20">
    <w:p w14:paraId="43DF03D5" w14:textId="354A8145" w:rsidR="005F213D" w:rsidRDefault="005F213D" w:rsidP="00A91C1F">
      <w:pPr>
        <w:pStyle w:val="FootnoteText"/>
      </w:pPr>
      <w:r>
        <w:rPr>
          <w:rStyle w:val="FootnoteReference"/>
        </w:rPr>
        <w:footnoteRef/>
      </w:r>
      <w:r>
        <w:t xml:space="preserve"> Crown Prosecution Service, ‘Delivering Justice: Violence Against Women and Girls’ report 2018- 19’ (CPS 2019) available at </w:t>
      </w:r>
      <w:hyperlink r:id="rId11" w:history="1">
        <w:r w:rsidRPr="00246385">
          <w:rPr>
            <w:rStyle w:val="Hyperlink"/>
            <w:color w:val="auto"/>
            <w:u w:val="none"/>
          </w:rPr>
          <w:t>https://www.cps.gov.uk/sites/default/files/documents/publications/cps-vawg-report-2019.pdf</w:t>
        </w:r>
      </w:hyperlink>
      <w:r w:rsidRPr="00246385">
        <w:t xml:space="preserve"> accessed </w:t>
      </w:r>
      <w:r>
        <w:t>28 January 2020.</w:t>
      </w:r>
    </w:p>
  </w:footnote>
  <w:footnote w:id="21">
    <w:p w14:paraId="0BF17A98" w14:textId="23FC77F2" w:rsidR="005F213D" w:rsidRDefault="005F213D">
      <w:pPr>
        <w:pStyle w:val="FootnoteText"/>
      </w:pPr>
      <w:r>
        <w:rPr>
          <w:rStyle w:val="FootnoteReference"/>
        </w:rPr>
        <w:footnoteRef/>
      </w:r>
      <w:r>
        <w:t xml:space="preserve"> </w:t>
      </w:r>
      <w:r w:rsidRPr="00980192">
        <w:t xml:space="preserve">Mimi Kim, ‘Challenging the Pursuit of Criminalisation in an Era of Mass Incarceration: The Limitations of the Social Work Response to Domestic Violence in the USA’ (2013) </w:t>
      </w:r>
      <w:r>
        <w:t xml:space="preserve">43 </w:t>
      </w:r>
      <w:r w:rsidRPr="00980192">
        <w:t>British Journal of Social Work 1276.</w:t>
      </w:r>
    </w:p>
  </w:footnote>
  <w:footnote w:id="22">
    <w:p w14:paraId="30F3853C" w14:textId="13B9E28C" w:rsidR="005F213D" w:rsidRPr="00296688" w:rsidRDefault="005F213D">
      <w:pPr>
        <w:pStyle w:val="FootnoteText"/>
      </w:pPr>
      <w:r>
        <w:rPr>
          <w:rStyle w:val="FootnoteReference"/>
        </w:rPr>
        <w:footnoteRef/>
      </w:r>
      <w:r>
        <w:t xml:space="preserve"> Leigh </w:t>
      </w:r>
      <w:proofErr w:type="spellStart"/>
      <w:r>
        <w:t>Goodmark</w:t>
      </w:r>
      <w:proofErr w:type="spellEnd"/>
      <w:r>
        <w:t xml:space="preserve">, </w:t>
      </w:r>
      <w:r>
        <w:rPr>
          <w:i/>
          <w:iCs/>
        </w:rPr>
        <w:t>A Troubled Marriage: Domestic Violence and the Legal System</w:t>
      </w:r>
      <w:r>
        <w:t xml:space="preserve"> (New York University Press 2013). </w:t>
      </w:r>
    </w:p>
  </w:footnote>
  <w:footnote w:id="23">
    <w:p w14:paraId="5614B04E" w14:textId="77777777" w:rsidR="005F213D" w:rsidRPr="00980192" w:rsidRDefault="005F213D" w:rsidP="00D07A3E">
      <w:pPr>
        <w:pStyle w:val="FootnoteText"/>
      </w:pPr>
      <w:r w:rsidRPr="00980192">
        <w:rPr>
          <w:rStyle w:val="FootnoteReference"/>
        </w:rPr>
        <w:footnoteRef/>
      </w:r>
      <w:r w:rsidRPr="00980192">
        <w:t xml:space="preserve"> Lisa Goodman and Deborah Epstein, </w:t>
      </w:r>
      <w:r w:rsidRPr="00980192">
        <w:rPr>
          <w:i/>
        </w:rPr>
        <w:t xml:space="preserve">Listening to </w:t>
      </w:r>
      <w:r>
        <w:rPr>
          <w:i/>
        </w:rPr>
        <w:t>B</w:t>
      </w:r>
      <w:r w:rsidRPr="00980192">
        <w:rPr>
          <w:i/>
        </w:rPr>
        <w:t xml:space="preserve">attered </w:t>
      </w:r>
      <w:r>
        <w:rPr>
          <w:i/>
        </w:rPr>
        <w:t>W</w:t>
      </w:r>
      <w:r w:rsidRPr="00980192">
        <w:rPr>
          <w:i/>
        </w:rPr>
        <w:t xml:space="preserve">omen: A </w:t>
      </w:r>
      <w:r>
        <w:rPr>
          <w:i/>
        </w:rPr>
        <w:t>S</w:t>
      </w:r>
      <w:r w:rsidRPr="00980192">
        <w:rPr>
          <w:i/>
        </w:rPr>
        <w:t>urvivor-</w:t>
      </w:r>
      <w:proofErr w:type="spellStart"/>
      <w:r>
        <w:rPr>
          <w:i/>
        </w:rPr>
        <w:t>C</w:t>
      </w:r>
      <w:r w:rsidRPr="00980192">
        <w:rPr>
          <w:i/>
        </w:rPr>
        <w:t>entered</w:t>
      </w:r>
      <w:proofErr w:type="spellEnd"/>
      <w:r w:rsidRPr="00980192">
        <w:rPr>
          <w:i/>
        </w:rPr>
        <w:t xml:space="preserve"> </w:t>
      </w:r>
      <w:r>
        <w:rPr>
          <w:i/>
        </w:rPr>
        <w:t>A</w:t>
      </w:r>
      <w:r w:rsidRPr="00980192">
        <w:rPr>
          <w:i/>
        </w:rPr>
        <w:t xml:space="preserve">pproach to </w:t>
      </w:r>
      <w:r>
        <w:rPr>
          <w:i/>
        </w:rPr>
        <w:t>A</w:t>
      </w:r>
      <w:r w:rsidRPr="00980192">
        <w:rPr>
          <w:i/>
        </w:rPr>
        <w:t xml:space="preserve">dvocacy, </w:t>
      </w:r>
      <w:r>
        <w:rPr>
          <w:i/>
        </w:rPr>
        <w:t>M</w:t>
      </w:r>
      <w:r w:rsidRPr="00980192">
        <w:rPr>
          <w:i/>
        </w:rPr>
        <w:t xml:space="preserve">ental </w:t>
      </w:r>
      <w:r>
        <w:rPr>
          <w:i/>
        </w:rPr>
        <w:t>H</w:t>
      </w:r>
      <w:r w:rsidRPr="00980192">
        <w:rPr>
          <w:i/>
        </w:rPr>
        <w:t xml:space="preserve">ealth, and </w:t>
      </w:r>
      <w:r>
        <w:rPr>
          <w:i/>
        </w:rPr>
        <w:t>J</w:t>
      </w:r>
      <w:r w:rsidRPr="00980192">
        <w:rPr>
          <w:i/>
        </w:rPr>
        <w:t>ustice</w:t>
      </w:r>
      <w:r w:rsidRPr="00980192">
        <w:t xml:space="preserve"> (American Psychological Association 2008).</w:t>
      </w:r>
    </w:p>
  </w:footnote>
  <w:footnote w:id="24">
    <w:p w14:paraId="44D89450" w14:textId="0B701EEB" w:rsidR="005F213D" w:rsidRPr="00980192" w:rsidRDefault="005F213D" w:rsidP="00D07A3E">
      <w:pPr>
        <w:pStyle w:val="FootnoteText"/>
      </w:pPr>
      <w:r w:rsidRPr="00980192">
        <w:rPr>
          <w:rStyle w:val="FootnoteReference"/>
        </w:rPr>
        <w:footnoteRef/>
      </w:r>
      <w:r w:rsidRPr="00980192">
        <w:t xml:space="preserve"> </w:t>
      </w:r>
      <w:bookmarkStart w:id="20" w:name="_Hlk40682085"/>
      <w:r w:rsidRPr="00980192">
        <w:t>Antonia Cretney and Gwynn Davis, ‘Prosecuting ‘</w:t>
      </w:r>
      <w:r>
        <w:t>D</w:t>
      </w:r>
      <w:r w:rsidRPr="00980192">
        <w:t xml:space="preserve">omestic’ </w:t>
      </w:r>
      <w:r>
        <w:t>A</w:t>
      </w:r>
      <w:r w:rsidRPr="00980192">
        <w:t>ssault’ (1996) Criminal Law Review 162</w:t>
      </w:r>
      <w:r>
        <w:t xml:space="preserve">; </w:t>
      </w:r>
      <w:r w:rsidRPr="00980192">
        <w:t xml:space="preserve">Louise Ellison, ‘Prosecuting </w:t>
      </w:r>
      <w:r>
        <w:t>D</w:t>
      </w:r>
      <w:r w:rsidRPr="00980192">
        <w:t xml:space="preserve">omestic </w:t>
      </w:r>
      <w:r>
        <w:t>V</w:t>
      </w:r>
      <w:r w:rsidRPr="00980192">
        <w:t xml:space="preserve">iolence without </w:t>
      </w:r>
      <w:r>
        <w:t>V</w:t>
      </w:r>
      <w:r w:rsidRPr="00980192">
        <w:t xml:space="preserve">ictim </w:t>
      </w:r>
      <w:r>
        <w:t>P</w:t>
      </w:r>
      <w:r w:rsidRPr="00980192">
        <w:t>articipation’ The Modern Law Review (2002) 834</w:t>
      </w:r>
      <w:bookmarkEnd w:id="20"/>
      <w:r w:rsidRPr="00980192">
        <w:t>, 834.</w:t>
      </w:r>
    </w:p>
  </w:footnote>
  <w:footnote w:id="25">
    <w:p w14:paraId="43BE8B9E" w14:textId="77777777" w:rsidR="005F213D" w:rsidRPr="00980192" w:rsidRDefault="005F213D" w:rsidP="00D07A3E">
      <w:pPr>
        <w:pStyle w:val="FootnoteText"/>
      </w:pPr>
      <w:r w:rsidRPr="00980192">
        <w:rPr>
          <w:rStyle w:val="FootnoteReference"/>
        </w:rPr>
        <w:footnoteRef/>
      </w:r>
      <w:r w:rsidRPr="00980192">
        <w:t xml:space="preserve"> </w:t>
      </w:r>
      <w:bookmarkStart w:id="21" w:name="_Hlk40682172"/>
      <w:r w:rsidRPr="00980192">
        <w:t xml:space="preserve">Andrea Nichols, ‘No-drop </w:t>
      </w:r>
      <w:r>
        <w:t>P</w:t>
      </w:r>
      <w:r w:rsidRPr="00980192">
        <w:t xml:space="preserve">rosecution in </w:t>
      </w:r>
      <w:r>
        <w:t>D</w:t>
      </w:r>
      <w:r w:rsidRPr="00980192">
        <w:t xml:space="preserve">omestic </w:t>
      </w:r>
      <w:r>
        <w:t>V</w:t>
      </w:r>
      <w:r w:rsidRPr="00980192">
        <w:t xml:space="preserve">iolence </w:t>
      </w:r>
      <w:r>
        <w:t>C</w:t>
      </w:r>
      <w:r w:rsidRPr="00980192">
        <w:t>ases: Survivor-</w:t>
      </w:r>
      <w:r>
        <w:t>D</w:t>
      </w:r>
      <w:r w:rsidRPr="00980192">
        <w:t xml:space="preserve">efined and </w:t>
      </w:r>
      <w:r>
        <w:t>S</w:t>
      </w:r>
      <w:r w:rsidRPr="00980192">
        <w:t xml:space="preserve">ocial </w:t>
      </w:r>
      <w:r>
        <w:t>C</w:t>
      </w:r>
      <w:r w:rsidRPr="00980192">
        <w:t xml:space="preserve">hange </w:t>
      </w:r>
      <w:r>
        <w:t>A</w:t>
      </w:r>
      <w:r w:rsidRPr="00980192">
        <w:t xml:space="preserve">pproaches to </w:t>
      </w:r>
      <w:r>
        <w:t>V</w:t>
      </w:r>
      <w:r w:rsidRPr="00980192">
        <w:t xml:space="preserve">ictim </w:t>
      </w:r>
      <w:r>
        <w:t>A</w:t>
      </w:r>
      <w:r w:rsidRPr="00980192">
        <w:t>dvocacy’ (2014) </w:t>
      </w:r>
      <w:r>
        <w:t xml:space="preserve">29(11) </w:t>
      </w:r>
      <w:r w:rsidRPr="00980192">
        <w:t xml:space="preserve">Journal of </w:t>
      </w:r>
      <w:r>
        <w:t>I</w:t>
      </w:r>
      <w:r w:rsidRPr="00980192">
        <w:t xml:space="preserve">nterpersonal </w:t>
      </w:r>
      <w:r>
        <w:t>V</w:t>
      </w:r>
      <w:r w:rsidRPr="00980192">
        <w:t>iolence 2114.</w:t>
      </w:r>
    </w:p>
    <w:bookmarkEnd w:id="21"/>
  </w:footnote>
  <w:footnote w:id="26">
    <w:p w14:paraId="7FFEFBF8" w14:textId="77777777" w:rsidR="005F213D" w:rsidRPr="00980192" w:rsidRDefault="005F213D" w:rsidP="00D07A3E">
      <w:pPr>
        <w:pStyle w:val="FootnoteText"/>
      </w:pPr>
      <w:r w:rsidRPr="00980192">
        <w:rPr>
          <w:rStyle w:val="FootnoteReference"/>
        </w:rPr>
        <w:footnoteRef/>
      </w:r>
      <w:r w:rsidRPr="00980192">
        <w:t xml:space="preserve"> </w:t>
      </w:r>
      <w:bookmarkStart w:id="22" w:name="_Hlk40682217"/>
      <w:r w:rsidRPr="00980192">
        <w:t xml:space="preserve">Matthew Hall, </w:t>
      </w:r>
      <w:r w:rsidRPr="00980192">
        <w:rPr>
          <w:i/>
        </w:rPr>
        <w:t>Victims of Crime: Policy and Practice in Criminal Justice</w:t>
      </w:r>
      <w:r w:rsidRPr="00980192">
        <w:t xml:space="preserve"> (Willan Publishing 2009)</w:t>
      </w:r>
      <w:bookmarkEnd w:id="22"/>
      <w:r>
        <w:t xml:space="preserve"> 143- 146</w:t>
      </w:r>
      <w:r w:rsidRPr="00980192">
        <w:t>.</w:t>
      </w:r>
    </w:p>
  </w:footnote>
  <w:footnote w:id="27">
    <w:p w14:paraId="7415558C" w14:textId="77777777" w:rsidR="005F213D" w:rsidRPr="00980192" w:rsidRDefault="005F213D" w:rsidP="00D07A3E">
      <w:pPr>
        <w:pStyle w:val="FootnoteText"/>
      </w:pPr>
      <w:r w:rsidRPr="00980192">
        <w:rPr>
          <w:rStyle w:val="FootnoteReference"/>
        </w:rPr>
        <w:footnoteRef/>
      </w:r>
      <w:r w:rsidRPr="00980192">
        <w:t xml:space="preserve"> </w:t>
      </w:r>
      <w:bookmarkStart w:id="23" w:name="_Hlk40682269"/>
      <w:r w:rsidRPr="00980192">
        <w:t xml:space="preserve">Lauren </w:t>
      </w:r>
      <w:proofErr w:type="spellStart"/>
      <w:r w:rsidRPr="00980192">
        <w:t>Cattaneo</w:t>
      </w:r>
      <w:proofErr w:type="spellEnd"/>
      <w:r w:rsidRPr="00980192">
        <w:t xml:space="preserve"> et al, ‘The </w:t>
      </w:r>
      <w:r>
        <w:t>V</w:t>
      </w:r>
      <w:r w:rsidRPr="00980192">
        <w:t xml:space="preserve">ictim-informed </w:t>
      </w:r>
      <w:r>
        <w:t>P</w:t>
      </w:r>
      <w:r w:rsidRPr="00980192">
        <w:t xml:space="preserve">rosecution </w:t>
      </w:r>
      <w:r>
        <w:t>P</w:t>
      </w:r>
      <w:r w:rsidRPr="00980192">
        <w:t xml:space="preserve">roject: A </w:t>
      </w:r>
      <w:r>
        <w:t>Q</w:t>
      </w:r>
      <w:r w:rsidRPr="00980192">
        <w:t>uasi-</w:t>
      </w:r>
      <w:r>
        <w:t>e</w:t>
      </w:r>
      <w:r w:rsidRPr="00980192">
        <w:t xml:space="preserve">xperimental </w:t>
      </w:r>
      <w:r>
        <w:t>T</w:t>
      </w:r>
      <w:r w:rsidRPr="00980192">
        <w:t xml:space="preserve">est of a </w:t>
      </w:r>
      <w:r>
        <w:t>C</w:t>
      </w:r>
      <w:r w:rsidRPr="00980192">
        <w:t xml:space="preserve">ollaborative </w:t>
      </w:r>
      <w:r>
        <w:t>M</w:t>
      </w:r>
      <w:r w:rsidRPr="00980192">
        <w:t xml:space="preserve">odel for </w:t>
      </w:r>
      <w:r>
        <w:t>C</w:t>
      </w:r>
      <w:r w:rsidRPr="00980192">
        <w:t xml:space="preserve">ases of </w:t>
      </w:r>
      <w:r>
        <w:t>I</w:t>
      </w:r>
      <w:r w:rsidRPr="00980192">
        <w:t xml:space="preserve">ntimate </w:t>
      </w:r>
      <w:r>
        <w:t>P</w:t>
      </w:r>
      <w:r w:rsidRPr="00980192">
        <w:t xml:space="preserve">artner </w:t>
      </w:r>
      <w:r>
        <w:t>V</w:t>
      </w:r>
      <w:r w:rsidRPr="00980192">
        <w:t>iolence’ (2009) </w:t>
      </w:r>
      <w:r>
        <w:t xml:space="preserve">15(10) </w:t>
      </w:r>
      <w:r w:rsidRPr="00980192">
        <w:t>Violence Against Women 1227</w:t>
      </w:r>
      <w:r w:rsidRPr="00980192">
        <w:rPr>
          <w:rFonts w:ascii="Arial" w:hAnsi="Arial" w:cs="Arial"/>
          <w:color w:val="222222"/>
          <w:shd w:val="clear" w:color="auto" w:fill="FFFFFF"/>
        </w:rPr>
        <w:t>.</w:t>
      </w:r>
      <w:bookmarkEnd w:id="23"/>
    </w:p>
  </w:footnote>
  <w:footnote w:id="28">
    <w:p w14:paraId="717FD0D2" w14:textId="77777777" w:rsidR="005F213D" w:rsidRPr="00980192" w:rsidRDefault="005F213D" w:rsidP="00D07A3E">
      <w:pPr>
        <w:pStyle w:val="FootnoteText"/>
      </w:pPr>
      <w:r w:rsidRPr="00980192">
        <w:rPr>
          <w:rStyle w:val="FootnoteReference"/>
        </w:rPr>
        <w:footnoteRef/>
      </w:r>
      <w:r w:rsidRPr="00980192">
        <w:t xml:space="preserve"> </w:t>
      </w:r>
      <w:bookmarkStart w:id="24" w:name="_Hlk40682322"/>
      <w:r w:rsidRPr="00980192">
        <w:t>Lisa Goodman</w:t>
      </w:r>
      <w:r w:rsidRPr="002C11A2">
        <w:t xml:space="preserve">, Kristie Thomas, Lauren Bennett </w:t>
      </w:r>
      <w:proofErr w:type="spellStart"/>
      <w:r w:rsidRPr="002C11A2">
        <w:t>Cattaneo</w:t>
      </w:r>
      <w:proofErr w:type="spellEnd"/>
      <w:r w:rsidRPr="002C11A2">
        <w:t xml:space="preserve">, Deborah </w:t>
      </w:r>
      <w:proofErr w:type="spellStart"/>
      <w:r w:rsidRPr="002C11A2">
        <w:t>Heimel</w:t>
      </w:r>
      <w:proofErr w:type="spellEnd"/>
      <w:r w:rsidRPr="002C11A2">
        <w:t xml:space="preserve">, Julie </w:t>
      </w:r>
      <w:proofErr w:type="spellStart"/>
      <w:r w:rsidRPr="002C11A2">
        <w:t>Woulfe</w:t>
      </w:r>
      <w:proofErr w:type="spellEnd"/>
      <w:r w:rsidRPr="002C11A2">
        <w:t xml:space="preserve"> and Siu Kwan Chong, </w:t>
      </w:r>
      <w:r w:rsidRPr="00980192">
        <w:t xml:space="preserve">‘Survivor-defined </w:t>
      </w:r>
      <w:r>
        <w:t>P</w:t>
      </w:r>
      <w:r w:rsidRPr="00980192">
        <w:t xml:space="preserve">ractice in </w:t>
      </w:r>
      <w:r>
        <w:t>D</w:t>
      </w:r>
      <w:r w:rsidRPr="00980192">
        <w:t xml:space="preserve">omestic </w:t>
      </w:r>
      <w:r>
        <w:t>V</w:t>
      </w:r>
      <w:r w:rsidRPr="00980192">
        <w:t xml:space="preserve">iolence </w:t>
      </w:r>
      <w:r>
        <w:t>W</w:t>
      </w:r>
      <w:r w:rsidRPr="00980192">
        <w:t xml:space="preserve">ork: Measure </w:t>
      </w:r>
      <w:r>
        <w:t>D</w:t>
      </w:r>
      <w:r w:rsidRPr="00980192">
        <w:t xml:space="preserve">evelopment and </w:t>
      </w:r>
      <w:r>
        <w:t>P</w:t>
      </w:r>
      <w:r w:rsidRPr="00980192">
        <w:t xml:space="preserve">reliminary </w:t>
      </w:r>
      <w:r>
        <w:t>E</w:t>
      </w:r>
      <w:r w:rsidRPr="00980192">
        <w:t xml:space="preserve">vidence of </w:t>
      </w:r>
      <w:r>
        <w:t>L</w:t>
      </w:r>
      <w:r w:rsidRPr="00980192">
        <w:t xml:space="preserve">ink to </w:t>
      </w:r>
      <w:r>
        <w:t>E</w:t>
      </w:r>
      <w:r w:rsidRPr="00980192">
        <w:t>mpowerment’ (2016) </w:t>
      </w:r>
      <w:r>
        <w:t xml:space="preserve">31(1) </w:t>
      </w:r>
      <w:r w:rsidRPr="00980192">
        <w:t xml:space="preserve">Journal of </w:t>
      </w:r>
      <w:r>
        <w:t>I</w:t>
      </w:r>
      <w:r w:rsidRPr="00980192">
        <w:t>nterpersonal</w:t>
      </w:r>
      <w:r>
        <w:t xml:space="preserve"> V</w:t>
      </w:r>
      <w:r w:rsidRPr="00980192">
        <w:t>iolence 163.</w:t>
      </w:r>
    </w:p>
    <w:bookmarkEnd w:id="24"/>
  </w:footnote>
  <w:footnote w:id="29">
    <w:p w14:paraId="4F7AF6F5" w14:textId="77777777" w:rsidR="005F213D" w:rsidRPr="00980192" w:rsidRDefault="005F213D" w:rsidP="00D07A3E">
      <w:pPr>
        <w:pStyle w:val="FootnoteText"/>
      </w:pPr>
      <w:r w:rsidRPr="00980192">
        <w:rPr>
          <w:rStyle w:val="FootnoteReference"/>
        </w:rPr>
        <w:footnoteRef/>
      </w:r>
      <w:r w:rsidRPr="00980192">
        <w:t xml:space="preserve"> </w:t>
      </w:r>
      <w:bookmarkStart w:id="25" w:name="_Hlk40682386"/>
      <w:r w:rsidRPr="00980192">
        <w:t xml:space="preserve">Carolyn Hoyle and Andrew Sanders, ‘Police </w:t>
      </w:r>
      <w:r>
        <w:t>Re</w:t>
      </w:r>
      <w:r w:rsidRPr="00980192">
        <w:t xml:space="preserve">sponse to </w:t>
      </w:r>
      <w:r>
        <w:t>D</w:t>
      </w:r>
      <w:r w:rsidRPr="00980192">
        <w:t xml:space="preserve">omestic </w:t>
      </w:r>
      <w:r>
        <w:t>V</w:t>
      </w:r>
      <w:r w:rsidRPr="00980192">
        <w:t>iolence</w:t>
      </w:r>
      <w:r>
        <w:t>: From Victim Choice to Victim Empowerment</w:t>
      </w:r>
      <w:r w:rsidRPr="00980192">
        <w:t>’ (2000) </w:t>
      </w:r>
      <w:r>
        <w:t xml:space="preserve">40(1) </w:t>
      </w:r>
      <w:r w:rsidRPr="00980192">
        <w:t xml:space="preserve">British </w:t>
      </w:r>
      <w:r>
        <w:t>J</w:t>
      </w:r>
      <w:r w:rsidRPr="00980192">
        <w:t xml:space="preserve">ournal of </w:t>
      </w:r>
      <w:r>
        <w:t>C</w:t>
      </w:r>
      <w:r w:rsidRPr="00980192">
        <w:t>riminology 14.</w:t>
      </w:r>
    </w:p>
    <w:bookmarkEnd w:id="25"/>
  </w:footnote>
  <w:footnote w:id="30">
    <w:p w14:paraId="3B60F9C8" w14:textId="77777777" w:rsidR="005F213D" w:rsidRPr="00980192" w:rsidRDefault="005F213D" w:rsidP="00D07A3E">
      <w:pPr>
        <w:pStyle w:val="FootnoteText"/>
      </w:pPr>
      <w:r w:rsidRPr="00980192">
        <w:rPr>
          <w:rStyle w:val="FootnoteReference"/>
        </w:rPr>
        <w:footnoteRef/>
      </w:r>
      <w:r w:rsidRPr="00980192">
        <w:t xml:space="preserve"> </w:t>
      </w:r>
      <w:bookmarkStart w:id="27" w:name="_Hlk40682434"/>
      <w:r w:rsidRPr="00980192">
        <w:t xml:space="preserve">Bruce Winick, ‘Applying the </w:t>
      </w:r>
      <w:r>
        <w:t>L</w:t>
      </w:r>
      <w:r w:rsidRPr="00980192">
        <w:t xml:space="preserve">aw </w:t>
      </w:r>
      <w:r>
        <w:t>T</w:t>
      </w:r>
      <w:r w:rsidRPr="00980192">
        <w:t xml:space="preserve">herapeutically in </w:t>
      </w:r>
      <w:r>
        <w:t>D</w:t>
      </w:r>
      <w:r w:rsidRPr="00980192">
        <w:t xml:space="preserve">omestic </w:t>
      </w:r>
      <w:r>
        <w:t>V</w:t>
      </w:r>
      <w:r w:rsidRPr="00980192">
        <w:t xml:space="preserve">iolence </w:t>
      </w:r>
      <w:r>
        <w:t>C</w:t>
      </w:r>
      <w:r w:rsidRPr="00980192">
        <w:t>ases’ (2000) </w:t>
      </w:r>
      <w:r>
        <w:t xml:space="preserve">69 </w:t>
      </w:r>
      <w:r w:rsidRPr="00980192">
        <w:t>UMKC Law Review 33</w:t>
      </w:r>
      <w:bookmarkEnd w:id="27"/>
      <w:r>
        <w:t>, 64</w:t>
      </w:r>
      <w:r w:rsidRPr="00980192">
        <w:t>.</w:t>
      </w:r>
    </w:p>
  </w:footnote>
  <w:footnote w:id="31">
    <w:p w14:paraId="5495F081" w14:textId="77777777" w:rsidR="005F213D" w:rsidRPr="00980192" w:rsidRDefault="005F213D" w:rsidP="00D07A3E">
      <w:pPr>
        <w:pStyle w:val="FootnoteText"/>
      </w:pPr>
      <w:r w:rsidRPr="00980192">
        <w:rPr>
          <w:rStyle w:val="FootnoteReference"/>
        </w:rPr>
        <w:footnoteRef/>
      </w:r>
      <w:r w:rsidRPr="00980192">
        <w:t xml:space="preserve"> </w:t>
      </w:r>
      <w:bookmarkStart w:id="28" w:name="_Hlk40682478"/>
      <w:r w:rsidRPr="00980192">
        <w:t xml:space="preserve">Eve </w:t>
      </w:r>
      <w:proofErr w:type="spellStart"/>
      <w:r w:rsidRPr="00980192">
        <w:t>Buzawa</w:t>
      </w:r>
      <w:proofErr w:type="spellEnd"/>
      <w:r w:rsidRPr="00980192">
        <w:t xml:space="preserve"> and Carl </w:t>
      </w:r>
      <w:proofErr w:type="spellStart"/>
      <w:r w:rsidRPr="00980192">
        <w:t>Buzawa</w:t>
      </w:r>
      <w:proofErr w:type="spellEnd"/>
      <w:r w:rsidRPr="00980192">
        <w:t>, ‘Domestic Violence: The Criminal Justice Response’ (</w:t>
      </w:r>
      <w:r>
        <w:t>3</w:t>
      </w:r>
      <w:r w:rsidRPr="005C60E2">
        <w:rPr>
          <w:vertAlign w:val="superscript"/>
        </w:rPr>
        <w:t>rd</w:t>
      </w:r>
      <w:r>
        <w:t xml:space="preserve"> </w:t>
      </w:r>
      <w:proofErr w:type="spellStart"/>
      <w:r>
        <w:t>edn</w:t>
      </w:r>
      <w:proofErr w:type="spellEnd"/>
      <w:r>
        <w:t xml:space="preserve">, </w:t>
      </w:r>
      <w:r w:rsidRPr="00980192">
        <w:t>Sage 2003).</w:t>
      </w:r>
    </w:p>
    <w:bookmarkEnd w:id="28"/>
  </w:footnote>
  <w:footnote w:id="32">
    <w:p w14:paraId="58628765" w14:textId="4C6D34DC" w:rsidR="005F213D" w:rsidRPr="00980192" w:rsidRDefault="005F213D" w:rsidP="00E12FA1">
      <w:pPr>
        <w:pStyle w:val="FootnoteText"/>
      </w:pPr>
      <w:r w:rsidRPr="00980192">
        <w:rPr>
          <w:rStyle w:val="FootnoteReference"/>
        </w:rPr>
        <w:footnoteRef/>
      </w:r>
      <w:r w:rsidRPr="00980192">
        <w:t xml:space="preserve"> Nichols, ‘No-drop </w:t>
      </w:r>
      <w:r>
        <w:t>P</w:t>
      </w:r>
      <w:r w:rsidRPr="00980192">
        <w:t xml:space="preserve">rosecution in </w:t>
      </w:r>
      <w:r>
        <w:t>D</w:t>
      </w:r>
      <w:r w:rsidRPr="00980192">
        <w:t xml:space="preserve">omestic </w:t>
      </w:r>
      <w:r>
        <w:t>V</w:t>
      </w:r>
      <w:r w:rsidRPr="00980192">
        <w:t xml:space="preserve">iolence </w:t>
      </w:r>
      <w:r>
        <w:t>C</w:t>
      </w:r>
      <w:r w:rsidRPr="00980192">
        <w:t>ases</w:t>
      </w:r>
      <w:r>
        <w:t>’ (n 25)</w:t>
      </w:r>
      <w:r w:rsidRPr="00980192">
        <w:t>.</w:t>
      </w:r>
    </w:p>
  </w:footnote>
  <w:footnote w:id="33">
    <w:p w14:paraId="70250A3D" w14:textId="77777777" w:rsidR="005F213D" w:rsidRDefault="005F213D" w:rsidP="000F5787">
      <w:pPr>
        <w:pStyle w:val="FootnoteText"/>
      </w:pPr>
      <w:r>
        <w:rPr>
          <w:rStyle w:val="FootnoteReference"/>
        </w:rPr>
        <w:footnoteRef/>
      </w:r>
      <w:r>
        <w:t xml:space="preserve"> </w:t>
      </w:r>
      <w:bookmarkStart w:id="30" w:name="_Hlk40682585"/>
      <w:r w:rsidRPr="00980192">
        <w:t>Donna Wills, ‘Domestic Violence: The Case for Aggressive Prosecution’ (1997) U</w:t>
      </w:r>
      <w:r>
        <w:t xml:space="preserve">niversity </w:t>
      </w:r>
      <w:r w:rsidRPr="00980192">
        <w:t>C</w:t>
      </w:r>
      <w:r>
        <w:t xml:space="preserve">alifornia </w:t>
      </w:r>
      <w:r w:rsidRPr="00980192">
        <w:t>L</w:t>
      </w:r>
      <w:r>
        <w:t xml:space="preserve">os </w:t>
      </w:r>
      <w:r w:rsidRPr="00980192">
        <w:t>A</w:t>
      </w:r>
      <w:r>
        <w:t>ngeles</w:t>
      </w:r>
      <w:r w:rsidRPr="00980192">
        <w:t xml:space="preserve"> Women’s Law Journal 173</w:t>
      </w:r>
      <w:bookmarkStart w:id="31" w:name="_Hlk40682635"/>
      <w:bookmarkEnd w:id="30"/>
      <w:r w:rsidRPr="00980192">
        <w:t xml:space="preserve">. Evan Stark, ‘Mandatory </w:t>
      </w:r>
      <w:r>
        <w:t>A</w:t>
      </w:r>
      <w:r w:rsidRPr="00980192">
        <w:t xml:space="preserve">rrest of </w:t>
      </w:r>
      <w:r>
        <w:t>B</w:t>
      </w:r>
      <w:r w:rsidRPr="00980192">
        <w:t xml:space="preserve">atterers: A </w:t>
      </w:r>
      <w:r>
        <w:t>R</w:t>
      </w:r>
      <w:r w:rsidRPr="00980192">
        <w:t xml:space="preserve">eply to its </w:t>
      </w:r>
      <w:r>
        <w:t>C</w:t>
      </w:r>
      <w:r w:rsidRPr="00980192">
        <w:t xml:space="preserve">ritics’ (1993) </w:t>
      </w:r>
      <w:r>
        <w:t xml:space="preserve">36(5) </w:t>
      </w:r>
      <w:r w:rsidRPr="00980192">
        <w:t xml:space="preserve">American </w:t>
      </w:r>
      <w:proofErr w:type="spellStart"/>
      <w:r w:rsidRPr="00980192">
        <w:t>Behavioral</w:t>
      </w:r>
      <w:proofErr w:type="spellEnd"/>
      <w:r w:rsidRPr="00980192">
        <w:t xml:space="preserve"> Scientist 651</w:t>
      </w:r>
      <w:bookmarkEnd w:id="31"/>
      <w:r w:rsidRPr="00980192">
        <w:t xml:space="preserve">. </w:t>
      </w:r>
      <w:bookmarkStart w:id="32" w:name="_Hlk40682678"/>
      <w:r w:rsidRPr="00980192">
        <w:t xml:space="preserve">Dennis </w:t>
      </w:r>
      <w:proofErr w:type="spellStart"/>
      <w:r w:rsidRPr="00980192">
        <w:t>Saccuzzo</w:t>
      </w:r>
      <w:proofErr w:type="spellEnd"/>
      <w:r w:rsidRPr="00980192">
        <w:t xml:space="preserve">, ‘How </w:t>
      </w:r>
      <w:r>
        <w:t>S</w:t>
      </w:r>
      <w:r w:rsidRPr="00980192">
        <w:t xml:space="preserve">hould </w:t>
      </w:r>
      <w:r>
        <w:t>P</w:t>
      </w:r>
      <w:r w:rsidRPr="00980192">
        <w:t xml:space="preserve">olice </w:t>
      </w:r>
      <w:r>
        <w:t>R</w:t>
      </w:r>
      <w:r w:rsidRPr="00980192">
        <w:t xml:space="preserve">espond to </w:t>
      </w:r>
      <w:r>
        <w:t>D</w:t>
      </w:r>
      <w:r w:rsidRPr="00980192">
        <w:t xml:space="preserve">omestic </w:t>
      </w:r>
      <w:r>
        <w:t>Vi</w:t>
      </w:r>
      <w:r w:rsidRPr="00980192">
        <w:t xml:space="preserve">olence: A </w:t>
      </w:r>
      <w:r>
        <w:t>T</w:t>
      </w:r>
      <w:r w:rsidRPr="00980192">
        <w:t xml:space="preserve">herapeutic </w:t>
      </w:r>
      <w:r>
        <w:t>J</w:t>
      </w:r>
      <w:r w:rsidRPr="00980192">
        <w:t xml:space="preserve">urisprudence </w:t>
      </w:r>
      <w:r>
        <w:t>A</w:t>
      </w:r>
      <w:r w:rsidRPr="00980192">
        <w:t xml:space="preserve">nalysis of </w:t>
      </w:r>
      <w:r>
        <w:t>M</w:t>
      </w:r>
      <w:r w:rsidRPr="00980192">
        <w:t xml:space="preserve">andatory </w:t>
      </w:r>
      <w:r>
        <w:t>A</w:t>
      </w:r>
      <w:r w:rsidRPr="00980192">
        <w:t xml:space="preserve">rrest’ (1998) </w:t>
      </w:r>
      <w:r>
        <w:t xml:space="preserve">39 </w:t>
      </w:r>
      <w:r w:rsidRPr="00980192">
        <w:t>Santa Clara Law Review 765</w:t>
      </w:r>
      <w:r>
        <w:t>.</w:t>
      </w:r>
    </w:p>
    <w:bookmarkEnd w:id="32"/>
  </w:footnote>
  <w:footnote w:id="34">
    <w:p w14:paraId="1209838A" w14:textId="5F07029C" w:rsidR="005F213D" w:rsidRDefault="005F213D">
      <w:pPr>
        <w:pStyle w:val="FootnoteText"/>
      </w:pPr>
      <w:r>
        <w:rPr>
          <w:rStyle w:val="FootnoteReference"/>
        </w:rPr>
        <w:footnoteRef/>
      </w:r>
      <w:r>
        <w:t xml:space="preserve"> </w:t>
      </w:r>
      <w:bookmarkStart w:id="33" w:name="_Hlk40682720"/>
      <w:r w:rsidRPr="00980192">
        <w:t xml:space="preserve">Lenore Walker, </w:t>
      </w:r>
      <w:r w:rsidRPr="00980192">
        <w:rPr>
          <w:i/>
        </w:rPr>
        <w:t>The Battered Woman Syndrome</w:t>
      </w:r>
      <w:r w:rsidRPr="00980192">
        <w:t xml:space="preserve"> (</w:t>
      </w:r>
      <w:r>
        <w:t>4</w:t>
      </w:r>
      <w:r w:rsidRPr="0069758C">
        <w:rPr>
          <w:vertAlign w:val="superscript"/>
        </w:rPr>
        <w:t>th</w:t>
      </w:r>
      <w:r>
        <w:t xml:space="preserve"> </w:t>
      </w:r>
      <w:proofErr w:type="spellStart"/>
      <w:r>
        <w:t>edn</w:t>
      </w:r>
      <w:proofErr w:type="spellEnd"/>
      <w:r>
        <w:t xml:space="preserve">, </w:t>
      </w:r>
      <w:r w:rsidRPr="00980192">
        <w:t>Springer 2016).</w:t>
      </w:r>
      <w:bookmarkEnd w:id="33"/>
    </w:p>
  </w:footnote>
  <w:footnote w:id="35">
    <w:p w14:paraId="7EA1DB4F" w14:textId="3003AA83" w:rsidR="005F213D" w:rsidRPr="00980192" w:rsidRDefault="005F213D" w:rsidP="00D07A3E">
      <w:pPr>
        <w:pStyle w:val="FootnoteText"/>
      </w:pPr>
      <w:r w:rsidRPr="00980192">
        <w:rPr>
          <w:rStyle w:val="FootnoteReference"/>
        </w:rPr>
        <w:footnoteRef/>
      </w:r>
      <w:r w:rsidRPr="00980192">
        <w:t xml:space="preserve"> Will</w:t>
      </w:r>
      <w:r>
        <w:t>s (n 33) 178</w:t>
      </w:r>
      <w:r w:rsidRPr="00980192">
        <w:t>.</w:t>
      </w:r>
    </w:p>
  </w:footnote>
  <w:footnote w:id="36">
    <w:p w14:paraId="29473573" w14:textId="77777777" w:rsidR="005F213D" w:rsidRPr="00980192" w:rsidRDefault="005F213D" w:rsidP="00D95EEE">
      <w:pPr>
        <w:pStyle w:val="FootnoteText"/>
      </w:pPr>
      <w:r w:rsidRPr="00980192">
        <w:rPr>
          <w:rStyle w:val="FootnoteReference"/>
        </w:rPr>
        <w:footnoteRef/>
      </w:r>
      <w:r w:rsidRPr="00980192">
        <w:t xml:space="preserve"> </w:t>
      </w:r>
      <w:bookmarkStart w:id="34" w:name="_Hlk40682783"/>
      <w:r w:rsidRPr="00980192">
        <w:t xml:space="preserve">Linda Mills, </w:t>
      </w:r>
      <w:r w:rsidRPr="00980192">
        <w:rPr>
          <w:i/>
        </w:rPr>
        <w:t xml:space="preserve">Killing Her Softly: Intimate Abuse and the Violence of State Intervention </w:t>
      </w:r>
      <w:r w:rsidRPr="00980192">
        <w:t>(1999) Harvard Law Review 550</w:t>
      </w:r>
      <w:bookmarkEnd w:id="34"/>
      <w:r w:rsidRPr="00980192">
        <w:t>, 585.</w:t>
      </w:r>
    </w:p>
  </w:footnote>
  <w:footnote w:id="37">
    <w:p w14:paraId="15D8E8CE" w14:textId="1D204498" w:rsidR="005F213D" w:rsidRDefault="005F213D">
      <w:pPr>
        <w:pStyle w:val="FootnoteText"/>
      </w:pPr>
      <w:r>
        <w:rPr>
          <w:rStyle w:val="FootnoteReference"/>
        </w:rPr>
        <w:footnoteRef/>
      </w:r>
      <w:r>
        <w:t xml:space="preserve"> See for example </w:t>
      </w:r>
      <w:r w:rsidRPr="00EB4777">
        <w:t xml:space="preserve">Martha Mahoney ‘Victimization or </w:t>
      </w:r>
      <w:r>
        <w:t>O</w:t>
      </w:r>
      <w:r w:rsidRPr="00EB4777">
        <w:t xml:space="preserve">ppression? Women’s </w:t>
      </w:r>
      <w:r>
        <w:t>L</w:t>
      </w:r>
      <w:r w:rsidRPr="00EB4777">
        <w:t xml:space="preserve">ives, </w:t>
      </w:r>
      <w:r>
        <w:t>V</w:t>
      </w:r>
      <w:r w:rsidRPr="00EB4777">
        <w:t xml:space="preserve">iolence, and </w:t>
      </w:r>
      <w:r>
        <w:t>A</w:t>
      </w:r>
      <w:r w:rsidRPr="00EB4777">
        <w:t xml:space="preserve">gency’ in </w:t>
      </w:r>
      <w:bookmarkStart w:id="35" w:name="_Hlk40682824"/>
      <w:r w:rsidRPr="00EB4777">
        <w:t xml:space="preserve">Martha Fineman and Roxanne </w:t>
      </w:r>
      <w:proofErr w:type="spellStart"/>
      <w:r w:rsidRPr="00EB4777">
        <w:t>Mykitiuk</w:t>
      </w:r>
      <w:proofErr w:type="spellEnd"/>
      <w:r w:rsidRPr="00EB4777">
        <w:t xml:space="preserve"> (eds), The public </w:t>
      </w:r>
      <w:r>
        <w:t>N</w:t>
      </w:r>
      <w:r w:rsidRPr="00EB4777">
        <w:t xml:space="preserve">ature of </w:t>
      </w:r>
      <w:r>
        <w:t>P</w:t>
      </w:r>
      <w:r w:rsidRPr="00EB4777">
        <w:t xml:space="preserve">rivate </w:t>
      </w:r>
      <w:r>
        <w:t>V</w:t>
      </w:r>
      <w:r w:rsidRPr="00EB4777">
        <w:t xml:space="preserve">iolence: The </w:t>
      </w:r>
      <w:r>
        <w:t>D</w:t>
      </w:r>
      <w:r w:rsidRPr="00EB4777">
        <w:t xml:space="preserve">iscovery of </w:t>
      </w:r>
      <w:r>
        <w:t>D</w:t>
      </w:r>
      <w:r w:rsidRPr="00EB4777">
        <w:t xml:space="preserve">omestic </w:t>
      </w:r>
      <w:r>
        <w:t>A</w:t>
      </w:r>
      <w:r w:rsidRPr="00EB4777">
        <w:t>buse (Routledge 1994)</w:t>
      </w:r>
      <w:bookmarkEnd w:id="35"/>
      <w:r w:rsidRPr="00EB4777">
        <w:t xml:space="preserve"> 59-92.</w:t>
      </w:r>
      <w:r w:rsidRPr="00980192">
        <w:t xml:space="preserve"> </w:t>
      </w:r>
    </w:p>
  </w:footnote>
  <w:footnote w:id="38">
    <w:p w14:paraId="2BDA58DE" w14:textId="0196C779" w:rsidR="005F213D" w:rsidRPr="00980192" w:rsidRDefault="005F213D" w:rsidP="00D95EEE">
      <w:pPr>
        <w:pStyle w:val="FootnoteText"/>
      </w:pPr>
      <w:r w:rsidRPr="00980192">
        <w:rPr>
          <w:rStyle w:val="FootnoteReference"/>
        </w:rPr>
        <w:footnoteRef/>
      </w:r>
      <w:r w:rsidRPr="00980192">
        <w:t xml:space="preserve"> Lauren </w:t>
      </w:r>
      <w:proofErr w:type="spellStart"/>
      <w:r w:rsidRPr="00980192">
        <w:t>Catteneo</w:t>
      </w:r>
      <w:proofErr w:type="spellEnd"/>
      <w:r w:rsidRPr="00980192">
        <w:t>, Lisa Goodman, Deborah Epstein, ‘The Victim-Informed Prosecution Project: A Quasi-Experimental Test of a Collaborative Model for Cases of Intimate Partner Violence’ (2009) Violence Against Women 1227, 1229-30</w:t>
      </w:r>
      <w:r>
        <w:t xml:space="preserve">; </w:t>
      </w:r>
      <w:r w:rsidRPr="00980192">
        <w:t xml:space="preserve">Eve </w:t>
      </w:r>
      <w:proofErr w:type="spellStart"/>
      <w:r w:rsidRPr="00980192">
        <w:t>Buzawa</w:t>
      </w:r>
      <w:proofErr w:type="spellEnd"/>
      <w:r w:rsidRPr="00980192">
        <w:t xml:space="preserve"> and Carl </w:t>
      </w:r>
      <w:proofErr w:type="spellStart"/>
      <w:r w:rsidRPr="00980192">
        <w:t>Buzawa</w:t>
      </w:r>
      <w:proofErr w:type="spellEnd"/>
      <w:r w:rsidRPr="00980192">
        <w:t>, ‘Domestic Violence: The Criminal Justice Response’ (</w:t>
      </w:r>
      <w:r>
        <w:t>3</w:t>
      </w:r>
      <w:r w:rsidRPr="005C60E2">
        <w:rPr>
          <w:vertAlign w:val="superscript"/>
        </w:rPr>
        <w:t>rd</w:t>
      </w:r>
      <w:r>
        <w:t xml:space="preserve"> </w:t>
      </w:r>
      <w:proofErr w:type="spellStart"/>
      <w:r>
        <w:t>edn</w:t>
      </w:r>
      <w:proofErr w:type="spellEnd"/>
      <w:r>
        <w:t xml:space="preserve">, </w:t>
      </w:r>
      <w:r w:rsidRPr="00980192">
        <w:t xml:space="preserve">Sage 2003). </w:t>
      </w:r>
    </w:p>
  </w:footnote>
  <w:footnote w:id="39">
    <w:p w14:paraId="5F0D4054" w14:textId="0A6DB1F7" w:rsidR="005F213D" w:rsidRDefault="005F213D">
      <w:pPr>
        <w:pStyle w:val="FootnoteText"/>
      </w:pPr>
      <w:r>
        <w:rPr>
          <w:rStyle w:val="FootnoteReference"/>
        </w:rPr>
        <w:footnoteRef/>
      </w:r>
      <w:r>
        <w:t xml:space="preserve"> </w:t>
      </w:r>
      <w:r w:rsidRPr="00980192">
        <w:t xml:space="preserve">Nichols, ‘No-drop </w:t>
      </w:r>
      <w:r>
        <w:t>P</w:t>
      </w:r>
      <w:r w:rsidRPr="00980192">
        <w:t xml:space="preserve">rosecution in </w:t>
      </w:r>
      <w:r>
        <w:t>D</w:t>
      </w:r>
      <w:r w:rsidRPr="00980192">
        <w:t xml:space="preserve">omestic </w:t>
      </w:r>
      <w:r>
        <w:t>V</w:t>
      </w:r>
      <w:r w:rsidRPr="00980192">
        <w:t xml:space="preserve">iolence </w:t>
      </w:r>
      <w:r>
        <w:t>C</w:t>
      </w:r>
      <w:r w:rsidRPr="00980192">
        <w:t>ases</w:t>
      </w:r>
      <w:r>
        <w:t>’ (n 25)</w:t>
      </w:r>
      <w:r w:rsidRPr="00980192">
        <w:t>.</w:t>
      </w:r>
    </w:p>
  </w:footnote>
  <w:footnote w:id="40">
    <w:p w14:paraId="427FBF58" w14:textId="09955105" w:rsidR="005F213D" w:rsidRPr="00980192" w:rsidRDefault="005F213D" w:rsidP="00F47BD6">
      <w:pPr>
        <w:pStyle w:val="FootnoteText"/>
        <w:tabs>
          <w:tab w:val="left" w:pos="1296"/>
        </w:tabs>
      </w:pPr>
      <w:r w:rsidRPr="007D1F1D">
        <w:rPr>
          <w:rStyle w:val="FootnoteReference"/>
        </w:rPr>
        <w:footnoteRef/>
      </w:r>
      <w:r w:rsidRPr="007D1F1D">
        <w:t xml:space="preserve"> </w:t>
      </w:r>
      <w:r>
        <w:t xml:space="preserve">See </w:t>
      </w:r>
      <w:r w:rsidRPr="00980192">
        <w:t>Crown Prosecution Service, ‘Violence Against Women and Girls’ Report’ (2017)</w:t>
      </w:r>
    </w:p>
    <w:p w14:paraId="4BB1A7D4" w14:textId="6DE5E152" w:rsidR="005F213D" w:rsidRPr="007D1F1D" w:rsidRDefault="005F213D" w:rsidP="00F47BD6">
      <w:pPr>
        <w:pStyle w:val="FootnoteText"/>
      </w:pPr>
      <w:r>
        <w:t>a</w:t>
      </w:r>
      <w:r w:rsidRPr="007D1F1D">
        <w:t>vailable at &lt;</w:t>
      </w:r>
      <w:hyperlink r:id="rId12" w:history="1">
        <w:r w:rsidRPr="007D1F1D">
          <w:rPr>
            <w:rStyle w:val="Hyperlink"/>
            <w:color w:val="auto"/>
            <w:u w:val="none"/>
          </w:rPr>
          <w:t>http://www.cps.gov.uk/publications/docs/cps-vawg-report-2017.pdf</w:t>
        </w:r>
      </w:hyperlink>
      <w:r w:rsidRPr="007D1F1D">
        <w:rPr>
          <w:rStyle w:val="Hyperlink"/>
          <w:color w:val="auto"/>
          <w:u w:val="none"/>
        </w:rPr>
        <w:t>&gt;</w:t>
      </w:r>
      <w:r w:rsidRPr="007D1F1D">
        <w:t xml:space="preserve"> accessed 1 March 20</w:t>
      </w:r>
      <w:r>
        <w:t xml:space="preserve">20; and </w:t>
      </w:r>
      <w:r w:rsidRPr="007D1F1D">
        <w:t>Crown Prosecution Service</w:t>
      </w:r>
      <w:r>
        <w:t xml:space="preserve">, </w:t>
      </w:r>
      <w:r w:rsidRPr="00B93133">
        <w:t>‘Domestic Abuse Guidelines for Prosecutors’</w:t>
      </w:r>
      <w:r>
        <w:t xml:space="preserve"> (n 13)</w:t>
      </w:r>
      <w:r w:rsidRPr="007D1F1D">
        <w:t>.</w:t>
      </w:r>
    </w:p>
  </w:footnote>
  <w:footnote w:id="41">
    <w:p w14:paraId="798054F1" w14:textId="77777777" w:rsidR="005F213D" w:rsidRDefault="005F213D" w:rsidP="00D07A3E">
      <w:pPr>
        <w:pStyle w:val="FootnoteText"/>
      </w:pPr>
      <w:r w:rsidRPr="007D1F1D">
        <w:rPr>
          <w:rStyle w:val="FootnoteReference"/>
        </w:rPr>
        <w:footnoteRef/>
      </w:r>
      <w:r w:rsidRPr="007D1F1D">
        <w:t xml:space="preserve"> Ibid.</w:t>
      </w:r>
    </w:p>
  </w:footnote>
  <w:footnote w:id="42">
    <w:p w14:paraId="1EC3F0CF" w14:textId="6B1A2556" w:rsidR="005F213D" w:rsidRPr="00A815AC" w:rsidRDefault="005F213D" w:rsidP="00A64B1C">
      <w:pPr>
        <w:pStyle w:val="FootnoteText"/>
        <w:rPr>
          <w:rFonts w:eastAsia="Times New Roman"/>
          <w:lang w:eastAsia="en-GB"/>
        </w:rPr>
      </w:pPr>
      <w:r w:rsidRPr="00980192">
        <w:rPr>
          <w:rStyle w:val="FootnoteReference"/>
        </w:rPr>
        <w:footnoteRef/>
      </w:r>
      <w:r w:rsidRPr="00980192">
        <w:t xml:space="preserve"> </w:t>
      </w:r>
      <w:r w:rsidRPr="00980192">
        <w:rPr>
          <w:rFonts w:eastAsia="Times New Roman"/>
          <w:color w:val="000000"/>
          <w:lang w:eastAsia="en-GB"/>
        </w:rPr>
        <w:t>Sylvia</w:t>
      </w:r>
      <w:r w:rsidRPr="00980192">
        <w:t xml:space="preserve"> </w:t>
      </w:r>
      <w:proofErr w:type="spellStart"/>
      <w:r w:rsidRPr="00980192">
        <w:rPr>
          <w:rFonts w:eastAsia="Times New Roman"/>
          <w:color w:val="000000"/>
          <w:lang w:eastAsia="en-GB"/>
        </w:rPr>
        <w:t>Walby</w:t>
      </w:r>
      <w:proofErr w:type="spellEnd"/>
      <w:r w:rsidRPr="00980192">
        <w:rPr>
          <w:rFonts w:eastAsia="Times New Roman"/>
          <w:color w:val="000000"/>
          <w:lang w:eastAsia="en-GB"/>
        </w:rPr>
        <w:t>, Jude Towers and Brian Francis, ‘</w:t>
      </w:r>
      <w:r w:rsidRPr="00980192">
        <w:rPr>
          <w:rFonts w:eastAsia="Times New Roman"/>
          <w:iCs/>
          <w:color w:val="000000"/>
          <w:lang w:eastAsia="en-GB"/>
        </w:rPr>
        <w:t xml:space="preserve">The </w:t>
      </w:r>
      <w:r>
        <w:rPr>
          <w:rFonts w:eastAsia="Times New Roman"/>
          <w:iCs/>
          <w:color w:val="000000"/>
          <w:lang w:eastAsia="en-GB"/>
        </w:rPr>
        <w:t>D</w:t>
      </w:r>
      <w:r w:rsidRPr="00980192">
        <w:rPr>
          <w:rFonts w:eastAsia="Times New Roman"/>
          <w:iCs/>
          <w:color w:val="000000"/>
          <w:lang w:eastAsia="en-GB"/>
        </w:rPr>
        <w:t xml:space="preserve">ecline in the </w:t>
      </w:r>
      <w:r>
        <w:rPr>
          <w:rFonts w:eastAsia="Times New Roman"/>
          <w:iCs/>
          <w:color w:val="000000"/>
          <w:lang w:eastAsia="en-GB"/>
        </w:rPr>
        <w:t>R</w:t>
      </w:r>
      <w:r w:rsidRPr="00980192">
        <w:rPr>
          <w:rFonts w:eastAsia="Times New Roman"/>
          <w:iCs/>
          <w:color w:val="000000"/>
          <w:lang w:eastAsia="en-GB"/>
        </w:rPr>
        <w:t xml:space="preserve">ate of </w:t>
      </w:r>
      <w:r>
        <w:rPr>
          <w:rFonts w:eastAsia="Times New Roman"/>
          <w:iCs/>
          <w:color w:val="000000"/>
          <w:lang w:eastAsia="en-GB"/>
        </w:rPr>
        <w:t>D</w:t>
      </w:r>
      <w:r w:rsidRPr="00980192">
        <w:rPr>
          <w:rFonts w:eastAsia="Times New Roman"/>
          <w:iCs/>
          <w:color w:val="000000"/>
          <w:lang w:eastAsia="en-GB"/>
        </w:rPr>
        <w:t xml:space="preserve">omestic </w:t>
      </w:r>
      <w:r>
        <w:rPr>
          <w:rFonts w:eastAsia="Times New Roman"/>
          <w:iCs/>
          <w:color w:val="000000"/>
          <w:lang w:eastAsia="en-GB"/>
        </w:rPr>
        <w:t>V</w:t>
      </w:r>
      <w:r w:rsidRPr="00980192">
        <w:rPr>
          <w:rFonts w:eastAsia="Times New Roman"/>
          <w:iCs/>
          <w:color w:val="000000"/>
          <w:lang w:eastAsia="en-GB"/>
        </w:rPr>
        <w:t xml:space="preserve">iolence has </w:t>
      </w:r>
      <w:r>
        <w:rPr>
          <w:rFonts w:eastAsia="Times New Roman"/>
          <w:iCs/>
          <w:color w:val="000000"/>
          <w:lang w:eastAsia="en-GB"/>
        </w:rPr>
        <w:t>S</w:t>
      </w:r>
      <w:r w:rsidRPr="00980192">
        <w:rPr>
          <w:rFonts w:eastAsia="Times New Roman"/>
          <w:iCs/>
          <w:color w:val="000000"/>
          <w:lang w:eastAsia="en-GB"/>
        </w:rPr>
        <w:t xml:space="preserve">topped: Removing the </w:t>
      </w:r>
      <w:r>
        <w:rPr>
          <w:rFonts w:eastAsia="Times New Roman"/>
          <w:iCs/>
          <w:color w:val="000000"/>
          <w:lang w:eastAsia="en-GB"/>
        </w:rPr>
        <w:t>C</w:t>
      </w:r>
      <w:r w:rsidRPr="00980192">
        <w:rPr>
          <w:rFonts w:eastAsia="Times New Roman"/>
          <w:iCs/>
          <w:color w:val="000000"/>
          <w:lang w:eastAsia="en-GB"/>
        </w:rPr>
        <w:t xml:space="preserve">ap on </w:t>
      </w:r>
      <w:r>
        <w:rPr>
          <w:rFonts w:eastAsia="Times New Roman"/>
          <w:iCs/>
          <w:color w:val="000000"/>
          <w:lang w:eastAsia="en-GB"/>
        </w:rPr>
        <w:t>R</w:t>
      </w:r>
      <w:r w:rsidRPr="00980192">
        <w:rPr>
          <w:rFonts w:eastAsia="Times New Roman"/>
          <w:iCs/>
          <w:color w:val="000000"/>
          <w:lang w:eastAsia="en-GB"/>
        </w:rPr>
        <w:t xml:space="preserve">epeat </w:t>
      </w:r>
      <w:r>
        <w:rPr>
          <w:rFonts w:eastAsia="Times New Roman"/>
          <w:iCs/>
          <w:color w:val="000000"/>
          <w:lang w:eastAsia="en-GB"/>
        </w:rPr>
        <w:t>V</w:t>
      </w:r>
      <w:r w:rsidRPr="00980192">
        <w:rPr>
          <w:rFonts w:eastAsia="Times New Roman"/>
          <w:iCs/>
          <w:color w:val="000000"/>
          <w:lang w:eastAsia="en-GB"/>
        </w:rPr>
        <w:t xml:space="preserve">ictimisation </w:t>
      </w:r>
      <w:r>
        <w:rPr>
          <w:rFonts w:eastAsia="Times New Roman"/>
          <w:iCs/>
          <w:color w:val="000000"/>
          <w:lang w:eastAsia="en-GB"/>
        </w:rPr>
        <w:t>R</w:t>
      </w:r>
      <w:r w:rsidRPr="00980192">
        <w:rPr>
          <w:rFonts w:eastAsia="Times New Roman"/>
          <w:iCs/>
          <w:color w:val="000000"/>
          <w:lang w:eastAsia="en-GB"/>
        </w:rPr>
        <w:t xml:space="preserve">eveals </w:t>
      </w:r>
      <w:r>
        <w:rPr>
          <w:rFonts w:eastAsia="Times New Roman"/>
          <w:iCs/>
          <w:color w:val="000000"/>
          <w:lang w:eastAsia="en-GB"/>
        </w:rPr>
        <w:t>M</w:t>
      </w:r>
      <w:r w:rsidRPr="00980192">
        <w:rPr>
          <w:rFonts w:eastAsia="Times New Roman"/>
          <w:iCs/>
          <w:color w:val="000000"/>
          <w:lang w:eastAsia="en-GB"/>
        </w:rPr>
        <w:t xml:space="preserve">ore </w:t>
      </w:r>
      <w:r>
        <w:rPr>
          <w:rFonts w:eastAsia="Times New Roman"/>
          <w:iCs/>
          <w:color w:val="000000"/>
          <w:lang w:eastAsia="en-GB"/>
        </w:rPr>
        <w:t>V</w:t>
      </w:r>
      <w:r w:rsidRPr="00980192">
        <w:rPr>
          <w:rFonts w:eastAsia="Times New Roman"/>
          <w:iCs/>
          <w:color w:val="000000"/>
          <w:lang w:eastAsia="en-GB"/>
        </w:rPr>
        <w:t>iolence</w:t>
      </w:r>
      <w:r w:rsidRPr="00980192">
        <w:rPr>
          <w:rFonts w:eastAsia="Times New Roman"/>
          <w:color w:val="000000"/>
          <w:lang w:eastAsia="en-GB"/>
        </w:rPr>
        <w:t xml:space="preserve">’ (2014) Violence and Society 1. </w:t>
      </w:r>
      <w:proofErr w:type="spellStart"/>
      <w:r w:rsidRPr="00980192">
        <w:rPr>
          <w:rFonts w:eastAsia="Times New Roman"/>
          <w:color w:val="000000"/>
          <w:lang w:eastAsia="en-GB"/>
        </w:rPr>
        <w:t>Walby</w:t>
      </w:r>
      <w:proofErr w:type="spellEnd"/>
      <w:r w:rsidRPr="00980192">
        <w:rPr>
          <w:rFonts w:eastAsia="Times New Roman"/>
          <w:color w:val="000000"/>
          <w:lang w:eastAsia="en-GB"/>
        </w:rPr>
        <w:t xml:space="preserve"> et </w:t>
      </w:r>
      <w:proofErr w:type="spellStart"/>
      <w:r w:rsidRPr="00980192">
        <w:rPr>
          <w:rFonts w:eastAsia="Times New Roman"/>
          <w:color w:val="000000"/>
          <w:lang w:eastAsia="en-GB"/>
        </w:rPr>
        <w:t>al’s</w:t>
      </w:r>
      <w:proofErr w:type="spellEnd"/>
      <w:r w:rsidRPr="00980192">
        <w:rPr>
          <w:rFonts w:eastAsia="Times New Roman"/>
          <w:color w:val="000000"/>
          <w:lang w:eastAsia="en-GB"/>
        </w:rPr>
        <w:t xml:space="preserve"> report reveals that once the C</w:t>
      </w:r>
      <w:r>
        <w:rPr>
          <w:rFonts w:eastAsia="Times New Roman"/>
          <w:color w:val="000000"/>
          <w:lang w:eastAsia="en-GB"/>
        </w:rPr>
        <w:t xml:space="preserve">rime </w:t>
      </w:r>
      <w:r w:rsidRPr="00980192">
        <w:rPr>
          <w:rFonts w:eastAsia="Times New Roman"/>
          <w:color w:val="000000"/>
          <w:lang w:eastAsia="en-GB"/>
        </w:rPr>
        <w:t>S</w:t>
      </w:r>
      <w:r>
        <w:rPr>
          <w:rFonts w:eastAsia="Times New Roman"/>
          <w:color w:val="000000"/>
          <w:lang w:eastAsia="en-GB"/>
        </w:rPr>
        <w:t xml:space="preserve">urvey for </w:t>
      </w:r>
      <w:r w:rsidRPr="00980192">
        <w:rPr>
          <w:rFonts w:eastAsia="Times New Roman"/>
          <w:color w:val="000000"/>
          <w:lang w:eastAsia="en-GB"/>
        </w:rPr>
        <w:t>E</w:t>
      </w:r>
      <w:r>
        <w:rPr>
          <w:rFonts w:eastAsia="Times New Roman"/>
          <w:color w:val="000000"/>
          <w:lang w:eastAsia="en-GB"/>
        </w:rPr>
        <w:t xml:space="preserve">ngland and </w:t>
      </w:r>
      <w:r w:rsidRPr="00980192">
        <w:rPr>
          <w:rFonts w:eastAsia="Times New Roman"/>
          <w:color w:val="000000"/>
          <w:lang w:eastAsia="en-GB"/>
        </w:rPr>
        <w:t>W</w:t>
      </w:r>
      <w:r>
        <w:rPr>
          <w:rFonts w:eastAsia="Times New Roman"/>
          <w:color w:val="000000"/>
          <w:lang w:eastAsia="en-GB"/>
        </w:rPr>
        <w:t>ales</w:t>
      </w:r>
      <w:r w:rsidRPr="00980192">
        <w:rPr>
          <w:rFonts w:eastAsia="Times New Roman"/>
          <w:color w:val="000000"/>
          <w:lang w:eastAsia="en-GB"/>
        </w:rPr>
        <w:t xml:space="preserve"> cap of 5 repeat inc</w:t>
      </w:r>
      <w:r>
        <w:rPr>
          <w:rFonts w:eastAsia="Times New Roman"/>
          <w:color w:val="000000"/>
          <w:lang w:eastAsia="en-GB"/>
        </w:rPr>
        <w:t>i</w:t>
      </w:r>
      <w:r w:rsidRPr="00980192">
        <w:rPr>
          <w:rFonts w:eastAsia="Times New Roman"/>
          <w:color w:val="000000"/>
          <w:lang w:eastAsia="en-GB"/>
        </w:rPr>
        <w:t>dents is removed, rates of victimisation have not incrementally reduced as headlined in the ONS report year ending March 2017</w:t>
      </w:r>
      <w:bookmarkStart w:id="37" w:name="_Hlk508783749"/>
      <w:r>
        <w:rPr>
          <w:rFonts w:eastAsia="Times New Roman"/>
          <w:color w:val="000000"/>
          <w:lang w:eastAsia="en-GB"/>
        </w:rPr>
        <w:t xml:space="preserve">;  </w:t>
      </w:r>
      <w:r w:rsidRPr="00980192">
        <w:rPr>
          <w:rFonts w:eastAsia="Times New Roman"/>
          <w:color w:val="000000"/>
          <w:lang w:eastAsia="en-GB"/>
        </w:rPr>
        <w:t xml:space="preserve">Office for National Statistics, </w:t>
      </w:r>
      <w:r>
        <w:rPr>
          <w:rFonts w:eastAsia="Times New Roman"/>
          <w:color w:val="000000"/>
          <w:lang w:eastAsia="en-GB"/>
        </w:rPr>
        <w:t>‘</w:t>
      </w:r>
      <w:r w:rsidRPr="00980192">
        <w:rPr>
          <w:rFonts w:eastAsia="Times New Roman"/>
          <w:color w:val="000000"/>
          <w:lang w:eastAsia="en-GB"/>
        </w:rPr>
        <w:t>Domestic Abuse: Findings from the Crime Survey of England and Wales</w:t>
      </w:r>
      <w:r>
        <w:rPr>
          <w:rFonts w:eastAsia="Times New Roman"/>
          <w:color w:val="000000"/>
          <w:lang w:eastAsia="en-GB"/>
        </w:rPr>
        <w:t>’ (2017)</w:t>
      </w:r>
      <w:r w:rsidRPr="00980192">
        <w:rPr>
          <w:rFonts w:eastAsia="Times New Roman"/>
          <w:color w:val="000000"/>
          <w:lang w:eastAsia="en-GB"/>
        </w:rPr>
        <w:t xml:space="preserve"> available at </w:t>
      </w:r>
      <w:r>
        <w:rPr>
          <w:rFonts w:eastAsia="Times New Roman"/>
          <w:color w:val="000000"/>
          <w:lang w:eastAsia="en-GB"/>
        </w:rPr>
        <w:t>&lt;</w:t>
      </w:r>
      <w:hyperlink r:id="rId13" w:history="1">
        <w:r w:rsidRPr="00A815AC">
          <w:rPr>
            <w:rStyle w:val="Hyperlink"/>
            <w:rFonts w:eastAsia="Times New Roman"/>
            <w:color w:val="auto"/>
            <w:u w:val="none"/>
            <w:lang w:eastAsia="en-GB"/>
          </w:rPr>
          <w:t>https://www.ons.gov.uk/peoplepopulationandcommunity/crimeandjustice/articles/domesticabusefindingsfromthecrimesurveyforenglandandwales/yearendingmarch2017</w:t>
        </w:r>
      </w:hyperlink>
      <w:r w:rsidRPr="00A815AC">
        <w:rPr>
          <w:rStyle w:val="Hyperlink"/>
          <w:rFonts w:eastAsia="Times New Roman"/>
          <w:color w:val="auto"/>
          <w:u w:val="none"/>
          <w:lang w:eastAsia="en-GB"/>
        </w:rPr>
        <w:t>&gt;</w:t>
      </w:r>
      <w:r w:rsidRPr="00A815AC">
        <w:rPr>
          <w:rFonts w:eastAsia="Times New Roman"/>
          <w:lang w:eastAsia="en-GB"/>
        </w:rPr>
        <w:t xml:space="preserve"> accessed 26 February 2018.</w:t>
      </w:r>
      <w:bookmarkEnd w:id="37"/>
    </w:p>
  </w:footnote>
  <w:footnote w:id="43">
    <w:p w14:paraId="577FA519" w14:textId="08390780" w:rsidR="005F213D" w:rsidRPr="00980192" w:rsidRDefault="005F213D" w:rsidP="00A64B1C">
      <w:pPr>
        <w:pStyle w:val="FootnoteText"/>
      </w:pPr>
      <w:r w:rsidRPr="00980192">
        <w:rPr>
          <w:rStyle w:val="FootnoteReference"/>
        </w:rPr>
        <w:footnoteRef/>
      </w:r>
      <w:r w:rsidRPr="00980192">
        <w:t xml:space="preserve"> </w:t>
      </w:r>
      <w:r w:rsidRPr="00980192">
        <w:rPr>
          <w:rFonts w:eastAsia="Times New Roman"/>
          <w:color w:val="000000"/>
          <w:lang w:eastAsia="en-GB"/>
        </w:rPr>
        <w:t>Office for National Statistics</w:t>
      </w:r>
      <w:r>
        <w:rPr>
          <w:rFonts w:eastAsia="Times New Roman"/>
          <w:color w:val="000000"/>
          <w:lang w:eastAsia="en-GB"/>
        </w:rPr>
        <w:t xml:space="preserve"> (n 42)</w:t>
      </w:r>
      <w:r w:rsidRPr="00980192">
        <w:rPr>
          <w:rFonts w:eastAsia="Times New Roman"/>
          <w:color w:val="000000"/>
          <w:lang w:eastAsia="en-GB"/>
        </w:rPr>
        <w:t>.</w:t>
      </w:r>
    </w:p>
  </w:footnote>
  <w:footnote w:id="44">
    <w:p w14:paraId="70B46135" w14:textId="77777777" w:rsidR="005F213D" w:rsidRPr="00980192" w:rsidRDefault="005F213D" w:rsidP="00A64B1C">
      <w:pPr>
        <w:pStyle w:val="FootnoteText"/>
      </w:pPr>
      <w:r w:rsidRPr="00980192">
        <w:rPr>
          <w:rStyle w:val="FootnoteReference"/>
        </w:rPr>
        <w:footnoteRef/>
      </w:r>
      <w:r w:rsidRPr="00980192">
        <w:t xml:space="preserve"> </w:t>
      </w:r>
      <w:bookmarkStart w:id="38" w:name="_Hlk40717689"/>
      <w:r w:rsidRPr="00980192">
        <w:rPr>
          <w:lang w:val="en-US"/>
        </w:rPr>
        <w:t xml:space="preserve">Sylvia </w:t>
      </w:r>
      <w:proofErr w:type="spellStart"/>
      <w:r w:rsidRPr="00980192">
        <w:rPr>
          <w:lang w:val="en-US"/>
        </w:rPr>
        <w:t>Walby</w:t>
      </w:r>
      <w:proofErr w:type="spellEnd"/>
      <w:r w:rsidRPr="00980192">
        <w:rPr>
          <w:lang w:val="en-US"/>
        </w:rPr>
        <w:t xml:space="preserve"> and Jonathan Allen, ‘Domestic </w:t>
      </w:r>
      <w:r>
        <w:rPr>
          <w:lang w:val="en-US"/>
        </w:rPr>
        <w:t>V</w:t>
      </w:r>
      <w:r w:rsidRPr="00980192">
        <w:rPr>
          <w:lang w:val="en-US"/>
        </w:rPr>
        <w:t xml:space="preserve">iolence, </w:t>
      </w:r>
      <w:r>
        <w:rPr>
          <w:lang w:val="en-US"/>
        </w:rPr>
        <w:t>S</w:t>
      </w:r>
      <w:r w:rsidRPr="00980192">
        <w:rPr>
          <w:lang w:val="en-US"/>
        </w:rPr>
        <w:t xml:space="preserve">exual </w:t>
      </w:r>
      <w:r>
        <w:rPr>
          <w:lang w:val="en-US"/>
        </w:rPr>
        <w:t>A</w:t>
      </w:r>
      <w:r w:rsidRPr="00980192">
        <w:rPr>
          <w:lang w:val="en-US"/>
        </w:rPr>
        <w:t xml:space="preserve">ssault and </w:t>
      </w:r>
      <w:r>
        <w:rPr>
          <w:lang w:val="en-US"/>
        </w:rPr>
        <w:t>S</w:t>
      </w:r>
      <w:r w:rsidRPr="00980192">
        <w:rPr>
          <w:lang w:val="en-US"/>
        </w:rPr>
        <w:t>talking: Findings from the British Crime Survey’ (</w:t>
      </w:r>
      <w:r>
        <w:rPr>
          <w:lang w:val="en-US"/>
        </w:rPr>
        <w:t xml:space="preserve">Home Office </w:t>
      </w:r>
      <w:r w:rsidRPr="00980192">
        <w:rPr>
          <w:lang w:val="en-US"/>
        </w:rPr>
        <w:t>2004) vii.</w:t>
      </w:r>
      <w:bookmarkEnd w:id="38"/>
    </w:p>
  </w:footnote>
  <w:footnote w:id="45">
    <w:p w14:paraId="53021FFF" w14:textId="77777777" w:rsidR="005F213D" w:rsidRPr="00980192" w:rsidRDefault="005F213D" w:rsidP="00A64B1C">
      <w:pPr>
        <w:pStyle w:val="FootnoteText"/>
      </w:pPr>
      <w:r w:rsidRPr="00980192">
        <w:rPr>
          <w:rStyle w:val="FootnoteReference"/>
        </w:rPr>
        <w:footnoteRef/>
      </w:r>
      <w:r w:rsidRPr="00980192">
        <w:t xml:space="preserve"> </w:t>
      </w:r>
      <w:bookmarkStart w:id="39" w:name="_Hlk40717742"/>
      <w:r w:rsidRPr="00980192">
        <w:t>Michael Kimmel, ‘“Gender Symmetry” in Domestic Violence: A Substantive and Methodological Review’ (2002) Violence Against Women 1332</w:t>
      </w:r>
      <w:bookmarkEnd w:id="39"/>
      <w:r>
        <w:t>, 1348</w:t>
      </w:r>
      <w:r w:rsidRPr="00980192">
        <w:t>.</w:t>
      </w:r>
    </w:p>
  </w:footnote>
  <w:footnote w:id="46">
    <w:p w14:paraId="1392494A" w14:textId="77777777" w:rsidR="005F213D" w:rsidRPr="00980192" w:rsidRDefault="005F213D" w:rsidP="00A64B1C">
      <w:pPr>
        <w:pStyle w:val="FootnoteText"/>
      </w:pPr>
      <w:r w:rsidRPr="00980192">
        <w:rPr>
          <w:rStyle w:val="FootnoteReference"/>
        </w:rPr>
        <w:footnoteRef/>
      </w:r>
      <w:r w:rsidRPr="00980192">
        <w:t xml:space="preserve"> </w:t>
      </w:r>
      <w:bookmarkStart w:id="40" w:name="_Hlk40717791"/>
      <w:r w:rsidRPr="00980192">
        <w:t xml:space="preserve">Murray Straus, ‘Yes, Physical Assaults by Women Partners: A Major Social Problem’ </w:t>
      </w:r>
      <w:r>
        <w:t>i</w:t>
      </w:r>
      <w:r w:rsidRPr="00980192">
        <w:t>n Mary Walsh (ed)</w:t>
      </w:r>
      <w:r>
        <w:t>,</w:t>
      </w:r>
      <w:r w:rsidRPr="00980192">
        <w:t xml:space="preserve"> </w:t>
      </w:r>
      <w:r w:rsidRPr="008804C3">
        <w:rPr>
          <w:i/>
        </w:rPr>
        <w:t>Women, Men and Gender: Ongoing Debates</w:t>
      </w:r>
      <w:r w:rsidRPr="00980192">
        <w:t xml:space="preserve"> (Yale University Press 1997) </w:t>
      </w:r>
      <w:bookmarkEnd w:id="40"/>
      <w:r w:rsidRPr="00980192">
        <w:t>204, 219.</w:t>
      </w:r>
    </w:p>
  </w:footnote>
  <w:footnote w:id="47">
    <w:p w14:paraId="01ED7213" w14:textId="7342B323" w:rsidR="005F213D" w:rsidRDefault="005F213D">
      <w:pPr>
        <w:pStyle w:val="FootnoteText"/>
      </w:pPr>
      <w:r>
        <w:rPr>
          <w:rStyle w:val="FootnoteReference"/>
        </w:rPr>
        <w:footnoteRef/>
      </w:r>
      <w:r>
        <w:t xml:space="preserve"> </w:t>
      </w:r>
      <w:bookmarkStart w:id="41" w:name="_Hlk40717838"/>
      <w:r>
        <w:t>Marianne Hester, ‘</w:t>
      </w:r>
      <w:r w:rsidRPr="004F3A11">
        <w:t xml:space="preserve">Who </w:t>
      </w:r>
      <w:r>
        <w:t>D</w:t>
      </w:r>
      <w:r w:rsidRPr="004F3A11">
        <w:t xml:space="preserve">oes </w:t>
      </w:r>
      <w:r>
        <w:t>W</w:t>
      </w:r>
      <w:r w:rsidRPr="004F3A11">
        <w:t xml:space="preserve">hat to </w:t>
      </w:r>
      <w:r>
        <w:t>W</w:t>
      </w:r>
      <w:r w:rsidRPr="004F3A11">
        <w:t xml:space="preserve">hom? Gender and </w:t>
      </w:r>
      <w:r>
        <w:t>D</w:t>
      </w:r>
      <w:r w:rsidRPr="004F3A11">
        <w:t xml:space="preserve">omestic </w:t>
      </w:r>
      <w:r>
        <w:t>V</w:t>
      </w:r>
      <w:r w:rsidRPr="004F3A11">
        <w:t xml:space="preserve">iolence </w:t>
      </w:r>
      <w:r>
        <w:t>P</w:t>
      </w:r>
      <w:r w:rsidRPr="004F3A11">
        <w:t xml:space="preserve">erpetrators in English </w:t>
      </w:r>
      <w:r>
        <w:t>P</w:t>
      </w:r>
      <w:r w:rsidRPr="004F3A11">
        <w:t xml:space="preserve">olice </w:t>
      </w:r>
      <w:r>
        <w:t>R</w:t>
      </w:r>
      <w:r w:rsidRPr="004F3A11">
        <w:t>ecords</w:t>
      </w:r>
      <w:r>
        <w:t>’ (2013) 10(5) European Journal of Criminology 623.</w:t>
      </w:r>
      <w:bookmarkEnd w:id="41"/>
    </w:p>
  </w:footnote>
  <w:footnote w:id="48">
    <w:p w14:paraId="1CCCCACE" w14:textId="725357C1" w:rsidR="005F213D" w:rsidRPr="00980192" w:rsidRDefault="005F213D" w:rsidP="00835B47">
      <w:pPr>
        <w:pStyle w:val="FootnoteText"/>
      </w:pPr>
      <w:r w:rsidRPr="00980192">
        <w:rPr>
          <w:rStyle w:val="FootnoteReference"/>
        </w:rPr>
        <w:footnoteRef/>
      </w:r>
      <w:r w:rsidRPr="00980192">
        <w:t xml:space="preserve"> </w:t>
      </w:r>
      <w:r>
        <w:t>Kimmel (n 45)</w:t>
      </w:r>
      <w:r w:rsidRPr="00980192">
        <w:t xml:space="preserve"> 1332.</w:t>
      </w:r>
    </w:p>
  </w:footnote>
  <w:footnote w:id="49">
    <w:p w14:paraId="778D0325" w14:textId="22BA617A" w:rsidR="005F213D" w:rsidRPr="00980192" w:rsidRDefault="005F213D" w:rsidP="00835B47">
      <w:pPr>
        <w:pStyle w:val="FootnoteText"/>
      </w:pPr>
      <w:r w:rsidRPr="00980192">
        <w:rPr>
          <w:rStyle w:val="FootnoteReference"/>
        </w:rPr>
        <w:footnoteRef/>
      </w:r>
      <w:r w:rsidRPr="00980192">
        <w:t xml:space="preserve"> </w:t>
      </w:r>
      <w:bookmarkStart w:id="42" w:name="_Hlk40717961"/>
      <w:r w:rsidRPr="00980192">
        <w:t xml:space="preserve">Murray Straus, ‘Measuring </w:t>
      </w:r>
      <w:r>
        <w:t>I</w:t>
      </w:r>
      <w:r w:rsidRPr="00980192">
        <w:t xml:space="preserve">ntrafamily </w:t>
      </w:r>
      <w:r>
        <w:t>C</w:t>
      </w:r>
      <w:r w:rsidRPr="00980192">
        <w:t xml:space="preserve">onflict and </w:t>
      </w:r>
      <w:r>
        <w:t>V</w:t>
      </w:r>
      <w:r w:rsidRPr="00980192">
        <w:t xml:space="preserve">iolence: The </w:t>
      </w:r>
      <w:r>
        <w:t>C</w:t>
      </w:r>
      <w:r w:rsidRPr="00980192">
        <w:t xml:space="preserve">onflict </w:t>
      </w:r>
      <w:r>
        <w:t>T</w:t>
      </w:r>
      <w:r w:rsidRPr="00980192">
        <w:t xml:space="preserve">actics (CT) </w:t>
      </w:r>
      <w:r>
        <w:t>S</w:t>
      </w:r>
      <w:r w:rsidRPr="00980192">
        <w:t>cales’ (1979) Journal of Marriage and the Family 75</w:t>
      </w:r>
      <w:bookmarkEnd w:id="42"/>
      <w:r w:rsidRPr="00980192">
        <w:t>. The Scale draws on participant recollections of violence from the preceding 12 months only</w:t>
      </w:r>
      <w:r>
        <w:t>; it</w:t>
      </w:r>
      <w:r w:rsidRPr="00980192">
        <w:t xml:space="preserve"> does not consider context, such as whether the person was acting defensively</w:t>
      </w:r>
      <w:r>
        <w:t>; and</w:t>
      </w:r>
      <w:r w:rsidRPr="00980192">
        <w:t xml:space="preserve"> </w:t>
      </w:r>
      <w:r>
        <w:t xml:space="preserve">it </w:t>
      </w:r>
      <w:r w:rsidRPr="00980192">
        <w:t xml:space="preserve">does not distinguish between levels of violence deployed- so a slap carries the same weight as a serious wounding.  It has been contended that if gender symmetry is to be asserted at all it would be more accurate to suggest it clustered at the very lowest levels of violence (see </w:t>
      </w:r>
      <w:bookmarkStart w:id="43" w:name="_Hlk40718017"/>
      <w:r w:rsidRPr="00980192">
        <w:t xml:space="preserve">Rebecca </w:t>
      </w:r>
      <w:proofErr w:type="spellStart"/>
      <w:r w:rsidRPr="00980192">
        <w:t>Dobash</w:t>
      </w:r>
      <w:proofErr w:type="spellEnd"/>
      <w:r>
        <w:t xml:space="preserve">, Russel </w:t>
      </w:r>
      <w:proofErr w:type="spellStart"/>
      <w:r>
        <w:t>Dobash</w:t>
      </w:r>
      <w:proofErr w:type="spellEnd"/>
      <w:r>
        <w:t xml:space="preserve">, Kate Cavanagh and Ruth Lewis, </w:t>
      </w:r>
      <w:r w:rsidRPr="00980192">
        <w:t xml:space="preserve">‘Separate and </w:t>
      </w:r>
      <w:r>
        <w:t>I</w:t>
      </w:r>
      <w:r w:rsidRPr="00980192">
        <w:t xml:space="preserve">ntersecting </w:t>
      </w:r>
      <w:r>
        <w:t>R</w:t>
      </w:r>
      <w:r w:rsidRPr="00980192">
        <w:t xml:space="preserve">ealities: A </w:t>
      </w:r>
      <w:r>
        <w:t>C</w:t>
      </w:r>
      <w:r w:rsidRPr="00980192">
        <w:t xml:space="preserve">omparison of </w:t>
      </w:r>
      <w:r>
        <w:t>M</w:t>
      </w:r>
      <w:r w:rsidRPr="00980192">
        <w:t xml:space="preserve">en’s and </w:t>
      </w:r>
      <w:r>
        <w:t>W</w:t>
      </w:r>
      <w:r w:rsidRPr="00980192">
        <w:t xml:space="preserve">omen’s </w:t>
      </w:r>
      <w:r>
        <w:t>A</w:t>
      </w:r>
      <w:r w:rsidRPr="00980192">
        <w:t xml:space="preserve">ccounts of </w:t>
      </w:r>
      <w:r>
        <w:t>V</w:t>
      </w:r>
      <w:r w:rsidRPr="00980192">
        <w:t xml:space="preserve">iolence </w:t>
      </w:r>
      <w:r>
        <w:t>A</w:t>
      </w:r>
      <w:r w:rsidRPr="00980192">
        <w:t xml:space="preserve">gainst </w:t>
      </w:r>
      <w:r>
        <w:t>W</w:t>
      </w:r>
      <w:r w:rsidRPr="00980192">
        <w:t>omen’ (1998)</w:t>
      </w:r>
      <w:r>
        <w:t xml:space="preserve"> 4(4)</w:t>
      </w:r>
      <w:r w:rsidRPr="00980192">
        <w:t xml:space="preserve"> Violence Against Women</w:t>
      </w:r>
      <w:r>
        <w:t xml:space="preserve"> </w:t>
      </w:r>
      <w:r w:rsidRPr="00980192">
        <w:t>382</w:t>
      </w:r>
      <w:bookmarkEnd w:id="43"/>
      <w:r w:rsidRPr="00980192">
        <w:t>).</w:t>
      </w:r>
    </w:p>
  </w:footnote>
  <w:footnote w:id="50">
    <w:p w14:paraId="0E13910C" w14:textId="055F451C" w:rsidR="005F213D" w:rsidRDefault="005F213D">
      <w:pPr>
        <w:pStyle w:val="FootnoteText"/>
      </w:pPr>
      <w:r>
        <w:rPr>
          <w:rStyle w:val="FootnoteReference"/>
        </w:rPr>
        <w:footnoteRef/>
      </w:r>
      <w:r>
        <w:t xml:space="preserve"> </w:t>
      </w:r>
      <w:r w:rsidRPr="00B93133">
        <w:t xml:space="preserve">Crown Prosecution Service, ‘Domestic Abuse Guidelines for Prosecutors’ </w:t>
      </w:r>
      <w:r>
        <w:t xml:space="preserve">(2014) </w:t>
      </w:r>
      <w:r w:rsidRPr="00B93133">
        <w:t>available at &lt;</w:t>
      </w:r>
      <w:hyperlink r:id="rId14" w:history="1">
        <w:r w:rsidRPr="00B93133">
          <w:rPr>
            <w:rStyle w:val="Hyperlink"/>
            <w:color w:val="auto"/>
            <w:u w:val="none"/>
          </w:rPr>
          <w:t>https://www.cps.gov.uk/legal-guidance/domestic-abuse-guidelines-prosecutors</w:t>
        </w:r>
      </w:hyperlink>
      <w:r w:rsidRPr="00B93133">
        <w:rPr>
          <w:rStyle w:val="Hyperlink"/>
          <w:color w:val="auto"/>
          <w:u w:val="none"/>
        </w:rPr>
        <w:t>&gt;</w:t>
      </w:r>
      <w:r w:rsidRPr="00B93133">
        <w:t xml:space="preserve"> accessed 9 February 2018.</w:t>
      </w:r>
    </w:p>
  </w:footnote>
  <w:footnote w:id="51">
    <w:p w14:paraId="06BA533B" w14:textId="77777777" w:rsidR="005F213D" w:rsidRDefault="005F213D" w:rsidP="00835B47">
      <w:pPr>
        <w:pStyle w:val="FootnoteText"/>
      </w:pPr>
      <w:r>
        <w:rPr>
          <w:rStyle w:val="FootnoteReference"/>
        </w:rPr>
        <w:footnoteRef/>
      </w:r>
      <w:r>
        <w:t xml:space="preserve"> Crown Prosecution Service, ‘Violence Against Women and Girls Report 2016-2017’ (CPS 2017) available at &lt;</w:t>
      </w:r>
      <w:hyperlink r:id="rId15" w:history="1">
        <w:r w:rsidRPr="007D1F1D">
          <w:rPr>
            <w:rStyle w:val="Hyperlink"/>
            <w:color w:val="auto"/>
            <w:u w:val="none"/>
          </w:rPr>
          <w:t>https://www.cps.gov.uk/sites/default/files/documents/publications/cps-vawg-report-2017_1.pdf</w:t>
        </w:r>
      </w:hyperlink>
      <w:r w:rsidRPr="007D1F1D">
        <w:t xml:space="preserve">&gt; </w:t>
      </w:r>
      <w:r>
        <w:t>accessed 27 April 2018.</w:t>
      </w:r>
    </w:p>
  </w:footnote>
  <w:footnote w:id="52">
    <w:p w14:paraId="22EB2BC3" w14:textId="4A42662E" w:rsidR="005F213D" w:rsidRDefault="005F213D" w:rsidP="00F1584C">
      <w:pPr>
        <w:spacing w:after="0"/>
      </w:pPr>
      <w:r>
        <w:rPr>
          <w:rStyle w:val="FootnoteReference"/>
        </w:rPr>
        <w:footnoteRef/>
      </w:r>
      <w:r>
        <w:t xml:space="preserve"> </w:t>
      </w:r>
      <w:r w:rsidRPr="0094164B">
        <w:rPr>
          <w:rFonts w:ascii="Calibri" w:eastAsia="Calibri" w:hAnsi="Calibri" w:cs="Times New Roman"/>
          <w:sz w:val="20"/>
          <w:szCs w:val="20"/>
        </w:rPr>
        <w:t>Resolution adopted by the General Assembly</w:t>
      </w:r>
      <w:r w:rsidRPr="0094164B">
        <w:rPr>
          <w:rFonts w:ascii="Georgia" w:eastAsia="Times New Roman" w:hAnsi="Georgia" w:cs="Times New Roman"/>
          <w:b/>
          <w:bCs/>
          <w:color w:val="000000"/>
          <w:sz w:val="26"/>
          <w:szCs w:val="26"/>
          <w:lang w:eastAsia="en-GB"/>
        </w:rPr>
        <w:t xml:space="preserve"> </w:t>
      </w:r>
      <w:r w:rsidRPr="0094164B">
        <w:rPr>
          <w:rFonts w:ascii="Calibri" w:eastAsia="Calibri" w:hAnsi="Calibri" w:cs="Times New Roman"/>
          <w:sz w:val="20"/>
          <w:szCs w:val="20"/>
        </w:rPr>
        <w:t>48/104. Declaration on the Elimination of Violence against Women</w:t>
      </w:r>
      <w:r>
        <w:rPr>
          <w:rFonts w:ascii="Calibri" w:eastAsia="Calibri" w:hAnsi="Calibri" w:cs="Times New Roman"/>
          <w:sz w:val="20"/>
          <w:szCs w:val="20"/>
        </w:rPr>
        <w:t xml:space="preserve"> (1993).</w:t>
      </w:r>
    </w:p>
  </w:footnote>
  <w:footnote w:id="53">
    <w:p w14:paraId="4FF6E888" w14:textId="2C333EE3" w:rsidR="005F213D" w:rsidRPr="00980192" w:rsidRDefault="005F213D" w:rsidP="00A64B1C">
      <w:pPr>
        <w:pStyle w:val="FootnoteText"/>
      </w:pPr>
      <w:r w:rsidRPr="00980192">
        <w:rPr>
          <w:rStyle w:val="FootnoteReference"/>
        </w:rPr>
        <w:footnoteRef/>
      </w:r>
      <w:r w:rsidRPr="00980192">
        <w:t xml:space="preserve"> </w:t>
      </w:r>
      <w:bookmarkStart w:id="44" w:name="_Hlk40718131"/>
      <w:r w:rsidRPr="00980192">
        <w:t>Claire Houston, ‘How Feminist Theory became (Criminal) Law: Tracing the Path to Mandatory Criminal Intervention in Domestic Violence Cases’ (2014) M</w:t>
      </w:r>
      <w:r>
        <w:t xml:space="preserve">odern </w:t>
      </w:r>
      <w:r w:rsidRPr="00980192">
        <w:t>L</w:t>
      </w:r>
      <w:r>
        <w:t xml:space="preserve">aw </w:t>
      </w:r>
      <w:r w:rsidRPr="00980192">
        <w:t>R</w:t>
      </w:r>
      <w:r>
        <w:t>eview</w:t>
      </w:r>
      <w:r w:rsidRPr="00980192">
        <w:t xml:space="preserve"> 217</w:t>
      </w:r>
      <w:bookmarkEnd w:id="44"/>
      <w:r w:rsidRPr="00980192">
        <w:t>.</w:t>
      </w:r>
    </w:p>
  </w:footnote>
  <w:footnote w:id="54">
    <w:p w14:paraId="19F0CC99" w14:textId="79E32017" w:rsidR="005F213D" w:rsidRPr="004E6478" w:rsidRDefault="005F213D">
      <w:pPr>
        <w:pStyle w:val="FootnoteText"/>
      </w:pPr>
      <w:r>
        <w:rPr>
          <w:rStyle w:val="FootnoteReference"/>
        </w:rPr>
        <w:footnoteRef/>
      </w:r>
      <w:r>
        <w:t xml:space="preserve"> </w:t>
      </w:r>
      <w:bookmarkStart w:id="45" w:name="_Hlk40718167"/>
      <w:r>
        <w:t xml:space="preserve">Michael Johnson, </w:t>
      </w:r>
      <w:r>
        <w:rPr>
          <w:i/>
          <w:iCs/>
        </w:rPr>
        <w:t xml:space="preserve">A Typology of Domestic Violence: Intimate Terrorism, Violent Resistance and Situational Couple Violence </w:t>
      </w:r>
      <w:r>
        <w:t>(</w:t>
      </w:r>
      <w:proofErr w:type="spellStart"/>
      <w:r>
        <w:t>Northeastern</w:t>
      </w:r>
      <w:proofErr w:type="spellEnd"/>
      <w:r>
        <w:t xml:space="preserve"> University Press 2008) </w:t>
      </w:r>
      <w:bookmarkEnd w:id="45"/>
      <w:r>
        <w:t>32.</w:t>
      </w:r>
    </w:p>
  </w:footnote>
  <w:footnote w:id="55">
    <w:p w14:paraId="45832719" w14:textId="19FF9A4B" w:rsidR="005F213D" w:rsidRPr="00A815AC" w:rsidRDefault="005F213D" w:rsidP="001A0038">
      <w:pPr>
        <w:pStyle w:val="FootnoteText"/>
      </w:pPr>
      <w:r w:rsidRPr="00980192">
        <w:rPr>
          <w:rStyle w:val="FootnoteReference"/>
        </w:rPr>
        <w:footnoteRef/>
      </w:r>
      <w:r w:rsidRPr="00980192">
        <w:t xml:space="preserve"> </w:t>
      </w:r>
      <w:bookmarkStart w:id="46" w:name="_Hlk40718233"/>
      <w:r w:rsidRPr="00980192">
        <w:t xml:space="preserve">United Nations, ‘15 of the United Nations Special Rapporteur on Violence Against Women, Its Causes and Consequences: A Critical Review (1994- 2009)’ (2009) </w:t>
      </w:r>
      <w:r>
        <w:t xml:space="preserve">27 </w:t>
      </w:r>
      <w:r w:rsidRPr="00980192">
        <w:t xml:space="preserve">available at </w:t>
      </w:r>
      <w:r>
        <w:t>&lt;</w:t>
      </w:r>
      <w:hyperlink r:id="rId16" w:history="1">
        <w:r w:rsidRPr="00A815AC">
          <w:rPr>
            <w:rStyle w:val="Hyperlink"/>
            <w:color w:val="auto"/>
            <w:u w:val="none"/>
          </w:rPr>
          <w:t>http://www.ohchr.org/Documents/Issues/Women/15YearReviewofVAWMandate.pdf</w:t>
        </w:r>
      </w:hyperlink>
      <w:r w:rsidRPr="00A815AC">
        <w:rPr>
          <w:rStyle w:val="Hyperlink"/>
          <w:color w:val="auto"/>
          <w:u w:val="none"/>
        </w:rPr>
        <w:t>&gt;</w:t>
      </w:r>
      <w:r w:rsidRPr="00A815AC">
        <w:t xml:space="preserve"> </w:t>
      </w:r>
      <w:bookmarkEnd w:id="46"/>
      <w:r w:rsidRPr="00A815AC">
        <w:t>cited in C</w:t>
      </w:r>
      <w:r>
        <w:t xml:space="preserve">rown </w:t>
      </w:r>
      <w:r w:rsidRPr="00A815AC">
        <w:t>P</w:t>
      </w:r>
      <w:r>
        <w:t xml:space="preserve">rosecution </w:t>
      </w:r>
      <w:r w:rsidRPr="00A815AC">
        <w:t>S</w:t>
      </w:r>
      <w:r>
        <w:t>ervice</w:t>
      </w:r>
      <w:r w:rsidRPr="00A815AC">
        <w:t>, ‘Violence Against Women and Girls Report, 10</w:t>
      </w:r>
      <w:r w:rsidRPr="00A815AC">
        <w:rPr>
          <w:vertAlign w:val="superscript"/>
        </w:rPr>
        <w:t>th</w:t>
      </w:r>
      <w:r w:rsidRPr="00A815AC">
        <w:t xml:space="preserve"> Edition, 2016-17’ (2017)</w:t>
      </w:r>
      <w:r>
        <w:t xml:space="preserve"> A1</w:t>
      </w:r>
      <w:r w:rsidRPr="00A815AC">
        <w:t xml:space="preserve"> available at &lt;</w:t>
      </w:r>
      <w:hyperlink r:id="rId17" w:history="1">
        <w:r w:rsidRPr="00A815AC">
          <w:rPr>
            <w:rStyle w:val="Hyperlink"/>
            <w:color w:val="auto"/>
            <w:u w:val="none"/>
          </w:rPr>
          <w:t>https://www.cps.gov.uk/sites/default/files/documents/publications/cps-vawg-report-2017_0.pdf</w:t>
        </w:r>
      </w:hyperlink>
      <w:r w:rsidRPr="00A815AC">
        <w:rPr>
          <w:rStyle w:val="Hyperlink"/>
          <w:color w:val="auto"/>
          <w:u w:val="none"/>
        </w:rPr>
        <w:t>&gt;</w:t>
      </w:r>
      <w:r w:rsidRPr="00A815AC">
        <w:t xml:space="preserve"> accessed 23 March 20</w:t>
      </w:r>
      <w:r>
        <w:t>20</w:t>
      </w:r>
      <w:r w:rsidRPr="00A815AC">
        <w:t>.</w:t>
      </w:r>
      <w:r>
        <w:t xml:space="preserve"> </w:t>
      </w:r>
      <w:r w:rsidRPr="00A815AC">
        <w:t xml:space="preserve">See </w:t>
      </w:r>
      <w:r w:rsidRPr="007D0618">
        <w:t xml:space="preserve">Chapter Two for a </w:t>
      </w:r>
      <w:r w:rsidRPr="00A815AC">
        <w:t>fuller discussion on Madden-Dempsey’s work</w:t>
      </w:r>
      <w:r>
        <w:t>.</w:t>
      </w:r>
    </w:p>
  </w:footnote>
  <w:footnote w:id="56">
    <w:p w14:paraId="56F06441" w14:textId="77777777" w:rsidR="005F213D" w:rsidRDefault="005F213D" w:rsidP="00C8759D">
      <w:pPr>
        <w:pStyle w:val="FootnoteText"/>
      </w:pPr>
      <w:r>
        <w:rPr>
          <w:rStyle w:val="FootnoteReference"/>
        </w:rPr>
        <w:footnoteRef/>
      </w:r>
      <w:r>
        <w:t xml:space="preserve"> The Domestic Abuse Disclosure Scheme was introduced in March 2014.</w:t>
      </w:r>
    </w:p>
  </w:footnote>
  <w:footnote w:id="57">
    <w:p w14:paraId="5F42FBDC" w14:textId="77777777" w:rsidR="005F213D" w:rsidRDefault="005F213D" w:rsidP="00C8759D">
      <w:pPr>
        <w:pStyle w:val="FootnoteText"/>
      </w:pPr>
      <w:r>
        <w:rPr>
          <w:rStyle w:val="FootnoteReference"/>
        </w:rPr>
        <w:footnoteRef/>
      </w:r>
      <w:r>
        <w:t xml:space="preserve"> Domestic Violence Protection Orders were introduced in March 2014.</w:t>
      </w:r>
    </w:p>
  </w:footnote>
  <w:footnote w:id="58">
    <w:p w14:paraId="2F988A5C" w14:textId="77777777" w:rsidR="005F213D" w:rsidRPr="00980192" w:rsidRDefault="005F213D" w:rsidP="00A64B1C">
      <w:pPr>
        <w:pStyle w:val="FootnoteText"/>
      </w:pPr>
      <w:r w:rsidRPr="00980192">
        <w:rPr>
          <w:rStyle w:val="FootnoteReference"/>
        </w:rPr>
        <w:footnoteRef/>
      </w:r>
      <w:r w:rsidRPr="00980192">
        <w:t xml:space="preserve"> </w:t>
      </w:r>
      <w:bookmarkStart w:id="47" w:name="_Hlk28610862"/>
      <w:r w:rsidRPr="00980192">
        <w:t>Janet Halley</w:t>
      </w:r>
      <w:r>
        <w:t xml:space="preserve">, </w:t>
      </w:r>
      <w:r w:rsidRPr="00502F68">
        <w:t xml:space="preserve">Prabha </w:t>
      </w:r>
      <w:proofErr w:type="spellStart"/>
      <w:r w:rsidRPr="00502F68">
        <w:t>Kotiswaran</w:t>
      </w:r>
      <w:proofErr w:type="spellEnd"/>
      <w:r w:rsidRPr="00502F68">
        <w:t xml:space="preserve">, Rachel </w:t>
      </w:r>
      <w:proofErr w:type="spellStart"/>
      <w:r w:rsidRPr="00502F68">
        <w:t>Rebouché</w:t>
      </w:r>
      <w:proofErr w:type="spellEnd"/>
      <w:r w:rsidRPr="00502F68">
        <w:t xml:space="preserve"> and Hila Shamir</w:t>
      </w:r>
      <w:r w:rsidRPr="00980192">
        <w:t xml:space="preserve">, </w:t>
      </w:r>
      <w:r w:rsidRPr="00980192">
        <w:rPr>
          <w:i/>
        </w:rPr>
        <w:t xml:space="preserve">Governance Feminism: An Introduction </w:t>
      </w:r>
      <w:r w:rsidRPr="00980192">
        <w:t xml:space="preserve">(University of Minnesota Press 2018) </w:t>
      </w:r>
      <w:bookmarkEnd w:id="47"/>
      <w:r w:rsidRPr="00980192">
        <w:t>31.</w:t>
      </w:r>
    </w:p>
  </w:footnote>
  <w:footnote w:id="59">
    <w:p w14:paraId="0A00A63F" w14:textId="13013252" w:rsidR="005F213D" w:rsidRDefault="005F213D" w:rsidP="00A64B1C">
      <w:pPr>
        <w:pStyle w:val="FootnoteText"/>
      </w:pPr>
      <w:r>
        <w:rPr>
          <w:rStyle w:val="FootnoteReference"/>
        </w:rPr>
        <w:footnoteRef/>
      </w:r>
      <w:r>
        <w:t xml:space="preserve"> ‘</w:t>
      </w:r>
      <w:r w:rsidRPr="00897910">
        <w:t xml:space="preserve">Radical’ and ‘dominance’ feminisms both describe structural male domination as causational to women’s oppression.  </w:t>
      </w:r>
    </w:p>
  </w:footnote>
  <w:footnote w:id="60">
    <w:p w14:paraId="787CDDF2" w14:textId="4CAD2C2A" w:rsidR="005F213D" w:rsidRDefault="005F213D">
      <w:pPr>
        <w:pStyle w:val="FootnoteText"/>
      </w:pPr>
      <w:r>
        <w:rPr>
          <w:rStyle w:val="FootnoteReference"/>
        </w:rPr>
        <w:footnoteRef/>
      </w:r>
      <w:r>
        <w:t xml:space="preserve"> </w:t>
      </w:r>
      <w:r w:rsidRPr="00120299">
        <w:t>If feminists can be shown to have successfully influenced the UK government’s VAWG strategy then the most transparent way that this is likely to have been achieved is through feminist engagement with the frequently deployed mechanism of government consultations with interested parties.</w:t>
      </w:r>
    </w:p>
  </w:footnote>
  <w:footnote w:id="61">
    <w:p w14:paraId="2F0ECB72" w14:textId="77777777" w:rsidR="005F213D" w:rsidRPr="00980192" w:rsidRDefault="005F213D" w:rsidP="00FA39A2">
      <w:pPr>
        <w:pStyle w:val="FootnoteText"/>
      </w:pPr>
      <w:r w:rsidRPr="005A5A89">
        <w:rPr>
          <w:rStyle w:val="FootnoteReference"/>
        </w:rPr>
        <w:footnoteRef/>
      </w:r>
      <w:r w:rsidRPr="00980192">
        <w:t xml:space="preserve"> See for example </w:t>
      </w:r>
      <w:bookmarkStart w:id="48" w:name="_Hlk40718375"/>
      <w:r w:rsidRPr="00980192">
        <w:t xml:space="preserve">Kristin </w:t>
      </w:r>
      <w:proofErr w:type="spellStart"/>
      <w:r w:rsidRPr="00980192">
        <w:t>Bumiller</w:t>
      </w:r>
      <w:proofErr w:type="spellEnd"/>
      <w:r w:rsidRPr="00980192">
        <w:t xml:space="preserve">, </w:t>
      </w:r>
      <w:r w:rsidRPr="00980192">
        <w:rPr>
          <w:i/>
        </w:rPr>
        <w:t xml:space="preserve">In an Abusive State: How Neoliberalism Appropriated the Feminist Movement Against Sexual Violence </w:t>
      </w:r>
      <w:r w:rsidRPr="00980192">
        <w:t>(Duke University Press 2008).</w:t>
      </w:r>
      <w:r>
        <w:t xml:space="preserve"> </w:t>
      </w:r>
      <w:bookmarkEnd w:id="48"/>
      <w:r>
        <w:t>See my Chapter Three for an exploration of what is meant here by ‘expressive justice’.</w:t>
      </w:r>
    </w:p>
  </w:footnote>
  <w:footnote w:id="62">
    <w:p w14:paraId="58B03F77" w14:textId="05F59E7E" w:rsidR="005F213D" w:rsidRPr="00980192" w:rsidRDefault="005F213D" w:rsidP="002672C5">
      <w:pPr>
        <w:pStyle w:val="FootnoteText"/>
      </w:pPr>
      <w:r w:rsidRPr="00980192">
        <w:rPr>
          <w:rStyle w:val="FootnoteReference"/>
        </w:rPr>
        <w:footnoteRef/>
      </w:r>
      <w:r w:rsidRPr="00980192">
        <w:t xml:space="preserve"> </w:t>
      </w:r>
      <w:r>
        <w:t>Halley (n 58)</w:t>
      </w:r>
      <w:r w:rsidRPr="00980192">
        <w:t xml:space="preserve"> 31.</w:t>
      </w:r>
    </w:p>
  </w:footnote>
  <w:footnote w:id="63">
    <w:p w14:paraId="33A45F81" w14:textId="129C274A" w:rsidR="005F213D" w:rsidRDefault="005F213D">
      <w:pPr>
        <w:pStyle w:val="FootnoteText"/>
      </w:pPr>
      <w:r>
        <w:rPr>
          <w:rStyle w:val="FootnoteReference"/>
        </w:rPr>
        <w:footnoteRef/>
      </w:r>
      <w:r>
        <w:t xml:space="preserve"> Serena </w:t>
      </w:r>
      <w:bookmarkStart w:id="49" w:name="_Hlk40718483"/>
      <w:proofErr w:type="spellStart"/>
      <w:r>
        <w:t>Natile</w:t>
      </w:r>
      <w:proofErr w:type="spellEnd"/>
      <w:r>
        <w:t xml:space="preserve"> and Silvana Tapia, ‘Governance Feminism: An Introduction’ (2018) 52(4) Law and Society 1106</w:t>
      </w:r>
      <w:bookmarkEnd w:id="49"/>
      <w:r>
        <w:t>, 1110.</w:t>
      </w:r>
    </w:p>
  </w:footnote>
  <w:footnote w:id="64">
    <w:p w14:paraId="7D283392" w14:textId="1E7D2F55" w:rsidR="005F213D" w:rsidRDefault="005F213D">
      <w:pPr>
        <w:pStyle w:val="FootnoteText"/>
      </w:pPr>
      <w:r>
        <w:rPr>
          <w:rStyle w:val="FootnoteReference"/>
        </w:rPr>
        <w:footnoteRef/>
      </w:r>
      <w:r>
        <w:t xml:space="preserve"> Halley (n 58) 13.</w:t>
      </w:r>
    </w:p>
  </w:footnote>
  <w:footnote w:id="65">
    <w:p w14:paraId="670ACF23" w14:textId="022A7A3C" w:rsidR="005F213D" w:rsidRDefault="005F213D" w:rsidP="00F04614">
      <w:pPr>
        <w:pStyle w:val="FootnoteText"/>
      </w:pPr>
      <w:r>
        <w:rPr>
          <w:rStyle w:val="FootnoteReference"/>
        </w:rPr>
        <w:footnoteRef/>
      </w:r>
      <w:r>
        <w:t xml:space="preserve"> Armine </w:t>
      </w:r>
      <w:bookmarkStart w:id="50" w:name="_Hlk40718578"/>
      <w:proofErr w:type="spellStart"/>
      <w:r>
        <w:t>Ishkanian</w:t>
      </w:r>
      <w:proofErr w:type="spellEnd"/>
      <w:r>
        <w:t>, ‘Neoliberalism and Violence: The Big Society and the Changing Politics of Domestic Violence in England’ (2014) 34(3) Critical Social Policy 333</w:t>
      </w:r>
      <w:bookmarkEnd w:id="50"/>
      <w:r>
        <w:t>, 333.</w:t>
      </w:r>
    </w:p>
  </w:footnote>
  <w:footnote w:id="66">
    <w:p w14:paraId="682FA6BE" w14:textId="16C60D2C" w:rsidR="005F213D" w:rsidRPr="001F6680" w:rsidRDefault="005F213D" w:rsidP="00A64B1C">
      <w:pPr>
        <w:pStyle w:val="FootnoteText"/>
      </w:pPr>
      <w:r w:rsidRPr="00980192">
        <w:rPr>
          <w:rStyle w:val="FootnoteReference"/>
        </w:rPr>
        <w:footnoteRef/>
      </w:r>
      <w:r w:rsidRPr="00980192">
        <w:t xml:space="preserve"> </w:t>
      </w:r>
      <w:bookmarkStart w:id="51" w:name="_Hlk40718662"/>
      <w:r w:rsidRPr="00980192">
        <w:t xml:space="preserve">Carolyn Hoyle, ‘Feminism, Victimology and Domestic Violence’ in Sandra </w:t>
      </w:r>
      <w:proofErr w:type="spellStart"/>
      <w:r w:rsidRPr="00980192">
        <w:t>Walklate</w:t>
      </w:r>
      <w:proofErr w:type="spellEnd"/>
      <w:r w:rsidRPr="00980192">
        <w:t xml:space="preserve"> (ed)</w:t>
      </w:r>
      <w:r>
        <w:t>,</w:t>
      </w:r>
      <w:r w:rsidRPr="00980192">
        <w:t xml:space="preserve"> </w:t>
      </w:r>
      <w:r w:rsidRPr="00980192">
        <w:rPr>
          <w:i/>
        </w:rPr>
        <w:t xml:space="preserve">Handbook of Victims and Victimology </w:t>
      </w:r>
      <w:r w:rsidRPr="00980192">
        <w:t xml:space="preserve">(Taylor and Frances 2012) </w:t>
      </w:r>
      <w:bookmarkEnd w:id="51"/>
      <w:r w:rsidRPr="00980192">
        <w:t>146.</w:t>
      </w:r>
      <w:r>
        <w:t xml:space="preserve"> </w:t>
      </w:r>
    </w:p>
  </w:footnote>
  <w:footnote w:id="67">
    <w:p w14:paraId="325C9D84" w14:textId="570ED692" w:rsidR="005F213D" w:rsidRDefault="005F213D">
      <w:pPr>
        <w:pStyle w:val="FootnoteText"/>
      </w:pPr>
      <w:r>
        <w:rPr>
          <w:rStyle w:val="FootnoteReference"/>
        </w:rPr>
        <w:footnoteRef/>
      </w:r>
      <w:r>
        <w:t xml:space="preserve"> Ibid 162.</w:t>
      </w:r>
    </w:p>
  </w:footnote>
  <w:footnote w:id="68">
    <w:p w14:paraId="7FE37B8B" w14:textId="77777777" w:rsidR="005F213D" w:rsidRPr="00980192" w:rsidRDefault="005F213D" w:rsidP="00792A5C">
      <w:pPr>
        <w:pStyle w:val="FootnoteText"/>
      </w:pPr>
      <w:r w:rsidRPr="00980192">
        <w:rPr>
          <w:rStyle w:val="FootnoteReference"/>
        </w:rPr>
        <w:footnoteRef/>
      </w:r>
      <w:r w:rsidRPr="00980192">
        <w:t xml:space="preserve"> </w:t>
      </w:r>
      <w:r>
        <w:t>Ibid 162.</w:t>
      </w:r>
    </w:p>
  </w:footnote>
  <w:footnote w:id="69">
    <w:p w14:paraId="4CAB1D7D" w14:textId="77777777" w:rsidR="005F213D" w:rsidRDefault="005F213D" w:rsidP="00E5617A">
      <w:pPr>
        <w:pStyle w:val="FootnoteText"/>
      </w:pPr>
      <w:r>
        <w:rPr>
          <w:rStyle w:val="FootnoteReference"/>
        </w:rPr>
        <w:footnoteRef/>
      </w:r>
      <w:r>
        <w:t xml:space="preserve"> Lori </w:t>
      </w:r>
      <w:bookmarkStart w:id="52" w:name="_Hlk40718736"/>
      <w:proofErr w:type="spellStart"/>
      <w:r>
        <w:t>Heise</w:t>
      </w:r>
      <w:proofErr w:type="spellEnd"/>
      <w:r>
        <w:t>,</w:t>
      </w:r>
      <w:r w:rsidRPr="00785798">
        <w:t xml:space="preserve"> ‘Violence </w:t>
      </w:r>
      <w:r>
        <w:t>A</w:t>
      </w:r>
      <w:r w:rsidRPr="00785798">
        <w:t xml:space="preserve">gainst </w:t>
      </w:r>
      <w:r>
        <w:t>W</w:t>
      </w:r>
      <w:r w:rsidRPr="00785798">
        <w:t xml:space="preserve">omen: An </w:t>
      </w:r>
      <w:r>
        <w:t>I</w:t>
      </w:r>
      <w:r w:rsidRPr="00785798">
        <w:t xml:space="preserve">ntegrated, </w:t>
      </w:r>
      <w:r>
        <w:t>E</w:t>
      </w:r>
      <w:r w:rsidRPr="00785798">
        <w:t xml:space="preserve">cological </w:t>
      </w:r>
      <w:r>
        <w:t>F</w:t>
      </w:r>
      <w:r w:rsidRPr="00785798">
        <w:t xml:space="preserve">ramework’ (1998) 4(3) Violence </w:t>
      </w:r>
      <w:r>
        <w:t>A</w:t>
      </w:r>
      <w:r w:rsidRPr="00785798">
        <w:t xml:space="preserve">gainst </w:t>
      </w:r>
      <w:r>
        <w:t>W</w:t>
      </w:r>
      <w:r w:rsidRPr="00785798">
        <w:t>omen 262</w:t>
      </w:r>
      <w:bookmarkEnd w:id="52"/>
      <w:r w:rsidRPr="00785798">
        <w:t>.</w:t>
      </w:r>
    </w:p>
  </w:footnote>
  <w:footnote w:id="70">
    <w:p w14:paraId="370367D5" w14:textId="567FBA46" w:rsidR="005F213D" w:rsidRDefault="005F213D">
      <w:pPr>
        <w:pStyle w:val="FootnoteText"/>
      </w:pPr>
      <w:r>
        <w:rPr>
          <w:rStyle w:val="FootnoteReference"/>
        </w:rPr>
        <w:footnoteRef/>
      </w:r>
      <w:r>
        <w:t xml:space="preserve"> See also </w:t>
      </w:r>
      <w:proofErr w:type="spellStart"/>
      <w:r>
        <w:rPr>
          <w:i/>
          <w:iCs/>
        </w:rPr>
        <w:t>Goodmark</w:t>
      </w:r>
      <w:proofErr w:type="spellEnd"/>
      <w:r>
        <w:t xml:space="preserve"> (n 22) 3 in which </w:t>
      </w:r>
      <w:proofErr w:type="spellStart"/>
      <w:r>
        <w:t>Goodmark</w:t>
      </w:r>
      <w:proofErr w:type="spellEnd"/>
      <w:r>
        <w:t xml:space="preserve"> suggests that in the US the dominance feminism ‘portrait of a subordinated woman in need of salvation anchor[s] laws and policies’.</w:t>
      </w:r>
    </w:p>
  </w:footnote>
  <w:footnote w:id="71">
    <w:p w14:paraId="1A6CFBD9" w14:textId="77777777" w:rsidR="005F213D" w:rsidRPr="00980192" w:rsidRDefault="005F213D" w:rsidP="00A64B1C">
      <w:pPr>
        <w:pStyle w:val="FootnoteText"/>
      </w:pPr>
      <w:r w:rsidRPr="00980192">
        <w:rPr>
          <w:rStyle w:val="FootnoteReference"/>
        </w:rPr>
        <w:footnoteRef/>
      </w:r>
      <w:r w:rsidRPr="00980192">
        <w:t xml:space="preserve"> </w:t>
      </w:r>
      <w:r>
        <w:t xml:space="preserve">An accusation Mills makes about the state in the United States in </w:t>
      </w:r>
      <w:r w:rsidRPr="00980192">
        <w:t xml:space="preserve">Linda Mills, </w:t>
      </w:r>
      <w:r w:rsidRPr="00980192">
        <w:rPr>
          <w:i/>
        </w:rPr>
        <w:t xml:space="preserve">Insult to Injury: Rethinking our Responses to Intimate Abuse </w:t>
      </w:r>
      <w:r w:rsidRPr="00980192">
        <w:t>(Princeton University Press 2003).</w:t>
      </w:r>
    </w:p>
  </w:footnote>
  <w:footnote w:id="72">
    <w:p w14:paraId="3B07993C" w14:textId="65E5E511" w:rsidR="005F213D" w:rsidRDefault="005F213D">
      <w:pPr>
        <w:pStyle w:val="FootnoteText"/>
      </w:pPr>
      <w:r>
        <w:rPr>
          <w:rStyle w:val="FootnoteReference"/>
        </w:rPr>
        <w:footnoteRef/>
      </w:r>
      <w:r>
        <w:t xml:space="preserve"> Munro, ‘Violence Against Women, ‘Victimhood’ and the (Neo)Liberal State’ (n 5) 238.</w:t>
      </w:r>
    </w:p>
  </w:footnote>
  <w:footnote w:id="73">
    <w:p w14:paraId="42607A33" w14:textId="77777777" w:rsidR="005F213D" w:rsidRPr="00047012" w:rsidRDefault="005F213D" w:rsidP="003F3602">
      <w:pPr>
        <w:pStyle w:val="FootnoteText"/>
      </w:pPr>
      <w:r>
        <w:rPr>
          <w:rStyle w:val="FootnoteReference"/>
        </w:rPr>
        <w:footnoteRef/>
      </w:r>
      <w:r>
        <w:t xml:space="preserve"> </w:t>
      </w:r>
      <w:bookmarkStart w:id="57" w:name="_Hlk40719259"/>
      <w:r>
        <w:t xml:space="preserve">Michel Foucault, in Michel </w:t>
      </w:r>
      <w:proofErr w:type="spellStart"/>
      <w:r>
        <w:t>Senellart</w:t>
      </w:r>
      <w:proofErr w:type="spellEnd"/>
      <w:r>
        <w:t xml:space="preserve"> (ed), </w:t>
      </w:r>
      <w:r>
        <w:rPr>
          <w:i/>
        </w:rPr>
        <w:t xml:space="preserve">The Birth of Biopolitics: Lectures at the College de France 1978-79 </w:t>
      </w:r>
      <w:r>
        <w:t>(Picador 2004) 131.</w:t>
      </w:r>
      <w:bookmarkEnd w:id="57"/>
    </w:p>
  </w:footnote>
  <w:footnote w:id="74">
    <w:p w14:paraId="55C53C6F" w14:textId="77777777" w:rsidR="005F213D" w:rsidRPr="00342165" w:rsidRDefault="005F213D" w:rsidP="00A64B1C">
      <w:pPr>
        <w:pStyle w:val="FootnoteText"/>
      </w:pPr>
      <w:r>
        <w:rPr>
          <w:rStyle w:val="FootnoteReference"/>
        </w:rPr>
        <w:footnoteRef/>
      </w:r>
      <w:r>
        <w:t xml:space="preserve"> </w:t>
      </w:r>
      <w:bookmarkStart w:id="58" w:name="_Hlk40719315"/>
      <w:r>
        <w:t xml:space="preserve">Robert Reiner, </w:t>
      </w:r>
      <w:r>
        <w:rPr>
          <w:i/>
        </w:rPr>
        <w:t xml:space="preserve">Law and Order: An Honest Citizen’s Guide to Crime Control </w:t>
      </w:r>
      <w:r>
        <w:t xml:space="preserve">(Polity 2007) </w:t>
      </w:r>
      <w:bookmarkEnd w:id="58"/>
      <w:r>
        <w:t>1-2.</w:t>
      </w:r>
    </w:p>
  </w:footnote>
  <w:footnote w:id="75">
    <w:p w14:paraId="5D1E2CBD" w14:textId="3349D749" w:rsidR="005F213D" w:rsidRDefault="005F213D">
      <w:pPr>
        <w:pStyle w:val="FootnoteText"/>
      </w:pPr>
      <w:r>
        <w:rPr>
          <w:rStyle w:val="FootnoteReference"/>
        </w:rPr>
        <w:footnoteRef/>
      </w:r>
      <w:r>
        <w:t xml:space="preserve"> </w:t>
      </w:r>
      <w:bookmarkStart w:id="59" w:name="_Hlk40719407"/>
      <w:r>
        <w:t>Margaret Davies, ‘Feminism and Flat Law Theory’ (2008) 16(3) Feminist Legal Studies 281</w:t>
      </w:r>
      <w:bookmarkEnd w:id="59"/>
      <w:r>
        <w:t>, 282.</w:t>
      </w:r>
    </w:p>
  </w:footnote>
  <w:footnote w:id="76">
    <w:p w14:paraId="17D5BF2A" w14:textId="3683B279" w:rsidR="005F213D" w:rsidRDefault="005F213D">
      <w:pPr>
        <w:pStyle w:val="FootnoteText"/>
      </w:pPr>
      <w:r>
        <w:rPr>
          <w:rStyle w:val="FootnoteReference"/>
        </w:rPr>
        <w:footnoteRef/>
      </w:r>
      <w:r>
        <w:t xml:space="preserve"> </w:t>
      </w:r>
      <w:bookmarkStart w:id="60" w:name="_Hlk40719486"/>
      <w:r>
        <w:rPr>
          <w:rFonts w:cs="Calibri"/>
        </w:rPr>
        <w:t>Malcolm Feeley, ‘Crime, Social Order and the Rise of Neo</w:t>
      </w:r>
      <w:r>
        <w:t>-</w:t>
      </w:r>
      <w:r>
        <w:rPr>
          <w:rFonts w:cs="Calibri"/>
        </w:rPr>
        <w:t xml:space="preserve">Conservative Politics’ (2003) Theoretical </w:t>
      </w:r>
      <w:r>
        <w:t>Criminology 111</w:t>
      </w:r>
      <w:bookmarkEnd w:id="60"/>
      <w:r>
        <w:t>, 112.</w:t>
      </w:r>
    </w:p>
  </w:footnote>
  <w:footnote w:id="77">
    <w:p w14:paraId="5754E23D" w14:textId="2BA36A52" w:rsidR="005F213D" w:rsidRPr="004557E5" w:rsidRDefault="005F213D">
      <w:pPr>
        <w:pStyle w:val="FootnoteText"/>
      </w:pPr>
      <w:r>
        <w:rPr>
          <w:rStyle w:val="FootnoteReference"/>
        </w:rPr>
        <w:footnoteRef/>
      </w:r>
      <w:r>
        <w:t xml:space="preserve"> </w:t>
      </w:r>
      <w:bookmarkStart w:id="61" w:name="_Hlk40719452"/>
      <w:r>
        <w:t xml:space="preserve">Emma Bell, </w:t>
      </w:r>
      <w:r>
        <w:rPr>
          <w:i/>
          <w:iCs/>
        </w:rPr>
        <w:t xml:space="preserve">Criminal Justice and Neoliberalism </w:t>
      </w:r>
      <w:r>
        <w:t>(Palgrave Macmillan 2011) 90-91</w:t>
      </w:r>
      <w:bookmarkEnd w:id="61"/>
      <w:r>
        <w:t>.</w:t>
      </w:r>
    </w:p>
  </w:footnote>
  <w:footnote w:id="78">
    <w:p w14:paraId="2169CCCB" w14:textId="77777777" w:rsidR="005F213D" w:rsidRPr="001D6609" w:rsidRDefault="005F213D" w:rsidP="00A64B1C">
      <w:pPr>
        <w:pStyle w:val="FootnoteText"/>
      </w:pPr>
      <w:r>
        <w:rPr>
          <w:rStyle w:val="FootnoteReference"/>
        </w:rPr>
        <w:footnoteRef/>
      </w:r>
      <w:r>
        <w:t xml:space="preserve"> David </w:t>
      </w:r>
      <w:bookmarkStart w:id="62" w:name="_Hlk40719528"/>
      <w:r>
        <w:t xml:space="preserve">Harvey, </w:t>
      </w:r>
      <w:r>
        <w:rPr>
          <w:i/>
        </w:rPr>
        <w:t xml:space="preserve">A Brief History of Neoliberalism </w:t>
      </w:r>
      <w:r>
        <w:t xml:space="preserve">(OUP 2005) </w:t>
      </w:r>
      <w:bookmarkEnd w:id="62"/>
      <w:r>
        <w:t>41.</w:t>
      </w:r>
    </w:p>
  </w:footnote>
  <w:footnote w:id="79">
    <w:p w14:paraId="6BDBAD51" w14:textId="77777777" w:rsidR="005F213D" w:rsidRDefault="005F213D" w:rsidP="00A64B1C">
      <w:pPr>
        <w:pStyle w:val="FootnoteText"/>
      </w:pPr>
      <w:r>
        <w:rPr>
          <w:rStyle w:val="FootnoteReference"/>
        </w:rPr>
        <w:footnoteRef/>
      </w:r>
      <w:r>
        <w:t xml:space="preserve"> Elizabeth </w:t>
      </w:r>
      <w:bookmarkStart w:id="63" w:name="_Hlk40719570"/>
      <w:r>
        <w:t>Bernstein, ‘Carceral Politics as Gender Justice? The “Traffic in Women” and Neoliberal Circuits of Crime, Sex and Rights’ (2012) 41 Theoretical Society 233</w:t>
      </w:r>
      <w:bookmarkEnd w:id="63"/>
      <w:r>
        <w:t>, 235.</w:t>
      </w:r>
    </w:p>
  </w:footnote>
  <w:footnote w:id="80">
    <w:p w14:paraId="6594ED57" w14:textId="00981092" w:rsidR="005F213D" w:rsidRDefault="005F213D" w:rsidP="00A64B1C">
      <w:pPr>
        <w:pStyle w:val="FootnoteText"/>
      </w:pPr>
      <w:r>
        <w:rPr>
          <w:rStyle w:val="FootnoteReference"/>
        </w:rPr>
        <w:footnoteRef/>
      </w:r>
      <w:r>
        <w:t xml:space="preserve"> See also Munro, ‘Violence Against Women, ‘Victimhood’ and the (Neo)Liberal State’ (n 5).</w:t>
      </w:r>
    </w:p>
  </w:footnote>
  <w:footnote w:id="81">
    <w:p w14:paraId="0BC1B25B" w14:textId="6C6FD806" w:rsidR="005F213D" w:rsidRPr="00980192" w:rsidRDefault="005F213D" w:rsidP="0099245E">
      <w:pPr>
        <w:pStyle w:val="FootnoteText"/>
      </w:pPr>
      <w:r w:rsidRPr="00980192">
        <w:rPr>
          <w:rStyle w:val="FootnoteReference"/>
        </w:rPr>
        <w:footnoteRef/>
      </w:r>
      <w:r>
        <w:t xml:space="preserve"> </w:t>
      </w:r>
      <w:bookmarkStart w:id="66" w:name="_Hlk40719719"/>
      <w:r>
        <w:t xml:space="preserve">Elizabeth </w:t>
      </w:r>
      <w:r w:rsidRPr="00980192">
        <w:t>Schneider</w:t>
      </w:r>
      <w:r>
        <w:t xml:space="preserve">, </w:t>
      </w:r>
      <w:r w:rsidRPr="00980192">
        <w:rPr>
          <w:i/>
        </w:rPr>
        <w:t xml:space="preserve">Battered Women and Feminist </w:t>
      </w:r>
      <w:proofErr w:type="spellStart"/>
      <w:r w:rsidRPr="00980192">
        <w:rPr>
          <w:i/>
        </w:rPr>
        <w:t>Law</w:t>
      </w:r>
      <w:r>
        <w:rPr>
          <w:i/>
        </w:rPr>
        <w:t>m</w:t>
      </w:r>
      <w:r w:rsidRPr="00980192">
        <w:rPr>
          <w:i/>
        </w:rPr>
        <w:t>aking</w:t>
      </w:r>
      <w:proofErr w:type="spellEnd"/>
      <w:r>
        <w:rPr>
          <w:i/>
        </w:rPr>
        <w:t xml:space="preserve"> </w:t>
      </w:r>
      <w:r w:rsidRPr="00980192">
        <w:t>(</w:t>
      </w:r>
      <w:r>
        <w:t xml:space="preserve">Yale University Press </w:t>
      </w:r>
      <w:r w:rsidRPr="00980192">
        <w:t>2000</w:t>
      </w:r>
      <w:r>
        <w:t>)</w:t>
      </w:r>
      <w:r w:rsidRPr="00980192">
        <w:t>.</w:t>
      </w:r>
      <w:bookmarkEnd w:id="66"/>
    </w:p>
  </w:footnote>
  <w:footnote w:id="82">
    <w:p w14:paraId="20E3F3A6" w14:textId="523F9982" w:rsidR="005F213D" w:rsidRPr="00530D5F" w:rsidRDefault="005F213D" w:rsidP="0099245E">
      <w:pPr>
        <w:pStyle w:val="FootnoteText"/>
      </w:pPr>
      <w:r>
        <w:rPr>
          <w:rStyle w:val="FootnoteReference"/>
        </w:rPr>
        <w:footnoteRef/>
      </w:r>
      <w:r>
        <w:t xml:space="preserve"> </w:t>
      </w:r>
      <w:bookmarkStart w:id="67" w:name="_Hlk40719825"/>
      <w:r>
        <w:t xml:space="preserve">Michelle Madden-Dempsey, </w:t>
      </w:r>
      <w:r>
        <w:rPr>
          <w:i/>
        </w:rPr>
        <w:t xml:space="preserve">Prosecuting Domestic Violence: A Philosophical Analysis </w:t>
      </w:r>
      <w:r w:rsidRPr="00666CD0">
        <w:rPr>
          <w:iCs/>
        </w:rPr>
        <w:t>(OUP 2009)</w:t>
      </w:r>
      <w:r>
        <w:t xml:space="preserve"> </w:t>
      </w:r>
      <w:bookmarkEnd w:id="67"/>
      <w:r>
        <w:t>215.</w:t>
      </w:r>
    </w:p>
  </w:footnote>
  <w:footnote w:id="83">
    <w:p w14:paraId="6363B5AD" w14:textId="5676B35F" w:rsidR="005F213D" w:rsidRPr="00980192" w:rsidRDefault="005F213D" w:rsidP="00302740">
      <w:pPr>
        <w:pStyle w:val="FootnoteText"/>
      </w:pPr>
      <w:r w:rsidRPr="00980192">
        <w:rPr>
          <w:rStyle w:val="FootnoteReference"/>
        </w:rPr>
        <w:footnoteRef/>
      </w:r>
      <w:r w:rsidRPr="00980192">
        <w:t xml:space="preserve"> </w:t>
      </w:r>
      <w:r>
        <w:t>Ibid</w:t>
      </w:r>
      <w:r w:rsidRPr="00980192">
        <w:t xml:space="preserve"> 222.</w:t>
      </w:r>
    </w:p>
  </w:footnote>
  <w:footnote w:id="84">
    <w:p w14:paraId="2F694726" w14:textId="3CC4DA6C" w:rsidR="005F213D" w:rsidRPr="00A15DD6" w:rsidRDefault="005F213D">
      <w:pPr>
        <w:pStyle w:val="FootnoteText"/>
      </w:pPr>
      <w:r>
        <w:rPr>
          <w:rStyle w:val="FootnoteReference"/>
        </w:rPr>
        <w:footnoteRef/>
      </w:r>
      <w:r>
        <w:t xml:space="preserve"> Leigh </w:t>
      </w:r>
      <w:bookmarkStart w:id="68" w:name="_Hlk40719900"/>
      <w:proofErr w:type="spellStart"/>
      <w:r>
        <w:t>Goodmark</w:t>
      </w:r>
      <w:proofErr w:type="spellEnd"/>
      <w:r>
        <w:t xml:space="preserve">, </w:t>
      </w:r>
      <w:r w:rsidRPr="00AE6A09">
        <w:rPr>
          <w:i/>
          <w:iCs/>
        </w:rPr>
        <w:t>Decriminalizing Domestic Violence: A Balanced Policy Approach to Intimate Partner Violence</w:t>
      </w:r>
      <w:r>
        <w:t xml:space="preserve"> (University of California Press, 2018) </w:t>
      </w:r>
      <w:bookmarkEnd w:id="68"/>
      <w:r>
        <w:t xml:space="preserve">and Aya Gruber, </w:t>
      </w:r>
      <w:r>
        <w:rPr>
          <w:i/>
          <w:iCs/>
        </w:rPr>
        <w:t xml:space="preserve">The Feminist War on Crime: The Unexpected Role of Women’s Liberation in Mass Incarceration </w:t>
      </w:r>
      <w:r>
        <w:t>(University of California Press, 2020).</w:t>
      </w:r>
    </w:p>
  </w:footnote>
  <w:footnote w:id="85">
    <w:p w14:paraId="38895914" w14:textId="04B72EDF" w:rsidR="005F213D" w:rsidRPr="00980192" w:rsidRDefault="005F213D" w:rsidP="00A64B1C">
      <w:pPr>
        <w:pStyle w:val="FootnoteText"/>
      </w:pPr>
      <w:r w:rsidRPr="00980192">
        <w:rPr>
          <w:rStyle w:val="FootnoteReference"/>
        </w:rPr>
        <w:footnoteRef/>
      </w:r>
      <w:r w:rsidRPr="00980192">
        <w:t xml:space="preserve"> Elizabeth Schneider, </w:t>
      </w:r>
      <w:r w:rsidRPr="00980192">
        <w:rPr>
          <w:i/>
        </w:rPr>
        <w:t xml:space="preserve">Battered Women and Feminist </w:t>
      </w:r>
      <w:proofErr w:type="spellStart"/>
      <w:r w:rsidRPr="00980192">
        <w:rPr>
          <w:i/>
        </w:rPr>
        <w:t>Law</w:t>
      </w:r>
      <w:r>
        <w:rPr>
          <w:i/>
        </w:rPr>
        <w:t>m</w:t>
      </w:r>
      <w:r w:rsidRPr="00980192">
        <w:rPr>
          <w:i/>
        </w:rPr>
        <w:t>aking</w:t>
      </w:r>
      <w:proofErr w:type="spellEnd"/>
      <w:r w:rsidRPr="00980192">
        <w:rPr>
          <w:i/>
        </w:rPr>
        <w:t xml:space="preserve"> </w:t>
      </w:r>
      <w:r w:rsidRPr="00980192">
        <w:t>(</w:t>
      </w:r>
      <w:r>
        <w:t xml:space="preserve">Yale University Press </w:t>
      </w:r>
      <w:r w:rsidRPr="00980192">
        <w:t>2000)</w:t>
      </w:r>
      <w:r>
        <w:t xml:space="preserve"> as referred to</w:t>
      </w:r>
      <w:r w:rsidRPr="00980192">
        <w:t xml:space="preserve"> in </w:t>
      </w:r>
      <w:r>
        <w:t xml:space="preserve">Holly </w:t>
      </w:r>
      <w:bookmarkStart w:id="69" w:name="_Hlk40720220"/>
      <w:proofErr w:type="spellStart"/>
      <w:r w:rsidRPr="00980192">
        <w:t>Maguigan</w:t>
      </w:r>
      <w:proofErr w:type="spellEnd"/>
      <w:r w:rsidRPr="00980192">
        <w:t xml:space="preserve">, ‘Wading into </w:t>
      </w:r>
      <w:r>
        <w:t>P</w:t>
      </w:r>
      <w:r w:rsidRPr="00980192">
        <w:t>rofessor Schneider’s “Murky Middle Ground”</w:t>
      </w:r>
      <w:r w:rsidRPr="00666CD0">
        <w:t xml:space="preserve"> Between Acceptance and Rejection of Criminal Justice Responses to Domestic Violence</w:t>
      </w:r>
      <w:r>
        <w:t xml:space="preserve">’ (2002) 11 </w:t>
      </w:r>
      <w:r w:rsidRPr="00666CD0">
        <w:t>Am</w:t>
      </w:r>
      <w:r>
        <w:t>erican</w:t>
      </w:r>
      <w:r w:rsidRPr="00666CD0">
        <w:t xml:space="preserve"> U</w:t>
      </w:r>
      <w:r>
        <w:t xml:space="preserve">niversity </w:t>
      </w:r>
      <w:r w:rsidRPr="00666CD0">
        <w:t>J</w:t>
      </w:r>
      <w:r>
        <w:t>ournal</w:t>
      </w:r>
      <w:r w:rsidRPr="00666CD0">
        <w:t xml:space="preserve"> Gender Soc</w:t>
      </w:r>
      <w:r>
        <w:t>iety</w:t>
      </w:r>
      <w:r w:rsidRPr="00666CD0">
        <w:t xml:space="preserve"> </w:t>
      </w:r>
      <w:r>
        <w:t>Policy and Law</w:t>
      </w:r>
      <w:r w:rsidRPr="00666CD0">
        <w:t xml:space="preserve"> 427</w:t>
      </w:r>
      <w:bookmarkEnd w:id="69"/>
      <w:r>
        <w:t>.</w:t>
      </w:r>
    </w:p>
  </w:footnote>
  <w:footnote w:id="86">
    <w:p w14:paraId="082B2E2F" w14:textId="45F557FB" w:rsidR="005F213D" w:rsidRDefault="005F213D" w:rsidP="00A64B1C">
      <w:pPr>
        <w:pStyle w:val="FootnoteText"/>
      </w:pPr>
      <w:r>
        <w:rPr>
          <w:rStyle w:val="FootnoteReference"/>
        </w:rPr>
        <w:footnoteRef/>
      </w:r>
      <w:r>
        <w:t xml:space="preserve"> Elizabeth </w:t>
      </w:r>
      <w:r w:rsidRPr="00980192">
        <w:t>Schneider</w:t>
      </w:r>
      <w:r>
        <w:t xml:space="preserve">, </w:t>
      </w:r>
      <w:r w:rsidRPr="00980192">
        <w:rPr>
          <w:i/>
        </w:rPr>
        <w:t xml:space="preserve">Battered Women and Feminist </w:t>
      </w:r>
      <w:proofErr w:type="spellStart"/>
      <w:r w:rsidRPr="00980192">
        <w:rPr>
          <w:i/>
        </w:rPr>
        <w:t>Law</w:t>
      </w:r>
      <w:r>
        <w:rPr>
          <w:i/>
        </w:rPr>
        <w:t>m</w:t>
      </w:r>
      <w:r w:rsidRPr="00980192">
        <w:rPr>
          <w:i/>
        </w:rPr>
        <w:t>aking</w:t>
      </w:r>
      <w:proofErr w:type="spellEnd"/>
      <w:r>
        <w:rPr>
          <w:i/>
        </w:rPr>
        <w:t xml:space="preserve"> </w:t>
      </w:r>
      <w:r w:rsidRPr="00980192">
        <w:t>(</w:t>
      </w:r>
      <w:r>
        <w:t>n 81)</w:t>
      </w:r>
      <w:r w:rsidRPr="00B42462">
        <w:rPr>
          <w:color w:val="000000"/>
        </w:rPr>
        <w:t xml:space="preserve"> 5.</w:t>
      </w:r>
    </w:p>
  </w:footnote>
  <w:footnote w:id="87">
    <w:p w14:paraId="573E141A" w14:textId="3D4669C5" w:rsidR="005F213D" w:rsidRPr="002A0652" w:rsidRDefault="005F213D">
      <w:pPr>
        <w:pStyle w:val="FootnoteText"/>
      </w:pPr>
      <w:r>
        <w:rPr>
          <w:rStyle w:val="FootnoteReference"/>
        </w:rPr>
        <w:footnoteRef/>
      </w:r>
      <w:r>
        <w:t xml:space="preserve"> Carol </w:t>
      </w:r>
      <w:bookmarkStart w:id="70" w:name="_Hlk40720364"/>
      <w:r>
        <w:t xml:space="preserve">Smart, </w:t>
      </w:r>
      <w:r>
        <w:rPr>
          <w:i/>
          <w:iCs/>
        </w:rPr>
        <w:t xml:space="preserve">Feminism and the Power of the Law </w:t>
      </w:r>
      <w:r>
        <w:t xml:space="preserve">(Routledge, 1989) </w:t>
      </w:r>
      <w:bookmarkEnd w:id="70"/>
      <w:r>
        <w:t>5.</w:t>
      </w:r>
    </w:p>
  </w:footnote>
  <w:footnote w:id="88">
    <w:p w14:paraId="40ECF2E2" w14:textId="4B6B73C6" w:rsidR="005F213D" w:rsidRDefault="005F213D">
      <w:pPr>
        <w:pStyle w:val="FootnoteText"/>
      </w:pPr>
      <w:r>
        <w:rPr>
          <w:rStyle w:val="FootnoteReference"/>
        </w:rPr>
        <w:footnoteRef/>
      </w:r>
      <w:r>
        <w:t xml:space="preserve"> Ibid 5.</w:t>
      </w:r>
    </w:p>
  </w:footnote>
  <w:footnote w:id="89">
    <w:p w14:paraId="6AF43F88" w14:textId="2E87C716" w:rsidR="005F213D" w:rsidRDefault="005F213D">
      <w:pPr>
        <w:pStyle w:val="FootnoteText"/>
      </w:pPr>
      <w:r>
        <w:rPr>
          <w:rStyle w:val="FootnoteReference"/>
        </w:rPr>
        <w:footnoteRef/>
      </w:r>
      <w:r>
        <w:t xml:space="preserve"> </w:t>
      </w:r>
      <w:bookmarkStart w:id="71" w:name="_Hlk40720912"/>
      <w:r>
        <w:t xml:space="preserve">Rosemary </w:t>
      </w:r>
      <w:proofErr w:type="spellStart"/>
      <w:r w:rsidRPr="00242E17">
        <w:t>Auchmuty</w:t>
      </w:r>
      <w:proofErr w:type="spellEnd"/>
      <w:r w:rsidRPr="00242E17">
        <w:t xml:space="preserve"> and Karin Van </w:t>
      </w:r>
      <w:proofErr w:type="spellStart"/>
      <w:r w:rsidRPr="00242E17">
        <w:t>Marle</w:t>
      </w:r>
      <w:proofErr w:type="spellEnd"/>
      <w:r w:rsidRPr="00242E17">
        <w:t>, ‘Special Issue: Carol Smart’s Feminism and the Power of Law’ (2012) 20 Feminist Legal Studies 65</w:t>
      </w:r>
      <w:bookmarkEnd w:id="71"/>
      <w:r w:rsidRPr="00242E17">
        <w:t>–69.</w:t>
      </w:r>
    </w:p>
  </w:footnote>
  <w:footnote w:id="90">
    <w:p w14:paraId="64431F6D" w14:textId="09964B60" w:rsidR="005F213D" w:rsidRDefault="005F213D">
      <w:pPr>
        <w:pStyle w:val="FootnoteText"/>
      </w:pPr>
      <w:r>
        <w:rPr>
          <w:rStyle w:val="FootnoteReference"/>
        </w:rPr>
        <w:footnoteRef/>
      </w:r>
      <w:r>
        <w:t xml:space="preserve"> </w:t>
      </w:r>
      <w:r w:rsidRPr="0053108F">
        <w:t xml:space="preserve">Carol Smart, ‘Reflection’ (2012) </w:t>
      </w:r>
      <w:r>
        <w:t xml:space="preserve">20 </w:t>
      </w:r>
      <w:r w:rsidRPr="0053108F">
        <w:t>Feminist Legal Studies, 161, 162.</w:t>
      </w:r>
    </w:p>
  </w:footnote>
  <w:footnote w:id="91">
    <w:p w14:paraId="5E3877C4" w14:textId="1F1CB72C" w:rsidR="005F213D" w:rsidRDefault="005F213D">
      <w:pPr>
        <w:pStyle w:val="FootnoteText"/>
      </w:pPr>
      <w:r>
        <w:rPr>
          <w:rStyle w:val="FootnoteReference"/>
        </w:rPr>
        <w:footnoteRef/>
      </w:r>
      <w:r>
        <w:t xml:space="preserve"> Carol Smart, </w:t>
      </w:r>
      <w:r>
        <w:rPr>
          <w:i/>
          <w:iCs/>
        </w:rPr>
        <w:t xml:space="preserve">Feminism and the Power of the Law </w:t>
      </w:r>
      <w:r>
        <w:t>(Routledge, 1989) 25.</w:t>
      </w:r>
    </w:p>
  </w:footnote>
  <w:footnote w:id="92">
    <w:p w14:paraId="7B162187" w14:textId="51716C3F" w:rsidR="005F213D" w:rsidRDefault="005F213D" w:rsidP="00922160">
      <w:pPr>
        <w:pStyle w:val="FootnoteText"/>
      </w:pPr>
      <w:r>
        <w:rPr>
          <w:rStyle w:val="FootnoteReference"/>
        </w:rPr>
        <w:footnoteRef/>
      </w:r>
      <w:r>
        <w:t xml:space="preserve"> </w:t>
      </w:r>
      <w:r w:rsidRPr="004C28E2">
        <w:t>Donna</w:t>
      </w:r>
      <w:r>
        <w:t xml:space="preserve"> </w:t>
      </w:r>
      <w:bookmarkStart w:id="72" w:name="_Hlk40721046"/>
      <w:r>
        <w:t>Coker, ‘</w:t>
      </w:r>
      <w:r w:rsidRPr="004C28E2">
        <w:t xml:space="preserve">Crime </w:t>
      </w:r>
      <w:r>
        <w:t>C</w:t>
      </w:r>
      <w:r w:rsidRPr="004C28E2">
        <w:t xml:space="preserve">ontrol and </w:t>
      </w:r>
      <w:r>
        <w:t>F</w:t>
      </w:r>
      <w:r w:rsidRPr="004C28E2">
        <w:t xml:space="preserve">eminist </w:t>
      </w:r>
      <w:r>
        <w:t>L</w:t>
      </w:r>
      <w:r w:rsidRPr="004C28E2">
        <w:t xml:space="preserve">aw </w:t>
      </w:r>
      <w:r>
        <w:t>R</w:t>
      </w:r>
      <w:r w:rsidRPr="004C28E2">
        <w:t xml:space="preserve">eform in </w:t>
      </w:r>
      <w:r>
        <w:t>D</w:t>
      </w:r>
      <w:r w:rsidRPr="004C28E2">
        <w:t xml:space="preserve">omestic </w:t>
      </w:r>
      <w:r>
        <w:t>V</w:t>
      </w:r>
      <w:r w:rsidRPr="004C28E2">
        <w:t xml:space="preserve">iolence </w:t>
      </w:r>
      <w:r>
        <w:t>L</w:t>
      </w:r>
      <w:r w:rsidRPr="004C28E2">
        <w:t xml:space="preserve">aw: A </w:t>
      </w:r>
      <w:r>
        <w:t>C</w:t>
      </w:r>
      <w:r w:rsidRPr="004C28E2">
        <w:t xml:space="preserve">ritical </w:t>
      </w:r>
      <w:r>
        <w:t>R</w:t>
      </w:r>
      <w:r w:rsidRPr="004C28E2">
        <w:t>eview</w:t>
      </w:r>
      <w:r>
        <w:t>’ (2001) 4</w:t>
      </w:r>
      <w:r w:rsidRPr="004C28E2">
        <w:t xml:space="preserve"> Criminal Law Review 801</w:t>
      </w:r>
      <w:bookmarkEnd w:id="72"/>
      <w:r>
        <w:t xml:space="preserve">; and </w:t>
      </w:r>
      <w:bookmarkStart w:id="73" w:name="_Hlk40721082"/>
      <w:r w:rsidRPr="00E6300B">
        <w:t>Ruth</w:t>
      </w:r>
      <w:r>
        <w:t xml:space="preserve"> Lewis,</w:t>
      </w:r>
      <w:r w:rsidRPr="00E6300B">
        <w:t xml:space="preserve"> </w:t>
      </w:r>
      <w:r>
        <w:t>‘</w:t>
      </w:r>
      <w:r w:rsidRPr="00E6300B">
        <w:t xml:space="preserve">Making </w:t>
      </w:r>
      <w:r>
        <w:t>J</w:t>
      </w:r>
      <w:r w:rsidRPr="00E6300B">
        <w:t xml:space="preserve">ustice </w:t>
      </w:r>
      <w:r>
        <w:t>W</w:t>
      </w:r>
      <w:r w:rsidRPr="00E6300B">
        <w:t xml:space="preserve">ork: Effective </w:t>
      </w:r>
      <w:r>
        <w:t>L</w:t>
      </w:r>
      <w:r w:rsidRPr="00E6300B">
        <w:t xml:space="preserve">egal </w:t>
      </w:r>
      <w:r>
        <w:t>I</w:t>
      </w:r>
      <w:r w:rsidRPr="00E6300B">
        <w:t xml:space="preserve">nterventions for </w:t>
      </w:r>
      <w:r>
        <w:t>D</w:t>
      </w:r>
      <w:r w:rsidRPr="00E6300B">
        <w:t xml:space="preserve">omestic </w:t>
      </w:r>
      <w:r>
        <w:t>V</w:t>
      </w:r>
      <w:r w:rsidRPr="00E6300B">
        <w:t>iolence</w:t>
      </w:r>
      <w:r>
        <w:t>’ (2004) 44</w:t>
      </w:r>
      <w:r w:rsidRPr="00E6300B">
        <w:t xml:space="preserve"> The British Journal of Criminology 204</w:t>
      </w:r>
      <w:bookmarkEnd w:id="73"/>
      <w:r>
        <w:t xml:space="preserve">. </w:t>
      </w:r>
      <w:bookmarkStart w:id="74" w:name="_Hlk40721124"/>
      <w:r>
        <w:t>Heather Douglas, ‘Battered Women’s Experiences of the Criminal Justice System: Decentring Law’ (2012) 20 Feminist Legal Studies 121</w:t>
      </w:r>
      <w:bookmarkEnd w:id="74"/>
      <w:r>
        <w:t>.</w:t>
      </w:r>
    </w:p>
  </w:footnote>
  <w:footnote w:id="93">
    <w:p w14:paraId="7C3118F6" w14:textId="77777777" w:rsidR="005F213D" w:rsidRPr="00980192" w:rsidRDefault="005F213D" w:rsidP="00A64B1C">
      <w:pPr>
        <w:pStyle w:val="FootnoteText"/>
      </w:pPr>
      <w:r w:rsidRPr="00980192">
        <w:rPr>
          <w:rStyle w:val="FootnoteReference"/>
        </w:rPr>
        <w:footnoteRef/>
      </w:r>
      <w:r w:rsidRPr="00980192">
        <w:t xml:space="preserve"> </w:t>
      </w:r>
      <w:bookmarkStart w:id="75" w:name="_Hlk40721168"/>
      <w:r w:rsidRPr="00980192">
        <w:t xml:space="preserve">Alan Norrie, </w:t>
      </w:r>
      <w:r w:rsidRPr="00980192">
        <w:rPr>
          <w:i/>
        </w:rPr>
        <w:t xml:space="preserve">Law and the Beautiful Soul </w:t>
      </w:r>
      <w:r w:rsidRPr="00980192">
        <w:t>(Glasshouse 2005)</w:t>
      </w:r>
      <w:bookmarkEnd w:id="75"/>
      <w:r w:rsidRPr="00980192">
        <w:t xml:space="preserve"> 75.</w:t>
      </w:r>
    </w:p>
  </w:footnote>
  <w:footnote w:id="94">
    <w:p w14:paraId="02978A7C" w14:textId="48F89AB4" w:rsidR="005F213D" w:rsidRDefault="005F213D" w:rsidP="00A64B1C">
      <w:pPr>
        <w:pStyle w:val="FootnoteText"/>
      </w:pPr>
      <w:r>
        <w:rPr>
          <w:rStyle w:val="FootnoteReference"/>
        </w:rPr>
        <w:footnoteRef/>
      </w:r>
      <w:r>
        <w:t xml:space="preserve"> ‘Desert’, meaning to receive appropriate and deserved punishment for one’s behaviour.</w:t>
      </w:r>
    </w:p>
  </w:footnote>
  <w:footnote w:id="95">
    <w:p w14:paraId="0AA866EE" w14:textId="38788D41" w:rsidR="005F213D" w:rsidRPr="00980192" w:rsidRDefault="005F213D" w:rsidP="00A64B1C">
      <w:pPr>
        <w:pStyle w:val="FootnoteText"/>
      </w:pPr>
      <w:r w:rsidRPr="00980192">
        <w:rPr>
          <w:rStyle w:val="FootnoteReference"/>
        </w:rPr>
        <w:footnoteRef/>
      </w:r>
      <w:r w:rsidRPr="00980192">
        <w:t xml:space="preserve"> Norrie</w:t>
      </w:r>
      <w:r>
        <w:t xml:space="preserve"> (n 93) </w:t>
      </w:r>
      <w:r w:rsidRPr="00980192">
        <w:t>75.</w:t>
      </w:r>
    </w:p>
  </w:footnote>
  <w:footnote w:id="96">
    <w:p w14:paraId="79816E8F" w14:textId="77777777" w:rsidR="005F213D" w:rsidRPr="0082603C" w:rsidRDefault="005F213D" w:rsidP="00A64B1C">
      <w:pPr>
        <w:pStyle w:val="FootnoteText"/>
      </w:pPr>
      <w:r>
        <w:rPr>
          <w:rStyle w:val="FootnoteReference"/>
        </w:rPr>
        <w:footnoteRef/>
      </w:r>
      <w:r>
        <w:t xml:space="preserve"> Martha Fineman, book endorsement at the rear of Kristin </w:t>
      </w:r>
      <w:proofErr w:type="spellStart"/>
      <w:r>
        <w:t>Bumiller</w:t>
      </w:r>
      <w:proofErr w:type="spellEnd"/>
      <w:r>
        <w:t xml:space="preserve">, </w:t>
      </w:r>
      <w:r>
        <w:rPr>
          <w:i/>
        </w:rPr>
        <w:t xml:space="preserve">In an Abusive State: How Neoliberalism Appropriated the Feminist Movement Against Sexual Violence </w:t>
      </w:r>
      <w:r>
        <w:t>(Duke University Pres 2008).</w:t>
      </w:r>
    </w:p>
  </w:footnote>
  <w:footnote w:id="97">
    <w:p w14:paraId="2ACF423D" w14:textId="77777777" w:rsidR="005F213D" w:rsidRPr="00980192" w:rsidRDefault="005F213D" w:rsidP="0099245E">
      <w:pPr>
        <w:pStyle w:val="FootnoteText"/>
      </w:pPr>
      <w:r w:rsidRPr="00980192">
        <w:rPr>
          <w:rStyle w:val="FootnoteReference"/>
        </w:rPr>
        <w:footnoteRef/>
      </w:r>
      <w:r w:rsidRPr="00980192">
        <w:t xml:space="preserve"> </w:t>
      </w:r>
      <w:bookmarkStart w:id="76" w:name="_Hlk514407822"/>
      <w:r w:rsidRPr="00980192">
        <w:t xml:space="preserve">Mimi Kim, ‘Challenging the Pursuit of Criminalisation in an Era of Mass Incarceration: The Limitations of the Social Work Response to Domestic Violence in the USA’ (2013) </w:t>
      </w:r>
      <w:r>
        <w:t xml:space="preserve">43 </w:t>
      </w:r>
      <w:r w:rsidRPr="00980192">
        <w:t>British Journal of Social Work 1276.</w:t>
      </w:r>
      <w:bookmarkEnd w:id="76"/>
    </w:p>
  </w:footnote>
  <w:footnote w:id="98">
    <w:p w14:paraId="757B5A53" w14:textId="77777777" w:rsidR="005F213D" w:rsidRDefault="005F213D" w:rsidP="00A64B1C">
      <w:pPr>
        <w:pStyle w:val="FootnoteText"/>
      </w:pPr>
      <w:r>
        <w:rPr>
          <w:rStyle w:val="FootnoteReference"/>
        </w:rPr>
        <w:footnoteRef/>
      </w:r>
      <w:r>
        <w:t xml:space="preserve"> Joanne </w:t>
      </w:r>
      <w:bookmarkStart w:id="77" w:name="_Hlk40721694"/>
      <w:proofErr w:type="spellStart"/>
      <w:r>
        <w:t>Conaghan</w:t>
      </w:r>
      <w:proofErr w:type="spellEnd"/>
      <w:r>
        <w:t xml:space="preserve">, </w:t>
      </w:r>
      <w:r>
        <w:rPr>
          <w:i/>
        </w:rPr>
        <w:t xml:space="preserve">Law and Gender </w:t>
      </w:r>
      <w:r>
        <w:t>(OUP 2013).</w:t>
      </w:r>
      <w:bookmarkEnd w:id="77"/>
    </w:p>
  </w:footnote>
  <w:footnote w:id="99">
    <w:p w14:paraId="184512EC" w14:textId="18A39583" w:rsidR="005F213D" w:rsidRDefault="005F213D" w:rsidP="00A64B1C">
      <w:pPr>
        <w:pStyle w:val="FootnoteText"/>
      </w:pPr>
      <w:r>
        <w:rPr>
          <w:rStyle w:val="FootnoteReference"/>
        </w:rPr>
        <w:footnoteRef/>
      </w:r>
      <w:r>
        <w:t xml:space="preserve"> </w:t>
      </w:r>
      <w:r w:rsidRPr="00980192">
        <w:t xml:space="preserve">Linda Mills, </w:t>
      </w:r>
      <w:r w:rsidRPr="00980192">
        <w:rPr>
          <w:i/>
        </w:rPr>
        <w:t xml:space="preserve">Killing Her Softly: Intimate Abuse and the Violence of State Intervention </w:t>
      </w:r>
      <w:r w:rsidRPr="00980192">
        <w:t>(1999) Harvard Law Review 550, 585.</w:t>
      </w:r>
    </w:p>
  </w:footnote>
  <w:footnote w:id="100">
    <w:p w14:paraId="5177F64B" w14:textId="77777777" w:rsidR="005F213D" w:rsidRDefault="005F213D" w:rsidP="00A64B1C">
      <w:pPr>
        <w:pStyle w:val="FootnoteText"/>
      </w:pPr>
      <w:r>
        <w:rPr>
          <w:rStyle w:val="FootnoteReference"/>
        </w:rPr>
        <w:footnoteRef/>
      </w:r>
      <w:r>
        <w:t xml:space="preserve"> Cass </w:t>
      </w:r>
      <w:bookmarkStart w:id="78" w:name="_Hlk40721720"/>
      <w:r>
        <w:t>Sunstein, ‘Social Norms and Social Roles’ (1996) Columbia Law Review 903</w:t>
      </w:r>
      <w:bookmarkEnd w:id="78"/>
      <w:r>
        <w:t>, 909.</w:t>
      </w:r>
    </w:p>
  </w:footnote>
  <w:footnote w:id="101">
    <w:p w14:paraId="02308DBE" w14:textId="70E43ABC" w:rsidR="005F213D" w:rsidRPr="00980192" w:rsidRDefault="005F213D" w:rsidP="00A64B1C">
      <w:pPr>
        <w:pStyle w:val="FootnoteText"/>
      </w:pPr>
      <w:r w:rsidRPr="00980192">
        <w:rPr>
          <w:rStyle w:val="FootnoteReference"/>
        </w:rPr>
        <w:footnoteRef/>
      </w:r>
      <w:r w:rsidRPr="00980192">
        <w:t xml:space="preserve"> Margaret Davies, ‘Feminism and the Flat Theory of Law’ (</w:t>
      </w:r>
      <w:r>
        <w:t>n 75</w:t>
      </w:r>
      <w:r w:rsidRPr="00980192">
        <w:t>) 281.</w:t>
      </w:r>
    </w:p>
  </w:footnote>
  <w:footnote w:id="102">
    <w:p w14:paraId="1BBA541E" w14:textId="77777777" w:rsidR="005F213D" w:rsidRPr="00980192" w:rsidRDefault="005F213D" w:rsidP="00A64B1C">
      <w:pPr>
        <w:pStyle w:val="FootnoteText"/>
      </w:pPr>
      <w:r w:rsidRPr="00980192">
        <w:rPr>
          <w:rStyle w:val="FootnoteReference"/>
        </w:rPr>
        <w:footnoteRef/>
      </w:r>
      <w:r w:rsidRPr="00980192">
        <w:t xml:space="preserve"> </w:t>
      </w:r>
      <w:r>
        <w:t>Ibid</w:t>
      </w:r>
      <w:r w:rsidRPr="00980192">
        <w:t xml:space="preserve"> 288.</w:t>
      </w:r>
    </w:p>
  </w:footnote>
  <w:footnote w:id="103">
    <w:p w14:paraId="5639CF2D" w14:textId="77777777" w:rsidR="005F213D" w:rsidRPr="00980192" w:rsidRDefault="005F213D" w:rsidP="00A64B1C">
      <w:pPr>
        <w:pStyle w:val="FootnoteText"/>
      </w:pPr>
      <w:r w:rsidRPr="00980192">
        <w:rPr>
          <w:rStyle w:val="FootnoteReference"/>
        </w:rPr>
        <w:footnoteRef/>
      </w:r>
      <w:r w:rsidRPr="00980192">
        <w:t xml:space="preserve"> Roger </w:t>
      </w:r>
      <w:bookmarkStart w:id="82" w:name="_Hlk40721768"/>
      <w:proofErr w:type="spellStart"/>
      <w:r w:rsidRPr="00980192">
        <w:t>Cotterrell</w:t>
      </w:r>
      <w:proofErr w:type="spellEnd"/>
      <w:r w:rsidRPr="00980192">
        <w:t>, ‘Why Must Legal Ideas Be Interpreted Sociologically?’ (1998) Journal of Law and Society 171</w:t>
      </w:r>
      <w:bookmarkEnd w:id="82"/>
      <w:r w:rsidRPr="00980192">
        <w:t>, 173.</w:t>
      </w:r>
    </w:p>
  </w:footnote>
  <w:footnote w:id="104">
    <w:p w14:paraId="02CDDEBF" w14:textId="77777777" w:rsidR="005F213D" w:rsidRPr="00980192" w:rsidRDefault="005F213D" w:rsidP="00A64B1C">
      <w:pPr>
        <w:pStyle w:val="FootnoteText"/>
      </w:pPr>
      <w:r w:rsidRPr="00980192">
        <w:rPr>
          <w:rStyle w:val="FootnoteReference"/>
        </w:rPr>
        <w:footnoteRef/>
      </w:r>
      <w:r w:rsidRPr="00980192">
        <w:t xml:space="preserve"> David </w:t>
      </w:r>
      <w:bookmarkStart w:id="83" w:name="_Hlk40721797"/>
      <w:r w:rsidRPr="00980192">
        <w:t xml:space="preserve">Garland, </w:t>
      </w:r>
      <w:r w:rsidRPr="00980192">
        <w:rPr>
          <w:i/>
        </w:rPr>
        <w:t>The Culture of Control</w:t>
      </w:r>
      <w:r>
        <w:rPr>
          <w:i/>
        </w:rPr>
        <w:t>:</w:t>
      </w:r>
      <w:r w:rsidRPr="00FF5448">
        <w:rPr>
          <w:i/>
        </w:rPr>
        <w:t xml:space="preserve"> </w:t>
      </w:r>
      <w:r>
        <w:rPr>
          <w:i/>
        </w:rPr>
        <w:t>Crime and Social Order in Contemporary Society</w:t>
      </w:r>
      <w:r w:rsidRPr="00980192">
        <w:rPr>
          <w:i/>
        </w:rPr>
        <w:t xml:space="preserve"> </w:t>
      </w:r>
      <w:r w:rsidRPr="00980192">
        <w:t>(OUP 2001).</w:t>
      </w:r>
      <w:bookmarkEnd w:id="83"/>
    </w:p>
  </w:footnote>
  <w:footnote w:id="105">
    <w:p w14:paraId="2EE7005B" w14:textId="658E27FE" w:rsidR="005F213D" w:rsidRPr="00980192" w:rsidRDefault="005F213D" w:rsidP="00A64B1C">
      <w:pPr>
        <w:pStyle w:val="FootnoteText"/>
      </w:pPr>
      <w:r w:rsidRPr="00980192">
        <w:rPr>
          <w:rStyle w:val="FootnoteReference"/>
        </w:rPr>
        <w:footnoteRef/>
      </w:r>
      <w:r w:rsidRPr="00980192">
        <w:t xml:space="preserve"> </w:t>
      </w:r>
      <w:proofErr w:type="spellStart"/>
      <w:r w:rsidRPr="00980192">
        <w:t>Cotterrell</w:t>
      </w:r>
      <w:proofErr w:type="spellEnd"/>
      <w:r>
        <w:t xml:space="preserve"> (n 103) </w:t>
      </w:r>
      <w:r w:rsidRPr="00980192">
        <w:t>175.</w:t>
      </w:r>
    </w:p>
  </w:footnote>
  <w:footnote w:id="106">
    <w:p w14:paraId="6F057B06" w14:textId="77777777" w:rsidR="005F213D" w:rsidRPr="00980192" w:rsidRDefault="005F213D" w:rsidP="00A64B1C">
      <w:pPr>
        <w:pStyle w:val="FootnoteText"/>
      </w:pPr>
      <w:r w:rsidRPr="00980192">
        <w:rPr>
          <w:rStyle w:val="FootnoteReference"/>
        </w:rPr>
        <w:footnoteRef/>
      </w:r>
      <w:r w:rsidRPr="00980192">
        <w:t xml:space="preserve"> </w:t>
      </w:r>
      <w:r>
        <w:t>Ibid</w:t>
      </w:r>
      <w:r w:rsidRPr="00980192">
        <w:t xml:space="preserve"> 175.</w:t>
      </w:r>
    </w:p>
  </w:footnote>
  <w:footnote w:id="107">
    <w:p w14:paraId="0C03459F" w14:textId="77777777" w:rsidR="005F213D" w:rsidRPr="0095128F" w:rsidRDefault="005F213D" w:rsidP="00157BDE">
      <w:pPr>
        <w:pStyle w:val="FootnoteText"/>
      </w:pPr>
      <w:r>
        <w:rPr>
          <w:rStyle w:val="FootnoteReference"/>
        </w:rPr>
        <w:footnoteRef/>
      </w:r>
      <w:r>
        <w:t xml:space="preserve"> Lucia </w:t>
      </w:r>
      <w:bookmarkStart w:id="85" w:name="_Hlk40721853"/>
      <w:proofErr w:type="spellStart"/>
      <w:r>
        <w:t>Zedner</w:t>
      </w:r>
      <w:proofErr w:type="spellEnd"/>
      <w:r>
        <w:t xml:space="preserve">, </w:t>
      </w:r>
      <w:r>
        <w:rPr>
          <w:i/>
        </w:rPr>
        <w:t xml:space="preserve">Criminal Justice </w:t>
      </w:r>
      <w:r>
        <w:t>(2</w:t>
      </w:r>
      <w:r w:rsidRPr="003E78AB">
        <w:rPr>
          <w:vertAlign w:val="superscript"/>
        </w:rPr>
        <w:t>nd</w:t>
      </w:r>
      <w:r>
        <w:t xml:space="preserve"> </w:t>
      </w:r>
      <w:proofErr w:type="spellStart"/>
      <w:r>
        <w:t>edn</w:t>
      </w:r>
      <w:proofErr w:type="spellEnd"/>
      <w:r>
        <w:t xml:space="preserve">, Oxford University Press 2010) </w:t>
      </w:r>
      <w:bookmarkEnd w:id="85"/>
      <w:r>
        <w:t>146.</w:t>
      </w:r>
    </w:p>
  </w:footnote>
  <w:footnote w:id="108">
    <w:p w14:paraId="7492AE6A" w14:textId="77777777" w:rsidR="005F213D" w:rsidRPr="00A361D6" w:rsidRDefault="005F213D" w:rsidP="00157BDE">
      <w:pPr>
        <w:pStyle w:val="FootnoteText"/>
        <w:rPr>
          <w:i/>
        </w:rPr>
      </w:pPr>
      <w:r>
        <w:rPr>
          <w:rStyle w:val="FootnoteReference"/>
        </w:rPr>
        <w:footnoteRef/>
      </w:r>
      <w:r>
        <w:t xml:space="preserve"> Keith </w:t>
      </w:r>
      <w:bookmarkStart w:id="86" w:name="_Hlk40721882"/>
      <w:r>
        <w:t xml:space="preserve">Hawkins, </w:t>
      </w:r>
      <w:r>
        <w:rPr>
          <w:i/>
        </w:rPr>
        <w:t xml:space="preserve">Law as Last Resort: Prosecution Decision-Making in a Regulatory Agency </w:t>
      </w:r>
      <w:r w:rsidRPr="00A361D6">
        <w:t>(O</w:t>
      </w:r>
      <w:r>
        <w:t xml:space="preserve">xford </w:t>
      </w:r>
      <w:r w:rsidRPr="00A361D6">
        <w:t>U</w:t>
      </w:r>
      <w:r>
        <w:t xml:space="preserve">niversity </w:t>
      </w:r>
      <w:r w:rsidRPr="00A361D6">
        <w:t>P</w:t>
      </w:r>
      <w:r>
        <w:t>ress</w:t>
      </w:r>
      <w:r w:rsidRPr="00A361D6">
        <w:t xml:space="preserve"> 2002) 422</w:t>
      </w:r>
      <w:bookmarkEnd w:id="86"/>
      <w:r w:rsidRPr="00A361D6">
        <w:t>.</w:t>
      </w:r>
    </w:p>
  </w:footnote>
  <w:footnote w:id="109">
    <w:p w14:paraId="679EF6A5" w14:textId="57B31D2A" w:rsidR="005F213D" w:rsidRPr="00980192" w:rsidRDefault="005F213D" w:rsidP="00A64B1C">
      <w:pPr>
        <w:pStyle w:val="FootnoteText"/>
      </w:pPr>
      <w:r w:rsidRPr="00980192">
        <w:rPr>
          <w:rStyle w:val="FootnoteReference"/>
        </w:rPr>
        <w:footnoteRef/>
      </w:r>
      <w:r w:rsidRPr="00980192">
        <w:t xml:space="preserve"> </w:t>
      </w:r>
      <w:r>
        <w:t>‘</w:t>
      </w:r>
      <w:r w:rsidRPr="00980192">
        <w:t>CPS Consultation Principles 2015</w:t>
      </w:r>
      <w:r>
        <w:t>’</w:t>
      </w:r>
      <w:r w:rsidRPr="00980192">
        <w:t xml:space="preserve"> emailed to the author by CPS </w:t>
      </w:r>
      <w:r>
        <w:t>P</w:t>
      </w:r>
      <w:r w:rsidRPr="00980192">
        <w:t xml:space="preserve">olicy </w:t>
      </w:r>
      <w:r>
        <w:t>D</w:t>
      </w:r>
      <w:r w:rsidRPr="00980192">
        <w:t>irectorate.</w:t>
      </w:r>
    </w:p>
  </w:footnote>
  <w:footnote w:id="110">
    <w:p w14:paraId="1C13FF4A" w14:textId="77777777" w:rsidR="005F213D" w:rsidRPr="00980192" w:rsidRDefault="005F213D" w:rsidP="0053461D">
      <w:pPr>
        <w:pStyle w:val="FootnoteText"/>
      </w:pPr>
      <w:r w:rsidRPr="00980192">
        <w:rPr>
          <w:rStyle w:val="FootnoteReference"/>
        </w:rPr>
        <w:footnoteRef/>
      </w:r>
      <w:r w:rsidRPr="00980192">
        <w:t xml:space="preserve"> </w:t>
      </w:r>
      <w:r w:rsidRPr="00980192">
        <w:rPr>
          <w:lang w:val="en-US"/>
        </w:rPr>
        <w:t xml:space="preserve">Andrew </w:t>
      </w:r>
      <w:bookmarkStart w:id="87" w:name="_Hlk40721956"/>
      <w:r w:rsidRPr="00980192">
        <w:rPr>
          <w:lang w:val="en-US"/>
        </w:rPr>
        <w:t>Ashworth, ‘Developments in the Public Prosecutor’s Office in England and Wales’ (2000) European Journal of Crime, Criminal Law and Criminal Justice 257</w:t>
      </w:r>
      <w:bookmarkEnd w:id="87"/>
      <w:r w:rsidRPr="00980192">
        <w:rPr>
          <w:lang w:val="en-US"/>
        </w:rPr>
        <w:t>, 261. Calvert-Smith was DPP in 1998- 2003.</w:t>
      </w:r>
    </w:p>
  </w:footnote>
  <w:footnote w:id="111">
    <w:p w14:paraId="5868FB5F" w14:textId="4954ED5F" w:rsidR="005F213D" w:rsidRDefault="005F213D" w:rsidP="00A64B1C">
      <w:pPr>
        <w:pStyle w:val="FootnoteText"/>
      </w:pPr>
      <w:r>
        <w:rPr>
          <w:rStyle w:val="FootnoteReference"/>
        </w:rPr>
        <w:footnoteRef/>
      </w:r>
      <w:r>
        <w:t xml:space="preserve"> The ‘independence’ of the CPS is discussed more fully in Chapter Three.</w:t>
      </w:r>
    </w:p>
  </w:footnote>
  <w:footnote w:id="112">
    <w:p w14:paraId="2A27FCE9" w14:textId="7E7A7A25" w:rsidR="005F213D" w:rsidRPr="00980192" w:rsidRDefault="005F213D" w:rsidP="00A64B1C">
      <w:pPr>
        <w:pStyle w:val="FootnoteText"/>
      </w:pPr>
      <w:r w:rsidRPr="00980192">
        <w:rPr>
          <w:rStyle w:val="FootnoteReference"/>
        </w:rPr>
        <w:footnoteRef/>
      </w:r>
      <w:r w:rsidRPr="00980192">
        <w:t xml:space="preserve"> Crown Prosecution Service</w:t>
      </w:r>
      <w:r>
        <w:t xml:space="preserve">, </w:t>
      </w:r>
      <w:r w:rsidRPr="00A815AC">
        <w:t>‘The Code for Prosecutors’</w:t>
      </w:r>
      <w:r>
        <w:t xml:space="preserve"> (n 12)</w:t>
      </w:r>
      <w:r w:rsidRPr="00980192">
        <w:t>.</w:t>
      </w:r>
    </w:p>
  </w:footnote>
  <w:footnote w:id="113">
    <w:p w14:paraId="64A224E3" w14:textId="77777777" w:rsidR="005F213D" w:rsidRPr="00980192" w:rsidRDefault="005F213D" w:rsidP="00573F72">
      <w:pPr>
        <w:pStyle w:val="FootnoteText"/>
      </w:pPr>
      <w:r w:rsidRPr="00980192">
        <w:rPr>
          <w:rStyle w:val="FootnoteReference"/>
        </w:rPr>
        <w:footnoteRef/>
      </w:r>
      <w:r w:rsidRPr="00980192">
        <w:t xml:space="preserve"> Patricia </w:t>
      </w:r>
      <w:bookmarkStart w:id="88" w:name="_Hlk40723808"/>
      <w:proofErr w:type="spellStart"/>
      <w:r w:rsidRPr="00980192">
        <w:t>Ewick</w:t>
      </w:r>
      <w:proofErr w:type="spellEnd"/>
      <w:r w:rsidRPr="00980192">
        <w:t xml:space="preserve"> and Susan </w:t>
      </w:r>
      <w:proofErr w:type="spellStart"/>
      <w:r w:rsidRPr="00980192">
        <w:t>Silbey</w:t>
      </w:r>
      <w:proofErr w:type="spellEnd"/>
      <w:r w:rsidRPr="00980192">
        <w:t xml:space="preserve">, </w:t>
      </w:r>
      <w:r w:rsidRPr="00980192">
        <w:rPr>
          <w:i/>
        </w:rPr>
        <w:t xml:space="preserve">The Common Place of Law: Stories from Everyday Life </w:t>
      </w:r>
      <w:r w:rsidRPr="00980192">
        <w:t xml:space="preserve">(University of Chicago Press 1998) </w:t>
      </w:r>
      <w:bookmarkEnd w:id="88"/>
      <w:r w:rsidRPr="00980192">
        <w:t>223.</w:t>
      </w:r>
    </w:p>
  </w:footnote>
  <w:footnote w:id="114">
    <w:p w14:paraId="3B6DF96C" w14:textId="42F235D6" w:rsidR="005F213D" w:rsidRPr="00980192" w:rsidRDefault="005F213D" w:rsidP="00573F72">
      <w:pPr>
        <w:pStyle w:val="FootnoteText"/>
      </w:pPr>
      <w:r w:rsidRPr="00980192">
        <w:rPr>
          <w:rStyle w:val="FootnoteReference"/>
        </w:rPr>
        <w:footnoteRef/>
      </w:r>
      <w:r w:rsidRPr="00980192">
        <w:t xml:space="preserve"> </w:t>
      </w:r>
      <w:r>
        <w:t>Davies, ‘Feminism and the Flat Theory of Law’ (n 75)</w:t>
      </w:r>
      <w:r w:rsidRPr="00980192">
        <w:t xml:space="preserve"> 289.</w:t>
      </w:r>
    </w:p>
  </w:footnote>
  <w:footnote w:id="115">
    <w:p w14:paraId="05067FBA" w14:textId="77777777" w:rsidR="005F213D" w:rsidRDefault="005F213D" w:rsidP="00573F72">
      <w:pPr>
        <w:pStyle w:val="FootnoteText"/>
      </w:pPr>
      <w:r>
        <w:rPr>
          <w:rStyle w:val="FootnoteReference"/>
        </w:rPr>
        <w:footnoteRef/>
      </w:r>
      <w:r>
        <w:t xml:space="preserve"> Joanne </w:t>
      </w:r>
      <w:bookmarkStart w:id="89" w:name="_Hlk40723899"/>
      <w:proofErr w:type="spellStart"/>
      <w:r>
        <w:t>Conaghan</w:t>
      </w:r>
      <w:proofErr w:type="spellEnd"/>
      <w:r>
        <w:t xml:space="preserve">, ‘Reassessing the Feminist Theoretical Project in Law (2000) 27(3) Journal of Law and Society 351, </w:t>
      </w:r>
      <w:bookmarkEnd w:id="89"/>
      <w:r>
        <w:t>363.</w:t>
      </w:r>
    </w:p>
  </w:footnote>
  <w:footnote w:id="116">
    <w:p w14:paraId="5B1E4E76" w14:textId="77777777" w:rsidR="005F213D" w:rsidRPr="00980192" w:rsidRDefault="005F213D" w:rsidP="00A64B1C">
      <w:pPr>
        <w:pStyle w:val="FootnoteText"/>
        <w:rPr>
          <w:lang w:val="en-US"/>
        </w:rPr>
      </w:pPr>
      <w:r w:rsidRPr="00980192">
        <w:rPr>
          <w:rStyle w:val="FootnoteReference"/>
        </w:rPr>
        <w:footnoteRef/>
      </w:r>
      <w:r w:rsidRPr="00980192">
        <w:t xml:space="preserve"> For example the Criminal Procedure Rules 2015, </w:t>
      </w:r>
      <w:r w:rsidRPr="00980192">
        <w:rPr>
          <w:lang w:val="en-US"/>
        </w:rPr>
        <w:t>Prosecution of Offences Act 1985 or case law concerning judicial review of prosecutorial decision-making.</w:t>
      </w:r>
    </w:p>
  </w:footnote>
  <w:footnote w:id="117">
    <w:p w14:paraId="34B4DA36" w14:textId="21B0008A" w:rsidR="005F213D" w:rsidRPr="00980192" w:rsidRDefault="005F213D" w:rsidP="00A64B1C">
      <w:pPr>
        <w:pStyle w:val="FootnoteText"/>
      </w:pPr>
      <w:r w:rsidRPr="00980192">
        <w:rPr>
          <w:rStyle w:val="FootnoteReference"/>
        </w:rPr>
        <w:footnoteRef/>
      </w:r>
      <w:r w:rsidRPr="00980192">
        <w:t xml:space="preserve"> For example </w:t>
      </w:r>
      <w:r>
        <w:t xml:space="preserve">Crown Prosecution Service, </w:t>
      </w:r>
      <w:r w:rsidRPr="00B93133">
        <w:t>‘Domestic Abuse Guidelines for Prosecutors’</w:t>
      </w:r>
      <w:r>
        <w:t xml:space="preserve"> (n 13) and Crown Prosecution Service, </w:t>
      </w:r>
      <w:r w:rsidRPr="00A815AC">
        <w:t>‘The Code for Prosecutors’</w:t>
      </w:r>
      <w:r>
        <w:t xml:space="preserve"> (n 12)</w:t>
      </w:r>
      <w:r w:rsidRPr="00980192">
        <w:t>.</w:t>
      </w:r>
    </w:p>
  </w:footnote>
  <w:footnote w:id="118">
    <w:p w14:paraId="3F812B14" w14:textId="515C8EE3" w:rsidR="009237FB" w:rsidRPr="00980192" w:rsidRDefault="009237FB" w:rsidP="009237FB">
      <w:pPr>
        <w:pStyle w:val="FootnoteText"/>
      </w:pPr>
      <w:r w:rsidRPr="00980192">
        <w:rPr>
          <w:rStyle w:val="FootnoteReference"/>
        </w:rPr>
        <w:footnoteRef/>
      </w:r>
      <w:r w:rsidRPr="00980192">
        <w:t xml:space="preserve"> Alan Bryman, </w:t>
      </w:r>
      <w:r w:rsidRPr="00980192">
        <w:rPr>
          <w:i/>
        </w:rPr>
        <w:t xml:space="preserve">Social Research Methods </w:t>
      </w:r>
      <w:r w:rsidRPr="00980192">
        <w:t>(4</w:t>
      </w:r>
      <w:r w:rsidRPr="00980192">
        <w:rPr>
          <w:vertAlign w:val="superscript"/>
        </w:rPr>
        <w:t>th</w:t>
      </w:r>
      <w:r w:rsidRPr="00980192">
        <w:t xml:space="preserve"> </w:t>
      </w:r>
      <w:proofErr w:type="spellStart"/>
      <w:r w:rsidRPr="00980192">
        <w:t>edn</w:t>
      </w:r>
      <w:proofErr w:type="spellEnd"/>
      <w:r w:rsidR="00BC71A3">
        <w:t>,</w:t>
      </w:r>
      <w:r w:rsidRPr="00980192">
        <w:t xml:space="preserve"> OUP 2012) 212.</w:t>
      </w:r>
    </w:p>
  </w:footnote>
  <w:footnote w:id="119">
    <w:p w14:paraId="595E6BE4" w14:textId="77777777" w:rsidR="009237FB" w:rsidRPr="00980192" w:rsidRDefault="009237FB" w:rsidP="009237FB">
      <w:pPr>
        <w:pStyle w:val="FootnoteText"/>
      </w:pPr>
      <w:r w:rsidRPr="00980192">
        <w:rPr>
          <w:rStyle w:val="FootnoteReference"/>
        </w:rPr>
        <w:footnoteRef/>
      </w:r>
      <w:r w:rsidRPr="00980192">
        <w:t xml:space="preserve"> Karl Weick, ‘The Generative Properties of Richness’ (2007) </w:t>
      </w:r>
      <w:r>
        <w:t xml:space="preserve">50 </w:t>
      </w:r>
      <w:r w:rsidRPr="00980192">
        <w:t>Academy of Management Journal 14.</w:t>
      </w:r>
    </w:p>
  </w:footnote>
  <w:footnote w:id="120">
    <w:p w14:paraId="7C7A799C" w14:textId="77777777" w:rsidR="005F213D" w:rsidRPr="00980192" w:rsidRDefault="005F213D" w:rsidP="00A64B1C">
      <w:pPr>
        <w:pStyle w:val="FootnoteText"/>
      </w:pPr>
      <w:r w:rsidRPr="00980192">
        <w:rPr>
          <w:rStyle w:val="FootnoteReference"/>
        </w:rPr>
        <w:footnoteRef/>
      </w:r>
      <w:r w:rsidRPr="00980192">
        <w:t xml:space="preserve"> </w:t>
      </w:r>
      <w:bookmarkStart w:id="92" w:name="_Hlk40724092"/>
      <w:r w:rsidRPr="00980192">
        <w:t>Kathryn Roulston, ‘Considering quality in qualitative interviewing’ (2010) Q</w:t>
      </w:r>
      <w:r>
        <w:t xml:space="preserve">ualitative </w:t>
      </w:r>
      <w:r w:rsidRPr="00980192">
        <w:t>R</w:t>
      </w:r>
      <w:r>
        <w:t>esearch</w:t>
      </w:r>
      <w:r w:rsidRPr="00980192">
        <w:t xml:space="preserve"> 199</w:t>
      </w:r>
      <w:bookmarkEnd w:id="92"/>
      <w:r w:rsidRPr="00980192">
        <w:t>, 205</w:t>
      </w:r>
      <w:r>
        <w:t>.</w:t>
      </w:r>
    </w:p>
  </w:footnote>
  <w:footnote w:id="121">
    <w:p w14:paraId="01985AD3" w14:textId="77777777" w:rsidR="005F213D" w:rsidRPr="00980192" w:rsidRDefault="005F213D" w:rsidP="00A64B1C">
      <w:pPr>
        <w:pStyle w:val="FootnoteText"/>
      </w:pPr>
      <w:r w:rsidRPr="00980192">
        <w:rPr>
          <w:rStyle w:val="FootnoteReference"/>
        </w:rPr>
        <w:footnoteRef/>
      </w:r>
      <w:r w:rsidRPr="00980192">
        <w:t xml:space="preserve"> Ibid 204</w:t>
      </w:r>
      <w:r>
        <w:t>.</w:t>
      </w:r>
    </w:p>
  </w:footnote>
  <w:footnote w:id="122">
    <w:p w14:paraId="4CE0FB96" w14:textId="77777777" w:rsidR="005F213D" w:rsidRPr="00980192" w:rsidRDefault="005F213D" w:rsidP="00A64B1C">
      <w:pPr>
        <w:pStyle w:val="FootnoteText"/>
      </w:pPr>
      <w:r w:rsidRPr="00980192">
        <w:rPr>
          <w:rStyle w:val="FootnoteReference"/>
        </w:rPr>
        <w:footnoteRef/>
      </w:r>
      <w:r w:rsidRPr="00980192">
        <w:t xml:space="preserve"> </w:t>
      </w:r>
      <w:r>
        <w:t>Ibid</w:t>
      </w:r>
      <w:r w:rsidRPr="00980192">
        <w:t xml:space="preserve"> 206</w:t>
      </w:r>
      <w:r>
        <w:t>.</w:t>
      </w:r>
      <w:r w:rsidRPr="00980192">
        <w:t xml:space="preserve"> The approach is equated with ‘emotionalist’ approaches.</w:t>
      </w:r>
    </w:p>
  </w:footnote>
  <w:footnote w:id="123">
    <w:p w14:paraId="6E208667" w14:textId="77777777" w:rsidR="005F213D" w:rsidRPr="00980192" w:rsidRDefault="005F213D" w:rsidP="00A64B1C">
      <w:pPr>
        <w:pStyle w:val="FootnoteText"/>
      </w:pPr>
      <w:r w:rsidRPr="00980192">
        <w:rPr>
          <w:rStyle w:val="FootnoteReference"/>
        </w:rPr>
        <w:footnoteRef/>
      </w:r>
      <w:r>
        <w:t xml:space="preserve"> Ibid</w:t>
      </w:r>
      <w:r w:rsidRPr="00980192">
        <w:t xml:space="preserve"> 205</w:t>
      </w:r>
      <w:r>
        <w:t>.</w:t>
      </w:r>
    </w:p>
  </w:footnote>
  <w:footnote w:id="124">
    <w:p w14:paraId="0DCF09FE" w14:textId="77777777" w:rsidR="005F213D" w:rsidRPr="00980192" w:rsidRDefault="005F213D" w:rsidP="00886A2C">
      <w:pPr>
        <w:pStyle w:val="FootnoteText"/>
      </w:pPr>
      <w:r w:rsidRPr="00980192">
        <w:rPr>
          <w:rStyle w:val="FootnoteReference"/>
        </w:rPr>
        <w:footnoteRef/>
      </w:r>
      <w:r w:rsidRPr="00980192">
        <w:t xml:space="preserve"> Hilaire </w:t>
      </w:r>
      <w:bookmarkStart w:id="93" w:name="_Hlk40724140"/>
      <w:r w:rsidRPr="00980192">
        <w:t xml:space="preserve">Barnett, </w:t>
      </w:r>
      <w:r w:rsidRPr="00980192">
        <w:rPr>
          <w:i/>
        </w:rPr>
        <w:t xml:space="preserve">Introduction to Feminist Jurisprudence </w:t>
      </w:r>
      <w:r w:rsidRPr="00980192">
        <w:t>(Cavendish 1998)</w:t>
      </w:r>
      <w:bookmarkEnd w:id="93"/>
      <w:r w:rsidRPr="00980192">
        <w:t xml:space="preserve"> 19</w:t>
      </w:r>
      <w:r>
        <w:t>.</w:t>
      </w:r>
    </w:p>
  </w:footnote>
  <w:footnote w:id="125">
    <w:p w14:paraId="5ABF005B" w14:textId="77777777" w:rsidR="005F213D" w:rsidRPr="00980192" w:rsidRDefault="005F213D" w:rsidP="00886A2C">
      <w:pPr>
        <w:pStyle w:val="FootnoteText"/>
      </w:pPr>
      <w:r w:rsidRPr="00980192">
        <w:rPr>
          <w:rStyle w:val="FootnoteReference"/>
        </w:rPr>
        <w:footnoteRef/>
      </w:r>
      <w:r w:rsidRPr="00980192">
        <w:t xml:space="preserve"> Rosie </w:t>
      </w:r>
      <w:bookmarkStart w:id="95" w:name="_Hlk40724166"/>
      <w:r w:rsidRPr="00980192">
        <w:t>Harding, ‘’Dogs are ‘</w:t>
      </w:r>
      <w:r>
        <w:t>r</w:t>
      </w:r>
      <w:r w:rsidRPr="00980192">
        <w:t xml:space="preserve">egistered’, </w:t>
      </w:r>
      <w:r>
        <w:t>p</w:t>
      </w:r>
      <w:r w:rsidRPr="00980192">
        <w:t xml:space="preserve">eople </w:t>
      </w:r>
      <w:r>
        <w:t>s</w:t>
      </w:r>
      <w:r w:rsidRPr="00980192">
        <w:t xml:space="preserve">houldn’t </w:t>
      </w:r>
      <w:r>
        <w:t>b</w:t>
      </w:r>
      <w:r w:rsidRPr="00980192">
        <w:t xml:space="preserve">e’: Legal Consciousness and Lesbian and Gay Rights (2006) </w:t>
      </w:r>
      <w:r>
        <w:t xml:space="preserve">15(4) </w:t>
      </w:r>
      <w:r w:rsidRPr="00980192">
        <w:t>Social and Legal Studies 511</w:t>
      </w:r>
      <w:bookmarkEnd w:id="95"/>
      <w:r w:rsidRPr="00980192">
        <w:t>, 512</w:t>
      </w:r>
      <w:r>
        <w:t>.</w:t>
      </w:r>
    </w:p>
  </w:footnote>
  <w:footnote w:id="126">
    <w:p w14:paraId="1EBB2D58" w14:textId="77777777" w:rsidR="005F213D" w:rsidRPr="00980192" w:rsidRDefault="005F213D" w:rsidP="00A64B1C">
      <w:pPr>
        <w:pStyle w:val="FootnoteText"/>
      </w:pPr>
      <w:r w:rsidRPr="00980192">
        <w:rPr>
          <w:rStyle w:val="FootnoteReference"/>
        </w:rPr>
        <w:footnoteRef/>
      </w:r>
      <w:r w:rsidRPr="00980192">
        <w:t xml:space="preserve"> Virginia </w:t>
      </w:r>
      <w:bookmarkStart w:id="96" w:name="_Hlk40724224"/>
      <w:r w:rsidRPr="00980192">
        <w:t xml:space="preserve">Braun and Victoria Clarke, ‘Using </w:t>
      </w:r>
      <w:r>
        <w:t>T</w:t>
      </w:r>
      <w:r w:rsidRPr="00980192">
        <w:t xml:space="preserve">hematic </w:t>
      </w:r>
      <w:r>
        <w:t>A</w:t>
      </w:r>
      <w:r w:rsidRPr="00980192">
        <w:t xml:space="preserve">nalysis in </w:t>
      </w:r>
      <w:r>
        <w:t>P</w:t>
      </w:r>
      <w:r w:rsidRPr="00980192">
        <w:t>sychology</w:t>
      </w:r>
      <w:r>
        <w:t xml:space="preserve"> (2006) 3(2)</w:t>
      </w:r>
      <w:r w:rsidRPr="00980192">
        <w:t xml:space="preserve"> Qualitative </w:t>
      </w:r>
      <w:r>
        <w:t>R</w:t>
      </w:r>
      <w:r w:rsidRPr="00980192">
        <w:t xml:space="preserve">esearch in </w:t>
      </w:r>
      <w:r>
        <w:t>P</w:t>
      </w:r>
      <w:r w:rsidRPr="00980192">
        <w:t>sychology 77.</w:t>
      </w:r>
      <w:bookmarkEnd w:id="96"/>
    </w:p>
  </w:footnote>
  <w:footnote w:id="127">
    <w:p w14:paraId="0DC755EC" w14:textId="46D97B88" w:rsidR="005F213D" w:rsidRDefault="005F213D" w:rsidP="00A64B1C">
      <w:pPr>
        <w:pStyle w:val="FootnoteText"/>
      </w:pPr>
      <w:r>
        <w:rPr>
          <w:rStyle w:val="FootnoteReference"/>
        </w:rPr>
        <w:footnoteRef/>
      </w:r>
      <w:r>
        <w:t xml:space="preserve"> </w:t>
      </w:r>
      <w:bookmarkStart w:id="97" w:name="_Hlk523229776"/>
      <w:r>
        <w:t>Diane Watt, ‘On Becoming a Qualitative Researcher: The Value of Reflexivity’ (2007) 12(1) The Qualitative Report 82</w:t>
      </w:r>
      <w:bookmarkEnd w:id="97"/>
      <w:r>
        <w:t>, 82.</w:t>
      </w:r>
    </w:p>
  </w:footnote>
  <w:footnote w:id="128">
    <w:p w14:paraId="3338071E" w14:textId="77777777" w:rsidR="005F213D" w:rsidRDefault="005F213D" w:rsidP="00A64B1C">
      <w:pPr>
        <w:pStyle w:val="FootnoteText"/>
      </w:pPr>
      <w:r>
        <w:rPr>
          <w:rStyle w:val="FootnoteReference"/>
        </w:rPr>
        <w:footnoteRef/>
      </w:r>
      <w:r>
        <w:t xml:space="preserve"> Ibid 94.</w:t>
      </w:r>
    </w:p>
  </w:footnote>
  <w:footnote w:id="129">
    <w:p w14:paraId="0775CF36" w14:textId="77777777" w:rsidR="005F213D" w:rsidRPr="00980192" w:rsidRDefault="005F213D" w:rsidP="00A64B1C">
      <w:pPr>
        <w:pStyle w:val="FootnoteText"/>
      </w:pPr>
      <w:r w:rsidRPr="00980192">
        <w:rPr>
          <w:rStyle w:val="FootnoteReference"/>
        </w:rPr>
        <w:footnoteRef/>
      </w:r>
      <w:r w:rsidRPr="00980192">
        <w:t xml:space="preserve"> Natasha </w:t>
      </w:r>
      <w:proofErr w:type="spellStart"/>
      <w:r w:rsidRPr="00980192">
        <w:t>Mauthner</w:t>
      </w:r>
      <w:proofErr w:type="spellEnd"/>
      <w:r w:rsidRPr="00980192">
        <w:t xml:space="preserve"> and Andrea Doucet, ‘Reflections on a Voice-centred Relational Method’ in </w:t>
      </w:r>
      <w:bookmarkStart w:id="98" w:name="_Hlk40724343"/>
      <w:r w:rsidRPr="00980192">
        <w:t xml:space="preserve">Jane </w:t>
      </w:r>
      <w:proofErr w:type="spellStart"/>
      <w:r w:rsidRPr="00980192">
        <w:t>Ribbens</w:t>
      </w:r>
      <w:proofErr w:type="spellEnd"/>
      <w:r w:rsidRPr="00980192">
        <w:t xml:space="preserve">  and Rosalind Edwards (eds)</w:t>
      </w:r>
      <w:r>
        <w:t>,</w:t>
      </w:r>
      <w:r w:rsidRPr="00980192">
        <w:t xml:space="preserve"> </w:t>
      </w:r>
      <w:r w:rsidRPr="0005558F">
        <w:rPr>
          <w:i/>
        </w:rPr>
        <w:t>Feminist Dilemmas in Qualitative Research: Public Knowledge and Private Lives</w:t>
      </w:r>
      <w:r w:rsidRPr="00980192">
        <w:t xml:space="preserve"> (Sage 1998). </w:t>
      </w:r>
    </w:p>
    <w:bookmarkEnd w:id="98"/>
  </w:footnote>
  <w:footnote w:id="130">
    <w:p w14:paraId="4D9AFEC4" w14:textId="77777777" w:rsidR="005F213D" w:rsidRDefault="005F213D" w:rsidP="00A64B1C">
      <w:pPr>
        <w:pStyle w:val="FootnoteText"/>
      </w:pPr>
      <w:r>
        <w:rPr>
          <w:rStyle w:val="FootnoteReference"/>
        </w:rPr>
        <w:footnoteRef/>
      </w:r>
      <w:r>
        <w:t xml:space="preserve"> </w:t>
      </w:r>
      <w:r w:rsidRPr="00980192">
        <w:t xml:space="preserve">Simon </w:t>
      </w:r>
      <w:bookmarkStart w:id="99" w:name="_Hlk40724399"/>
      <w:r w:rsidRPr="00980192">
        <w:t xml:space="preserve">Watts, ‘User </w:t>
      </w:r>
      <w:r>
        <w:t>S</w:t>
      </w:r>
      <w:r w:rsidRPr="00980192">
        <w:t xml:space="preserve">kills for </w:t>
      </w:r>
      <w:r>
        <w:t>Q</w:t>
      </w:r>
      <w:r w:rsidRPr="00980192">
        <w:t xml:space="preserve">ualitative </w:t>
      </w:r>
      <w:r>
        <w:t>A</w:t>
      </w:r>
      <w:r w:rsidRPr="00980192">
        <w:t xml:space="preserve">nalysis: Perspective, </w:t>
      </w:r>
      <w:r>
        <w:t>I</w:t>
      </w:r>
      <w:r w:rsidRPr="00980192">
        <w:t xml:space="preserve">nterpretation and the </w:t>
      </w:r>
      <w:r>
        <w:t>D</w:t>
      </w:r>
      <w:r w:rsidRPr="00980192">
        <w:t xml:space="preserve">elivery of </w:t>
      </w:r>
      <w:r>
        <w:t>I</w:t>
      </w:r>
      <w:r w:rsidRPr="00980192">
        <w:t>mpact’ (2014) </w:t>
      </w:r>
      <w:r>
        <w:t xml:space="preserve">11(1) </w:t>
      </w:r>
      <w:r w:rsidRPr="00980192">
        <w:t xml:space="preserve">Qualitative Research in Psychology </w:t>
      </w:r>
      <w:bookmarkEnd w:id="99"/>
      <w:r w:rsidRPr="00980192">
        <w:t>1-14.</w:t>
      </w:r>
    </w:p>
  </w:footnote>
  <w:footnote w:id="131">
    <w:p w14:paraId="675AE3BF" w14:textId="21082340" w:rsidR="005F213D" w:rsidRDefault="005F213D" w:rsidP="0015619A">
      <w:pPr>
        <w:pStyle w:val="FootnoteText"/>
      </w:pPr>
      <w:r w:rsidRPr="0015619A">
        <w:rPr>
          <w:rStyle w:val="FootnoteReference"/>
          <w:sz w:val="24"/>
          <w:szCs w:val="24"/>
        </w:rPr>
        <w:footnoteRef/>
      </w:r>
      <w:r>
        <w:t xml:space="preserve"> Joanne </w:t>
      </w:r>
      <w:proofErr w:type="spellStart"/>
      <w:r>
        <w:t>Conaghan</w:t>
      </w:r>
      <w:proofErr w:type="spellEnd"/>
      <w:r>
        <w:t>, ‘Reassessing the Feminist Theoretical Project in Law’ (2000) 27 Journal of Law and Society 351, 359- 363.</w:t>
      </w:r>
    </w:p>
  </w:footnote>
  <w:footnote w:id="132">
    <w:p w14:paraId="0CD6476F" w14:textId="64822DC7" w:rsidR="005F213D" w:rsidRPr="0015619A" w:rsidRDefault="005F213D" w:rsidP="0015619A">
      <w:pPr>
        <w:pStyle w:val="FootnoteText"/>
      </w:pPr>
      <w:r w:rsidRPr="0015619A">
        <w:rPr>
          <w:rStyle w:val="FootnoteReference"/>
          <w:sz w:val="24"/>
          <w:szCs w:val="24"/>
        </w:rPr>
        <w:footnoteRef/>
      </w:r>
      <w:r>
        <w:t>Louise</w:t>
      </w:r>
      <w:r w:rsidRPr="0015619A">
        <w:t xml:space="preserve"> Ellison, 'Prosecuting Domestic Violence without Victim Participation' (2002) 65(6) The Modern Law Review 834.</w:t>
      </w:r>
    </w:p>
  </w:footnote>
  <w:footnote w:id="133">
    <w:p w14:paraId="292C22CA" w14:textId="2FF6D141" w:rsidR="005F213D" w:rsidRDefault="005F213D">
      <w:pPr>
        <w:pStyle w:val="FootnoteText"/>
      </w:pPr>
      <w:r w:rsidRPr="0015619A">
        <w:rPr>
          <w:rStyle w:val="FootnoteReference"/>
          <w:sz w:val="24"/>
          <w:szCs w:val="24"/>
        </w:rPr>
        <w:footnoteRef/>
      </w:r>
      <w:r>
        <w:t xml:space="preserve"> Antonia </w:t>
      </w:r>
      <w:r w:rsidRPr="0015619A">
        <w:t>Cretney and Gwynn Davis, 'Prosecuting Domestic Assault: Victims Failing Courts, or Courts Failing Victims?' (1997) 36(2) The Howard Journal of Crime and Justice 146</w:t>
      </w:r>
      <w:r>
        <w:t>.</w:t>
      </w:r>
    </w:p>
  </w:footnote>
  <w:footnote w:id="134">
    <w:p w14:paraId="65EA1A5C" w14:textId="2CB4B0C0" w:rsidR="005F213D" w:rsidRDefault="005F213D">
      <w:pPr>
        <w:pStyle w:val="FootnoteText"/>
      </w:pPr>
      <w:r w:rsidRPr="006B01AC">
        <w:rPr>
          <w:rStyle w:val="FootnoteReference"/>
        </w:rPr>
        <w:footnoteRef/>
      </w:r>
      <w:r w:rsidRPr="006B01AC">
        <w:rPr>
          <w:rStyle w:val="FootnoteReference"/>
        </w:rPr>
        <w:t xml:space="preserve"> </w:t>
      </w:r>
      <w:bookmarkStart w:id="102" w:name="_Hlk40724514"/>
      <w:proofErr w:type="spellStart"/>
      <w:r w:rsidRPr="0015619A">
        <w:t>Nagaire</w:t>
      </w:r>
      <w:proofErr w:type="spellEnd"/>
      <w:r w:rsidRPr="0015619A">
        <w:t xml:space="preserve"> </w:t>
      </w:r>
      <w:proofErr w:type="spellStart"/>
      <w:r w:rsidRPr="0015619A">
        <w:t>Naffine</w:t>
      </w:r>
      <w:proofErr w:type="spellEnd"/>
      <w:r w:rsidRPr="0015619A">
        <w:t>, Sexing the Subject (of Law) (Oxford University Press 1995).</w:t>
      </w:r>
      <w:bookmarkEnd w:id="102"/>
    </w:p>
  </w:footnote>
  <w:footnote w:id="135">
    <w:p w14:paraId="723DD87B" w14:textId="06667138" w:rsidR="005F213D" w:rsidRDefault="005F213D" w:rsidP="006B01AC">
      <w:pPr>
        <w:pStyle w:val="FootnoteText"/>
      </w:pPr>
      <w:r>
        <w:rPr>
          <w:rStyle w:val="FootnoteReference"/>
        </w:rPr>
        <w:footnoteRef/>
      </w:r>
      <w:r>
        <w:t xml:space="preserve"> Crown Prosecution Service, </w:t>
      </w:r>
      <w:r w:rsidRPr="00B93133">
        <w:t>‘Domestic Abuse Guidelines for Prosecutors’</w:t>
      </w:r>
      <w:r>
        <w:t xml:space="preserve"> (n 13).</w:t>
      </w:r>
    </w:p>
    <w:p w14:paraId="1343505E" w14:textId="49A6CC83" w:rsidR="005F213D" w:rsidRDefault="005F213D">
      <w:pPr>
        <w:pStyle w:val="FootnoteText"/>
      </w:pPr>
    </w:p>
  </w:footnote>
  <w:footnote w:id="136">
    <w:p w14:paraId="5A9FF4D7" w14:textId="7D2D5302" w:rsidR="005F213D" w:rsidRDefault="005F213D">
      <w:pPr>
        <w:pStyle w:val="FootnoteText"/>
      </w:pPr>
      <w:r>
        <w:rPr>
          <w:rStyle w:val="FootnoteReference"/>
        </w:rPr>
        <w:footnoteRef/>
      </w:r>
      <w:r>
        <w:t xml:space="preserve"> </w:t>
      </w:r>
      <w:r w:rsidRPr="00980192">
        <w:t xml:space="preserve">Mimi Kim, ‘Challenging the Pursuit of Criminalisation in an Era of Mass Incarceration: The Limitations of the Social Work Response to Domestic Violence in the USA’ (2013) </w:t>
      </w:r>
      <w:r>
        <w:t xml:space="preserve">43 </w:t>
      </w:r>
      <w:r w:rsidRPr="00980192">
        <w:t>British Journal of Social Work 1276.</w:t>
      </w:r>
    </w:p>
  </w:footnote>
  <w:footnote w:id="137">
    <w:p w14:paraId="14208001" w14:textId="7013B783" w:rsidR="005F213D" w:rsidRDefault="005F213D">
      <w:pPr>
        <w:pStyle w:val="FootnoteText"/>
      </w:pPr>
      <w:r>
        <w:rPr>
          <w:rStyle w:val="FootnoteReference"/>
        </w:rPr>
        <w:footnoteRef/>
      </w:r>
      <w:r>
        <w:t xml:space="preserve"> </w:t>
      </w:r>
      <w:r w:rsidRPr="00980192">
        <w:t xml:space="preserve">Patricia </w:t>
      </w:r>
      <w:proofErr w:type="spellStart"/>
      <w:r w:rsidRPr="00980192">
        <w:t>Ewick</w:t>
      </w:r>
      <w:proofErr w:type="spellEnd"/>
      <w:r w:rsidRPr="00980192">
        <w:t xml:space="preserve"> and Susan </w:t>
      </w:r>
      <w:proofErr w:type="spellStart"/>
      <w:r w:rsidRPr="00980192">
        <w:t>Silbey</w:t>
      </w:r>
      <w:proofErr w:type="spellEnd"/>
      <w:r w:rsidRPr="00980192">
        <w:t xml:space="preserve">, </w:t>
      </w:r>
      <w:r w:rsidRPr="00980192">
        <w:rPr>
          <w:i/>
        </w:rPr>
        <w:t xml:space="preserve">The Common Place of Law: Stories from Everyday Life </w:t>
      </w:r>
      <w:r w:rsidRPr="00980192">
        <w:t>(University of Chicago Press 1998)</w:t>
      </w:r>
      <w:r>
        <w:t>.</w:t>
      </w:r>
    </w:p>
  </w:footnote>
  <w:footnote w:id="138">
    <w:p w14:paraId="4B28D158" w14:textId="28F77450" w:rsidR="005F213D" w:rsidRDefault="005F213D">
      <w:pPr>
        <w:pStyle w:val="FootnoteText"/>
      </w:pPr>
      <w:r>
        <w:rPr>
          <w:rStyle w:val="FootnoteReference"/>
        </w:rPr>
        <w:footnoteRef/>
      </w:r>
      <w:r>
        <w:t xml:space="preserve"> Martha </w:t>
      </w:r>
      <w:bookmarkStart w:id="103" w:name="_Hlk40724565"/>
      <w:r w:rsidRPr="00FC3547">
        <w:t xml:space="preserve">Fineman, ‘The </w:t>
      </w:r>
      <w:r>
        <w:t>V</w:t>
      </w:r>
      <w:r w:rsidRPr="00FC3547">
        <w:t xml:space="preserve">ulnerable </w:t>
      </w:r>
      <w:r>
        <w:t>S</w:t>
      </w:r>
      <w:r w:rsidRPr="00FC3547">
        <w:t xml:space="preserve">ubject: Anchoring </w:t>
      </w:r>
      <w:r>
        <w:t>E</w:t>
      </w:r>
      <w:r w:rsidRPr="00FC3547">
        <w:t xml:space="preserve">quality in the </w:t>
      </w:r>
      <w:r>
        <w:t>H</w:t>
      </w:r>
      <w:r w:rsidRPr="00FC3547">
        <w:t xml:space="preserve">uman </w:t>
      </w:r>
      <w:r>
        <w:t>C</w:t>
      </w:r>
      <w:r w:rsidRPr="00FC3547">
        <w:t>ondition’ (2008) 20 Yale Journal of Law and Feminism 1.</w:t>
      </w:r>
    </w:p>
    <w:bookmarkEnd w:id="103"/>
  </w:footnote>
  <w:footnote w:id="139">
    <w:p w14:paraId="4BAF6306" w14:textId="6114FE2A" w:rsidR="005F213D" w:rsidRDefault="005F213D">
      <w:pPr>
        <w:pStyle w:val="FootnoteText"/>
      </w:pPr>
      <w:r>
        <w:rPr>
          <w:rStyle w:val="FootnoteReference"/>
        </w:rPr>
        <w:footnoteRef/>
      </w:r>
      <w:r>
        <w:t xml:space="preserve"> See e.g. Michelle Madden-Dempsey, </w:t>
      </w:r>
      <w:r>
        <w:rPr>
          <w:i/>
          <w:iCs/>
        </w:rPr>
        <w:t xml:space="preserve">Prosecuting Domestic Violence A Philosophical Analysis </w:t>
      </w:r>
      <w:r>
        <w:t>(Oxford University Press 2009) and Cass Sunstein, ‘Social Norms and Social Roles’ (1996) Columbia Law Review 903, 909.</w:t>
      </w:r>
    </w:p>
  </w:footnote>
  <w:footnote w:id="140">
    <w:p w14:paraId="14404517" w14:textId="0BD4EC89" w:rsidR="005F213D" w:rsidRDefault="005F213D">
      <w:pPr>
        <w:pStyle w:val="FootnoteText"/>
      </w:pPr>
      <w:r>
        <w:rPr>
          <w:rStyle w:val="FootnoteReference"/>
        </w:rPr>
        <w:footnoteRef/>
      </w:r>
      <w:r>
        <w:t xml:space="preserve"> Isobel </w:t>
      </w:r>
      <w:r w:rsidRPr="00F41FDD">
        <w:t xml:space="preserve">Heywood, Dana </w:t>
      </w:r>
      <w:proofErr w:type="spellStart"/>
      <w:r w:rsidRPr="00F41FDD">
        <w:t>Sammut</w:t>
      </w:r>
      <w:proofErr w:type="spellEnd"/>
      <w:r w:rsidRPr="00F41FDD">
        <w:t xml:space="preserve"> and Caroline Bradbury-Jones, ‘A Qualitative Exploration of ‘</w:t>
      </w:r>
      <w:proofErr w:type="spellStart"/>
      <w:r w:rsidRPr="00F41FDD">
        <w:t>Thrivership</w:t>
      </w:r>
      <w:proofErr w:type="spellEnd"/>
      <w:r w:rsidRPr="00F41FDD">
        <w:t>’ among Women who have experienced Domestic Violence and Abuse: Development of a New Model’</w:t>
      </w:r>
      <w:r>
        <w:t xml:space="preserve"> </w:t>
      </w:r>
      <w:r w:rsidRPr="00F41FDD">
        <w:t>(2019) 19 British Medical Council Women's Health 106.</w:t>
      </w:r>
    </w:p>
  </w:footnote>
  <w:footnote w:id="141">
    <w:p w14:paraId="5E161702" w14:textId="0E04A08A" w:rsidR="005F213D" w:rsidRDefault="005F213D">
      <w:pPr>
        <w:pStyle w:val="FootnoteText"/>
      </w:pPr>
      <w:r>
        <w:rPr>
          <w:rStyle w:val="FootnoteReference"/>
        </w:rPr>
        <w:footnoteRef/>
      </w:r>
      <w:r>
        <w:t xml:space="preserve"> Ibid.</w:t>
      </w:r>
    </w:p>
  </w:footnote>
  <w:footnote w:id="142">
    <w:p w14:paraId="0F11EE00" w14:textId="59F4B444" w:rsidR="005F213D" w:rsidRPr="001F6F53" w:rsidRDefault="005F213D" w:rsidP="001F6F53">
      <w:pPr>
        <w:pStyle w:val="FootnoteText"/>
      </w:pPr>
      <w:r w:rsidRPr="001F6F53">
        <w:rPr>
          <w:rStyle w:val="FootnoteReference"/>
        </w:rPr>
        <w:footnoteRef/>
      </w:r>
      <w:r>
        <w:t xml:space="preserve"> </w:t>
      </w:r>
      <w:bookmarkStart w:id="104" w:name="_Hlk40724690"/>
      <w:r w:rsidRPr="001F6F53">
        <w:t>David Wexler, 'Applying the Law Therapeutically' (1996) 5(3) Applied and Preventive Psychology 179.</w:t>
      </w:r>
      <w:bookmarkEnd w:id="104"/>
    </w:p>
    <w:p w14:paraId="371E226D" w14:textId="3DE41CBD" w:rsidR="005F213D" w:rsidRDefault="005F21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7629"/>
    <w:multiLevelType w:val="hybridMultilevel"/>
    <w:tmpl w:val="6DFE0C82"/>
    <w:lvl w:ilvl="0" w:tplc="7848F0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DC798A"/>
    <w:multiLevelType w:val="hybridMultilevel"/>
    <w:tmpl w:val="026C2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C426D"/>
    <w:multiLevelType w:val="hybridMultilevel"/>
    <w:tmpl w:val="18888CC0"/>
    <w:lvl w:ilvl="0" w:tplc="7492751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20261"/>
    <w:multiLevelType w:val="hybridMultilevel"/>
    <w:tmpl w:val="751890BA"/>
    <w:lvl w:ilvl="0" w:tplc="EBA814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AF6DE4"/>
    <w:multiLevelType w:val="hybridMultilevel"/>
    <w:tmpl w:val="72D4AC5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50633"/>
    <w:multiLevelType w:val="hybridMultilevel"/>
    <w:tmpl w:val="6436E6B6"/>
    <w:lvl w:ilvl="0" w:tplc="B09E46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637A1"/>
    <w:multiLevelType w:val="hybridMultilevel"/>
    <w:tmpl w:val="094AD188"/>
    <w:lvl w:ilvl="0" w:tplc="AABC8A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F3916"/>
    <w:multiLevelType w:val="hybridMultilevel"/>
    <w:tmpl w:val="49E2BD60"/>
    <w:lvl w:ilvl="0" w:tplc="A65A56D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031EF"/>
    <w:multiLevelType w:val="hybridMultilevel"/>
    <w:tmpl w:val="A15CA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203C54"/>
    <w:multiLevelType w:val="hybridMultilevel"/>
    <w:tmpl w:val="811EF55A"/>
    <w:lvl w:ilvl="0" w:tplc="C9CC17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4E2A63"/>
    <w:multiLevelType w:val="hybridMultilevel"/>
    <w:tmpl w:val="FEC09B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57F4B"/>
    <w:multiLevelType w:val="hybridMultilevel"/>
    <w:tmpl w:val="832A8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7DD13C3"/>
    <w:multiLevelType w:val="hybridMultilevel"/>
    <w:tmpl w:val="7BF86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2D7178"/>
    <w:multiLevelType w:val="hybridMultilevel"/>
    <w:tmpl w:val="2C3C87E8"/>
    <w:lvl w:ilvl="0" w:tplc="A1142A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142475"/>
    <w:multiLevelType w:val="hybridMultilevel"/>
    <w:tmpl w:val="D14AB0E4"/>
    <w:lvl w:ilvl="0" w:tplc="89DC3AA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352E14"/>
    <w:multiLevelType w:val="hybridMultilevel"/>
    <w:tmpl w:val="D6B095CE"/>
    <w:lvl w:ilvl="0" w:tplc="1E3E805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00C65D2"/>
    <w:multiLevelType w:val="hybridMultilevel"/>
    <w:tmpl w:val="39CE0958"/>
    <w:lvl w:ilvl="0" w:tplc="D680A0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0840344"/>
    <w:multiLevelType w:val="hybridMultilevel"/>
    <w:tmpl w:val="FA16CDF8"/>
    <w:lvl w:ilvl="0" w:tplc="A53A316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B53DE"/>
    <w:multiLevelType w:val="hybridMultilevel"/>
    <w:tmpl w:val="6F36D368"/>
    <w:lvl w:ilvl="0" w:tplc="0A56D2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D4469"/>
    <w:multiLevelType w:val="hybridMultilevel"/>
    <w:tmpl w:val="10060584"/>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C6392"/>
    <w:multiLevelType w:val="hybridMultilevel"/>
    <w:tmpl w:val="5A70151C"/>
    <w:lvl w:ilvl="0" w:tplc="34FAC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52035"/>
    <w:multiLevelType w:val="hybridMultilevel"/>
    <w:tmpl w:val="EA205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3E10AF"/>
    <w:multiLevelType w:val="hybridMultilevel"/>
    <w:tmpl w:val="1AAE08DE"/>
    <w:lvl w:ilvl="0" w:tplc="BD5E72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630043"/>
    <w:multiLevelType w:val="hybridMultilevel"/>
    <w:tmpl w:val="7FF68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251619"/>
    <w:multiLevelType w:val="hybridMultilevel"/>
    <w:tmpl w:val="8A5447DA"/>
    <w:lvl w:ilvl="0" w:tplc="2C3C50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6E7861"/>
    <w:multiLevelType w:val="hybridMultilevel"/>
    <w:tmpl w:val="4BB867F2"/>
    <w:lvl w:ilvl="0" w:tplc="4B06950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88F52B7"/>
    <w:multiLevelType w:val="hybridMultilevel"/>
    <w:tmpl w:val="F02C4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016667"/>
    <w:multiLevelType w:val="hybridMultilevel"/>
    <w:tmpl w:val="6D2A5562"/>
    <w:lvl w:ilvl="0" w:tplc="56405E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135A1D"/>
    <w:multiLevelType w:val="hybridMultilevel"/>
    <w:tmpl w:val="1EF2915A"/>
    <w:lvl w:ilvl="0" w:tplc="BD5E7226">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6A3E06"/>
    <w:multiLevelType w:val="hybridMultilevel"/>
    <w:tmpl w:val="1132F0CC"/>
    <w:lvl w:ilvl="0" w:tplc="A2980F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5B67BFF"/>
    <w:multiLevelType w:val="hybridMultilevel"/>
    <w:tmpl w:val="D062F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612136"/>
    <w:multiLevelType w:val="hybridMultilevel"/>
    <w:tmpl w:val="8158A88A"/>
    <w:lvl w:ilvl="0" w:tplc="A53A316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CA4E1D"/>
    <w:multiLevelType w:val="hybridMultilevel"/>
    <w:tmpl w:val="56E0682E"/>
    <w:lvl w:ilvl="0" w:tplc="7A86FF1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E14015A"/>
    <w:multiLevelType w:val="hybridMultilevel"/>
    <w:tmpl w:val="11ECDBB0"/>
    <w:lvl w:ilvl="0" w:tplc="DEBED3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EA65CA6"/>
    <w:multiLevelType w:val="hybridMultilevel"/>
    <w:tmpl w:val="62389B22"/>
    <w:lvl w:ilvl="0" w:tplc="BD5E72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C85F85"/>
    <w:multiLevelType w:val="hybridMultilevel"/>
    <w:tmpl w:val="B1A0EFBC"/>
    <w:lvl w:ilvl="0" w:tplc="ACC2126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EDE3911"/>
    <w:multiLevelType w:val="hybridMultilevel"/>
    <w:tmpl w:val="6DDC2CB4"/>
    <w:lvl w:ilvl="0" w:tplc="38068E60">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8142B2"/>
    <w:multiLevelType w:val="hybridMultilevel"/>
    <w:tmpl w:val="F12A9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F52C29"/>
    <w:multiLevelType w:val="hybridMultilevel"/>
    <w:tmpl w:val="29D2D182"/>
    <w:lvl w:ilvl="0" w:tplc="56405E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8D723F"/>
    <w:multiLevelType w:val="hybridMultilevel"/>
    <w:tmpl w:val="C504C732"/>
    <w:lvl w:ilvl="0" w:tplc="FA32083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3828D8"/>
    <w:multiLevelType w:val="hybridMultilevel"/>
    <w:tmpl w:val="9B1E4314"/>
    <w:lvl w:ilvl="0" w:tplc="D74C1B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2053D1"/>
    <w:multiLevelType w:val="multilevel"/>
    <w:tmpl w:val="8EE2F7C8"/>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2" w15:restartNumberingAfterBreak="0">
    <w:nsid w:val="77C6474A"/>
    <w:multiLevelType w:val="hybridMultilevel"/>
    <w:tmpl w:val="4EAC8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AF022A"/>
    <w:multiLevelType w:val="hybridMultilevel"/>
    <w:tmpl w:val="6B60DF48"/>
    <w:lvl w:ilvl="0" w:tplc="BD5E72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3"/>
  </w:num>
  <w:num w:numId="3">
    <w:abstractNumId w:val="9"/>
  </w:num>
  <w:num w:numId="4">
    <w:abstractNumId w:val="24"/>
  </w:num>
  <w:num w:numId="5">
    <w:abstractNumId w:val="10"/>
  </w:num>
  <w:num w:numId="6">
    <w:abstractNumId w:val="13"/>
  </w:num>
  <w:num w:numId="7">
    <w:abstractNumId w:val="29"/>
  </w:num>
  <w:num w:numId="8">
    <w:abstractNumId w:val="7"/>
  </w:num>
  <w:num w:numId="9">
    <w:abstractNumId w:val="21"/>
  </w:num>
  <w:num w:numId="10">
    <w:abstractNumId w:val="0"/>
  </w:num>
  <w:num w:numId="11">
    <w:abstractNumId w:val="42"/>
  </w:num>
  <w:num w:numId="12">
    <w:abstractNumId w:val="3"/>
  </w:num>
  <w:num w:numId="13">
    <w:abstractNumId w:val="19"/>
  </w:num>
  <w:num w:numId="14">
    <w:abstractNumId w:val="30"/>
  </w:num>
  <w:num w:numId="15">
    <w:abstractNumId w:val="12"/>
  </w:num>
  <w:num w:numId="16">
    <w:abstractNumId w:val="6"/>
  </w:num>
  <w:num w:numId="17">
    <w:abstractNumId w:val="5"/>
  </w:num>
  <w:num w:numId="18">
    <w:abstractNumId w:val="20"/>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28"/>
  </w:num>
  <w:num w:numId="22">
    <w:abstractNumId w:val="40"/>
  </w:num>
  <w:num w:numId="23">
    <w:abstractNumId w:val="38"/>
  </w:num>
  <w:num w:numId="24">
    <w:abstractNumId w:val="31"/>
  </w:num>
  <w:num w:numId="25">
    <w:abstractNumId w:val="17"/>
  </w:num>
  <w:num w:numId="26">
    <w:abstractNumId w:val="1"/>
  </w:num>
  <w:num w:numId="27">
    <w:abstractNumId w:val="2"/>
  </w:num>
  <w:num w:numId="28">
    <w:abstractNumId w:val="43"/>
  </w:num>
  <w:num w:numId="29">
    <w:abstractNumId w:val="22"/>
  </w:num>
  <w:num w:numId="30">
    <w:abstractNumId w:val="26"/>
  </w:num>
  <w:num w:numId="31">
    <w:abstractNumId w:val="34"/>
  </w:num>
  <w:num w:numId="32">
    <w:abstractNumId w:val="23"/>
  </w:num>
  <w:num w:numId="33">
    <w:abstractNumId w:val="16"/>
  </w:num>
  <w:num w:numId="34">
    <w:abstractNumId w:val="8"/>
  </w:num>
  <w:num w:numId="35">
    <w:abstractNumId w:val="11"/>
  </w:num>
  <w:num w:numId="36">
    <w:abstractNumId w:val="36"/>
  </w:num>
  <w:num w:numId="37">
    <w:abstractNumId w:val="27"/>
  </w:num>
  <w:num w:numId="38">
    <w:abstractNumId w:val="18"/>
  </w:num>
  <w:num w:numId="39">
    <w:abstractNumId w:val="37"/>
  </w:num>
  <w:num w:numId="40">
    <w:abstractNumId w:val="14"/>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1C"/>
    <w:rsid w:val="00007726"/>
    <w:rsid w:val="00024472"/>
    <w:rsid w:val="00041EFA"/>
    <w:rsid w:val="00046F89"/>
    <w:rsid w:val="00050DA6"/>
    <w:rsid w:val="0005240A"/>
    <w:rsid w:val="00060D44"/>
    <w:rsid w:val="0006277B"/>
    <w:rsid w:val="000642E9"/>
    <w:rsid w:val="0006437B"/>
    <w:rsid w:val="00073AEB"/>
    <w:rsid w:val="00082A9A"/>
    <w:rsid w:val="000948DA"/>
    <w:rsid w:val="00096B3C"/>
    <w:rsid w:val="000A5FAD"/>
    <w:rsid w:val="000B020C"/>
    <w:rsid w:val="000B5652"/>
    <w:rsid w:val="000B76C8"/>
    <w:rsid w:val="000C3450"/>
    <w:rsid w:val="000C7304"/>
    <w:rsid w:val="000D0802"/>
    <w:rsid w:val="000D3A86"/>
    <w:rsid w:val="000E4FED"/>
    <w:rsid w:val="000E6068"/>
    <w:rsid w:val="000F5787"/>
    <w:rsid w:val="001026A2"/>
    <w:rsid w:val="00113FF9"/>
    <w:rsid w:val="001150FB"/>
    <w:rsid w:val="00117F5D"/>
    <w:rsid w:val="00120299"/>
    <w:rsid w:val="001227E2"/>
    <w:rsid w:val="00135296"/>
    <w:rsid w:val="001371DB"/>
    <w:rsid w:val="00137204"/>
    <w:rsid w:val="0014781C"/>
    <w:rsid w:val="0015619A"/>
    <w:rsid w:val="00157BDE"/>
    <w:rsid w:val="001616CF"/>
    <w:rsid w:val="00161760"/>
    <w:rsid w:val="00167102"/>
    <w:rsid w:val="00167254"/>
    <w:rsid w:val="00173E36"/>
    <w:rsid w:val="00175094"/>
    <w:rsid w:val="001766A8"/>
    <w:rsid w:val="001A0038"/>
    <w:rsid w:val="001A0B17"/>
    <w:rsid w:val="001A301C"/>
    <w:rsid w:val="001A5453"/>
    <w:rsid w:val="001C238B"/>
    <w:rsid w:val="001C2944"/>
    <w:rsid w:val="001C4DA2"/>
    <w:rsid w:val="001D3F5A"/>
    <w:rsid w:val="001D4071"/>
    <w:rsid w:val="001F0B7F"/>
    <w:rsid w:val="001F6680"/>
    <w:rsid w:val="001F6F53"/>
    <w:rsid w:val="0020367D"/>
    <w:rsid w:val="00203EFF"/>
    <w:rsid w:val="002053E1"/>
    <w:rsid w:val="00222BFF"/>
    <w:rsid w:val="00230F5E"/>
    <w:rsid w:val="00233DFF"/>
    <w:rsid w:val="00242E17"/>
    <w:rsid w:val="00246385"/>
    <w:rsid w:val="00247712"/>
    <w:rsid w:val="00252C97"/>
    <w:rsid w:val="00254831"/>
    <w:rsid w:val="00254AAC"/>
    <w:rsid w:val="00260C32"/>
    <w:rsid w:val="00264F92"/>
    <w:rsid w:val="00266C8D"/>
    <w:rsid w:val="002672C5"/>
    <w:rsid w:val="00276061"/>
    <w:rsid w:val="00280D4F"/>
    <w:rsid w:val="002814E7"/>
    <w:rsid w:val="002911C2"/>
    <w:rsid w:val="00295F99"/>
    <w:rsid w:val="00296688"/>
    <w:rsid w:val="002A0652"/>
    <w:rsid w:val="002A486F"/>
    <w:rsid w:val="002B018B"/>
    <w:rsid w:val="002C3D15"/>
    <w:rsid w:val="002C4C03"/>
    <w:rsid w:val="002C53E0"/>
    <w:rsid w:val="002D2096"/>
    <w:rsid w:val="002E66F5"/>
    <w:rsid w:val="002F0725"/>
    <w:rsid w:val="002F7387"/>
    <w:rsid w:val="00302740"/>
    <w:rsid w:val="003116A2"/>
    <w:rsid w:val="00343E80"/>
    <w:rsid w:val="00343FF2"/>
    <w:rsid w:val="003611A4"/>
    <w:rsid w:val="0036721E"/>
    <w:rsid w:val="00372C82"/>
    <w:rsid w:val="00384667"/>
    <w:rsid w:val="003924D5"/>
    <w:rsid w:val="003A2CDB"/>
    <w:rsid w:val="003B34D6"/>
    <w:rsid w:val="003B48C0"/>
    <w:rsid w:val="003B6EDA"/>
    <w:rsid w:val="003B744C"/>
    <w:rsid w:val="003C6B48"/>
    <w:rsid w:val="003D4358"/>
    <w:rsid w:val="003D4D77"/>
    <w:rsid w:val="003D4DFD"/>
    <w:rsid w:val="003E11FA"/>
    <w:rsid w:val="003E7243"/>
    <w:rsid w:val="003F3602"/>
    <w:rsid w:val="003F5EDF"/>
    <w:rsid w:val="004050EF"/>
    <w:rsid w:val="004144C5"/>
    <w:rsid w:val="00414A52"/>
    <w:rsid w:val="00423FBF"/>
    <w:rsid w:val="00426DF9"/>
    <w:rsid w:val="004557E5"/>
    <w:rsid w:val="00463F86"/>
    <w:rsid w:val="00476280"/>
    <w:rsid w:val="004812E0"/>
    <w:rsid w:val="00495E2F"/>
    <w:rsid w:val="004A133A"/>
    <w:rsid w:val="004A1341"/>
    <w:rsid w:val="004B6E1E"/>
    <w:rsid w:val="004B7B33"/>
    <w:rsid w:val="004C0D00"/>
    <w:rsid w:val="004C28E2"/>
    <w:rsid w:val="004E00B6"/>
    <w:rsid w:val="004E47AC"/>
    <w:rsid w:val="004E5E1F"/>
    <w:rsid w:val="004E6478"/>
    <w:rsid w:val="004F1612"/>
    <w:rsid w:val="004F3A11"/>
    <w:rsid w:val="004F4680"/>
    <w:rsid w:val="004F5A65"/>
    <w:rsid w:val="004F72CA"/>
    <w:rsid w:val="0050052E"/>
    <w:rsid w:val="0051715A"/>
    <w:rsid w:val="0052209D"/>
    <w:rsid w:val="0053108F"/>
    <w:rsid w:val="0053461D"/>
    <w:rsid w:val="005359BF"/>
    <w:rsid w:val="00540321"/>
    <w:rsid w:val="005425FE"/>
    <w:rsid w:val="0055294E"/>
    <w:rsid w:val="00554628"/>
    <w:rsid w:val="005551EB"/>
    <w:rsid w:val="00555CC7"/>
    <w:rsid w:val="00561126"/>
    <w:rsid w:val="00566D02"/>
    <w:rsid w:val="005714A2"/>
    <w:rsid w:val="00572D0C"/>
    <w:rsid w:val="00573F72"/>
    <w:rsid w:val="0057541F"/>
    <w:rsid w:val="00576E6F"/>
    <w:rsid w:val="005A25C5"/>
    <w:rsid w:val="005A5A89"/>
    <w:rsid w:val="005B1FF7"/>
    <w:rsid w:val="005B2DBA"/>
    <w:rsid w:val="005B419C"/>
    <w:rsid w:val="005B65A8"/>
    <w:rsid w:val="005C5784"/>
    <w:rsid w:val="005C6D09"/>
    <w:rsid w:val="005D2A20"/>
    <w:rsid w:val="005D4153"/>
    <w:rsid w:val="005D6D47"/>
    <w:rsid w:val="005E2871"/>
    <w:rsid w:val="005E3428"/>
    <w:rsid w:val="005F0191"/>
    <w:rsid w:val="005F213D"/>
    <w:rsid w:val="005F77A7"/>
    <w:rsid w:val="00604B33"/>
    <w:rsid w:val="00606193"/>
    <w:rsid w:val="006146F2"/>
    <w:rsid w:val="006169E6"/>
    <w:rsid w:val="0061759A"/>
    <w:rsid w:val="006201B7"/>
    <w:rsid w:val="0063777D"/>
    <w:rsid w:val="00645DEE"/>
    <w:rsid w:val="00666CD0"/>
    <w:rsid w:val="006714EA"/>
    <w:rsid w:val="00680841"/>
    <w:rsid w:val="00684C65"/>
    <w:rsid w:val="006867F7"/>
    <w:rsid w:val="00692BBB"/>
    <w:rsid w:val="00693E32"/>
    <w:rsid w:val="006A37A2"/>
    <w:rsid w:val="006A65CD"/>
    <w:rsid w:val="006B01AC"/>
    <w:rsid w:val="006C233B"/>
    <w:rsid w:val="006C2B8E"/>
    <w:rsid w:val="006C45BD"/>
    <w:rsid w:val="006C5824"/>
    <w:rsid w:val="006D511D"/>
    <w:rsid w:val="006E2000"/>
    <w:rsid w:val="006E4C76"/>
    <w:rsid w:val="00701E50"/>
    <w:rsid w:val="00705CF6"/>
    <w:rsid w:val="0070746A"/>
    <w:rsid w:val="00707C2D"/>
    <w:rsid w:val="00710F62"/>
    <w:rsid w:val="00712E6D"/>
    <w:rsid w:val="00724ABE"/>
    <w:rsid w:val="007357EA"/>
    <w:rsid w:val="007452FE"/>
    <w:rsid w:val="00746136"/>
    <w:rsid w:val="00777E07"/>
    <w:rsid w:val="00785798"/>
    <w:rsid w:val="00792A5C"/>
    <w:rsid w:val="007A154C"/>
    <w:rsid w:val="007A2215"/>
    <w:rsid w:val="007B219B"/>
    <w:rsid w:val="007B5340"/>
    <w:rsid w:val="007C1D97"/>
    <w:rsid w:val="007C30F8"/>
    <w:rsid w:val="007D0618"/>
    <w:rsid w:val="007D25E3"/>
    <w:rsid w:val="007D7875"/>
    <w:rsid w:val="007E5AE1"/>
    <w:rsid w:val="007F3BEF"/>
    <w:rsid w:val="007F7FBD"/>
    <w:rsid w:val="00803E3E"/>
    <w:rsid w:val="008152DE"/>
    <w:rsid w:val="0082276D"/>
    <w:rsid w:val="008227C3"/>
    <w:rsid w:val="00835B47"/>
    <w:rsid w:val="008374A6"/>
    <w:rsid w:val="0084010B"/>
    <w:rsid w:val="00841BBD"/>
    <w:rsid w:val="008429E4"/>
    <w:rsid w:val="008450FD"/>
    <w:rsid w:val="00855FF2"/>
    <w:rsid w:val="0085799A"/>
    <w:rsid w:val="00870E5F"/>
    <w:rsid w:val="0087349B"/>
    <w:rsid w:val="00886A2C"/>
    <w:rsid w:val="00886A5A"/>
    <w:rsid w:val="00893418"/>
    <w:rsid w:val="008A105C"/>
    <w:rsid w:val="008A3A31"/>
    <w:rsid w:val="008A777B"/>
    <w:rsid w:val="008B0B92"/>
    <w:rsid w:val="008B6922"/>
    <w:rsid w:val="008B702B"/>
    <w:rsid w:val="008C1CEC"/>
    <w:rsid w:val="008D2485"/>
    <w:rsid w:val="008D7B15"/>
    <w:rsid w:val="008E3135"/>
    <w:rsid w:val="008E4500"/>
    <w:rsid w:val="008F235F"/>
    <w:rsid w:val="008F2B81"/>
    <w:rsid w:val="008F2C25"/>
    <w:rsid w:val="008F7155"/>
    <w:rsid w:val="00910117"/>
    <w:rsid w:val="00910A6D"/>
    <w:rsid w:val="00922160"/>
    <w:rsid w:val="009237FB"/>
    <w:rsid w:val="00923BE9"/>
    <w:rsid w:val="00923E3C"/>
    <w:rsid w:val="0092739F"/>
    <w:rsid w:val="009327A7"/>
    <w:rsid w:val="00940359"/>
    <w:rsid w:val="0094164B"/>
    <w:rsid w:val="009419F0"/>
    <w:rsid w:val="009472E7"/>
    <w:rsid w:val="00956700"/>
    <w:rsid w:val="00967D61"/>
    <w:rsid w:val="009753B8"/>
    <w:rsid w:val="009831FC"/>
    <w:rsid w:val="0099069A"/>
    <w:rsid w:val="0099245E"/>
    <w:rsid w:val="009950EC"/>
    <w:rsid w:val="009A6A6E"/>
    <w:rsid w:val="009B6B4A"/>
    <w:rsid w:val="009C2340"/>
    <w:rsid w:val="009C38AA"/>
    <w:rsid w:val="009D151B"/>
    <w:rsid w:val="009D6246"/>
    <w:rsid w:val="009E1B67"/>
    <w:rsid w:val="009E6049"/>
    <w:rsid w:val="009E73BD"/>
    <w:rsid w:val="00A11DC6"/>
    <w:rsid w:val="00A14B6C"/>
    <w:rsid w:val="00A15DD6"/>
    <w:rsid w:val="00A16FAE"/>
    <w:rsid w:val="00A21062"/>
    <w:rsid w:val="00A30A93"/>
    <w:rsid w:val="00A32923"/>
    <w:rsid w:val="00A41AD4"/>
    <w:rsid w:val="00A427FF"/>
    <w:rsid w:val="00A53FDB"/>
    <w:rsid w:val="00A60E9C"/>
    <w:rsid w:val="00A612B7"/>
    <w:rsid w:val="00A62D44"/>
    <w:rsid w:val="00A64B1C"/>
    <w:rsid w:val="00A8216B"/>
    <w:rsid w:val="00A91B70"/>
    <w:rsid w:val="00A91C1F"/>
    <w:rsid w:val="00AA492E"/>
    <w:rsid w:val="00AA7A63"/>
    <w:rsid w:val="00AB0A04"/>
    <w:rsid w:val="00AB4979"/>
    <w:rsid w:val="00AC21CD"/>
    <w:rsid w:val="00AD41D0"/>
    <w:rsid w:val="00AE03A5"/>
    <w:rsid w:val="00AE3343"/>
    <w:rsid w:val="00AE6A09"/>
    <w:rsid w:val="00AF260E"/>
    <w:rsid w:val="00B020E9"/>
    <w:rsid w:val="00B06325"/>
    <w:rsid w:val="00B06398"/>
    <w:rsid w:val="00B25FE0"/>
    <w:rsid w:val="00B26532"/>
    <w:rsid w:val="00B3180B"/>
    <w:rsid w:val="00B33CAE"/>
    <w:rsid w:val="00B433F5"/>
    <w:rsid w:val="00B6677D"/>
    <w:rsid w:val="00B679C4"/>
    <w:rsid w:val="00B71417"/>
    <w:rsid w:val="00B85274"/>
    <w:rsid w:val="00B85AC8"/>
    <w:rsid w:val="00B95988"/>
    <w:rsid w:val="00BA35E0"/>
    <w:rsid w:val="00BC71A3"/>
    <w:rsid w:val="00BD32BD"/>
    <w:rsid w:val="00BE5F44"/>
    <w:rsid w:val="00BF0AA0"/>
    <w:rsid w:val="00BF6CAF"/>
    <w:rsid w:val="00C037A5"/>
    <w:rsid w:val="00C07EB6"/>
    <w:rsid w:val="00C11315"/>
    <w:rsid w:val="00C1761F"/>
    <w:rsid w:val="00C27834"/>
    <w:rsid w:val="00C34EB4"/>
    <w:rsid w:val="00C3665E"/>
    <w:rsid w:val="00C546EB"/>
    <w:rsid w:val="00C55696"/>
    <w:rsid w:val="00C63DBB"/>
    <w:rsid w:val="00C65CF2"/>
    <w:rsid w:val="00C664A7"/>
    <w:rsid w:val="00C702FB"/>
    <w:rsid w:val="00C70FC0"/>
    <w:rsid w:val="00C80498"/>
    <w:rsid w:val="00C82F42"/>
    <w:rsid w:val="00C8759D"/>
    <w:rsid w:val="00CA6A91"/>
    <w:rsid w:val="00CB1726"/>
    <w:rsid w:val="00CB4C3E"/>
    <w:rsid w:val="00CB77BB"/>
    <w:rsid w:val="00CC729D"/>
    <w:rsid w:val="00CD67DB"/>
    <w:rsid w:val="00D010C0"/>
    <w:rsid w:val="00D0502E"/>
    <w:rsid w:val="00D07034"/>
    <w:rsid w:val="00D07A3E"/>
    <w:rsid w:val="00D2102D"/>
    <w:rsid w:val="00D216C1"/>
    <w:rsid w:val="00D23797"/>
    <w:rsid w:val="00D24008"/>
    <w:rsid w:val="00D30AB8"/>
    <w:rsid w:val="00D422F5"/>
    <w:rsid w:val="00D4256D"/>
    <w:rsid w:val="00D443D6"/>
    <w:rsid w:val="00D45226"/>
    <w:rsid w:val="00D45278"/>
    <w:rsid w:val="00D5579F"/>
    <w:rsid w:val="00D57086"/>
    <w:rsid w:val="00D60026"/>
    <w:rsid w:val="00D61FC6"/>
    <w:rsid w:val="00D6200A"/>
    <w:rsid w:val="00D627BD"/>
    <w:rsid w:val="00D640E5"/>
    <w:rsid w:val="00D65D8E"/>
    <w:rsid w:val="00D90904"/>
    <w:rsid w:val="00D95EEE"/>
    <w:rsid w:val="00D964D6"/>
    <w:rsid w:val="00D97A57"/>
    <w:rsid w:val="00DA2B04"/>
    <w:rsid w:val="00DA5F38"/>
    <w:rsid w:val="00DA7DC1"/>
    <w:rsid w:val="00DB466B"/>
    <w:rsid w:val="00DC1566"/>
    <w:rsid w:val="00DC2627"/>
    <w:rsid w:val="00E07B12"/>
    <w:rsid w:val="00E12FA1"/>
    <w:rsid w:val="00E204C2"/>
    <w:rsid w:val="00E456A3"/>
    <w:rsid w:val="00E52822"/>
    <w:rsid w:val="00E5617A"/>
    <w:rsid w:val="00E60B22"/>
    <w:rsid w:val="00E613EA"/>
    <w:rsid w:val="00E6300B"/>
    <w:rsid w:val="00E675F1"/>
    <w:rsid w:val="00E71A4D"/>
    <w:rsid w:val="00E7631B"/>
    <w:rsid w:val="00E826FE"/>
    <w:rsid w:val="00E87858"/>
    <w:rsid w:val="00E9401C"/>
    <w:rsid w:val="00E975B3"/>
    <w:rsid w:val="00EA1B85"/>
    <w:rsid w:val="00EB4777"/>
    <w:rsid w:val="00EB77D0"/>
    <w:rsid w:val="00EC2FFA"/>
    <w:rsid w:val="00EC42C5"/>
    <w:rsid w:val="00ED281C"/>
    <w:rsid w:val="00ED3B9E"/>
    <w:rsid w:val="00ED7D0A"/>
    <w:rsid w:val="00EF2B5D"/>
    <w:rsid w:val="00EF2DF5"/>
    <w:rsid w:val="00EF634A"/>
    <w:rsid w:val="00F029E0"/>
    <w:rsid w:val="00F038BB"/>
    <w:rsid w:val="00F04241"/>
    <w:rsid w:val="00F04614"/>
    <w:rsid w:val="00F07B40"/>
    <w:rsid w:val="00F1584C"/>
    <w:rsid w:val="00F21AC8"/>
    <w:rsid w:val="00F40405"/>
    <w:rsid w:val="00F41FDD"/>
    <w:rsid w:val="00F4257B"/>
    <w:rsid w:val="00F47BD6"/>
    <w:rsid w:val="00F60FE1"/>
    <w:rsid w:val="00F6680B"/>
    <w:rsid w:val="00F72D8F"/>
    <w:rsid w:val="00F83BA9"/>
    <w:rsid w:val="00F85A52"/>
    <w:rsid w:val="00F86306"/>
    <w:rsid w:val="00F90A5F"/>
    <w:rsid w:val="00F953D2"/>
    <w:rsid w:val="00F95775"/>
    <w:rsid w:val="00F96F35"/>
    <w:rsid w:val="00FA24D3"/>
    <w:rsid w:val="00FA30ED"/>
    <w:rsid w:val="00FA39A2"/>
    <w:rsid w:val="00FB1074"/>
    <w:rsid w:val="00FC374E"/>
    <w:rsid w:val="00FC6CC2"/>
    <w:rsid w:val="00FD3597"/>
    <w:rsid w:val="00FD39E4"/>
    <w:rsid w:val="00FD3CD1"/>
    <w:rsid w:val="00FE2F6D"/>
    <w:rsid w:val="00FF1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AD81"/>
  <w15:chartTrackingRefBased/>
  <w15:docId w15:val="{57415698-430C-4D98-A6F9-02CE52BE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B1C"/>
    <w:pPr>
      <w:keepNext/>
      <w:keepLines/>
      <w:spacing w:before="400" w:after="40" w:line="240" w:lineRule="auto"/>
      <w:outlineLvl w:val="0"/>
    </w:pPr>
    <w:rPr>
      <w:rFonts w:ascii="Calibri Light" w:eastAsia="Times New Roman" w:hAnsi="Calibri Light" w:cs="Times New Roman"/>
      <w:color w:val="1F4E79"/>
      <w:sz w:val="36"/>
      <w:szCs w:val="36"/>
    </w:rPr>
  </w:style>
  <w:style w:type="paragraph" w:styleId="Heading2">
    <w:name w:val="heading 2"/>
    <w:basedOn w:val="Normal"/>
    <w:next w:val="Normal"/>
    <w:link w:val="Heading2Char"/>
    <w:uiPriority w:val="9"/>
    <w:semiHidden/>
    <w:unhideWhenUsed/>
    <w:qFormat/>
    <w:rsid w:val="00A64B1C"/>
    <w:pPr>
      <w:keepNext/>
      <w:keepLines/>
      <w:spacing w:before="40" w:after="0" w:line="240" w:lineRule="auto"/>
      <w:outlineLvl w:val="1"/>
    </w:pPr>
    <w:rPr>
      <w:rFonts w:ascii="Calibri Light" w:eastAsia="Times New Roman" w:hAnsi="Calibri Light" w:cs="Times New Roman"/>
      <w:color w:val="2E74B5"/>
      <w:sz w:val="32"/>
      <w:szCs w:val="32"/>
    </w:rPr>
  </w:style>
  <w:style w:type="paragraph" w:styleId="Heading3">
    <w:name w:val="heading 3"/>
    <w:basedOn w:val="Normal"/>
    <w:next w:val="Normal"/>
    <w:link w:val="Heading3Char"/>
    <w:uiPriority w:val="9"/>
    <w:unhideWhenUsed/>
    <w:qFormat/>
    <w:rsid w:val="00A64B1C"/>
    <w:pPr>
      <w:keepNext/>
      <w:keepLines/>
      <w:spacing w:before="40" w:after="0" w:line="240" w:lineRule="auto"/>
      <w:outlineLvl w:val="2"/>
    </w:pPr>
    <w:rPr>
      <w:rFonts w:ascii="Calibri Light" w:eastAsia="Times New Roman" w:hAnsi="Calibri Light" w:cs="Times New Roman"/>
      <w:color w:val="2E74B5"/>
      <w:sz w:val="28"/>
      <w:szCs w:val="28"/>
    </w:rPr>
  </w:style>
  <w:style w:type="paragraph" w:styleId="Heading4">
    <w:name w:val="heading 4"/>
    <w:basedOn w:val="Normal"/>
    <w:next w:val="Normal"/>
    <w:link w:val="Heading4Char"/>
    <w:uiPriority w:val="9"/>
    <w:semiHidden/>
    <w:unhideWhenUsed/>
    <w:qFormat/>
    <w:rsid w:val="00A64B1C"/>
    <w:pPr>
      <w:keepNext/>
      <w:keepLines/>
      <w:spacing w:before="40" w:after="0"/>
      <w:outlineLvl w:val="3"/>
    </w:pPr>
    <w:rPr>
      <w:rFonts w:ascii="Calibri Light" w:eastAsia="Times New Roma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A64B1C"/>
    <w:pPr>
      <w:keepNext/>
      <w:keepLines/>
      <w:spacing w:before="40" w:after="0"/>
      <w:outlineLvl w:val="4"/>
    </w:pPr>
    <w:rPr>
      <w:rFonts w:ascii="Calibri Light" w:eastAsia="Times New Roman" w:hAnsi="Calibri Light" w:cs="Times New Roman"/>
      <w:caps/>
      <w:color w:val="2E74B5"/>
    </w:rPr>
  </w:style>
  <w:style w:type="paragraph" w:styleId="Heading6">
    <w:name w:val="heading 6"/>
    <w:basedOn w:val="Normal"/>
    <w:next w:val="Normal"/>
    <w:link w:val="Heading6Char"/>
    <w:uiPriority w:val="9"/>
    <w:semiHidden/>
    <w:unhideWhenUsed/>
    <w:qFormat/>
    <w:rsid w:val="00A64B1C"/>
    <w:pPr>
      <w:keepNext/>
      <w:keepLines/>
      <w:spacing w:before="40" w:after="0"/>
      <w:outlineLvl w:val="5"/>
    </w:pPr>
    <w:rPr>
      <w:rFonts w:ascii="Calibri Light" w:eastAsia="Times New Roman" w:hAnsi="Calibri Light" w:cs="Times New Roman"/>
      <w:i/>
      <w:iCs/>
      <w:caps/>
      <w:color w:val="1F4E79"/>
    </w:rPr>
  </w:style>
  <w:style w:type="paragraph" w:styleId="Heading7">
    <w:name w:val="heading 7"/>
    <w:basedOn w:val="Normal"/>
    <w:next w:val="Normal"/>
    <w:link w:val="Heading7Char"/>
    <w:uiPriority w:val="9"/>
    <w:semiHidden/>
    <w:unhideWhenUsed/>
    <w:qFormat/>
    <w:rsid w:val="00A64B1C"/>
    <w:pPr>
      <w:keepNext/>
      <w:keepLines/>
      <w:spacing w:before="40" w:after="0"/>
      <w:outlineLvl w:val="6"/>
    </w:pPr>
    <w:rPr>
      <w:rFonts w:ascii="Calibri Light" w:eastAsia="Times New Roman" w:hAnsi="Calibri Light" w:cs="Times New Roman"/>
      <w:b/>
      <w:bCs/>
      <w:color w:val="1F4E79"/>
    </w:rPr>
  </w:style>
  <w:style w:type="paragraph" w:styleId="Heading8">
    <w:name w:val="heading 8"/>
    <w:basedOn w:val="Normal"/>
    <w:next w:val="Normal"/>
    <w:link w:val="Heading8Char"/>
    <w:uiPriority w:val="9"/>
    <w:semiHidden/>
    <w:unhideWhenUsed/>
    <w:qFormat/>
    <w:rsid w:val="00A64B1C"/>
    <w:pPr>
      <w:keepNext/>
      <w:keepLines/>
      <w:spacing w:before="40" w:after="0"/>
      <w:outlineLvl w:val="7"/>
    </w:pPr>
    <w:rPr>
      <w:rFonts w:ascii="Calibri Light" w:eastAsia="Times New Roman" w:hAnsi="Calibri Light" w:cs="Times New Roman"/>
      <w:b/>
      <w:bCs/>
      <w:i/>
      <w:iCs/>
      <w:color w:val="1F4E79"/>
    </w:rPr>
  </w:style>
  <w:style w:type="paragraph" w:styleId="Heading9">
    <w:name w:val="heading 9"/>
    <w:basedOn w:val="Normal"/>
    <w:next w:val="Normal"/>
    <w:link w:val="Heading9Char"/>
    <w:uiPriority w:val="9"/>
    <w:semiHidden/>
    <w:unhideWhenUsed/>
    <w:qFormat/>
    <w:rsid w:val="00A64B1C"/>
    <w:pPr>
      <w:keepNext/>
      <w:keepLines/>
      <w:spacing w:before="40" w:after="0"/>
      <w:outlineLvl w:val="8"/>
    </w:pPr>
    <w:rPr>
      <w:rFonts w:ascii="Calibri Light" w:eastAsia="Times New Roma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1C"/>
    <w:rPr>
      <w:rFonts w:ascii="Calibri Light" w:eastAsia="Times New Roman" w:hAnsi="Calibri Light" w:cs="Times New Roman"/>
      <w:color w:val="1F4E79"/>
      <w:sz w:val="36"/>
      <w:szCs w:val="36"/>
    </w:rPr>
  </w:style>
  <w:style w:type="character" w:customStyle="1" w:styleId="Heading2Char">
    <w:name w:val="Heading 2 Char"/>
    <w:basedOn w:val="DefaultParagraphFont"/>
    <w:link w:val="Heading2"/>
    <w:uiPriority w:val="9"/>
    <w:semiHidden/>
    <w:rsid w:val="00A64B1C"/>
    <w:rPr>
      <w:rFonts w:ascii="Calibri Light" w:eastAsia="Times New Roman" w:hAnsi="Calibri Light" w:cs="Times New Roman"/>
      <w:color w:val="2E74B5"/>
      <w:sz w:val="32"/>
      <w:szCs w:val="32"/>
    </w:rPr>
  </w:style>
  <w:style w:type="character" w:customStyle="1" w:styleId="Heading3Char">
    <w:name w:val="Heading 3 Char"/>
    <w:basedOn w:val="DefaultParagraphFont"/>
    <w:link w:val="Heading3"/>
    <w:uiPriority w:val="9"/>
    <w:rsid w:val="00A64B1C"/>
    <w:rPr>
      <w:rFonts w:ascii="Calibri Light" w:eastAsia="Times New Roman" w:hAnsi="Calibri Light" w:cs="Times New Roman"/>
      <w:color w:val="2E74B5"/>
      <w:sz w:val="28"/>
      <w:szCs w:val="28"/>
    </w:rPr>
  </w:style>
  <w:style w:type="character" w:customStyle="1" w:styleId="Heading4Char">
    <w:name w:val="Heading 4 Char"/>
    <w:basedOn w:val="DefaultParagraphFont"/>
    <w:link w:val="Heading4"/>
    <w:uiPriority w:val="9"/>
    <w:semiHidden/>
    <w:rsid w:val="00A64B1C"/>
    <w:rPr>
      <w:rFonts w:ascii="Calibri Light" w:eastAsia="Times New Roman" w:hAnsi="Calibri Light" w:cs="Times New Roman"/>
      <w:color w:val="2E74B5"/>
      <w:sz w:val="24"/>
      <w:szCs w:val="24"/>
    </w:rPr>
  </w:style>
  <w:style w:type="character" w:customStyle="1" w:styleId="Heading5Char">
    <w:name w:val="Heading 5 Char"/>
    <w:basedOn w:val="DefaultParagraphFont"/>
    <w:link w:val="Heading5"/>
    <w:uiPriority w:val="9"/>
    <w:semiHidden/>
    <w:rsid w:val="00A64B1C"/>
    <w:rPr>
      <w:rFonts w:ascii="Calibri Light" w:eastAsia="Times New Roman" w:hAnsi="Calibri Light" w:cs="Times New Roman"/>
      <w:caps/>
      <w:color w:val="2E74B5"/>
    </w:rPr>
  </w:style>
  <w:style w:type="character" w:customStyle="1" w:styleId="Heading6Char">
    <w:name w:val="Heading 6 Char"/>
    <w:basedOn w:val="DefaultParagraphFont"/>
    <w:link w:val="Heading6"/>
    <w:uiPriority w:val="9"/>
    <w:semiHidden/>
    <w:rsid w:val="00A64B1C"/>
    <w:rPr>
      <w:rFonts w:ascii="Calibri Light" w:eastAsia="Times New Roman" w:hAnsi="Calibri Light" w:cs="Times New Roman"/>
      <w:i/>
      <w:iCs/>
      <w:caps/>
      <w:color w:val="1F4E79"/>
    </w:rPr>
  </w:style>
  <w:style w:type="character" w:customStyle="1" w:styleId="Heading7Char">
    <w:name w:val="Heading 7 Char"/>
    <w:basedOn w:val="DefaultParagraphFont"/>
    <w:link w:val="Heading7"/>
    <w:uiPriority w:val="9"/>
    <w:semiHidden/>
    <w:rsid w:val="00A64B1C"/>
    <w:rPr>
      <w:rFonts w:ascii="Calibri Light" w:eastAsia="Times New Roman" w:hAnsi="Calibri Light" w:cs="Times New Roman"/>
      <w:b/>
      <w:bCs/>
      <w:color w:val="1F4E79"/>
    </w:rPr>
  </w:style>
  <w:style w:type="character" w:customStyle="1" w:styleId="Heading8Char">
    <w:name w:val="Heading 8 Char"/>
    <w:basedOn w:val="DefaultParagraphFont"/>
    <w:link w:val="Heading8"/>
    <w:uiPriority w:val="9"/>
    <w:semiHidden/>
    <w:rsid w:val="00A64B1C"/>
    <w:rPr>
      <w:rFonts w:ascii="Calibri Light" w:eastAsia="Times New Roman" w:hAnsi="Calibri Light" w:cs="Times New Roman"/>
      <w:b/>
      <w:bCs/>
      <w:i/>
      <w:iCs/>
      <w:color w:val="1F4E79"/>
    </w:rPr>
  </w:style>
  <w:style w:type="character" w:customStyle="1" w:styleId="Heading9Char">
    <w:name w:val="Heading 9 Char"/>
    <w:basedOn w:val="DefaultParagraphFont"/>
    <w:link w:val="Heading9"/>
    <w:uiPriority w:val="9"/>
    <w:semiHidden/>
    <w:rsid w:val="00A64B1C"/>
    <w:rPr>
      <w:rFonts w:ascii="Calibri Light" w:eastAsia="Times New Roman" w:hAnsi="Calibri Light" w:cs="Times New Roman"/>
      <w:i/>
      <w:iCs/>
      <w:color w:val="1F4E79"/>
    </w:rPr>
  </w:style>
  <w:style w:type="paragraph" w:styleId="Header">
    <w:name w:val="header"/>
    <w:basedOn w:val="Normal"/>
    <w:link w:val="HeaderChar"/>
    <w:uiPriority w:val="99"/>
    <w:unhideWhenUsed/>
    <w:rsid w:val="00A64B1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64B1C"/>
    <w:rPr>
      <w:rFonts w:ascii="Calibri" w:eastAsia="Calibri" w:hAnsi="Calibri" w:cs="Times New Roman"/>
    </w:rPr>
  </w:style>
  <w:style w:type="paragraph" w:styleId="Footer">
    <w:name w:val="footer"/>
    <w:basedOn w:val="Normal"/>
    <w:link w:val="FooterChar"/>
    <w:uiPriority w:val="99"/>
    <w:unhideWhenUsed/>
    <w:rsid w:val="00A64B1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64B1C"/>
    <w:rPr>
      <w:rFonts w:ascii="Calibri" w:eastAsia="Calibri" w:hAnsi="Calibri" w:cs="Times New Roman"/>
    </w:rPr>
  </w:style>
  <w:style w:type="paragraph" w:styleId="ListParagraph">
    <w:name w:val="List Paragraph"/>
    <w:basedOn w:val="Normal"/>
    <w:uiPriority w:val="34"/>
    <w:qFormat/>
    <w:rsid w:val="00A64B1C"/>
    <w:pPr>
      <w:ind w:left="720"/>
      <w:contextualSpacing/>
    </w:pPr>
    <w:rPr>
      <w:rFonts w:ascii="Calibri" w:eastAsia="Calibri" w:hAnsi="Calibri" w:cs="Times New Roman"/>
    </w:rPr>
  </w:style>
  <w:style w:type="character" w:styleId="CommentReference">
    <w:name w:val="annotation reference"/>
    <w:uiPriority w:val="99"/>
    <w:semiHidden/>
    <w:unhideWhenUsed/>
    <w:rsid w:val="00A64B1C"/>
    <w:rPr>
      <w:sz w:val="18"/>
      <w:szCs w:val="18"/>
    </w:rPr>
  </w:style>
  <w:style w:type="paragraph" w:styleId="CommentText">
    <w:name w:val="annotation text"/>
    <w:basedOn w:val="Normal"/>
    <w:link w:val="CommentTextChar"/>
    <w:uiPriority w:val="99"/>
    <w:unhideWhenUsed/>
    <w:rsid w:val="00A64B1C"/>
    <w:pPr>
      <w:spacing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A64B1C"/>
    <w:rPr>
      <w:rFonts w:ascii="Calibri" w:eastAsia="Calibri" w:hAnsi="Calibri" w:cs="Times New Roman"/>
      <w:sz w:val="24"/>
      <w:szCs w:val="24"/>
    </w:rPr>
  </w:style>
  <w:style w:type="character" w:customStyle="1" w:styleId="CommentSubjectChar">
    <w:name w:val="Comment Subject Char"/>
    <w:basedOn w:val="CommentTextChar"/>
    <w:link w:val="CommentSubject"/>
    <w:uiPriority w:val="99"/>
    <w:semiHidden/>
    <w:rsid w:val="00A64B1C"/>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A64B1C"/>
    <w:rPr>
      <w:b/>
      <w:bCs/>
      <w:sz w:val="20"/>
      <w:szCs w:val="20"/>
    </w:rPr>
  </w:style>
  <w:style w:type="character" w:customStyle="1" w:styleId="BalloonTextChar">
    <w:name w:val="Balloon Text Char"/>
    <w:basedOn w:val="DefaultParagraphFont"/>
    <w:link w:val="BalloonText"/>
    <w:uiPriority w:val="99"/>
    <w:semiHidden/>
    <w:rsid w:val="00A64B1C"/>
    <w:rPr>
      <w:rFonts w:ascii="Times New Roman" w:eastAsia="Calibri" w:hAnsi="Times New Roman" w:cs="Times New Roman"/>
      <w:sz w:val="18"/>
      <w:szCs w:val="18"/>
    </w:rPr>
  </w:style>
  <w:style w:type="paragraph" w:styleId="BalloonText">
    <w:name w:val="Balloon Text"/>
    <w:basedOn w:val="Normal"/>
    <w:link w:val="BalloonTextChar"/>
    <w:uiPriority w:val="99"/>
    <w:semiHidden/>
    <w:unhideWhenUsed/>
    <w:rsid w:val="00A64B1C"/>
    <w:pPr>
      <w:spacing w:after="0" w:line="240" w:lineRule="auto"/>
    </w:pPr>
    <w:rPr>
      <w:rFonts w:ascii="Times New Roman" w:eastAsia="Calibri" w:hAnsi="Times New Roman" w:cs="Times New Roman"/>
      <w:sz w:val="18"/>
      <w:szCs w:val="18"/>
    </w:rPr>
  </w:style>
  <w:style w:type="paragraph" w:styleId="FootnoteText">
    <w:name w:val="footnote text"/>
    <w:basedOn w:val="Normal"/>
    <w:link w:val="FootnoteTextChar"/>
    <w:uiPriority w:val="99"/>
    <w:unhideWhenUsed/>
    <w:rsid w:val="00A64B1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64B1C"/>
    <w:rPr>
      <w:rFonts w:ascii="Calibri" w:eastAsia="Calibri" w:hAnsi="Calibri" w:cs="Times New Roman"/>
      <w:sz w:val="20"/>
      <w:szCs w:val="20"/>
    </w:rPr>
  </w:style>
  <w:style w:type="character" w:styleId="FootnoteReference">
    <w:name w:val="footnote reference"/>
    <w:uiPriority w:val="99"/>
    <w:unhideWhenUsed/>
    <w:rsid w:val="00A64B1C"/>
    <w:rPr>
      <w:vertAlign w:val="superscript"/>
    </w:rPr>
  </w:style>
  <w:style w:type="character" w:styleId="Emphasis">
    <w:name w:val="Emphasis"/>
    <w:uiPriority w:val="20"/>
    <w:qFormat/>
    <w:rsid w:val="00A64B1C"/>
    <w:rPr>
      <w:i/>
      <w:iCs/>
    </w:rPr>
  </w:style>
  <w:style w:type="character" w:styleId="Hyperlink">
    <w:name w:val="Hyperlink"/>
    <w:uiPriority w:val="99"/>
    <w:unhideWhenUsed/>
    <w:rsid w:val="00A64B1C"/>
    <w:rPr>
      <w:color w:val="0563C1"/>
      <w:u w:val="single"/>
    </w:rPr>
  </w:style>
  <w:style w:type="paragraph" w:styleId="NormalWeb">
    <w:name w:val="Normal (Web)"/>
    <w:basedOn w:val="Normal"/>
    <w:uiPriority w:val="99"/>
    <w:unhideWhenUsed/>
    <w:rsid w:val="00A64B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unhideWhenUsed/>
    <w:rsid w:val="00A64B1C"/>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A64B1C"/>
    <w:rPr>
      <w:rFonts w:ascii="Calibri" w:eastAsia="Times New Roman" w:hAnsi="Calibri" w:cs="Times New Roman"/>
      <w:sz w:val="20"/>
      <w:szCs w:val="20"/>
    </w:rPr>
  </w:style>
  <w:style w:type="character" w:styleId="EndnoteReference">
    <w:name w:val="endnote reference"/>
    <w:uiPriority w:val="99"/>
    <w:semiHidden/>
    <w:unhideWhenUsed/>
    <w:rsid w:val="00A64B1C"/>
    <w:rPr>
      <w:vertAlign w:val="superscript"/>
    </w:rPr>
  </w:style>
  <w:style w:type="character" w:customStyle="1" w:styleId="searchterm">
    <w:name w:val="searchterm"/>
    <w:basedOn w:val="DefaultParagraphFont"/>
    <w:rsid w:val="00A64B1C"/>
  </w:style>
  <w:style w:type="paragraph" w:styleId="Title">
    <w:name w:val="Title"/>
    <w:basedOn w:val="Normal"/>
    <w:next w:val="Normal"/>
    <w:link w:val="TitleChar"/>
    <w:uiPriority w:val="10"/>
    <w:qFormat/>
    <w:rsid w:val="00A64B1C"/>
    <w:pPr>
      <w:spacing w:after="0" w:line="204" w:lineRule="auto"/>
      <w:contextualSpacing/>
    </w:pPr>
    <w:rPr>
      <w:rFonts w:ascii="Calibri Light" w:eastAsia="Times New Roman" w:hAnsi="Calibri Light" w:cs="Times New Roman"/>
      <w:caps/>
      <w:color w:val="44546A"/>
      <w:spacing w:val="-15"/>
      <w:sz w:val="72"/>
      <w:szCs w:val="72"/>
    </w:rPr>
  </w:style>
  <w:style w:type="character" w:customStyle="1" w:styleId="TitleChar">
    <w:name w:val="Title Char"/>
    <w:basedOn w:val="DefaultParagraphFont"/>
    <w:link w:val="Title"/>
    <w:uiPriority w:val="10"/>
    <w:rsid w:val="00A64B1C"/>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A64B1C"/>
    <w:pPr>
      <w:numPr>
        <w:ilvl w:val="1"/>
      </w:numPr>
      <w:spacing w:after="240" w:line="240" w:lineRule="auto"/>
    </w:pPr>
    <w:rPr>
      <w:rFonts w:ascii="Calibri Light" w:eastAsia="Times New Roman" w:hAnsi="Calibri Light" w:cs="Times New Roman"/>
      <w:color w:val="5B9BD5"/>
      <w:sz w:val="28"/>
      <w:szCs w:val="28"/>
    </w:rPr>
  </w:style>
  <w:style w:type="character" w:customStyle="1" w:styleId="SubtitleChar">
    <w:name w:val="Subtitle Char"/>
    <w:basedOn w:val="DefaultParagraphFont"/>
    <w:link w:val="Subtitle"/>
    <w:uiPriority w:val="11"/>
    <w:rsid w:val="00A64B1C"/>
    <w:rPr>
      <w:rFonts w:ascii="Calibri Light" w:eastAsia="Times New Roman" w:hAnsi="Calibri Light" w:cs="Times New Roman"/>
      <w:color w:val="5B9BD5"/>
      <w:sz w:val="28"/>
      <w:szCs w:val="28"/>
    </w:rPr>
  </w:style>
  <w:style w:type="character" w:styleId="Strong">
    <w:name w:val="Strong"/>
    <w:uiPriority w:val="22"/>
    <w:qFormat/>
    <w:rsid w:val="00A64B1C"/>
    <w:rPr>
      <w:b/>
      <w:bCs/>
    </w:rPr>
  </w:style>
  <w:style w:type="paragraph" w:styleId="NoSpacing">
    <w:name w:val="No Spacing"/>
    <w:uiPriority w:val="1"/>
    <w:qFormat/>
    <w:rsid w:val="00A64B1C"/>
    <w:pPr>
      <w:spacing w:after="0" w:line="240" w:lineRule="auto"/>
    </w:pPr>
    <w:rPr>
      <w:rFonts w:ascii="Calibri" w:eastAsia="Times New Roman" w:hAnsi="Calibri" w:cs="Times New Roman"/>
    </w:rPr>
  </w:style>
  <w:style w:type="paragraph" w:styleId="Quote">
    <w:name w:val="Quote"/>
    <w:basedOn w:val="Normal"/>
    <w:next w:val="Normal"/>
    <w:link w:val="QuoteChar"/>
    <w:uiPriority w:val="29"/>
    <w:qFormat/>
    <w:rsid w:val="00A64B1C"/>
    <w:pPr>
      <w:spacing w:before="120" w:after="120"/>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rsid w:val="00A64B1C"/>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A64B1C"/>
    <w:pPr>
      <w:spacing w:before="100" w:beforeAutospacing="1" w:after="240" w:line="240" w:lineRule="auto"/>
      <w:ind w:left="720"/>
      <w:jc w:val="center"/>
    </w:pPr>
    <w:rPr>
      <w:rFonts w:ascii="Calibri Light" w:eastAsia="Times New Roman" w:hAnsi="Calibri Light" w:cs="Times New Roman"/>
      <w:color w:val="44546A"/>
      <w:spacing w:val="-6"/>
      <w:sz w:val="32"/>
      <w:szCs w:val="32"/>
    </w:rPr>
  </w:style>
  <w:style w:type="character" w:customStyle="1" w:styleId="IntenseQuoteChar">
    <w:name w:val="Intense Quote Char"/>
    <w:basedOn w:val="DefaultParagraphFont"/>
    <w:link w:val="IntenseQuote"/>
    <w:uiPriority w:val="30"/>
    <w:rsid w:val="00A64B1C"/>
    <w:rPr>
      <w:rFonts w:ascii="Calibri Light" w:eastAsia="Times New Roman" w:hAnsi="Calibri Light" w:cs="Times New Roman"/>
      <w:color w:val="44546A"/>
      <w:spacing w:val="-6"/>
      <w:sz w:val="32"/>
      <w:szCs w:val="32"/>
    </w:rPr>
  </w:style>
  <w:style w:type="character" w:styleId="SubtleEmphasis">
    <w:name w:val="Subtle Emphasis"/>
    <w:uiPriority w:val="19"/>
    <w:qFormat/>
    <w:rsid w:val="00A64B1C"/>
    <w:rPr>
      <w:i/>
      <w:iCs/>
      <w:color w:val="595959"/>
    </w:rPr>
  </w:style>
  <w:style w:type="character" w:styleId="IntenseEmphasis">
    <w:name w:val="Intense Emphasis"/>
    <w:uiPriority w:val="21"/>
    <w:qFormat/>
    <w:rsid w:val="00A64B1C"/>
    <w:rPr>
      <w:b/>
      <w:bCs/>
      <w:i/>
      <w:iCs/>
    </w:rPr>
  </w:style>
  <w:style w:type="character" w:styleId="SubtleReference">
    <w:name w:val="Subtle Reference"/>
    <w:uiPriority w:val="31"/>
    <w:qFormat/>
    <w:rsid w:val="00A64B1C"/>
    <w:rPr>
      <w:smallCaps/>
      <w:color w:val="595959"/>
      <w:u w:val="none" w:color="7F7F7F"/>
      <w:bdr w:val="none" w:sz="0" w:space="0" w:color="auto"/>
    </w:rPr>
  </w:style>
  <w:style w:type="character" w:styleId="IntenseReference">
    <w:name w:val="Intense Reference"/>
    <w:uiPriority w:val="32"/>
    <w:qFormat/>
    <w:rsid w:val="00A64B1C"/>
    <w:rPr>
      <w:b/>
      <w:bCs/>
      <w:smallCaps/>
      <w:color w:val="44546A"/>
      <w:u w:val="single"/>
    </w:rPr>
  </w:style>
  <w:style w:type="character" w:styleId="BookTitle">
    <w:name w:val="Book Title"/>
    <w:uiPriority w:val="33"/>
    <w:qFormat/>
    <w:rsid w:val="00A64B1C"/>
    <w:rPr>
      <w:b/>
      <w:bCs/>
      <w:smallCaps/>
      <w:spacing w:val="10"/>
    </w:rPr>
  </w:style>
  <w:style w:type="paragraph" w:customStyle="1" w:styleId="Normal1">
    <w:name w:val="Normal1"/>
    <w:rsid w:val="00A64B1C"/>
    <w:pPr>
      <w:spacing w:after="0" w:line="240" w:lineRule="auto"/>
    </w:pPr>
    <w:rPr>
      <w:rFonts w:ascii="Garamond" w:eastAsia="Garamond" w:hAnsi="Garamond" w:cs="Garamond"/>
      <w:color w:val="000000"/>
      <w:sz w:val="24"/>
      <w:szCs w:val="24"/>
    </w:rPr>
  </w:style>
  <w:style w:type="character" w:customStyle="1" w:styleId="pagenumber">
    <w:name w:val="pagenumber"/>
    <w:basedOn w:val="DefaultParagraphFont"/>
    <w:rsid w:val="00A64B1C"/>
  </w:style>
  <w:style w:type="character" w:customStyle="1" w:styleId="legds2">
    <w:name w:val="legds2"/>
    <w:rsid w:val="00A64B1C"/>
    <w:rPr>
      <w:vanish w:val="0"/>
      <w:webHidden w:val="0"/>
      <w:specVanish w:val="0"/>
    </w:rPr>
  </w:style>
  <w:style w:type="character" w:customStyle="1" w:styleId="a-size-large1">
    <w:name w:val="a-size-large1"/>
    <w:rsid w:val="00A64B1C"/>
    <w:rPr>
      <w:rFonts w:ascii="Arial" w:hAnsi="Arial" w:cs="Arial" w:hint="default"/>
    </w:rPr>
  </w:style>
  <w:style w:type="character" w:styleId="UnresolvedMention">
    <w:name w:val="Unresolved Mention"/>
    <w:uiPriority w:val="99"/>
    <w:unhideWhenUsed/>
    <w:rsid w:val="00A64B1C"/>
    <w:rPr>
      <w:color w:val="605E5C"/>
      <w:shd w:val="clear" w:color="auto" w:fill="E1DFDD"/>
    </w:rPr>
  </w:style>
  <w:style w:type="paragraph" w:customStyle="1" w:styleId="event">
    <w:name w:val="event"/>
    <w:basedOn w:val="Normal"/>
    <w:rsid w:val="00A64B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64B1C"/>
  </w:style>
  <w:style w:type="character" w:customStyle="1" w:styleId="lucenesearchresulturlb">
    <w:name w:val="lucene_search_result_url_b"/>
    <w:basedOn w:val="DefaultParagraphFont"/>
    <w:rsid w:val="00A64B1C"/>
  </w:style>
  <w:style w:type="paragraph" w:customStyle="1" w:styleId="Normal0">
    <w:name w:val="[Normal]"/>
    <w:uiPriority w:val="99"/>
    <w:rsid w:val="00A64B1C"/>
    <w:pPr>
      <w:widowControl w:val="0"/>
      <w:autoSpaceDE w:val="0"/>
      <w:autoSpaceDN w:val="0"/>
      <w:adjustRightInd w:val="0"/>
      <w:spacing w:after="0" w:line="240" w:lineRule="auto"/>
    </w:pPr>
    <w:rPr>
      <w:rFonts w:ascii="Arial" w:eastAsia="Calibri" w:hAnsi="Arial" w:cs="Arial"/>
      <w:sz w:val="24"/>
      <w:szCs w:val="24"/>
    </w:rPr>
  </w:style>
  <w:style w:type="character" w:customStyle="1" w:styleId="addmd">
    <w:name w:val="addmd"/>
    <w:basedOn w:val="DefaultParagraphFont"/>
    <w:rsid w:val="00A64B1C"/>
  </w:style>
  <w:style w:type="character" w:customStyle="1" w:styleId="ref-lnk">
    <w:name w:val="ref-lnk"/>
    <w:basedOn w:val="DefaultParagraphFont"/>
    <w:rsid w:val="00A64B1C"/>
  </w:style>
  <w:style w:type="character" w:customStyle="1" w:styleId="ref-overlay">
    <w:name w:val="ref-overlay"/>
    <w:basedOn w:val="DefaultParagraphFont"/>
    <w:rsid w:val="00A64B1C"/>
  </w:style>
  <w:style w:type="character" w:customStyle="1" w:styleId="hlfld-contribauthor">
    <w:name w:val="hlfld-contribauthor"/>
    <w:basedOn w:val="DefaultParagraphFont"/>
    <w:rsid w:val="00A64B1C"/>
  </w:style>
  <w:style w:type="character" w:customStyle="1" w:styleId="nlmgiven-names">
    <w:name w:val="nlm_given-names"/>
    <w:basedOn w:val="DefaultParagraphFont"/>
    <w:rsid w:val="00A64B1C"/>
  </w:style>
  <w:style w:type="character" w:customStyle="1" w:styleId="nlmyear">
    <w:name w:val="nlm_year"/>
    <w:basedOn w:val="DefaultParagraphFont"/>
    <w:rsid w:val="00A64B1C"/>
  </w:style>
  <w:style w:type="character" w:customStyle="1" w:styleId="nlmarticle-title">
    <w:name w:val="nlm_article-title"/>
    <w:basedOn w:val="DefaultParagraphFont"/>
    <w:rsid w:val="00A64B1C"/>
  </w:style>
  <w:style w:type="character" w:customStyle="1" w:styleId="nlmfpage">
    <w:name w:val="nlm_fpage"/>
    <w:basedOn w:val="DefaultParagraphFont"/>
    <w:rsid w:val="00A64B1C"/>
  </w:style>
  <w:style w:type="character" w:customStyle="1" w:styleId="nlmlpage">
    <w:name w:val="nlm_lpage"/>
    <w:basedOn w:val="DefaultParagraphFont"/>
    <w:rsid w:val="00A64B1C"/>
  </w:style>
  <w:style w:type="character" w:customStyle="1" w:styleId="nlmpub-id">
    <w:name w:val="nlm_pub-id"/>
    <w:basedOn w:val="DefaultParagraphFont"/>
    <w:rsid w:val="00A64B1C"/>
  </w:style>
  <w:style w:type="character" w:customStyle="1" w:styleId="ref-links">
    <w:name w:val="ref-links"/>
    <w:basedOn w:val="DefaultParagraphFont"/>
    <w:rsid w:val="00A64B1C"/>
  </w:style>
  <w:style w:type="character" w:customStyle="1" w:styleId="xlinks-container">
    <w:name w:val="xlinks-container"/>
    <w:basedOn w:val="DefaultParagraphFont"/>
    <w:rsid w:val="00A64B1C"/>
  </w:style>
  <w:style w:type="character" w:customStyle="1" w:styleId="googlescholar-container">
    <w:name w:val="googlescholar-container"/>
    <w:basedOn w:val="DefaultParagraphFont"/>
    <w:rsid w:val="00A64B1C"/>
  </w:style>
  <w:style w:type="character" w:customStyle="1" w:styleId="citationref">
    <w:name w:val="citationref"/>
    <w:basedOn w:val="DefaultParagraphFont"/>
    <w:rsid w:val="00A64B1C"/>
  </w:style>
  <w:style w:type="character" w:customStyle="1" w:styleId="nlmpublisher-loc">
    <w:name w:val="nlm_publisher-loc"/>
    <w:basedOn w:val="DefaultParagraphFont"/>
    <w:rsid w:val="00D45226"/>
  </w:style>
  <w:style w:type="character" w:customStyle="1" w:styleId="nlmpublisher-name">
    <w:name w:val="nlm_publisher-name"/>
    <w:basedOn w:val="DefaultParagraphFont"/>
    <w:rsid w:val="00D45226"/>
  </w:style>
  <w:style w:type="character" w:customStyle="1" w:styleId="ga-resolutions">
    <w:name w:val="ga-resolutions"/>
    <w:basedOn w:val="DefaultParagraphFont"/>
    <w:rsid w:val="0094164B"/>
  </w:style>
  <w:style w:type="character" w:customStyle="1" w:styleId="resolution">
    <w:name w:val="resolution"/>
    <w:basedOn w:val="DefaultParagraphFont"/>
    <w:rsid w:val="0094164B"/>
  </w:style>
  <w:style w:type="character" w:styleId="FollowedHyperlink">
    <w:name w:val="FollowedHyperlink"/>
    <w:basedOn w:val="DefaultParagraphFont"/>
    <w:uiPriority w:val="99"/>
    <w:semiHidden/>
    <w:unhideWhenUsed/>
    <w:rsid w:val="008A1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85384">
      <w:bodyDiv w:val="1"/>
      <w:marLeft w:val="0"/>
      <w:marRight w:val="0"/>
      <w:marTop w:val="0"/>
      <w:marBottom w:val="0"/>
      <w:divBdr>
        <w:top w:val="none" w:sz="0" w:space="0" w:color="auto"/>
        <w:left w:val="none" w:sz="0" w:space="0" w:color="auto"/>
        <w:bottom w:val="none" w:sz="0" w:space="0" w:color="auto"/>
        <w:right w:val="none" w:sz="0" w:space="0" w:color="auto"/>
      </w:divBdr>
    </w:div>
    <w:div w:id="1779448993">
      <w:bodyDiv w:val="1"/>
      <w:marLeft w:val="0"/>
      <w:marRight w:val="0"/>
      <w:marTop w:val="0"/>
      <w:marBottom w:val="0"/>
      <w:divBdr>
        <w:top w:val="none" w:sz="0" w:space="0" w:color="auto"/>
        <w:left w:val="none" w:sz="0" w:space="0" w:color="auto"/>
        <w:bottom w:val="none" w:sz="0" w:space="0" w:color="auto"/>
        <w:right w:val="none" w:sz="0" w:space="0" w:color="auto"/>
      </w:divBdr>
    </w:div>
    <w:div w:id="2054381611">
      <w:bodyDiv w:val="1"/>
      <w:marLeft w:val="0"/>
      <w:marRight w:val="0"/>
      <w:marTop w:val="0"/>
      <w:marBottom w:val="0"/>
      <w:divBdr>
        <w:top w:val="none" w:sz="0" w:space="0" w:color="auto"/>
        <w:left w:val="none" w:sz="0" w:space="0" w:color="auto"/>
        <w:bottom w:val="none" w:sz="0" w:space="0" w:color="auto"/>
        <w:right w:val="none" w:sz="0" w:space="0" w:color="auto"/>
      </w:divBdr>
    </w:div>
    <w:div w:id="2083796996">
      <w:bodyDiv w:val="1"/>
      <w:marLeft w:val="0"/>
      <w:marRight w:val="0"/>
      <w:marTop w:val="0"/>
      <w:marBottom w:val="0"/>
      <w:divBdr>
        <w:top w:val="none" w:sz="0" w:space="0" w:color="auto"/>
        <w:left w:val="none" w:sz="0" w:space="0" w:color="auto"/>
        <w:bottom w:val="none" w:sz="0" w:space="0" w:color="auto"/>
        <w:right w:val="none" w:sz="0" w:space="0" w:color="auto"/>
      </w:divBdr>
    </w:div>
    <w:div w:id="2092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s.gov.uk/sites/default/files/documents/publications/cps-vawg-report-2019.pdf" TargetMode="External"/><Relationship Id="rId13" Type="http://schemas.openxmlformats.org/officeDocument/2006/relationships/hyperlink" Target="https://www.cps.gov.uk/publication/consultation-cps-violence-against-women-strategy-and-action-plans-response-consultat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gov.uk/sites/default/files/documents/publications/cps_vawg_report_2016.pdf" TargetMode="External"/><Relationship Id="rId17" Type="http://schemas.openxmlformats.org/officeDocument/2006/relationships/hyperlink" Target="http://www.ohchr.org/Documents/Issues/Women/15YearReviewofVAWMandate.pdf" TargetMode="External"/><Relationship Id="rId2" Type="http://schemas.openxmlformats.org/officeDocument/2006/relationships/numbering" Target="numbering.xml"/><Relationship Id="rId16" Type="http://schemas.openxmlformats.org/officeDocument/2006/relationships/hyperlink" Target="http://webarchive.nationalarchives.gov.uk/+/http:/www.crimereduction.homeoffice.gov.uk/domesticviolence/domesticviolence5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28968/CPS_annual_report_2016_17.pdf" TargetMode="External"/><Relationship Id="rId5" Type="http://schemas.openxmlformats.org/officeDocument/2006/relationships/webSettings" Target="webSettings.xml"/><Relationship Id="rId15" Type="http://schemas.openxmlformats.org/officeDocument/2006/relationships/hyperlink" Target="http://webarchive.nationalarchives.gov.uk/+/http:/www.crimereduction.homeoffice.gov.uk/domesticviolence/domesticviolence51.pdf" TargetMode="External"/><Relationship Id="rId10" Type="http://schemas.openxmlformats.org/officeDocument/2006/relationships/hyperlink" Target="https://www.cps.gov.uk/sites/default/files/documents/publications/cps-vawg-report-201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s.gov.uk/legal-guidance/domestic-abuse-guidelines-prosecutors" TargetMode="External"/><Relationship Id="rId14" Type="http://schemas.openxmlformats.org/officeDocument/2006/relationships/hyperlink" Target="https://www.cps.gov.uk/publications/equality/evaluation_of_national_domestic_%20violence_training_programm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ps.gov.uk/sites/default/files/documents/publications/cps_vawg_report_2016.pdf" TargetMode="External"/><Relationship Id="rId13" Type="http://schemas.openxmlformats.org/officeDocument/2006/relationships/hyperlink" Target="https://www.ons.gov.uk/peoplepopulationandcommunity/crimeandjustice/articles/domesticabusefindingsfromthecrimesurveyforenglandandwales/yearendingmarch2017" TargetMode="External"/><Relationship Id="rId3" Type="http://schemas.openxmlformats.org/officeDocument/2006/relationships/hyperlink" Target="https://www.cps.gov.uk/publications/equality/evaluation_of_national_domestic_violence_training_programme.html" TargetMode="External"/><Relationship Id="rId7" Type="http://schemas.openxmlformats.org/officeDocument/2006/relationships/hyperlink" Target="https://www.cps.gov.uk/sites/default/files/documents/publications/cps_vawg_report_2016.pdf" TargetMode="External"/><Relationship Id="rId12" Type="http://schemas.openxmlformats.org/officeDocument/2006/relationships/hyperlink" Target="http://www.cps.gov.uk/publications/docs/cps-vawg-report-2017.pdf" TargetMode="External"/><Relationship Id="rId17" Type="http://schemas.openxmlformats.org/officeDocument/2006/relationships/hyperlink" Target="https://www.cps.gov.uk/sites/default/files/documents/publications/cps-vawg-report-2017_0.pdf" TargetMode="External"/><Relationship Id="rId2" Type="http://schemas.openxmlformats.org/officeDocument/2006/relationships/hyperlink" Target="http://webarchive.nationalarchives.gov.uk/+/http:/www.crimereduction.homeoffice.gov.uk/domesticviolence/domesticviolence51.pdf" TargetMode="External"/><Relationship Id="rId16" Type="http://schemas.openxmlformats.org/officeDocument/2006/relationships/hyperlink" Target="http://www.ohchr.org/Documents/Issues/Women/15YearReviewofVAWMandate.pdf" TargetMode="External"/><Relationship Id="rId1" Type="http://schemas.openxmlformats.org/officeDocument/2006/relationships/hyperlink" Target="https://www.cps.gov.uk/sites/default/files/documents/publications/cps-vawg-report-2019.pdf" TargetMode="External"/><Relationship Id="rId6" Type="http://schemas.openxmlformats.org/officeDocument/2006/relationships/hyperlink" Target="https://www.cps.gov.uk/sites/default/files/documents/publications/cps-vawg-report-2017.pdf" TargetMode="External"/><Relationship Id="rId11" Type="http://schemas.openxmlformats.org/officeDocument/2006/relationships/hyperlink" Target="https://www.cps.gov.uk/sites/default/files/documents/publications/cps-vawg-report-2019.pdf" TargetMode="External"/><Relationship Id="rId5" Type="http://schemas.openxmlformats.org/officeDocument/2006/relationships/hyperlink" Target="https://www.cps.gov.uk/legal-guidance/domestic-abuse-guidelines-prosecutors" TargetMode="External"/><Relationship Id="rId15" Type="http://schemas.openxmlformats.org/officeDocument/2006/relationships/hyperlink" Target="https://www.cps.gov.uk/sites/default/files/documents/publications/cps-vawg-report-2017_1.pdf" TargetMode="External"/><Relationship Id="rId10" Type="http://schemas.openxmlformats.org/officeDocument/2006/relationships/hyperlink" Target="https://www.gov.uk/government/uploads/system/uploads/attachment_data/file/628968/CPS_annual_report_2016_17.pdf" TargetMode="External"/><Relationship Id="rId4" Type="http://schemas.openxmlformats.org/officeDocument/2006/relationships/hyperlink" Target="https://www.cps.gov.uk/publication/consultation-cps-violence-against-women-strategy-and-action-plans-response-consultation" TargetMode="External"/><Relationship Id="rId9" Type="http://schemas.openxmlformats.org/officeDocument/2006/relationships/hyperlink" Target="https://www.cps.gov.uk/cps-page/decision-charge" TargetMode="External"/><Relationship Id="rId14" Type="http://schemas.openxmlformats.org/officeDocument/2006/relationships/hyperlink" Target="https://www.cps.gov.uk/legal-guidance/domestic-abuse-guidelines-prosecu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489F-730E-4F2C-9E17-0F073212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TotalTime>
  <Pages>38</Pages>
  <Words>11980</Words>
  <Characters>68290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Porter</dc:creator>
  <cp:keywords/>
  <dc:description/>
  <cp:lastModifiedBy>Antonia Porter</cp:lastModifiedBy>
  <cp:revision>9</cp:revision>
  <dcterms:created xsi:type="dcterms:W3CDTF">2020-03-16T13:57:00Z</dcterms:created>
  <dcterms:modified xsi:type="dcterms:W3CDTF">2020-09-06T21:22:00Z</dcterms:modified>
</cp:coreProperties>
</file>