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44AE" w14:textId="03ACDF70" w:rsidR="009F174B" w:rsidRPr="00822823" w:rsidRDefault="00BB37F5" w:rsidP="00E01082">
      <w:pPr>
        <w:tabs>
          <w:tab w:val="left" w:pos="0"/>
        </w:tabs>
        <w:rPr>
          <w:rFonts w:ascii="Times New Roman" w:hAnsi="Times New Roman"/>
          <w:b/>
          <w:sz w:val="24"/>
        </w:rPr>
      </w:pPr>
      <w:bookmarkStart w:id="0" w:name="_Hlk42557059"/>
      <w:r>
        <w:rPr>
          <w:rFonts w:ascii="Times New Roman" w:hAnsi="Times New Roman"/>
          <w:b/>
          <w:sz w:val="24"/>
        </w:rPr>
        <w:t xml:space="preserve">Thresholds </w:t>
      </w:r>
      <w:r w:rsidR="00543729">
        <w:rPr>
          <w:rFonts w:ascii="Times New Roman" w:hAnsi="Times New Roman"/>
          <w:b/>
          <w:sz w:val="24"/>
        </w:rPr>
        <w:t xml:space="preserve">in Flux – the Standard </w:t>
      </w:r>
      <w:r>
        <w:rPr>
          <w:rFonts w:ascii="Times New Roman" w:hAnsi="Times New Roman"/>
          <w:b/>
          <w:sz w:val="24"/>
        </w:rPr>
        <w:t>f</w:t>
      </w:r>
      <w:r w:rsidR="00D708DE">
        <w:rPr>
          <w:rFonts w:ascii="Times New Roman" w:hAnsi="Times New Roman"/>
          <w:b/>
          <w:sz w:val="24"/>
        </w:rPr>
        <w:t xml:space="preserve">or </w:t>
      </w:r>
      <w:r>
        <w:rPr>
          <w:rFonts w:ascii="Times New Roman" w:hAnsi="Times New Roman"/>
          <w:b/>
          <w:sz w:val="24"/>
        </w:rPr>
        <w:t xml:space="preserve">Ascertaining </w:t>
      </w:r>
      <w:r w:rsidR="00D708DE">
        <w:rPr>
          <w:rFonts w:ascii="Times New Roman" w:hAnsi="Times New Roman"/>
          <w:b/>
          <w:sz w:val="24"/>
        </w:rPr>
        <w:t xml:space="preserve">the </w:t>
      </w:r>
      <w:r w:rsidR="0013662A">
        <w:rPr>
          <w:rFonts w:ascii="Times New Roman" w:hAnsi="Times New Roman"/>
          <w:b/>
          <w:sz w:val="24"/>
        </w:rPr>
        <w:t xml:space="preserve">Requirement of </w:t>
      </w:r>
      <w:r w:rsidR="00043D90">
        <w:rPr>
          <w:rFonts w:ascii="Times New Roman" w:hAnsi="Times New Roman"/>
          <w:b/>
          <w:sz w:val="24"/>
        </w:rPr>
        <w:t>O</w:t>
      </w:r>
      <w:r w:rsidR="00822823">
        <w:rPr>
          <w:rFonts w:ascii="Times New Roman" w:hAnsi="Times New Roman"/>
          <w:b/>
          <w:sz w:val="24"/>
        </w:rPr>
        <w:t xml:space="preserve">rganization for </w:t>
      </w:r>
      <w:r w:rsidR="00043D90">
        <w:rPr>
          <w:rFonts w:ascii="Times New Roman" w:hAnsi="Times New Roman"/>
          <w:b/>
          <w:sz w:val="24"/>
        </w:rPr>
        <w:t>A</w:t>
      </w:r>
      <w:r w:rsidR="00822823">
        <w:rPr>
          <w:rFonts w:ascii="Times New Roman" w:hAnsi="Times New Roman"/>
          <w:b/>
          <w:sz w:val="24"/>
        </w:rPr>
        <w:t xml:space="preserve">rmed </w:t>
      </w:r>
      <w:r w:rsidR="00043D90">
        <w:rPr>
          <w:rFonts w:ascii="Times New Roman" w:hAnsi="Times New Roman"/>
          <w:b/>
          <w:sz w:val="24"/>
        </w:rPr>
        <w:t>G</w:t>
      </w:r>
      <w:r w:rsidR="00822823">
        <w:rPr>
          <w:rFonts w:ascii="Times New Roman" w:hAnsi="Times New Roman"/>
          <w:b/>
          <w:sz w:val="24"/>
        </w:rPr>
        <w:t>roups</w:t>
      </w:r>
      <w:r w:rsidR="00043D90">
        <w:rPr>
          <w:rFonts w:ascii="Times New Roman" w:hAnsi="Times New Roman"/>
          <w:b/>
          <w:sz w:val="24"/>
        </w:rPr>
        <w:t xml:space="preserve"> </w:t>
      </w:r>
      <w:r w:rsidR="00267376">
        <w:rPr>
          <w:rFonts w:ascii="Times New Roman" w:hAnsi="Times New Roman"/>
          <w:b/>
          <w:sz w:val="24"/>
        </w:rPr>
        <w:t>under International Humanitarian Law</w:t>
      </w:r>
    </w:p>
    <w:p w14:paraId="7B11B598" w14:textId="77777777" w:rsidR="00120E27" w:rsidRDefault="00120E27" w:rsidP="00E01082">
      <w:pPr>
        <w:tabs>
          <w:tab w:val="left" w:pos="0"/>
        </w:tabs>
        <w:rPr>
          <w:rFonts w:ascii="Times New Roman" w:hAnsi="Times New Roman"/>
          <w:b/>
          <w:sz w:val="24"/>
        </w:rPr>
      </w:pPr>
    </w:p>
    <w:p w14:paraId="1F29742D" w14:textId="717085F2" w:rsidR="00733F75" w:rsidRDefault="00733F75" w:rsidP="00E01082">
      <w:pPr>
        <w:tabs>
          <w:tab w:val="left" w:pos="0"/>
        </w:tabs>
        <w:rPr>
          <w:sz w:val="20"/>
          <w:szCs w:val="20"/>
          <w:lang w:val="en-CA"/>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hint="eastAsia"/>
          <w:b/>
          <w:sz w:val="24"/>
        </w:rPr>
        <w:t>Y</w:t>
      </w:r>
      <w:r>
        <w:rPr>
          <w:rFonts w:ascii="Times New Roman" w:hAnsi="Times New Roman"/>
          <w:b/>
          <w:sz w:val="24"/>
        </w:rPr>
        <w:t>utaka Arai-Takahashi</w:t>
      </w:r>
      <w:r w:rsidR="00283572">
        <w:rPr>
          <w:rStyle w:val="a5"/>
          <w:sz w:val="20"/>
          <w:szCs w:val="20"/>
          <w:lang w:val="en-CA"/>
        </w:rPr>
        <w:footnoteReference w:customMarkFollows="1" w:id="1"/>
        <w:t>*</w:t>
      </w:r>
    </w:p>
    <w:bookmarkEnd w:id="0"/>
    <w:p w14:paraId="68B1A2AB" w14:textId="3F320B5E" w:rsidR="00120E27" w:rsidRDefault="00120E27" w:rsidP="00E01082">
      <w:pPr>
        <w:tabs>
          <w:tab w:val="left" w:pos="0"/>
        </w:tabs>
        <w:rPr>
          <w:rFonts w:ascii="Times New Roman" w:hAnsi="Times New Roman"/>
          <w:b/>
          <w:sz w:val="24"/>
        </w:rPr>
      </w:pPr>
    </w:p>
    <w:p w14:paraId="05CB2964" w14:textId="677C9593" w:rsidR="008D430D" w:rsidRDefault="00FA4F07" w:rsidP="006347AB">
      <w:pPr>
        <w:pStyle w:val="ad"/>
        <w:numPr>
          <w:ilvl w:val="0"/>
          <w:numId w:val="1"/>
        </w:numPr>
        <w:tabs>
          <w:tab w:val="left" w:pos="0"/>
        </w:tabs>
        <w:ind w:leftChars="0"/>
        <w:rPr>
          <w:rFonts w:ascii="Times New Roman" w:hAnsi="Times New Roman"/>
          <w:b/>
          <w:sz w:val="24"/>
        </w:rPr>
      </w:pPr>
      <w:r w:rsidRPr="004148A4">
        <w:rPr>
          <w:rFonts w:ascii="Times New Roman" w:hAnsi="Times New Roman"/>
          <w:b/>
          <w:sz w:val="24"/>
        </w:rPr>
        <w:t>Introduction</w:t>
      </w:r>
    </w:p>
    <w:p w14:paraId="3A34D693" w14:textId="7FA34BBA" w:rsidR="000B631A" w:rsidRPr="00066403" w:rsidRDefault="003047F0" w:rsidP="00E01082">
      <w:pPr>
        <w:rPr>
          <w:rFonts w:ascii="Times New Roman" w:hAnsi="Times New Roman"/>
          <w:sz w:val="24"/>
          <w:lang w:val="en-US"/>
        </w:rPr>
      </w:pPr>
      <w:r>
        <w:rPr>
          <w:rFonts w:ascii="Times New Roman" w:hAnsi="Times New Roman"/>
          <w:sz w:val="24"/>
        </w:rPr>
        <w:t>In law, the</w:t>
      </w:r>
      <w:r w:rsidRPr="00102F63">
        <w:rPr>
          <w:rFonts w:ascii="Times New Roman" w:hAnsi="Times New Roman"/>
          <w:sz w:val="24"/>
        </w:rPr>
        <w:t xml:space="preserve"> </w:t>
      </w:r>
      <w:r w:rsidR="00102F63" w:rsidRPr="00102F63">
        <w:rPr>
          <w:rFonts w:ascii="Times New Roman" w:hAnsi="Times New Roman"/>
          <w:sz w:val="24"/>
        </w:rPr>
        <w:t xml:space="preserve">notion ‘organization’ can be </w:t>
      </w:r>
      <w:r>
        <w:rPr>
          <w:rFonts w:ascii="Times New Roman" w:hAnsi="Times New Roman"/>
          <w:sz w:val="24"/>
        </w:rPr>
        <w:t>defined as ‘[a]</w:t>
      </w:r>
      <w:r w:rsidRPr="004D395D">
        <w:rPr>
          <w:rFonts w:ascii="Times New Roman" w:eastAsia="ＭＳ Ｐゴシック" w:hAnsi="Times New Roman"/>
          <w:kern w:val="0"/>
          <w:sz w:val="24"/>
          <w:lang w:val="en-US"/>
        </w:rPr>
        <w:t xml:space="preserve"> group of people, structured in a specific way to achieve a series of shared goals</w:t>
      </w:r>
      <w:r>
        <w:rPr>
          <w:rFonts w:ascii="Times New Roman" w:eastAsia="ＭＳ Ｐゴシック" w:hAnsi="Times New Roman"/>
          <w:kern w:val="0"/>
          <w:sz w:val="24"/>
          <w:lang w:val="en-US"/>
        </w:rPr>
        <w:t>’</w:t>
      </w:r>
      <w:r>
        <w:rPr>
          <w:rStyle w:val="a5"/>
          <w:rFonts w:ascii="Times New Roman" w:eastAsia="ＭＳ Ｐゴシック" w:hAnsi="Times New Roman"/>
          <w:kern w:val="0"/>
          <w:sz w:val="24"/>
          <w:lang w:val="en-US"/>
        </w:rPr>
        <w:footnoteReference w:id="2"/>
      </w:r>
      <w:r>
        <w:rPr>
          <w:rFonts w:ascii="Times New Roman" w:eastAsia="ＭＳ Ｐゴシック" w:hAnsi="Times New Roman"/>
          <w:kern w:val="0"/>
          <w:sz w:val="24"/>
          <w:lang w:val="en-US"/>
        </w:rPr>
        <w:t xml:space="preserve"> </w:t>
      </w:r>
      <w:r w:rsidR="00443417">
        <w:rPr>
          <w:rFonts w:ascii="Times New Roman" w:eastAsia="ＭＳ Ｐゴシック" w:hAnsi="Times New Roman"/>
          <w:kern w:val="0"/>
          <w:sz w:val="24"/>
          <w:lang w:val="en-US"/>
        </w:rPr>
        <w:t xml:space="preserve">or </w:t>
      </w:r>
      <w:r w:rsidR="00102F63" w:rsidRPr="00102F63">
        <w:rPr>
          <w:rFonts w:ascii="Times New Roman" w:hAnsi="Times New Roman"/>
          <w:sz w:val="24"/>
        </w:rPr>
        <w:t>as ‘</w:t>
      </w:r>
      <w:r w:rsidR="00102F63" w:rsidRPr="00102F63">
        <w:rPr>
          <w:rFonts w:ascii="Times New Roman" w:eastAsiaTheme="minorEastAsia" w:hAnsi="Times New Roman"/>
          <w:kern w:val="0"/>
          <w:sz w:val="24"/>
          <w:lang w:val="en-US"/>
        </w:rPr>
        <w:t>an association of persons characterized by a structure that allows it to coordinate purposeful action’.</w:t>
      </w:r>
      <w:r w:rsidR="00102F63" w:rsidRPr="004D235F">
        <w:rPr>
          <w:rStyle w:val="a5"/>
          <w:rFonts w:ascii="Times New Roman" w:eastAsiaTheme="minorEastAsia" w:hAnsi="Times New Roman"/>
          <w:kern w:val="0"/>
          <w:sz w:val="24"/>
          <w:lang w:val="en-US"/>
        </w:rPr>
        <w:footnoteReference w:id="3"/>
      </w:r>
      <w:r w:rsidR="00102F63" w:rsidRPr="00102F63">
        <w:rPr>
          <w:rFonts w:ascii="Times New Roman" w:eastAsiaTheme="minorEastAsia" w:hAnsi="Times New Roman"/>
          <w:kern w:val="0"/>
          <w:sz w:val="24"/>
          <w:lang w:val="en-US"/>
        </w:rPr>
        <w:t xml:space="preserve"> </w:t>
      </w:r>
      <w:r w:rsidR="00102F63" w:rsidRPr="00102F63">
        <w:rPr>
          <w:rFonts w:ascii="Times New Roman" w:hAnsi="Times New Roman"/>
          <w:sz w:val="24"/>
        </w:rPr>
        <w:t>In situations of an international armed conflict (IAC), the requirement of organization is supposedly of special relevance to irregular/independent armed groups covered by Article 4A(2) of the Third Geneva Convention. This is part of the conditions to be fulfilled for enabling their members to claim the prisoners of war (POW) status in case of capture.</w:t>
      </w:r>
      <w:r w:rsidR="00102F63" w:rsidRPr="004D235F">
        <w:rPr>
          <w:rStyle w:val="a5"/>
          <w:rFonts w:ascii="Times New Roman" w:hAnsi="Times New Roman"/>
          <w:sz w:val="24"/>
        </w:rPr>
        <w:footnoteReference w:id="4"/>
      </w:r>
      <w:r w:rsidR="00102F63" w:rsidRPr="00102F63">
        <w:rPr>
          <w:rFonts w:ascii="Times New Roman" w:hAnsi="Times New Roman"/>
          <w:sz w:val="24"/>
        </w:rPr>
        <w:t xml:space="preserve"> Yet, both in the case-law and the literature on international humanitarian law (IHL), there is striking paucity of discussions relating to this requirement in IACs. </w:t>
      </w:r>
      <w:r w:rsidR="00102F63">
        <w:rPr>
          <w:rFonts w:ascii="Times New Roman" w:hAnsi="Times New Roman"/>
          <w:sz w:val="24"/>
        </w:rPr>
        <w:t>In contrast, in</w:t>
      </w:r>
      <w:r w:rsidR="00D708DE">
        <w:rPr>
          <w:rFonts w:ascii="Times New Roman" w:hAnsi="Times New Roman"/>
          <w:sz w:val="24"/>
        </w:rPr>
        <w:t xml:space="preserve"> </w:t>
      </w:r>
      <w:r w:rsidR="00941A34">
        <w:rPr>
          <w:rFonts w:ascii="Times New Roman" w:hAnsi="Times New Roman"/>
          <w:sz w:val="24"/>
        </w:rPr>
        <w:t xml:space="preserve">the context of a non-international armed conflict (NIAC), </w:t>
      </w:r>
      <w:r w:rsidR="005011ED">
        <w:rPr>
          <w:rFonts w:ascii="Times New Roman" w:hAnsi="Times New Roman"/>
          <w:sz w:val="24"/>
        </w:rPr>
        <w:t>th</w:t>
      </w:r>
      <w:r w:rsidR="000B119C">
        <w:rPr>
          <w:rFonts w:ascii="Times New Roman" w:hAnsi="Times New Roman"/>
          <w:sz w:val="24"/>
        </w:rPr>
        <w:t xml:space="preserve">is </w:t>
      </w:r>
      <w:r w:rsidR="005011ED">
        <w:rPr>
          <w:rFonts w:ascii="Times New Roman" w:hAnsi="Times New Roman"/>
          <w:sz w:val="24"/>
        </w:rPr>
        <w:t xml:space="preserve">requirement has </w:t>
      </w:r>
      <w:r w:rsidR="00043D90">
        <w:rPr>
          <w:rFonts w:ascii="Times New Roman" w:hAnsi="Times New Roman"/>
          <w:sz w:val="24"/>
        </w:rPr>
        <w:t>elicited</w:t>
      </w:r>
      <w:r w:rsidR="00941A34">
        <w:rPr>
          <w:rFonts w:ascii="Times New Roman" w:hAnsi="Times New Roman"/>
          <w:sz w:val="24"/>
        </w:rPr>
        <w:t xml:space="preserve"> more scrupulous assessments and enriched debates in the </w:t>
      </w:r>
      <w:r w:rsidR="005E0CBA">
        <w:rPr>
          <w:rFonts w:ascii="Times New Roman" w:hAnsi="Times New Roman"/>
          <w:sz w:val="24"/>
        </w:rPr>
        <w:t>jurisprudence</w:t>
      </w:r>
      <w:r w:rsidR="00941A34">
        <w:rPr>
          <w:rFonts w:ascii="Times New Roman" w:hAnsi="Times New Roman"/>
          <w:sz w:val="24"/>
        </w:rPr>
        <w:t xml:space="preserve"> of the international criminal tribunals</w:t>
      </w:r>
      <w:r w:rsidR="000B631A">
        <w:rPr>
          <w:rFonts w:ascii="Times New Roman" w:hAnsi="Times New Roman"/>
          <w:sz w:val="24"/>
        </w:rPr>
        <w:t xml:space="preserve">. </w:t>
      </w:r>
    </w:p>
    <w:p w14:paraId="59BF0D78" w14:textId="77777777" w:rsidR="000F5501" w:rsidRPr="004D235F" w:rsidRDefault="000F5501" w:rsidP="00E01082">
      <w:pPr>
        <w:rPr>
          <w:rFonts w:ascii="Times New Roman" w:hAnsi="Times New Roman"/>
          <w:sz w:val="24"/>
        </w:rPr>
      </w:pPr>
    </w:p>
    <w:p w14:paraId="157396DD" w14:textId="2A29A8FF" w:rsidR="00E42441" w:rsidRPr="00B0452C" w:rsidRDefault="00102F63" w:rsidP="00B0452C">
      <w:pPr>
        <w:rPr>
          <w:rFonts w:ascii="Times New Roman" w:hAnsi="Times New Roman"/>
          <w:sz w:val="24"/>
        </w:rPr>
      </w:pPr>
      <w:r>
        <w:rPr>
          <w:rFonts w:ascii="Times New Roman" w:hAnsi="Times New Roman"/>
          <w:sz w:val="24"/>
        </w:rPr>
        <w:t xml:space="preserve">The primary purpose of this </w:t>
      </w:r>
      <w:r w:rsidR="00D708DE">
        <w:rPr>
          <w:rFonts w:ascii="Times New Roman" w:hAnsi="Times New Roman"/>
          <w:sz w:val="24"/>
        </w:rPr>
        <w:t>paper</w:t>
      </w:r>
      <w:r w:rsidR="00E80757" w:rsidRPr="004D235F">
        <w:rPr>
          <w:rFonts w:ascii="Times New Roman" w:hAnsi="Times New Roman"/>
          <w:sz w:val="24"/>
        </w:rPr>
        <w:t xml:space="preserve"> </w:t>
      </w:r>
      <w:r>
        <w:rPr>
          <w:rFonts w:ascii="Times New Roman" w:hAnsi="Times New Roman"/>
          <w:sz w:val="24"/>
        </w:rPr>
        <w:t>is</w:t>
      </w:r>
      <w:r w:rsidR="00F2264C">
        <w:rPr>
          <w:rFonts w:ascii="Times New Roman" w:hAnsi="Times New Roman"/>
          <w:sz w:val="24"/>
        </w:rPr>
        <w:t xml:space="preserve"> to </w:t>
      </w:r>
      <w:r w:rsidR="008B611A">
        <w:rPr>
          <w:rFonts w:ascii="Times New Roman" w:hAnsi="Times New Roman"/>
          <w:sz w:val="24"/>
        </w:rPr>
        <w:t xml:space="preserve">demonstrate </w:t>
      </w:r>
      <w:r w:rsidR="00E25935">
        <w:rPr>
          <w:rFonts w:ascii="Times New Roman" w:hAnsi="Times New Roman"/>
          <w:sz w:val="24"/>
        </w:rPr>
        <w:t>how the</w:t>
      </w:r>
      <w:r w:rsidR="00F2264C">
        <w:rPr>
          <w:rFonts w:ascii="Times New Roman" w:hAnsi="Times New Roman"/>
          <w:sz w:val="24"/>
        </w:rPr>
        <w:t xml:space="preserve"> </w:t>
      </w:r>
      <w:r w:rsidR="00F2264C" w:rsidRPr="004D235F">
        <w:rPr>
          <w:rFonts w:ascii="Times New Roman" w:hAnsi="Times New Roman"/>
          <w:sz w:val="24"/>
        </w:rPr>
        <w:t xml:space="preserve">standard for assessing </w:t>
      </w:r>
      <w:r w:rsidR="00B1353D">
        <w:rPr>
          <w:rFonts w:ascii="Times New Roman" w:hAnsi="Times New Roman"/>
          <w:sz w:val="24"/>
        </w:rPr>
        <w:t>the</w:t>
      </w:r>
      <w:r w:rsidR="00F2264C" w:rsidRPr="004D235F">
        <w:rPr>
          <w:rFonts w:ascii="Times New Roman" w:hAnsi="Times New Roman"/>
          <w:sz w:val="24"/>
        </w:rPr>
        <w:t xml:space="preserve"> requiremen</w:t>
      </w:r>
      <w:r w:rsidR="00F2264C">
        <w:rPr>
          <w:rFonts w:ascii="Times New Roman" w:hAnsi="Times New Roman"/>
          <w:sz w:val="24"/>
        </w:rPr>
        <w:t xml:space="preserve">t </w:t>
      </w:r>
      <w:r w:rsidR="00B1353D">
        <w:rPr>
          <w:rFonts w:ascii="Times New Roman" w:hAnsi="Times New Roman"/>
          <w:sz w:val="24"/>
        </w:rPr>
        <w:t xml:space="preserve">of organization </w:t>
      </w:r>
      <w:r w:rsidR="008B611A">
        <w:rPr>
          <w:rFonts w:ascii="Times New Roman" w:hAnsi="Times New Roman"/>
          <w:sz w:val="24"/>
        </w:rPr>
        <w:t xml:space="preserve">may vary </w:t>
      </w:r>
      <w:r w:rsidR="00F2264C">
        <w:rPr>
          <w:rFonts w:ascii="Times New Roman" w:hAnsi="Times New Roman"/>
          <w:sz w:val="24"/>
        </w:rPr>
        <w:t xml:space="preserve">in </w:t>
      </w:r>
      <w:r w:rsidR="00543729">
        <w:rPr>
          <w:rFonts w:ascii="Times New Roman" w:hAnsi="Times New Roman"/>
          <w:sz w:val="24"/>
        </w:rPr>
        <w:t>diverse</w:t>
      </w:r>
      <w:r w:rsidR="00B0452C">
        <w:rPr>
          <w:rFonts w:ascii="Times New Roman" w:hAnsi="Times New Roman"/>
          <w:sz w:val="24"/>
        </w:rPr>
        <w:t xml:space="preserve"> situations </w:t>
      </w:r>
      <w:r>
        <w:rPr>
          <w:rFonts w:ascii="Times New Roman" w:hAnsi="Times New Roman"/>
          <w:sz w:val="24"/>
        </w:rPr>
        <w:t>or phase</w:t>
      </w:r>
      <w:r w:rsidR="00B1353D">
        <w:rPr>
          <w:rFonts w:ascii="Times New Roman" w:hAnsi="Times New Roman"/>
          <w:sz w:val="24"/>
        </w:rPr>
        <w:t>s</w:t>
      </w:r>
      <w:r>
        <w:rPr>
          <w:rFonts w:ascii="Times New Roman" w:hAnsi="Times New Roman"/>
          <w:sz w:val="24"/>
        </w:rPr>
        <w:t xml:space="preserve"> of IACs and </w:t>
      </w:r>
      <w:r w:rsidR="00D708DE">
        <w:rPr>
          <w:rFonts w:ascii="Times New Roman" w:hAnsi="Times New Roman"/>
          <w:sz w:val="24"/>
        </w:rPr>
        <w:t>NIACs</w:t>
      </w:r>
      <w:r w:rsidR="00E25935">
        <w:rPr>
          <w:rFonts w:ascii="Times New Roman" w:hAnsi="Times New Roman"/>
          <w:sz w:val="24"/>
        </w:rPr>
        <w:t xml:space="preserve"> and to provide coherent explanations for such </w:t>
      </w:r>
      <w:r w:rsidR="00543729">
        <w:rPr>
          <w:rFonts w:ascii="Times New Roman" w:hAnsi="Times New Roman"/>
          <w:sz w:val="24"/>
        </w:rPr>
        <w:t>different</w:t>
      </w:r>
      <w:r w:rsidR="00E25935">
        <w:rPr>
          <w:rFonts w:ascii="Times New Roman" w:hAnsi="Times New Roman"/>
          <w:sz w:val="24"/>
        </w:rPr>
        <w:t xml:space="preserve"> standards. </w:t>
      </w:r>
      <w:r w:rsidR="00855B9A" w:rsidRPr="00B0452C">
        <w:rPr>
          <w:rFonts w:ascii="Times New Roman" w:hAnsi="Times New Roman"/>
          <w:sz w:val="24"/>
        </w:rPr>
        <w:t xml:space="preserve">The structure of this </w:t>
      </w:r>
      <w:r w:rsidR="00171378" w:rsidRPr="00B0452C">
        <w:rPr>
          <w:rFonts w:ascii="Times New Roman" w:hAnsi="Times New Roman"/>
          <w:sz w:val="24"/>
        </w:rPr>
        <w:t>paper</w:t>
      </w:r>
      <w:r w:rsidR="00855B9A" w:rsidRPr="00B0452C">
        <w:rPr>
          <w:rFonts w:ascii="Times New Roman" w:hAnsi="Times New Roman"/>
          <w:sz w:val="24"/>
        </w:rPr>
        <w:t xml:space="preserve"> </w:t>
      </w:r>
      <w:r w:rsidR="00B3553B" w:rsidRPr="00B0452C">
        <w:rPr>
          <w:rFonts w:ascii="Times New Roman" w:hAnsi="Times New Roman"/>
          <w:sz w:val="24"/>
        </w:rPr>
        <w:t>is as follows</w:t>
      </w:r>
      <w:r w:rsidR="0056397C" w:rsidRPr="00B0452C">
        <w:rPr>
          <w:rFonts w:ascii="Times New Roman" w:hAnsi="Times New Roman"/>
          <w:sz w:val="24"/>
        </w:rPr>
        <w:t xml:space="preserve">. </w:t>
      </w:r>
      <w:r w:rsidR="008E46C3" w:rsidRPr="00B0452C">
        <w:rPr>
          <w:rFonts w:ascii="Times New Roman" w:hAnsi="Times New Roman"/>
          <w:sz w:val="24"/>
        </w:rPr>
        <w:t>Section</w:t>
      </w:r>
      <w:r w:rsidR="00B0452C">
        <w:rPr>
          <w:rFonts w:ascii="Times New Roman" w:hAnsi="Times New Roman"/>
          <w:sz w:val="24"/>
        </w:rPr>
        <w:t xml:space="preserve"> </w:t>
      </w:r>
      <w:r w:rsidR="00B028C0">
        <w:rPr>
          <w:rFonts w:ascii="Times New Roman" w:hAnsi="Times New Roman"/>
          <w:sz w:val="24"/>
        </w:rPr>
        <w:t>Two</w:t>
      </w:r>
      <w:r w:rsidR="00BB37F5">
        <w:rPr>
          <w:rFonts w:ascii="Times New Roman" w:hAnsi="Times New Roman"/>
          <w:sz w:val="24"/>
        </w:rPr>
        <w:t xml:space="preserve">, </w:t>
      </w:r>
      <w:r w:rsidR="00B0452C">
        <w:rPr>
          <w:rFonts w:ascii="Times New Roman" w:hAnsi="Times New Roman"/>
          <w:sz w:val="24"/>
        </w:rPr>
        <w:t>immediate</w:t>
      </w:r>
      <w:r w:rsidR="00BB37F5">
        <w:rPr>
          <w:rFonts w:ascii="Times New Roman" w:hAnsi="Times New Roman"/>
          <w:sz w:val="24"/>
        </w:rPr>
        <w:t xml:space="preserve">ly following </w:t>
      </w:r>
      <w:r w:rsidR="00B1353D">
        <w:rPr>
          <w:rFonts w:ascii="Times New Roman" w:hAnsi="Times New Roman"/>
          <w:sz w:val="24"/>
        </w:rPr>
        <w:t>this introductory section,</w:t>
      </w:r>
      <w:r w:rsidR="00B0452C">
        <w:rPr>
          <w:rFonts w:ascii="Times New Roman" w:hAnsi="Times New Roman"/>
          <w:sz w:val="24"/>
        </w:rPr>
        <w:t xml:space="preserve"> </w:t>
      </w:r>
      <w:r w:rsidR="00543729">
        <w:rPr>
          <w:rFonts w:ascii="Times New Roman" w:hAnsi="Times New Roman"/>
          <w:sz w:val="24"/>
        </w:rPr>
        <w:t>clarifies</w:t>
      </w:r>
      <w:r w:rsidR="00B0452C">
        <w:rPr>
          <w:rFonts w:ascii="Times New Roman" w:hAnsi="Times New Roman"/>
          <w:sz w:val="24"/>
        </w:rPr>
        <w:t xml:space="preserve"> the legal nature of this requirement</w:t>
      </w:r>
      <w:r w:rsidR="00B028C0">
        <w:rPr>
          <w:rFonts w:ascii="Times New Roman" w:hAnsi="Times New Roman"/>
          <w:sz w:val="24"/>
        </w:rPr>
        <w:t xml:space="preserve"> both under Article 4</w:t>
      </w:r>
      <w:proofErr w:type="gramStart"/>
      <w:r w:rsidR="00B028C0">
        <w:rPr>
          <w:rFonts w:ascii="Times New Roman" w:hAnsi="Times New Roman"/>
          <w:sz w:val="24"/>
        </w:rPr>
        <w:t>A(</w:t>
      </w:r>
      <w:proofErr w:type="gramEnd"/>
      <w:r w:rsidR="00B028C0">
        <w:rPr>
          <w:rFonts w:ascii="Times New Roman" w:hAnsi="Times New Roman"/>
          <w:sz w:val="24"/>
        </w:rPr>
        <w:t xml:space="preserve">2) </w:t>
      </w:r>
      <w:r w:rsidR="001D7ED3">
        <w:rPr>
          <w:rFonts w:ascii="Times New Roman" w:hAnsi="Times New Roman"/>
          <w:sz w:val="24"/>
        </w:rPr>
        <w:t>of the Third Geneva Convention</w:t>
      </w:r>
      <w:r w:rsidR="00B028C0">
        <w:rPr>
          <w:rFonts w:ascii="Times New Roman" w:hAnsi="Times New Roman"/>
          <w:sz w:val="24"/>
        </w:rPr>
        <w:t xml:space="preserve"> and in the context of NIACs</w:t>
      </w:r>
      <w:r w:rsidR="00B0452C">
        <w:rPr>
          <w:rFonts w:ascii="Times New Roman" w:hAnsi="Times New Roman"/>
          <w:sz w:val="24"/>
        </w:rPr>
        <w:t>.</w:t>
      </w:r>
      <w:r w:rsidR="0056397C" w:rsidRPr="00B0452C">
        <w:rPr>
          <w:rFonts w:ascii="Times New Roman" w:hAnsi="Times New Roman"/>
          <w:sz w:val="24"/>
        </w:rPr>
        <w:t xml:space="preserve"> </w:t>
      </w:r>
      <w:r w:rsidR="008E46C3" w:rsidRPr="00B0452C">
        <w:rPr>
          <w:rFonts w:ascii="Times New Roman" w:hAnsi="Times New Roman"/>
          <w:sz w:val="24"/>
        </w:rPr>
        <w:t>S</w:t>
      </w:r>
      <w:r w:rsidR="00F20F7A" w:rsidRPr="00B0452C">
        <w:rPr>
          <w:rFonts w:ascii="Times New Roman" w:hAnsi="Times New Roman"/>
          <w:sz w:val="24"/>
        </w:rPr>
        <w:t>ection</w:t>
      </w:r>
      <w:r w:rsidR="007A1A3D" w:rsidRPr="00B0452C">
        <w:rPr>
          <w:rFonts w:ascii="Times New Roman" w:hAnsi="Times New Roman"/>
          <w:sz w:val="24"/>
        </w:rPr>
        <w:t xml:space="preserve"> </w:t>
      </w:r>
      <w:r w:rsidR="00B028C0">
        <w:rPr>
          <w:rFonts w:ascii="Times New Roman" w:hAnsi="Times New Roman"/>
          <w:sz w:val="24"/>
        </w:rPr>
        <w:t>Three</w:t>
      </w:r>
      <w:r w:rsidR="007A1A3D" w:rsidRPr="00B0452C">
        <w:rPr>
          <w:rFonts w:ascii="Times New Roman" w:hAnsi="Times New Roman"/>
          <w:sz w:val="24"/>
        </w:rPr>
        <w:t xml:space="preserve"> </w:t>
      </w:r>
      <w:r w:rsidR="009A6DC7">
        <w:rPr>
          <w:rFonts w:ascii="Times New Roman" w:hAnsi="Times New Roman"/>
          <w:sz w:val="24"/>
        </w:rPr>
        <w:t>dwells upon</w:t>
      </w:r>
      <w:r w:rsidR="00B028C0">
        <w:rPr>
          <w:rFonts w:ascii="Times New Roman" w:hAnsi="Times New Roman"/>
          <w:sz w:val="24"/>
        </w:rPr>
        <w:t xml:space="preserve"> the constituent elements of organization</w:t>
      </w:r>
      <w:r w:rsidR="009A6DC7">
        <w:rPr>
          <w:rFonts w:ascii="Times New Roman" w:hAnsi="Times New Roman"/>
          <w:sz w:val="24"/>
        </w:rPr>
        <w:t xml:space="preserve">, </w:t>
      </w:r>
      <w:r w:rsidR="001B71AF">
        <w:rPr>
          <w:rFonts w:ascii="Times New Roman" w:hAnsi="Times New Roman"/>
          <w:sz w:val="24"/>
        </w:rPr>
        <w:t>on the assumption</w:t>
      </w:r>
      <w:r w:rsidR="009A6DC7">
        <w:rPr>
          <w:rFonts w:ascii="Times New Roman" w:hAnsi="Times New Roman"/>
          <w:sz w:val="24"/>
        </w:rPr>
        <w:t xml:space="preserve"> </w:t>
      </w:r>
      <w:r w:rsidR="00DF2806">
        <w:rPr>
          <w:rFonts w:ascii="Times New Roman" w:hAnsi="Times New Roman"/>
          <w:sz w:val="24"/>
        </w:rPr>
        <w:t xml:space="preserve">that identifying those elements </w:t>
      </w:r>
      <w:r w:rsidR="009A6DC7">
        <w:rPr>
          <w:rFonts w:ascii="Times New Roman" w:hAnsi="Times New Roman"/>
          <w:sz w:val="24"/>
        </w:rPr>
        <w:t xml:space="preserve">may shed </w:t>
      </w:r>
      <w:r w:rsidR="009A6DC7">
        <w:rPr>
          <w:rFonts w:ascii="Times New Roman" w:hAnsi="Times New Roman"/>
          <w:sz w:val="24"/>
        </w:rPr>
        <w:lastRenderedPageBreak/>
        <w:t>some light on</w:t>
      </w:r>
      <w:r w:rsidR="00DF2806">
        <w:rPr>
          <w:rFonts w:ascii="Times New Roman" w:hAnsi="Times New Roman"/>
          <w:sz w:val="24"/>
        </w:rPr>
        <w:t xml:space="preserve"> determining the threshold for this requirement</w:t>
      </w:r>
      <w:r w:rsidR="00B028C0">
        <w:rPr>
          <w:rFonts w:ascii="Times New Roman" w:hAnsi="Times New Roman"/>
          <w:sz w:val="24"/>
        </w:rPr>
        <w:t>. Section Four</w:t>
      </w:r>
      <w:r w:rsidR="00C82E59">
        <w:rPr>
          <w:rFonts w:ascii="Times New Roman" w:hAnsi="Times New Roman"/>
          <w:sz w:val="24"/>
        </w:rPr>
        <w:t xml:space="preserve"> address</w:t>
      </w:r>
      <w:r w:rsidR="00CF0F3D">
        <w:rPr>
          <w:rFonts w:ascii="Times New Roman" w:hAnsi="Times New Roman"/>
          <w:sz w:val="24"/>
        </w:rPr>
        <w:t>es</w:t>
      </w:r>
      <w:r w:rsidR="00B028C0">
        <w:rPr>
          <w:rFonts w:ascii="Times New Roman" w:hAnsi="Times New Roman"/>
          <w:sz w:val="24"/>
        </w:rPr>
        <w:t xml:space="preserve"> various </w:t>
      </w:r>
      <w:r w:rsidR="00D37EC3">
        <w:rPr>
          <w:rFonts w:ascii="Times New Roman" w:hAnsi="Times New Roman"/>
          <w:sz w:val="24"/>
        </w:rPr>
        <w:t>issues</w:t>
      </w:r>
      <w:r w:rsidR="00B028C0">
        <w:rPr>
          <w:rFonts w:ascii="Times New Roman" w:hAnsi="Times New Roman"/>
          <w:sz w:val="24"/>
        </w:rPr>
        <w:t xml:space="preserve"> relating to </w:t>
      </w:r>
      <w:r w:rsidR="005A1D2F" w:rsidRPr="00B0452C">
        <w:rPr>
          <w:rFonts w:ascii="Times New Roman" w:hAnsi="Times New Roman"/>
          <w:sz w:val="24"/>
        </w:rPr>
        <w:t xml:space="preserve">the standard for assessing this requirement. </w:t>
      </w:r>
      <w:r w:rsidR="00C82E59">
        <w:rPr>
          <w:rFonts w:ascii="Times New Roman" w:hAnsi="Times New Roman"/>
          <w:sz w:val="24"/>
        </w:rPr>
        <w:t xml:space="preserve">Section </w:t>
      </w:r>
      <w:r w:rsidR="00D37EC3">
        <w:rPr>
          <w:rFonts w:ascii="Times New Roman" w:hAnsi="Times New Roman"/>
          <w:sz w:val="24"/>
        </w:rPr>
        <w:t>Five tests the hypothesis that the threshold for this requirement might be high under Article 4</w:t>
      </w:r>
      <w:proofErr w:type="gramStart"/>
      <w:r w:rsidR="00D37EC3">
        <w:rPr>
          <w:rFonts w:ascii="Times New Roman" w:hAnsi="Times New Roman"/>
          <w:sz w:val="24"/>
        </w:rPr>
        <w:t>A(</w:t>
      </w:r>
      <w:proofErr w:type="gramEnd"/>
      <w:r w:rsidR="00D37EC3">
        <w:rPr>
          <w:rFonts w:ascii="Times New Roman" w:hAnsi="Times New Roman"/>
          <w:sz w:val="24"/>
        </w:rPr>
        <w:t>2) of the Third Geneva Convention. Section Six</w:t>
      </w:r>
      <w:r w:rsidR="00B0452C">
        <w:rPr>
          <w:rFonts w:ascii="Times New Roman" w:hAnsi="Times New Roman"/>
          <w:sz w:val="24"/>
        </w:rPr>
        <w:t xml:space="preserve"> </w:t>
      </w:r>
      <w:r w:rsidR="001A52EC">
        <w:rPr>
          <w:rFonts w:ascii="Times New Roman" w:hAnsi="Times New Roman"/>
          <w:sz w:val="24"/>
        </w:rPr>
        <w:t xml:space="preserve">explores </w:t>
      </w:r>
      <w:r w:rsidR="00C82E59">
        <w:rPr>
          <w:rFonts w:ascii="Times New Roman" w:hAnsi="Times New Roman"/>
          <w:sz w:val="24"/>
        </w:rPr>
        <w:t xml:space="preserve">why </w:t>
      </w:r>
      <w:r w:rsidR="009A6DC7">
        <w:rPr>
          <w:rFonts w:ascii="Times New Roman" w:hAnsi="Times New Roman"/>
          <w:sz w:val="24"/>
        </w:rPr>
        <w:t xml:space="preserve">contrariwise, a </w:t>
      </w:r>
      <w:r w:rsidR="00D37EC3">
        <w:rPr>
          <w:rFonts w:ascii="Times New Roman" w:hAnsi="Times New Roman"/>
          <w:sz w:val="24"/>
        </w:rPr>
        <w:t>more rigorous</w:t>
      </w:r>
      <w:r w:rsidR="009A6DC7">
        <w:rPr>
          <w:rFonts w:ascii="Times New Roman" w:hAnsi="Times New Roman"/>
          <w:sz w:val="24"/>
        </w:rPr>
        <w:t xml:space="preserve"> standard for </w:t>
      </w:r>
      <w:r w:rsidR="0042795D">
        <w:rPr>
          <w:rFonts w:ascii="Times New Roman" w:hAnsi="Times New Roman"/>
          <w:sz w:val="24"/>
        </w:rPr>
        <w:t xml:space="preserve">the eponymous </w:t>
      </w:r>
      <w:r w:rsidR="00C82E59">
        <w:rPr>
          <w:rFonts w:ascii="Times New Roman" w:hAnsi="Times New Roman"/>
          <w:sz w:val="24"/>
        </w:rPr>
        <w:t xml:space="preserve">requirement </w:t>
      </w:r>
      <w:r w:rsidR="009A6DC7">
        <w:rPr>
          <w:rFonts w:ascii="Times New Roman" w:hAnsi="Times New Roman"/>
          <w:sz w:val="24"/>
        </w:rPr>
        <w:t xml:space="preserve">is demanded </w:t>
      </w:r>
      <w:r w:rsidR="0042795D">
        <w:rPr>
          <w:rFonts w:ascii="Times New Roman" w:hAnsi="Times New Roman"/>
          <w:sz w:val="24"/>
        </w:rPr>
        <w:t>in NIACs</w:t>
      </w:r>
      <w:r w:rsidR="00C82E59">
        <w:rPr>
          <w:rFonts w:ascii="Times New Roman" w:hAnsi="Times New Roman"/>
          <w:sz w:val="24"/>
        </w:rPr>
        <w:t xml:space="preserve">. Section </w:t>
      </w:r>
      <w:r w:rsidR="00D37EC3">
        <w:rPr>
          <w:rFonts w:ascii="Times New Roman" w:hAnsi="Times New Roman"/>
          <w:sz w:val="24"/>
        </w:rPr>
        <w:t>Seven</w:t>
      </w:r>
      <w:r w:rsidR="00C82E59">
        <w:rPr>
          <w:rFonts w:ascii="Times New Roman" w:hAnsi="Times New Roman"/>
          <w:sz w:val="24"/>
        </w:rPr>
        <w:t xml:space="preserve"> </w:t>
      </w:r>
      <w:r w:rsidR="00B028C0">
        <w:rPr>
          <w:rFonts w:ascii="Times New Roman" w:hAnsi="Times New Roman"/>
          <w:sz w:val="24"/>
        </w:rPr>
        <w:t xml:space="preserve">proposes a </w:t>
      </w:r>
      <w:r w:rsidR="00C82E59">
        <w:rPr>
          <w:rFonts w:ascii="Times New Roman" w:hAnsi="Times New Roman"/>
          <w:sz w:val="24"/>
        </w:rPr>
        <w:t xml:space="preserve">distinct </w:t>
      </w:r>
      <w:r w:rsidR="00543729">
        <w:rPr>
          <w:rFonts w:ascii="Times New Roman" w:hAnsi="Times New Roman"/>
          <w:sz w:val="24"/>
        </w:rPr>
        <w:t>model</w:t>
      </w:r>
      <w:r w:rsidR="00630C31">
        <w:rPr>
          <w:rFonts w:ascii="Times New Roman" w:hAnsi="Times New Roman"/>
          <w:sz w:val="24"/>
        </w:rPr>
        <w:t xml:space="preserve"> (‘compensatory model’)</w:t>
      </w:r>
      <w:r w:rsidR="00C82E59">
        <w:rPr>
          <w:rFonts w:ascii="Times New Roman" w:hAnsi="Times New Roman"/>
          <w:sz w:val="24"/>
        </w:rPr>
        <w:t xml:space="preserve"> </w:t>
      </w:r>
      <w:proofErr w:type="gramStart"/>
      <w:r w:rsidR="00543729">
        <w:rPr>
          <w:rFonts w:ascii="Times New Roman" w:hAnsi="Times New Roman"/>
          <w:sz w:val="24"/>
        </w:rPr>
        <w:t>as a way to</w:t>
      </w:r>
      <w:proofErr w:type="gramEnd"/>
      <w:r w:rsidR="00543729">
        <w:rPr>
          <w:rFonts w:ascii="Times New Roman" w:hAnsi="Times New Roman"/>
          <w:sz w:val="24"/>
        </w:rPr>
        <w:t xml:space="preserve"> </w:t>
      </w:r>
      <w:r w:rsidR="00BB37F5">
        <w:rPr>
          <w:rFonts w:ascii="Times New Roman" w:hAnsi="Times New Roman"/>
          <w:sz w:val="24"/>
        </w:rPr>
        <w:t xml:space="preserve">rationalize </w:t>
      </w:r>
      <w:r w:rsidR="00543729">
        <w:rPr>
          <w:rFonts w:ascii="Times New Roman" w:hAnsi="Times New Roman"/>
          <w:sz w:val="24"/>
        </w:rPr>
        <w:t>the lowering of</w:t>
      </w:r>
      <w:r w:rsidR="00BB37F5">
        <w:rPr>
          <w:rFonts w:ascii="Times New Roman" w:hAnsi="Times New Roman"/>
          <w:sz w:val="24"/>
        </w:rPr>
        <w:t xml:space="preserve"> </w:t>
      </w:r>
      <w:r w:rsidR="00BB37F5" w:rsidRPr="00B0452C">
        <w:rPr>
          <w:rFonts w:ascii="Times New Roman" w:hAnsi="Times New Roman"/>
          <w:sz w:val="24"/>
        </w:rPr>
        <w:t>a generally elevated standard for organization in NIACs</w:t>
      </w:r>
      <w:r w:rsidR="00B0452C">
        <w:rPr>
          <w:rFonts w:ascii="Times New Roman" w:hAnsi="Times New Roman"/>
          <w:sz w:val="24"/>
        </w:rPr>
        <w:t xml:space="preserve">. </w:t>
      </w:r>
      <w:r w:rsidR="00D37EC3">
        <w:rPr>
          <w:rFonts w:ascii="Times New Roman" w:hAnsi="Times New Roman"/>
          <w:sz w:val="24"/>
        </w:rPr>
        <w:t>The crux of this</w:t>
      </w:r>
      <w:r w:rsidR="00630C31">
        <w:rPr>
          <w:rFonts w:ascii="Times New Roman" w:hAnsi="Times New Roman"/>
          <w:sz w:val="24"/>
        </w:rPr>
        <w:t xml:space="preserve"> model </w:t>
      </w:r>
      <w:r w:rsidR="00D37EC3">
        <w:rPr>
          <w:rFonts w:ascii="Times New Roman" w:hAnsi="Times New Roman"/>
          <w:sz w:val="24"/>
        </w:rPr>
        <w:t xml:space="preserve">is to </w:t>
      </w:r>
      <w:r w:rsidR="0008577C">
        <w:rPr>
          <w:rFonts w:ascii="Times New Roman" w:hAnsi="Times New Roman"/>
          <w:sz w:val="24"/>
        </w:rPr>
        <w:t xml:space="preserve">allow </w:t>
      </w:r>
      <w:r w:rsidR="000E5AB3" w:rsidRPr="00B0452C">
        <w:rPr>
          <w:rFonts w:ascii="Times New Roman" w:hAnsi="Times New Roman"/>
          <w:sz w:val="24"/>
        </w:rPr>
        <w:t>the</w:t>
      </w:r>
      <w:r w:rsidR="005A1D2F" w:rsidRPr="00B0452C">
        <w:rPr>
          <w:rFonts w:ascii="Times New Roman" w:hAnsi="Times New Roman"/>
          <w:sz w:val="24"/>
        </w:rPr>
        <w:t xml:space="preserve"> standard </w:t>
      </w:r>
      <w:r w:rsidR="000E5AB3" w:rsidRPr="00B0452C">
        <w:rPr>
          <w:rFonts w:ascii="Times New Roman" w:hAnsi="Times New Roman"/>
          <w:sz w:val="24"/>
        </w:rPr>
        <w:t>for organization</w:t>
      </w:r>
      <w:r w:rsidR="00315DD4" w:rsidRPr="00B0452C">
        <w:rPr>
          <w:rFonts w:ascii="Times New Roman" w:hAnsi="Times New Roman"/>
          <w:sz w:val="24"/>
        </w:rPr>
        <w:t xml:space="preserve"> </w:t>
      </w:r>
      <w:r w:rsidR="0008577C">
        <w:rPr>
          <w:rFonts w:ascii="Times New Roman" w:hAnsi="Times New Roman"/>
          <w:sz w:val="24"/>
        </w:rPr>
        <w:t>to</w:t>
      </w:r>
      <w:r w:rsidR="0008577C" w:rsidRPr="00B0452C">
        <w:rPr>
          <w:rFonts w:ascii="Times New Roman" w:hAnsi="Times New Roman"/>
          <w:sz w:val="24"/>
        </w:rPr>
        <w:t xml:space="preserve"> </w:t>
      </w:r>
      <w:r w:rsidR="005A1D2F" w:rsidRPr="00B0452C">
        <w:rPr>
          <w:rFonts w:ascii="Times New Roman" w:hAnsi="Times New Roman"/>
          <w:sz w:val="24"/>
        </w:rPr>
        <w:t>be eased in inverse proportion to the intensity of violence.</w:t>
      </w:r>
      <w:r w:rsidR="00D06818" w:rsidRPr="00B0452C">
        <w:rPr>
          <w:rFonts w:ascii="Times New Roman" w:hAnsi="Times New Roman"/>
          <w:sz w:val="24"/>
        </w:rPr>
        <w:t xml:space="preserve"> </w:t>
      </w:r>
      <w:r w:rsidR="007E29CF" w:rsidRPr="00B0452C">
        <w:rPr>
          <w:rFonts w:ascii="Times New Roman" w:hAnsi="Times New Roman"/>
          <w:sz w:val="24"/>
        </w:rPr>
        <w:t xml:space="preserve">Section </w:t>
      </w:r>
      <w:r w:rsidR="00D37EC3">
        <w:rPr>
          <w:rFonts w:ascii="Times New Roman" w:hAnsi="Times New Roman"/>
          <w:sz w:val="24"/>
        </w:rPr>
        <w:t>Eight</w:t>
      </w:r>
      <w:r w:rsidR="007E29CF" w:rsidRPr="00B0452C">
        <w:rPr>
          <w:rFonts w:ascii="Times New Roman" w:hAnsi="Times New Roman"/>
          <w:sz w:val="24"/>
        </w:rPr>
        <w:t xml:space="preserve"> </w:t>
      </w:r>
      <w:r w:rsidR="0047222F" w:rsidRPr="00B0452C">
        <w:rPr>
          <w:rFonts w:ascii="Times New Roman" w:hAnsi="Times New Roman"/>
          <w:sz w:val="24"/>
        </w:rPr>
        <w:t>highlight</w:t>
      </w:r>
      <w:r w:rsidR="00D949C1">
        <w:rPr>
          <w:rFonts w:ascii="Times New Roman" w:hAnsi="Times New Roman"/>
          <w:sz w:val="24"/>
        </w:rPr>
        <w:t>s</w:t>
      </w:r>
      <w:r w:rsidR="0047222F" w:rsidRPr="00B0452C">
        <w:rPr>
          <w:rFonts w:ascii="Times New Roman" w:hAnsi="Times New Roman"/>
          <w:sz w:val="24"/>
        </w:rPr>
        <w:t xml:space="preserve"> the need for a</w:t>
      </w:r>
      <w:r w:rsidR="00E42441" w:rsidRPr="00B0452C">
        <w:rPr>
          <w:rFonts w:ascii="Times New Roman" w:hAnsi="Times New Roman"/>
          <w:sz w:val="24"/>
        </w:rPr>
        <w:t xml:space="preserve"> nuanced assessment </w:t>
      </w:r>
      <w:r w:rsidR="0047222F" w:rsidRPr="00B0452C">
        <w:rPr>
          <w:rFonts w:ascii="Times New Roman" w:hAnsi="Times New Roman"/>
          <w:sz w:val="24"/>
        </w:rPr>
        <w:t xml:space="preserve">of </w:t>
      </w:r>
      <w:r w:rsidR="00F4596B" w:rsidRPr="00B0452C">
        <w:rPr>
          <w:rFonts w:ascii="Times New Roman" w:hAnsi="Times New Roman"/>
          <w:sz w:val="24"/>
        </w:rPr>
        <w:t>the organizational level of an armed group</w:t>
      </w:r>
      <w:r w:rsidR="00E42441" w:rsidRPr="00B0452C">
        <w:rPr>
          <w:rFonts w:ascii="Times New Roman" w:hAnsi="Times New Roman"/>
          <w:sz w:val="24"/>
        </w:rPr>
        <w:t xml:space="preserve"> in </w:t>
      </w:r>
      <w:r w:rsidR="00FB52D1">
        <w:rPr>
          <w:rFonts w:ascii="Times New Roman" w:hAnsi="Times New Roman"/>
          <w:sz w:val="24"/>
        </w:rPr>
        <w:t>some</w:t>
      </w:r>
      <w:r w:rsidR="00FB52D1" w:rsidRPr="00B0452C">
        <w:rPr>
          <w:rFonts w:ascii="Times New Roman" w:hAnsi="Times New Roman"/>
          <w:sz w:val="24"/>
        </w:rPr>
        <w:t xml:space="preserve"> </w:t>
      </w:r>
      <w:r w:rsidR="007E29CF" w:rsidRPr="00B0452C">
        <w:rPr>
          <w:rFonts w:ascii="Times New Roman" w:hAnsi="Times New Roman"/>
          <w:sz w:val="24"/>
        </w:rPr>
        <w:t>specific</w:t>
      </w:r>
      <w:r w:rsidR="008E46C3" w:rsidRPr="00B0452C">
        <w:rPr>
          <w:rFonts w:ascii="Times New Roman" w:hAnsi="Times New Roman"/>
          <w:sz w:val="24"/>
        </w:rPr>
        <w:t xml:space="preserve"> </w:t>
      </w:r>
      <w:r w:rsidR="00E42441" w:rsidRPr="00B0452C">
        <w:rPr>
          <w:rFonts w:ascii="Times New Roman" w:hAnsi="Times New Roman"/>
          <w:sz w:val="24"/>
        </w:rPr>
        <w:t xml:space="preserve">phases </w:t>
      </w:r>
      <w:r w:rsidR="008E46C3" w:rsidRPr="00B0452C">
        <w:rPr>
          <w:rFonts w:ascii="Times New Roman" w:hAnsi="Times New Roman"/>
          <w:sz w:val="24"/>
        </w:rPr>
        <w:t xml:space="preserve">of the ongoing armed conflict whose legal character </w:t>
      </w:r>
      <w:r w:rsidR="00B8426E" w:rsidRPr="00B0452C">
        <w:rPr>
          <w:rFonts w:ascii="Times New Roman" w:hAnsi="Times New Roman"/>
          <w:sz w:val="24"/>
        </w:rPr>
        <w:t xml:space="preserve">shifts </w:t>
      </w:r>
      <w:r w:rsidR="00FB52D1">
        <w:rPr>
          <w:rFonts w:ascii="Times New Roman" w:hAnsi="Times New Roman"/>
          <w:sz w:val="24"/>
        </w:rPr>
        <w:t>(</w:t>
      </w:r>
      <w:r w:rsidR="0047222F" w:rsidRPr="00B0452C">
        <w:rPr>
          <w:rFonts w:ascii="Times New Roman" w:hAnsi="Times New Roman"/>
          <w:sz w:val="24"/>
        </w:rPr>
        <w:t>from an NIAC to an IAC</w:t>
      </w:r>
      <w:r w:rsidR="00FB52D1">
        <w:rPr>
          <w:rFonts w:ascii="Times New Roman" w:hAnsi="Times New Roman"/>
          <w:sz w:val="24"/>
        </w:rPr>
        <w:t xml:space="preserve">, </w:t>
      </w:r>
      <w:r w:rsidR="0047222F" w:rsidRPr="00B0452C">
        <w:rPr>
          <w:rFonts w:ascii="Times New Roman" w:hAnsi="Times New Roman"/>
          <w:sz w:val="24"/>
        </w:rPr>
        <w:t>vice-versa</w:t>
      </w:r>
      <w:r w:rsidR="00FB52D1">
        <w:rPr>
          <w:rFonts w:ascii="Times New Roman" w:hAnsi="Times New Roman"/>
          <w:sz w:val="24"/>
        </w:rPr>
        <w:t xml:space="preserve">, and </w:t>
      </w:r>
      <w:r w:rsidR="00EB4B4F">
        <w:rPr>
          <w:rFonts w:ascii="Times New Roman" w:hAnsi="Times New Roman"/>
          <w:sz w:val="24"/>
        </w:rPr>
        <w:t xml:space="preserve">from a NIAC </w:t>
      </w:r>
      <w:r w:rsidR="00FB52D1">
        <w:rPr>
          <w:rFonts w:ascii="Times New Roman" w:hAnsi="Times New Roman"/>
          <w:sz w:val="24"/>
        </w:rPr>
        <w:t>to a law-enforcement model).</w:t>
      </w:r>
      <w:r w:rsidR="00FB52D1" w:rsidRPr="00B0452C">
        <w:rPr>
          <w:rFonts w:ascii="Times New Roman" w:hAnsi="Times New Roman"/>
          <w:sz w:val="24"/>
        </w:rPr>
        <w:t xml:space="preserve"> </w:t>
      </w:r>
      <w:r w:rsidR="007E29CF" w:rsidRPr="00B0452C">
        <w:rPr>
          <w:rFonts w:ascii="Times New Roman" w:hAnsi="Times New Roman"/>
          <w:sz w:val="24"/>
        </w:rPr>
        <w:t xml:space="preserve">Finally, Section </w:t>
      </w:r>
      <w:r w:rsidR="00F55346">
        <w:rPr>
          <w:rFonts w:ascii="Times New Roman" w:hAnsi="Times New Roman"/>
          <w:sz w:val="24"/>
        </w:rPr>
        <w:t>Nine</w:t>
      </w:r>
      <w:r w:rsidR="007E29CF" w:rsidRPr="00B0452C">
        <w:rPr>
          <w:rFonts w:ascii="Times New Roman" w:hAnsi="Times New Roman"/>
          <w:sz w:val="24"/>
        </w:rPr>
        <w:t xml:space="preserve"> </w:t>
      </w:r>
      <w:r w:rsidR="00D949C1">
        <w:rPr>
          <w:rFonts w:ascii="Times New Roman" w:hAnsi="Times New Roman"/>
          <w:sz w:val="24"/>
        </w:rPr>
        <w:t>explores</w:t>
      </w:r>
      <w:r w:rsidR="007E29CF" w:rsidRPr="00B0452C">
        <w:rPr>
          <w:rFonts w:ascii="Times New Roman" w:hAnsi="Times New Roman"/>
          <w:sz w:val="24"/>
        </w:rPr>
        <w:t xml:space="preserve"> </w:t>
      </w:r>
      <w:r w:rsidR="00D949C1">
        <w:rPr>
          <w:rFonts w:ascii="Times New Roman" w:hAnsi="Times New Roman"/>
          <w:sz w:val="24"/>
        </w:rPr>
        <w:t xml:space="preserve">if the proposed compensatory model may be bolstered by </w:t>
      </w:r>
      <w:r w:rsidR="007E29CF" w:rsidRPr="00B0452C">
        <w:rPr>
          <w:rFonts w:ascii="Times New Roman" w:hAnsi="Times New Roman"/>
          <w:sz w:val="24"/>
        </w:rPr>
        <w:t xml:space="preserve">an emerging ‘tendency’ to lower the organizational level of an armed group involved in violence that may </w:t>
      </w:r>
      <w:r w:rsidR="00630C31">
        <w:rPr>
          <w:rFonts w:ascii="Times New Roman" w:hAnsi="Times New Roman"/>
          <w:sz w:val="24"/>
        </w:rPr>
        <w:t>constitute</w:t>
      </w:r>
      <w:r w:rsidR="007E29CF" w:rsidRPr="00B0452C">
        <w:rPr>
          <w:rFonts w:ascii="Times New Roman" w:hAnsi="Times New Roman"/>
          <w:sz w:val="24"/>
        </w:rPr>
        <w:t xml:space="preserve"> crimes against humanity. </w:t>
      </w:r>
    </w:p>
    <w:p w14:paraId="6776074A" w14:textId="7FBD6EDF" w:rsidR="00ED3AE7" w:rsidRPr="004D235F" w:rsidRDefault="00ED3AE7" w:rsidP="00E01082">
      <w:pPr>
        <w:rPr>
          <w:rFonts w:ascii="Times New Roman" w:hAnsi="Times New Roman"/>
          <w:sz w:val="24"/>
        </w:rPr>
      </w:pPr>
    </w:p>
    <w:p w14:paraId="437C055C" w14:textId="12756398" w:rsidR="00BB37F5" w:rsidRDefault="00BB37F5" w:rsidP="006347AB">
      <w:pPr>
        <w:pStyle w:val="ad"/>
        <w:numPr>
          <w:ilvl w:val="0"/>
          <w:numId w:val="1"/>
        </w:numPr>
        <w:ind w:leftChars="0"/>
        <w:rPr>
          <w:rFonts w:ascii="Times New Roman" w:hAnsi="Times New Roman"/>
          <w:b/>
          <w:bCs/>
          <w:sz w:val="24"/>
        </w:rPr>
      </w:pPr>
      <w:r>
        <w:rPr>
          <w:rFonts w:ascii="Times New Roman" w:hAnsi="Times New Roman" w:hint="eastAsia"/>
          <w:b/>
          <w:bCs/>
          <w:sz w:val="24"/>
        </w:rPr>
        <w:t>T</w:t>
      </w:r>
      <w:r>
        <w:rPr>
          <w:rFonts w:ascii="Times New Roman" w:hAnsi="Times New Roman"/>
          <w:b/>
          <w:bCs/>
          <w:sz w:val="24"/>
        </w:rPr>
        <w:t>he</w:t>
      </w:r>
      <w:r w:rsidR="00927D4E">
        <w:rPr>
          <w:rFonts w:ascii="Times New Roman" w:hAnsi="Times New Roman"/>
          <w:b/>
          <w:bCs/>
          <w:sz w:val="24"/>
        </w:rPr>
        <w:t xml:space="preserve"> </w:t>
      </w:r>
      <w:r w:rsidR="00874553">
        <w:rPr>
          <w:rFonts w:ascii="Times New Roman" w:hAnsi="Times New Roman"/>
          <w:b/>
          <w:bCs/>
          <w:sz w:val="24"/>
        </w:rPr>
        <w:t>N</w:t>
      </w:r>
      <w:r w:rsidR="00927D4E">
        <w:rPr>
          <w:rFonts w:ascii="Times New Roman" w:hAnsi="Times New Roman"/>
          <w:b/>
          <w:bCs/>
          <w:sz w:val="24"/>
        </w:rPr>
        <w:t xml:space="preserve">ature of the </w:t>
      </w:r>
      <w:r w:rsidR="00874553">
        <w:rPr>
          <w:rFonts w:ascii="Times New Roman" w:hAnsi="Times New Roman"/>
          <w:b/>
          <w:bCs/>
          <w:sz w:val="24"/>
        </w:rPr>
        <w:t>R</w:t>
      </w:r>
      <w:r>
        <w:rPr>
          <w:rFonts w:ascii="Times New Roman" w:hAnsi="Times New Roman"/>
          <w:b/>
          <w:bCs/>
          <w:sz w:val="24"/>
        </w:rPr>
        <w:t xml:space="preserve">equirement of </w:t>
      </w:r>
      <w:r w:rsidR="00874553">
        <w:rPr>
          <w:rFonts w:ascii="Times New Roman" w:hAnsi="Times New Roman"/>
          <w:b/>
          <w:bCs/>
          <w:sz w:val="24"/>
        </w:rPr>
        <w:t>O</w:t>
      </w:r>
      <w:r>
        <w:rPr>
          <w:rFonts w:ascii="Times New Roman" w:hAnsi="Times New Roman"/>
          <w:b/>
          <w:bCs/>
          <w:sz w:val="24"/>
        </w:rPr>
        <w:t xml:space="preserve">rganization </w:t>
      </w:r>
    </w:p>
    <w:p w14:paraId="69C0AB8C" w14:textId="32459E17" w:rsidR="00927D4E" w:rsidRPr="00927D4E" w:rsidRDefault="00927D4E" w:rsidP="006347AB">
      <w:pPr>
        <w:pStyle w:val="ad"/>
        <w:numPr>
          <w:ilvl w:val="0"/>
          <w:numId w:val="2"/>
        </w:numPr>
        <w:ind w:leftChars="0"/>
        <w:rPr>
          <w:rFonts w:ascii="Times New Roman" w:hAnsi="Times New Roman"/>
          <w:b/>
          <w:bCs/>
          <w:sz w:val="24"/>
        </w:rPr>
      </w:pPr>
      <w:r w:rsidRPr="00927D4E">
        <w:rPr>
          <w:rFonts w:ascii="Times New Roman" w:hAnsi="Times New Roman" w:hint="eastAsia"/>
          <w:b/>
          <w:bCs/>
          <w:sz w:val="24"/>
        </w:rPr>
        <w:t>T</w:t>
      </w:r>
      <w:r w:rsidRPr="00927D4E">
        <w:rPr>
          <w:rFonts w:ascii="Times New Roman" w:hAnsi="Times New Roman"/>
          <w:b/>
          <w:bCs/>
          <w:sz w:val="24"/>
        </w:rPr>
        <w:t xml:space="preserve">he </w:t>
      </w:r>
      <w:r w:rsidR="00874553">
        <w:rPr>
          <w:rFonts w:ascii="Times New Roman" w:hAnsi="Times New Roman"/>
          <w:b/>
          <w:bCs/>
          <w:sz w:val="24"/>
        </w:rPr>
        <w:t>R</w:t>
      </w:r>
      <w:r w:rsidRPr="00927D4E">
        <w:rPr>
          <w:rFonts w:ascii="Times New Roman" w:hAnsi="Times New Roman"/>
          <w:b/>
          <w:bCs/>
          <w:sz w:val="24"/>
        </w:rPr>
        <w:t xml:space="preserve">equirement of </w:t>
      </w:r>
      <w:r w:rsidR="00874553">
        <w:rPr>
          <w:rFonts w:ascii="Times New Roman" w:hAnsi="Times New Roman"/>
          <w:b/>
          <w:bCs/>
          <w:sz w:val="24"/>
        </w:rPr>
        <w:t>O</w:t>
      </w:r>
      <w:r w:rsidRPr="00927D4E">
        <w:rPr>
          <w:rFonts w:ascii="Times New Roman" w:hAnsi="Times New Roman"/>
          <w:b/>
          <w:bCs/>
          <w:sz w:val="24"/>
        </w:rPr>
        <w:t>rganization under Article 4</w:t>
      </w:r>
      <w:proofErr w:type="gramStart"/>
      <w:r w:rsidRPr="00927D4E">
        <w:rPr>
          <w:rFonts w:ascii="Times New Roman" w:hAnsi="Times New Roman"/>
          <w:b/>
          <w:bCs/>
          <w:sz w:val="24"/>
        </w:rPr>
        <w:t>A(</w:t>
      </w:r>
      <w:proofErr w:type="gramEnd"/>
      <w:r w:rsidRPr="00927D4E">
        <w:rPr>
          <w:rFonts w:ascii="Times New Roman" w:hAnsi="Times New Roman"/>
          <w:b/>
          <w:bCs/>
          <w:sz w:val="24"/>
        </w:rPr>
        <w:t xml:space="preserve">2) </w:t>
      </w:r>
      <w:r w:rsidR="00874553">
        <w:rPr>
          <w:rFonts w:ascii="Times New Roman" w:hAnsi="Times New Roman"/>
          <w:b/>
          <w:bCs/>
          <w:sz w:val="24"/>
        </w:rPr>
        <w:t xml:space="preserve">of the </w:t>
      </w:r>
      <w:r w:rsidR="001D7ED3">
        <w:rPr>
          <w:rFonts w:ascii="Times New Roman" w:hAnsi="Times New Roman"/>
          <w:b/>
          <w:bCs/>
          <w:sz w:val="24"/>
        </w:rPr>
        <w:t>Geneva Convention</w:t>
      </w:r>
      <w:r w:rsidRPr="00927D4E">
        <w:rPr>
          <w:rFonts w:ascii="Times New Roman" w:hAnsi="Times New Roman"/>
          <w:b/>
          <w:bCs/>
          <w:sz w:val="24"/>
        </w:rPr>
        <w:t xml:space="preserve"> III</w:t>
      </w:r>
    </w:p>
    <w:p w14:paraId="4ED78139" w14:textId="4E51FD5D" w:rsidR="00BB37F5" w:rsidRDefault="00BB37F5" w:rsidP="00BB37F5">
      <w:pPr>
        <w:rPr>
          <w:rFonts w:ascii="Times New Roman" w:hAnsi="Times New Roman"/>
          <w:sz w:val="24"/>
        </w:rPr>
      </w:pPr>
      <w:r w:rsidRPr="00BB37F5">
        <w:rPr>
          <w:rFonts w:ascii="Times New Roman" w:hAnsi="Times New Roman"/>
          <w:sz w:val="24"/>
        </w:rPr>
        <w:t xml:space="preserve">In situations of an international armed conflict (IAC), the requirement of organization is </w:t>
      </w:r>
      <w:r>
        <w:rPr>
          <w:rFonts w:ascii="Times New Roman" w:hAnsi="Times New Roman"/>
          <w:sz w:val="24"/>
        </w:rPr>
        <w:t xml:space="preserve">implicit for all the </w:t>
      </w:r>
      <w:r w:rsidRPr="00BB37F5">
        <w:rPr>
          <w:rFonts w:ascii="Times New Roman" w:hAnsi="Times New Roman"/>
          <w:sz w:val="24"/>
        </w:rPr>
        <w:t xml:space="preserve">irregular/independent armed groups </w:t>
      </w:r>
      <w:r>
        <w:rPr>
          <w:rFonts w:ascii="Times New Roman" w:hAnsi="Times New Roman"/>
          <w:sz w:val="24"/>
        </w:rPr>
        <w:t xml:space="preserve">that aspire to be </w:t>
      </w:r>
      <w:r w:rsidRPr="00BB37F5">
        <w:rPr>
          <w:rFonts w:ascii="Times New Roman" w:hAnsi="Times New Roman"/>
          <w:sz w:val="24"/>
        </w:rPr>
        <w:t>covered by Article 4</w:t>
      </w:r>
      <w:proofErr w:type="gramStart"/>
      <w:r w:rsidRPr="00BB37F5">
        <w:rPr>
          <w:rFonts w:ascii="Times New Roman" w:hAnsi="Times New Roman"/>
          <w:sz w:val="24"/>
        </w:rPr>
        <w:t>A(</w:t>
      </w:r>
      <w:proofErr w:type="gramEnd"/>
      <w:r w:rsidRPr="00BB37F5">
        <w:rPr>
          <w:rFonts w:ascii="Times New Roman" w:hAnsi="Times New Roman"/>
          <w:sz w:val="24"/>
        </w:rPr>
        <w:t>2) of the Third Geneva Convention. This is part of the conditions to be fulfilled for enabling their members to claim the prisoners of war (POW) status in case of capture.</w:t>
      </w:r>
      <w:r w:rsidRPr="004D235F">
        <w:rPr>
          <w:rStyle w:val="a5"/>
          <w:rFonts w:ascii="Times New Roman" w:hAnsi="Times New Roman"/>
          <w:sz w:val="24"/>
        </w:rPr>
        <w:footnoteReference w:id="5"/>
      </w:r>
      <w:r w:rsidRPr="00BB37F5">
        <w:rPr>
          <w:rFonts w:ascii="Times New Roman" w:hAnsi="Times New Roman"/>
          <w:sz w:val="24"/>
        </w:rPr>
        <w:t xml:space="preserve"> For the independent armed groups that are desirous of assuring their members’ POW status, it is </w:t>
      </w:r>
      <w:r>
        <w:rPr>
          <w:rFonts w:ascii="Times New Roman" w:hAnsi="Times New Roman"/>
          <w:sz w:val="24"/>
        </w:rPr>
        <w:t>essential</w:t>
      </w:r>
      <w:r w:rsidRPr="00BB37F5">
        <w:rPr>
          <w:rFonts w:ascii="Times New Roman" w:hAnsi="Times New Roman"/>
          <w:sz w:val="24"/>
        </w:rPr>
        <w:t xml:space="preserve"> to </w:t>
      </w:r>
      <w:r>
        <w:rPr>
          <w:rFonts w:ascii="Times New Roman" w:hAnsi="Times New Roman"/>
          <w:sz w:val="24"/>
        </w:rPr>
        <w:t>demonstrate</w:t>
      </w:r>
      <w:r w:rsidRPr="00BB37F5">
        <w:rPr>
          <w:rFonts w:ascii="Times New Roman" w:hAnsi="Times New Roman"/>
          <w:sz w:val="24"/>
        </w:rPr>
        <w:t xml:space="preserve"> the hallmarks of </w:t>
      </w:r>
      <w:r w:rsidR="00FB52D1">
        <w:rPr>
          <w:rFonts w:ascii="Times New Roman" w:hAnsi="Times New Roman"/>
          <w:sz w:val="24"/>
        </w:rPr>
        <w:t xml:space="preserve">a </w:t>
      </w:r>
      <w:r w:rsidRPr="00BB37F5">
        <w:rPr>
          <w:rFonts w:ascii="Times New Roman" w:hAnsi="Times New Roman"/>
          <w:sz w:val="24"/>
        </w:rPr>
        <w:t xml:space="preserve">military organization. </w:t>
      </w:r>
      <w:r>
        <w:rPr>
          <w:rFonts w:ascii="Times New Roman" w:hAnsi="Times New Roman"/>
          <w:sz w:val="24"/>
        </w:rPr>
        <w:t>This can be done by showing</w:t>
      </w:r>
      <w:r w:rsidRPr="00BB37F5">
        <w:rPr>
          <w:rFonts w:ascii="Times New Roman" w:hAnsi="Times New Roman"/>
          <w:sz w:val="24"/>
        </w:rPr>
        <w:t xml:space="preserve"> that its members should be able to ‘act within a hierarchical framework, embedded in discipline’ while ‘subject to supervision by upper echelons to whom the subordinate units in the field report’.</w:t>
      </w:r>
      <w:r w:rsidRPr="004D235F">
        <w:rPr>
          <w:rStyle w:val="a5"/>
          <w:rFonts w:ascii="Times New Roman" w:hAnsi="Times New Roman"/>
          <w:sz w:val="24"/>
        </w:rPr>
        <w:footnoteReference w:id="6"/>
      </w:r>
      <w:r w:rsidRPr="00BB37F5">
        <w:rPr>
          <w:rFonts w:ascii="Times New Roman" w:hAnsi="Times New Roman"/>
          <w:sz w:val="24"/>
        </w:rPr>
        <w:t xml:space="preserve"> </w:t>
      </w:r>
    </w:p>
    <w:p w14:paraId="2B11EDCF" w14:textId="77777777" w:rsidR="00BB37F5" w:rsidRDefault="00BB37F5" w:rsidP="00BB37F5">
      <w:pPr>
        <w:rPr>
          <w:rFonts w:ascii="Times New Roman" w:hAnsi="Times New Roman"/>
          <w:sz w:val="24"/>
        </w:rPr>
      </w:pPr>
    </w:p>
    <w:p w14:paraId="5ECBCE0E" w14:textId="1B45017A" w:rsidR="00BB37F5" w:rsidRPr="00BB37F5" w:rsidRDefault="00C90539" w:rsidP="00BB37F5">
      <w:pPr>
        <w:rPr>
          <w:rFonts w:ascii="Times New Roman" w:hAnsi="Times New Roman"/>
          <w:sz w:val="24"/>
        </w:rPr>
      </w:pPr>
      <w:r>
        <w:rPr>
          <w:rFonts w:ascii="Times New Roman" w:hAnsi="Times New Roman"/>
          <w:sz w:val="24"/>
        </w:rPr>
        <w:t xml:space="preserve">At </w:t>
      </w:r>
      <w:r w:rsidR="00C27DB9" w:rsidRPr="004D235F">
        <w:rPr>
          <w:rFonts w:ascii="Times New Roman" w:hAnsi="Times New Roman"/>
          <w:sz w:val="24"/>
        </w:rPr>
        <w:t>the 1949 Diplomatic Conference, the</w:t>
      </w:r>
      <w:r w:rsidR="00C27DB9">
        <w:rPr>
          <w:rFonts w:ascii="Times New Roman" w:hAnsi="Times New Roman"/>
          <w:sz w:val="24"/>
        </w:rPr>
        <w:t xml:space="preserve">re </w:t>
      </w:r>
      <w:r w:rsidR="00543729">
        <w:rPr>
          <w:rFonts w:ascii="Times New Roman" w:hAnsi="Times New Roman"/>
          <w:sz w:val="24"/>
        </w:rPr>
        <w:t>were</w:t>
      </w:r>
      <w:r w:rsidR="00C27DB9">
        <w:rPr>
          <w:rFonts w:ascii="Times New Roman" w:hAnsi="Times New Roman"/>
          <w:sz w:val="24"/>
        </w:rPr>
        <w:t xml:space="preserve"> only</w:t>
      </w:r>
      <w:r w:rsidR="00C27DB9" w:rsidRPr="004D235F">
        <w:rPr>
          <w:rFonts w:ascii="Times New Roman" w:hAnsi="Times New Roman"/>
          <w:sz w:val="24"/>
        </w:rPr>
        <w:t xml:space="preserve"> sparse discussion</w:t>
      </w:r>
      <w:r w:rsidR="00C27DB9">
        <w:rPr>
          <w:rFonts w:ascii="Times New Roman" w:hAnsi="Times New Roman"/>
          <w:sz w:val="24"/>
        </w:rPr>
        <w:t>s</w:t>
      </w:r>
      <w:r w:rsidR="00C27DB9" w:rsidRPr="004D235F">
        <w:rPr>
          <w:rFonts w:ascii="Times New Roman" w:hAnsi="Times New Roman"/>
          <w:sz w:val="24"/>
        </w:rPr>
        <w:t xml:space="preserve"> on this requirement</w:t>
      </w:r>
      <w:r w:rsidR="00C27DB9">
        <w:rPr>
          <w:rFonts w:ascii="Times New Roman" w:hAnsi="Times New Roman"/>
          <w:sz w:val="24"/>
        </w:rPr>
        <w:t>. There was no proposal for</w:t>
      </w:r>
      <w:r w:rsidR="00C27DB9" w:rsidRPr="004D235F">
        <w:rPr>
          <w:rFonts w:ascii="Times New Roman" w:hAnsi="Times New Roman"/>
          <w:sz w:val="24"/>
        </w:rPr>
        <w:t xml:space="preserve"> </w:t>
      </w:r>
      <w:r w:rsidR="00C27DB9">
        <w:rPr>
          <w:rFonts w:ascii="Times New Roman" w:hAnsi="Times New Roman"/>
          <w:sz w:val="24"/>
        </w:rPr>
        <w:t xml:space="preserve">any </w:t>
      </w:r>
      <w:r w:rsidR="00C27DB9" w:rsidRPr="004D235F">
        <w:rPr>
          <w:rFonts w:ascii="Times New Roman" w:hAnsi="Times New Roman"/>
          <w:sz w:val="24"/>
        </w:rPr>
        <w:t xml:space="preserve">specific element of organization with which insurgents </w:t>
      </w:r>
      <w:r w:rsidR="00C27DB9">
        <w:rPr>
          <w:rFonts w:ascii="Times New Roman" w:hAnsi="Times New Roman"/>
          <w:sz w:val="24"/>
        </w:rPr>
        <w:t xml:space="preserve">would </w:t>
      </w:r>
      <w:r w:rsidR="00E375E5">
        <w:rPr>
          <w:rFonts w:ascii="Times New Roman" w:hAnsi="Times New Roman"/>
          <w:sz w:val="24"/>
        </w:rPr>
        <w:t xml:space="preserve">have </w:t>
      </w:r>
      <w:r w:rsidR="00C27DB9" w:rsidRPr="004D235F">
        <w:rPr>
          <w:rFonts w:ascii="Times New Roman" w:hAnsi="Times New Roman"/>
          <w:sz w:val="24"/>
        </w:rPr>
        <w:t>to be equipped.</w:t>
      </w:r>
      <w:r w:rsidR="00C27DB9" w:rsidRPr="004D235F">
        <w:rPr>
          <w:rStyle w:val="a5"/>
          <w:rFonts w:ascii="Times New Roman" w:hAnsi="Times New Roman"/>
          <w:sz w:val="24"/>
        </w:rPr>
        <w:footnoteReference w:id="7"/>
      </w:r>
      <w:r w:rsidR="00642DCF">
        <w:rPr>
          <w:rFonts w:ascii="Times New Roman" w:hAnsi="Times New Roman" w:hint="eastAsia"/>
          <w:sz w:val="24"/>
        </w:rPr>
        <w:t xml:space="preserve"> </w:t>
      </w:r>
      <w:r w:rsidR="00C27DB9">
        <w:rPr>
          <w:rFonts w:ascii="Times New Roman" w:hAnsi="Times New Roman"/>
          <w:sz w:val="24"/>
        </w:rPr>
        <w:t>Likewise, in the post-1949 doctrines and case-</w:t>
      </w:r>
      <w:r w:rsidR="00C27DB9">
        <w:rPr>
          <w:rFonts w:ascii="Times New Roman" w:hAnsi="Times New Roman"/>
          <w:sz w:val="24"/>
        </w:rPr>
        <w:lastRenderedPageBreak/>
        <w:t xml:space="preserve">law, there </w:t>
      </w:r>
      <w:r w:rsidR="00642DCF">
        <w:rPr>
          <w:rFonts w:ascii="Times New Roman" w:hAnsi="Times New Roman"/>
          <w:sz w:val="24"/>
        </w:rPr>
        <w:t xml:space="preserve">has been </w:t>
      </w:r>
      <w:r w:rsidR="00C27DB9" w:rsidRPr="004D235F">
        <w:rPr>
          <w:rFonts w:ascii="Times New Roman" w:hAnsi="Times New Roman"/>
          <w:sz w:val="24"/>
        </w:rPr>
        <w:t xml:space="preserve">shortage of discussions on this requirement under Article 4A(2) </w:t>
      </w:r>
      <w:r w:rsidR="001D7ED3">
        <w:rPr>
          <w:rFonts w:ascii="Times New Roman" w:hAnsi="Times New Roman"/>
          <w:sz w:val="24"/>
        </w:rPr>
        <w:t>of the Geneva Convention</w:t>
      </w:r>
      <w:r w:rsidR="00C27DB9" w:rsidRPr="004D235F">
        <w:rPr>
          <w:rFonts w:ascii="Times New Roman" w:hAnsi="Times New Roman"/>
          <w:sz w:val="24"/>
        </w:rPr>
        <w:t xml:space="preserve"> III</w:t>
      </w:r>
      <w:r w:rsidR="00C27DB9">
        <w:rPr>
          <w:rFonts w:ascii="Times New Roman" w:hAnsi="Times New Roman"/>
          <w:sz w:val="24"/>
        </w:rPr>
        <w:t>.</w:t>
      </w:r>
      <w:r w:rsidR="00E375E5" w:rsidRPr="004D235F">
        <w:rPr>
          <w:rStyle w:val="a5"/>
          <w:rFonts w:ascii="Times New Roman" w:hAnsi="Times New Roman"/>
          <w:bCs/>
          <w:sz w:val="24"/>
        </w:rPr>
        <w:footnoteReference w:id="8"/>
      </w:r>
      <w:r w:rsidR="00C27DB9">
        <w:rPr>
          <w:rFonts w:ascii="Times New Roman" w:hAnsi="Times New Roman"/>
          <w:sz w:val="24"/>
        </w:rPr>
        <w:t xml:space="preserve"> </w:t>
      </w:r>
      <w:r>
        <w:rPr>
          <w:rFonts w:ascii="Times New Roman" w:hAnsi="Times New Roman"/>
          <w:sz w:val="24"/>
        </w:rPr>
        <w:t>The</w:t>
      </w:r>
      <w:r w:rsidR="00642DCF">
        <w:rPr>
          <w:rFonts w:ascii="Times New Roman" w:hAnsi="Times New Roman"/>
          <w:sz w:val="24"/>
        </w:rPr>
        <w:t xml:space="preserve"> </w:t>
      </w:r>
      <w:r w:rsidR="00642DCF" w:rsidRPr="00BB37F5">
        <w:rPr>
          <w:rFonts w:ascii="Times New Roman" w:hAnsi="Times New Roman"/>
          <w:sz w:val="24"/>
        </w:rPr>
        <w:t xml:space="preserve">paucity of discussions </w:t>
      </w:r>
      <w:r w:rsidR="00642DCF">
        <w:rPr>
          <w:rFonts w:ascii="Times New Roman" w:hAnsi="Times New Roman"/>
          <w:sz w:val="24"/>
        </w:rPr>
        <w:t xml:space="preserve">in the case-law and the literature in relation </w:t>
      </w:r>
      <w:r w:rsidR="00642DCF" w:rsidRPr="00BB37F5">
        <w:rPr>
          <w:rFonts w:ascii="Times New Roman" w:hAnsi="Times New Roman"/>
          <w:sz w:val="24"/>
        </w:rPr>
        <w:t>to this requirement</w:t>
      </w:r>
      <w:r w:rsidR="00E375E5" w:rsidRPr="004D235F">
        <w:rPr>
          <w:rStyle w:val="a5"/>
          <w:rFonts w:ascii="Times New Roman" w:hAnsi="Times New Roman"/>
          <w:sz w:val="24"/>
        </w:rPr>
        <w:footnoteReference w:id="9"/>
      </w:r>
      <w:r w:rsidR="00642DCF">
        <w:rPr>
          <w:rFonts w:ascii="Times New Roman" w:hAnsi="Times New Roman"/>
          <w:sz w:val="24"/>
        </w:rPr>
        <w:t xml:space="preserve"> </w:t>
      </w:r>
      <w:r w:rsidR="00BB37F5">
        <w:rPr>
          <w:rFonts w:ascii="Times New Roman" w:hAnsi="Times New Roman"/>
          <w:sz w:val="24"/>
        </w:rPr>
        <w:t xml:space="preserve">presents the starkest contrast to the </w:t>
      </w:r>
      <w:r w:rsidR="003D37E5">
        <w:rPr>
          <w:rFonts w:ascii="Times New Roman" w:hAnsi="Times New Roman"/>
          <w:sz w:val="24"/>
        </w:rPr>
        <w:t xml:space="preserve">luxuriant </w:t>
      </w:r>
      <w:r w:rsidR="00BB37F5">
        <w:rPr>
          <w:rFonts w:ascii="Times New Roman" w:hAnsi="Times New Roman"/>
          <w:sz w:val="24"/>
        </w:rPr>
        <w:t>discussions on the eponymous requirement in NIACs</w:t>
      </w:r>
      <w:r w:rsidR="00E375E5">
        <w:rPr>
          <w:rFonts w:ascii="Times New Roman" w:hAnsi="Times New Roman"/>
          <w:sz w:val="24"/>
        </w:rPr>
        <w:t>, which will be explored below.</w:t>
      </w:r>
    </w:p>
    <w:p w14:paraId="54DC2BB7" w14:textId="77777777" w:rsidR="00BB37F5" w:rsidRPr="00BB37F5" w:rsidRDefault="00BB37F5" w:rsidP="00BB37F5">
      <w:pPr>
        <w:pStyle w:val="ad"/>
        <w:ind w:leftChars="0" w:left="360"/>
        <w:rPr>
          <w:rFonts w:ascii="Times New Roman" w:hAnsi="Times New Roman"/>
          <w:b/>
          <w:bCs/>
          <w:sz w:val="24"/>
        </w:rPr>
      </w:pPr>
    </w:p>
    <w:p w14:paraId="215365F0" w14:textId="75402497" w:rsidR="00DC55BD" w:rsidRPr="00BB37F5" w:rsidRDefault="00136278" w:rsidP="006347AB">
      <w:pPr>
        <w:pStyle w:val="ad"/>
        <w:numPr>
          <w:ilvl w:val="0"/>
          <w:numId w:val="2"/>
        </w:numPr>
        <w:ind w:leftChars="0"/>
        <w:rPr>
          <w:rFonts w:ascii="Times New Roman" w:hAnsi="Times New Roman"/>
          <w:b/>
          <w:bCs/>
          <w:sz w:val="24"/>
        </w:rPr>
      </w:pPr>
      <w:r w:rsidRPr="00BB37F5">
        <w:rPr>
          <w:rFonts w:ascii="Times New Roman" w:hAnsi="Times New Roman"/>
          <w:b/>
          <w:bCs/>
          <w:sz w:val="24"/>
        </w:rPr>
        <w:t>The</w:t>
      </w:r>
      <w:r w:rsidR="00DC55BD" w:rsidRPr="00BB37F5">
        <w:rPr>
          <w:rFonts w:ascii="Times New Roman" w:hAnsi="Times New Roman"/>
          <w:b/>
          <w:bCs/>
          <w:sz w:val="24"/>
        </w:rPr>
        <w:t xml:space="preserve"> </w:t>
      </w:r>
      <w:r w:rsidR="001D7ED3">
        <w:rPr>
          <w:rFonts w:ascii="Times New Roman" w:hAnsi="Times New Roman"/>
          <w:b/>
          <w:bCs/>
          <w:sz w:val="24"/>
        </w:rPr>
        <w:t>R</w:t>
      </w:r>
      <w:r w:rsidR="00DC55BD" w:rsidRPr="00BB37F5">
        <w:rPr>
          <w:rFonts w:ascii="Times New Roman" w:hAnsi="Times New Roman"/>
          <w:b/>
          <w:bCs/>
          <w:sz w:val="24"/>
        </w:rPr>
        <w:t xml:space="preserve">equirement of </w:t>
      </w:r>
      <w:r w:rsidR="001D7ED3">
        <w:rPr>
          <w:rFonts w:ascii="Times New Roman" w:hAnsi="Times New Roman"/>
          <w:b/>
          <w:bCs/>
          <w:sz w:val="24"/>
        </w:rPr>
        <w:t>O</w:t>
      </w:r>
      <w:r w:rsidR="00DC55BD" w:rsidRPr="00BB37F5">
        <w:rPr>
          <w:rFonts w:ascii="Times New Roman" w:hAnsi="Times New Roman"/>
          <w:b/>
          <w:bCs/>
          <w:sz w:val="24"/>
        </w:rPr>
        <w:t>rganization in the IHL of NIACs</w:t>
      </w:r>
      <w:r w:rsidRPr="00BB37F5">
        <w:rPr>
          <w:rFonts w:ascii="Times New Roman" w:hAnsi="Times New Roman"/>
          <w:b/>
          <w:bCs/>
          <w:sz w:val="24"/>
        </w:rPr>
        <w:t xml:space="preserve"> – its </w:t>
      </w:r>
      <w:r w:rsidR="001D7ED3">
        <w:rPr>
          <w:rFonts w:ascii="Times New Roman" w:hAnsi="Times New Roman"/>
          <w:b/>
          <w:bCs/>
          <w:sz w:val="24"/>
        </w:rPr>
        <w:t>N</w:t>
      </w:r>
      <w:r w:rsidRPr="00BB37F5">
        <w:rPr>
          <w:rFonts w:ascii="Times New Roman" w:hAnsi="Times New Roman"/>
          <w:b/>
          <w:bCs/>
          <w:sz w:val="24"/>
        </w:rPr>
        <w:t xml:space="preserve">ature and </w:t>
      </w:r>
      <w:r w:rsidR="001D7ED3">
        <w:rPr>
          <w:rFonts w:ascii="Times New Roman" w:hAnsi="Times New Roman"/>
          <w:b/>
          <w:bCs/>
          <w:sz w:val="24"/>
        </w:rPr>
        <w:t>L</w:t>
      </w:r>
      <w:r w:rsidRPr="00BB37F5">
        <w:rPr>
          <w:rFonts w:ascii="Times New Roman" w:hAnsi="Times New Roman"/>
          <w:b/>
          <w:bCs/>
          <w:sz w:val="24"/>
        </w:rPr>
        <w:t xml:space="preserve">egal </w:t>
      </w:r>
      <w:r w:rsidR="001D7ED3">
        <w:rPr>
          <w:rFonts w:ascii="Times New Roman" w:hAnsi="Times New Roman"/>
          <w:b/>
          <w:bCs/>
          <w:sz w:val="24"/>
        </w:rPr>
        <w:t>B</w:t>
      </w:r>
      <w:r w:rsidRPr="00BB37F5">
        <w:rPr>
          <w:rFonts w:ascii="Times New Roman" w:hAnsi="Times New Roman"/>
          <w:b/>
          <w:bCs/>
          <w:sz w:val="24"/>
        </w:rPr>
        <w:t>asis</w:t>
      </w:r>
    </w:p>
    <w:p w14:paraId="6F772CF9" w14:textId="2E42764B" w:rsidR="00CA528C" w:rsidRDefault="00C90539" w:rsidP="00E01082">
      <w:pPr>
        <w:rPr>
          <w:rFonts w:ascii="Times New Roman" w:hAnsi="Times New Roman"/>
          <w:sz w:val="24"/>
        </w:rPr>
      </w:pPr>
      <w:proofErr w:type="gramStart"/>
      <w:r>
        <w:rPr>
          <w:rFonts w:ascii="Times New Roman" w:hAnsi="Times New Roman"/>
          <w:sz w:val="24"/>
        </w:rPr>
        <w:t>For the purpose of</w:t>
      </w:r>
      <w:proofErr w:type="gramEnd"/>
      <w:r>
        <w:rPr>
          <w:rFonts w:ascii="Times New Roman" w:hAnsi="Times New Roman"/>
          <w:sz w:val="24"/>
        </w:rPr>
        <w:t xml:space="preserve"> undertaking inquiries into </w:t>
      </w:r>
      <w:r w:rsidR="0018631A">
        <w:rPr>
          <w:rFonts w:ascii="Times New Roman" w:hAnsi="Times New Roman"/>
          <w:sz w:val="24"/>
        </w:rPr>
        <w:t xml:space="preserve">the requirement </w:t>
      </w:r>
      <w:r>
        <w:rPr>
          <w:rFonts w:ascii="Times New Roman" w:hAnsi="Times New Roman"/>
          <w:sz w:val="24"/>
        </w:rPr>
        <w:t xml:space="preserve">of organization in </w:t>
      </w:r>
      <w:r w:rsidR="0018631A">
        <w:rPr>
          <w:rFonts w:ascii="Times New Roman" w:hAnsi="Times New Roman"/>
          <w:sz w:val="24"/>
        </w:rPr>
        <w:t>NIACs</w:t>
      </w:r>
      <w:r>
        <w:rPr>
          <w:rFonts w:ascii="Times New Roman" w:hAnsi="Times New Roman"/>
          <w:sz w:val="24"/>
        </w:rPr>
        <w:t xml:space="preserve">, it is essential to start with </w:t>
      </w:r>
      <w:r w:rsidR="00B311D8">
        <w:rPr>
          <w:rFonts w:ascii="Times New Roman" w:hAnsi="Times New Roman"/>
          <w:sz w:val="24"/>
        </w:rPr>
        <w:t xml:space="preserve">common </w:t>
      </w:r>
      <w:r w:rsidR="00CF455C" w:rsidRPr="004D235F">
        <w:rPr>
          <w:rFonts w:ascii="Times New Roman" w:hAnsi="Times New Roman"/>
          <w:sz w:val="24"/>
        </w:rPr>
        <w:t xml:space="preserve">Article 3 </w:t>
      </w:r>
      <w:r w:rsidR="00874553">
        <w:rPr>
          <w:rFonts w:ascii="Times New Roman" w:hAnsi="Times New Roman"/>
          <w:sz w:val="24"/>
        </w:rPr>
        <w:t xml:space="preserve">of the </w:t>
      </w:r>
      <w:r w:rsidR="001D7ED3">
        <w:rPr>
          <w:rFonts w:ascii="Times New Roman" w:hAnsi="Times New Roman"/>
          <w:sz w:val="24"/>
        </w:rPr>
        <w:t>Geneva Convention</w:t>
      </w:r>
      <w:r w:rsidR="00CF455C" w:rsidRPr="004D235F">
        <w:rPr>
          <w:rFonts w:ascii="Times New Roman" w:hAnsi="Times New Roman"/>
          <w:sz w:val="24"/>
        </w:rPr>
        <w:t>s</w:t>
      </w:r>
      <w:r>
        <w:rPr>
          <w:rFonts w:ascii="Times New Roman" w:hAnsi="Times New Roman"/>
          <w:sz w:val="24"/>
        </w:rPr>
        <w:t>. Needless to say, this provision,</w:t>
      </w:r>
      <w:r w:rsidR="00222F22">
        <w:rPr>
          <w:rFonts w:ascii="Times New Roman" w:hAnsi="Times New Roman"/>
          <w:sz w:val="24"/>
        </w:rPr>
        <w:t xml:space="preserve"> </w:t>
      </w:r>
      <w:r w:rsidR="00B311D8">
        <w:rPr>
          <w:rFonts w:ascii="Times New Roman" w:hAnsi="Times New Roman"/>
          <w:sz w:val="24"/>
        </w:rPr>
        <w:t>which has been depicted as ‘the Convention in miniature for conflicts of a non-international character’,</w:t>
      </w:r>
      <w:r w:rsidR="00B311D8">
        <w:rPr>
          <w:rStyle w:val="a5"/>
          <w:rFonts w:ascii="Times New Roman" w:hAnsi="Times New Roman"/>
          <w:sz w:val="24"/>
        </w:rPr>
        <w:footnoteReference w:id="10"/>
      </w:r>
      <w:r w:rsidR="00B311D8">
        <w:rPr>
          <w:rFonts w:ascii="Times New Roman" w:hAnsi="Times New Roman"/>
          <w:sz w:val="24"/>
        </w:rPr>
        <w:t xml:space="preserve"> </w:t>
      </w:r>
      <w:r w:rsidR="00CF455C" w:rsidRPr="004D235F">
        <w:rPr>
          <w:rFonts w:ascii="Times New Roman" w:hAnsi="Times New Roman"/>
          <w:sz w:val="24"/>
        </w:rPr>
        <w:t xml:space="preserve">is </w:t>
      </w:r>
      <w:r w:rsidR="00222F22" w:rsidRPr="004D235F">
        <w:rPr>
          <w:rFonts w:ascii="Times New Roman" w:hAnsi="Times New Roman"/>
          <w:sz w:val="24"/>
        </w:rPr>
        <w:t>expressive of customary IHL</w:t>
      </w:r>
      <w:r w:rsidR="00222F22">
        <w:rPr>
          <w:rFonts w:ascii="Times New Roman" w:hAnsi="Times New Roman"/>
          <w:sz w:val="24"/>
        </w:rPr>
        <w:t>.</w:t>
      </w:r>
      <w:r w:rsidR="00222F22" w:rsidRPr="004D235F">
        <w:rPr>
          <w:rStyle w:val="a5"/>
          <w:rFonts w:ascii="Times New Roman" w:hAnsi="Times New Roman"/>
          <w:sz w:val="24"/>
        </w:rPr>
        <w:footnoteReference w:id="11"/>
      </w:r>
      <w:r w:rsidR="00222F22" w:rsidRPr="004D235F">
        <w:rPr>
          <w:rFonts w:ascii="Times New Roman" w:hAnsi="Times New Roman"/>
          <w:sz w:val="24"/>
        </w:rPr>
        <w:t xml:space="preserve"> </w:t>
      </w:r>
      <w:r>
        <w:rPr>
          <w:rFonts w:ascii="Times New Roman" w:hAnsi="Times New Roman"/>
          <w:sz w:val="24"/>
        </w:rPr>
        <w:t xml:space="preserve">While </w:t>
      </w:r>
      <w:r w:rsidR="00222F22">
        <w:rPr>
          <w:rFonts w:ascii="Times New Roman" w:hAnsi="Times New Roman"/>
          <w:sz w:val="24"/>
        </w:rPr>
        <w:t xml:space="preserve">this provision is </w:t>
      </w:r>
      <w:r w:rsidR="00CF455C" w:rsidRPr="004D235F">
        <w:rPr>
          <w:rFonts w:ascii="Times New Roman" w:hAnsi="Times New Roman"/>
          <w:sz w:val="24"/>
        </w:rPr>
        <w:t>destitute of definitional elements</w:t>
      </w:r>
      <w:r>
        <w:rPr>
          <w:rFonts w:ascii="Times New Roman" w:hAnsi="Times New Roman"/>
          <w:sz w:val="24"/>
        </w:rPr>
        <w:t>,</w:t>
      </w:r>
      <w:r w:rsidR="00CF455C" w:rsidRPr="004D235F">
        <w:rPr>
          <w:rStyle w:val="a5"/>
          <w:rFonts w:ascii="Times New Roman" w:hAnsi="Times New Roman"/>
          <w:sz w:val="24"/>
        </w:rPr>
        <w:footnoteReference w:id="12"/>
      </w:r>
      <w:r w:rsidR="00CF455C" w:rsidRPr="004D235F">
        <w:rPr>
          <w:rFonts w:ascii="Times New Roman" w:hAnsi="Times New Roman"/>
          <w:sz w:val="24"/>
        </w:rPr>
        <w:t xml:space="preserve"> </w:t>
      </w:r>
      <w:r w:rsidR="00CA528C">
        <w:rPr>
          <w:rFonts w:ascii="Times New Roman" w:hAnsi="Times New Roman"/>
          <w:sz w:val="24"/>
        </w:rPr>
        <w:t xml:space="preserve">it is generally understood that </w:t>
      </w:r>
      <w:r w:rsidR="00A7412A">
        <w:rPr>
          <w:rFonts w:ascii="Times New Roman" w:hAnsi="Times New Roman"/>
          <w:sz w:val="24"/>
        </w:rPr>
        <w:t>both the</w:t>
      </w:r>
      <w:r w:rsidR="00CA528C">
        <w:rPr>
          <w:rFonts w:ascii="Times New Roman" w:hAnsi="Times New Roman"/>
          <w:sz w:val="24"/>
        </w:rPr>
        <w:t xml:space="preserve"> minimum level of organization </w:t>
      </w:r>
      <w:r w:rsidR="00A7412A">
        <w:rPr>
          <w:rFonts w:ascii="Times New Roman" w:hAnsi="Times New Roman"/>
          <w:sz w:val="24"/>
        </w:rPr>
        <w:t xml:space="preserve">of an armed group </w:t>
      </w:r>
      <w:r w:rsidR="00CA528C">
        <w:rPr>
          <w:rFonts w:ascii="Times New Roman" w:hAnsi="Times New Roman"/>
          <w:sz w:val="24"/>
        </w:rPr>
        <w:t xml:space="preserve">and </w:t>
      </w:r>
      <w:r w:rsidR="00A7412A">
        <w:rPr>
          <w:rFonts w:ascii="Times New Roman" w:hAnsi="Times New Roman"/>
          <w:sz w:val="24"/>
        </w:rPr>
        <w:t xml:space="preserve">the </w:t>
      </w:r>
      <w:r w:rsidR="00CA528C">
        <w:rPr>
          <w:rFonts w:ascii="Times New Roman" w:hAnsi="Times New Roman"/>
          <w:sz w:val="24"/>
        </w:rPr>
        <w:t xml:space="preserve">intensity of fighting are the common accepted criteria for ascertaining a NIAC under </w:t>
      </w:r>
      <w:r w:rsidR="00305DC3">
        <w:rPr>
          <w:rFonts w:ascii="Times New Roman" w:hAnsi="Times New Roman"/>
          <w:sz w:val="24"/>
        </w:rPr>
        <w:t xml:space="preserve">this provision and </w:t>
      </w:r>
      <w:r w:rsidR="00CA528C">
        <w:rPr>
          <w:rFonts w:ascii="Times New Roman" w:hAnsi="Times New Roman"/>
          <w:sz w:val="24"/>
        </w:rPr>
        <w:t xml:space="preserve">customary </w:t>
      </w:r>
      <w:r w:rsidR="00305DC3">
        <w:rPr>
          <w:rFonts w:ascii="Times New Roman" w:hAnsi="Times New Roman"/>
          <w:sz w:val="24"/>
        </w:rPr>
        <w:t>IHL</w:t>
      </w:r>
      <w:r w:rsidR="00CA528C">
        <w:rPr>
          <w:rFonts w:ascii="Times New Roman" w:hAnsi="Times New Roman"/>
          <w:sz w:val="24"/>
        </w:rPr>
        <w:t>.</w:t>
      </w:r>
      <w:r w:rsidR="00CA528C">
        <w:rPr>
          <w:rStyle w:val="a5"/>
          <w:rFonts w:ascii="Times New Roman" w:hAnsi="Times New Roman"/>
          <w:sz w:val="24"/>
        </w:rPr>
        <w:footnoteReference w:id="13"/>
      </w:r>
    </w:p>
    <w:p w14:paraId="4380F903" w14:textId="77777777" w:rsidR="00CA528C" w:rsidRPr="00A7412A" w:rsidRDefault="00CA528C" w:rsidP="00E01082">
      <w:pPr>
        <w:rPr>
          <w:rFonts w:ascii="Times New Roman" w:hAnsi="Times New Roman"/>
          <w:sz w:val="24"/>
        </w:rPr>
      </w:pPr>
    </w:p>
    <w:p w14:paraId="543975E7" w14:textId="13BF18C6" w:rsidR="006703DA" w:rsidRDefault="00C90539" w:rsidP="00E01082">
      <w:pPr>
        <w:rPr>
          <w:rFonts w:ascii="Times New Roman" w:hAnsi="Times New Roman"/>
          <w:sz w:val="24"/>
        </w:rPr>
      </w:pPr>
      <w:r>
        <w:rPr>
          <w:rFonts w:ascii="Times New Roman" w:hAnsi="Times New Roman"/>
          <w:sz w:val="24"/>
        </w:rPr>
        <w:t xml:space="preserve">Under this provision, </w:t>
      </w:r>
      <w:r w:rsidR="00A7412A">
        <w:rPr>
          <w:rFonts w:ascii="Times New Roman" w:hAnsi="Times New Roman"/>
          <w:sz w:val="24"/>
        </w:rPr>
        <w:t xml:space="preserve">this requirement can </w:t>
      </w:r>
      <w:r w:rsidR="00016816">
        <w:rPr>
          <w:rFonts w:ascii="Times New Roman" w:hAnsi="Times New Roman"/>
          <w:sz w:val="24"/>
        </w:rPr>
        <w:t xml:space="preserve">be </w:t>
      </w:r>
      <w:r>
        <w:rPr>
          <w:rFonts w:ascii="Times New Roman" w:hAnsi="Times New Roman"/>
          <w:sz w:val="24"/>
        </w:rPr>
        <w:t>read</w:t>
      </w:r>
      <w:r w:rsidR="00016816">
        <w:rPr>
          <w:rFonts w:ascii="Times New Roman" w:hAnsi="Times New Roman"/>
          <w:sz w:val="24"/>
        </w:rPr>
        <w:t xml:space="preserve"> in </w:t>
      </w:r>
      <w:r w:rsidR="00A7412A">
        <w:rPr>
          <w:rFonts w:ascii="Times New Roman" w:hAnsi="Times New Roman"/>
          <w:sz w:val="24"/>
        </w:rPr>
        <w:t>th</w:t>
      </w:r>
      <w:r w:rsidR="00683851" w:rsidRPr="004D235F">
        <w:rPr>
          <w:rFonts w:ascii="Times New Roman" w:hAnsi="Times New Roman"/>
          <w:sz w:val="24"/>
        </w:rPr>
        <w:t>e</w:t>
      </w:r>
      <w:r w:rsidR="00DE039F" w:rsidRPr="004D235F">
        <w:rPr>
          <w:rFonts w:ascii="Times New Roman" w:hAnsi="Times New Roman"/>
          <w:sz w:val="24"/>
        </w:rPr>
        <w:t xml:space="preserve"> </w:t>
      </w:r>
      <w:r w:rsidR="00CF455C" w:rsidRPr="004D235F">
        <w:rPr>
          <w:rFonts w:ascii="Times New Roman" w:hAnsi="Times New Roman"/>
          <w:sz w:val="24"/>
        </w:rPr>
        <w:t>expression ‘each Party to the conflict’</w:t>
      </w:r>
      <w:r w:rsidR="00A7412A">
        <w:rPr>
          <w:rFonts w:ascii="Times New Roman" w:hAnsi="Times New Roman"/>
          <w:sz w:val="24"/>
        </w:rPr>
        <w:t>.</w:t>
      </w:r>
      <w:r w:rsidR="00DE039F" w:rsidRPr="004D235F">
        <w:rPr>
          <w:rFonts w:ascii="Times New Roman" w:hAnsi="Times New Roman"/>
          <w:sz w:val="24"/>
        </w:rPr>
        <w:t xml:space="preserve"> </w:t>
      </w:r>
      <w:r w:rsidR="00543729">
        <w:rPr>
          <w:rFonts w:ascii="Times New Roman" w:hAnsi="Times New Roman"/>
          <w:sz w:val="24"/>
        </w:rPr>
        <w:t xml:space="preserve">Clearly, </w:t>
      </w:r>
      <w:r w:rsidR="00A7412A">
        <w:rPr>
          <w:rFonts w:ascii="Times New Roman" w:hAnsi="Times New Roman"/>
          <w:sz w:val="24"/>
        </w:rPr>
        <w:t xml:space="preserve">this expression </w:t>
      </w:r>
      <w:r w:rsidR="00CF455C" w:rsidRPr="004D235F">
        <w:rPr>
          <w:rFonts w:ascii="Times New Roman" w:hAnsi="Times New Roman"/>
          <w:sz w:val="24"/>
        </w:rPr>
        <w:t xml:space="preserve">presupposes the </w:t>
      </w:r>
      <w:r w:rsidR="00F17CA5" w:rsidRPr="004D235F">
        <w:rPr>
          <w:rFonts w:ascii="Times New Roman" w:hAnsi="Times New Roman"/>
          <w:sz w:val="24"/>
        </w:rPr>
        <w:t>presence</w:t>
      </w:r>
      <w:r w:rsidR="00CF455C" w:rsidRPr="004D235F">
        <w:rPr>
          <w:rFonts w:ascii="Times New Roman" w:hAnsi="Times New Roman"/>
          <w:sz w:val="24"/>
        </w:rPr>
        <w:t xml:space="preserve"> of the parties </w:t>
      </w:r>
      <w:r w:rsidR="002E3896">
        <w:rPr>
          <w:rFonts w:ascii="Times New Roman" w:hAnsi="Times New Roman"/>
          <w:sz w:val="24"/>
        </w:rPr>
        <w:t xml:space="preserve">or some armed </w:t>
      </w:r>
      <w:r w:rsidR="002E3896">
        <w:rPr>
          <w:rFonts w:ascii="Times New Roman" w:hAnsi="Times New Roman"/>
          <w:sz w:val="24"/>
        </w:rPr>
        <w:lastRenderedPageBreak/>
        <w:t xml:space="preserve">organized entities </w:t>
      </w:r>
      <w:r w:rsidR="00171378">
        <w:rPr>
          <w:rFonts w:ascii="Times New Roman" w:hAnsi="Times New Roman"/>
          <w:sz w:val="24"/>
        </w:rPr>
        <w:t xml:space="preserve">that are </w:t>
      </w:r>
      <w:r w:rsidR="00571268">
        <w:rPr>
          <w:rFonts w:ascii="Times New Roman" w:hAnsi="Times New Roman"/>
          <w:sz w:val="24"/>
        </w:rPr>
        <w:t>at variance with each other</w:t>
      </w:r>
      <w:r w:rsidR="00CF455C" w:rsidRPr="004D235F">
        <w:rPr>
          <w:rFonts w:ascii="Times New Roman" w:hAnsi="Times New Roman"/>
          <w:sz w:val="24"/>
        </w:rPr>
        <w:t>.</w:t>
      </w:r>
      <w:r w:rsidR="00CF455C" w:rsidRPr="004D235F">
        <w:rPr>
          <w:rStyle w:val="a5"/>
          <w:rFonts w:ascii="Times New Roman" w:hAnsi="Times New Roman"/>
          <w:sz w:val="24"/>
        </w:rPr>
        <w:footnoteReference w:id="14"/>
      </w:r>
      <w:r w:rsidR="00CF455C" w:rsidRPr="004D235F">
        <w:rPr>
          <w:rFonts w:ascii="Times New Roman" w:hAnsi="Times New Roman"/>
          <w:sz w:val="24"/>
        </w:rPr>
        <w:t xml:space="preserve"> </w:t>
      </w:r>
      <w:r w:rsidR="008549F9">
        <w:rPr>
          <w:rFonts w:ascii="Times New Roman" w:hAnsi="Times New Roman"/>
          <w:sz w:val="24"/>
        </w:rPr>
        <w:t>As understood in the doctrine,</w:t>
      </w:r>
      <w:r w:rsidR="008549F9">
        <w:rPr>
          <w:rStyle w:val="a5"/>
          <w:rFonts w:ascii="Times New Roman" w:hAnsi="Times New Roman"/>
          <w:sz w:val="24"/>
        </w:rPr>
        <w:footnoteReference w:id="15"/>
      </w:r>
      <w:r w:rsidR="008549F9">
        <w:rPr>
          <w:rFonts w:ascii="Times New Roman" w:hAnsi="Times New Roman"/>
          <w:sz w:val="24"/>
        </w:rPr>
        <w:t xml:space="preserve"> it</w:t>
      </w:r>
      <w:r w:rsidR="00F413DE" w:rsidRPr="004D235F">
        <w:rPr>
          <w:rFonts w:ascii="Times New Roman" w:hAnsi="Times New Roman"/>
          <w:sz w:val="24"/>
        </w:rPr>
        <w:t xml:space="preserve"> is reasonable that the question if an insurgent can be said to be a ‘party’ should be </w:t>
      </w:r>
      <w:r w:rsidR="00171378" w:rsidRPr="006703DA">
        <w:rPr>
          <w:rFonts w:ascii="Times New Roman" w:hAnsi="Times New Roman"/>
          <w:i/>
          <w:iCs/>
          <w:sz w:val="24"/>
        </w:rPr>
        <w:t>generally</w:t>
      </w:r>
      <w:r w:rsidR="00171378">
        <w:rPr>
          <w:rFonts w:ascii="Times New Roman" w:hAnsi="Times New Roman"/>
          <w:sz w:val="24"/>
        </w:rPr>
        <w:t xml:space="preserve"> </w:t>
      </w:r>
      <w:r w:rsidR="00F413DE" w:rsidRPr="004D235F">
        <w:rPr>
          <w:rFonts w:ascii="Times New Roman" w:hAnsi="Times New Roman"/>
          <w:sz w:val="24"/>
        </w:rPr>
        <w:t>measured on the basis of the ‘objective’ elements of its organization.</w:t>
      </w:r>
      <w:r w:rsidR="00F413DE" w:rsidRPr="004D235F">
        <w:rPr>
          <w:rStyle w:val="a5"/>
          <w:rFonts w:ascii="Times New Roman" w:hAnsi="Times New Roman"/>
          <w:sz w:val="24"/>
        </w:rPr>
        <w:footnoteReference w:id="16"/>
      </w:r>
      <w:r w:rsidR="00F413DE" w:rsidRPr="004D235F">
        <w:rPr>
          <w:rFonts w:ascii="Times New Roman" w:hAnsi="Times New Roman"/>
          <w:sz w:val="24"/>
        </w:rPr>
        <w:t xml:space="preserve"> </w:t>
      </w:r>
      <w:r w:rsidR="00874553">
        <w:rPr>
          <w:rFonts w:ascii="Times New Roman" w:hAnsi="Times New Roman"/>
          <w:sz w:val="24"/>
        </w:rPr>
        <w:t xml:space="preserve">The </w:t>
      </w:r>
      <w:r w:rsidR="00F413DE" w:rsidRPr="004D235F">
        <w:rPr>
          <w:rFonts w:ascii="Times New Roman" w:hAnsi="Times New Roman"/>
          <w:sz w:val="24"/>
        </w:rPr>
        <w:t xml:space="preserve">Trial Chamber </w:t>
      </w:r>
      <w:r w:rsidR="00F40DD3">
        <w:rPr>
          <w:rFonts w:ascii="Times New Roman" w:hAnsi="Times New Roman"/>
          <w:sz w:val="24"/>
        </w:rPr>
        <w:t xml:space="preserve">of the International Criminal Tribunal for the former Yugoslavia (ICTY) </w:t>
      </w:r>
      <w:r w:rsidR="00F413DE" w:rsidRPr="004D235F">
        <w:rPr>
          <w:rFonts w:ascii="Times New Roman" w:hAnsi="Times New Roman"/>
          <w:sz w:val="24"/>
        </w:rPr>
        <w:t xml:space="preserve">in </w:t>
      </w:r>
      <w:proofErr w:type="spellStart"/>
      <w:r w:rsidR="00F413DE" w:rsidRPr="004D235F">
        <w:rPr>
          <w:rFonts w:ascii="Times New Roman" w:hAnsi="Times New Roman"/>
          <w:i/>
          <w:iCs/>
          <w:sz w:val="24"/>
        </w:rPr>
        <w:t>Haradinaj</w:t>
      </w:r>
      <w:proofErr w:type="spellEnd"/>
      <w:r w:rsidR="00F413DE">
        <w:rPr>
          <w:rFonts w:ascii="Times New Roman" w:hAnsi="Times New Roman"/>
          <w:sz w:val="24"/>
        </w:rPr>
        <w:t xml:space="preserve"> confirmed </w:t>
      </w:r>
      <w:r w:rsidR="00F413DE" w:rsidRPr="004D235F">
        <w:rPr>
          <w:rFonts w:ascii="Times New Roman" w:hAnsi="Times New Roman"/>
          <w:sz w:val="24"/>
        </w:rPr>
        <w:t>‘the principle that an armed conflict can exist only between parties that are sufficiently organized to confront each other with military means’.</w:t>
      </w:r>
      <w:r w:rsidR="00F413DE" w:rsidRPr="004D235F">
        <w:rPr>
          <w:rStyle w:val="a5"/>
          <w:rFonts w:ascii="Times New Roman" w:hAnsi="Times New Roman"/>
          <w:sz w:val="24"/>
        </w:rPr>
        <w:footnoteReference w:id="17"/>
      </w:r>
      <w:r w:rsidR="00F17CA5" w:rsidRPr="004D235F">
        <w:rPr>
          <w:rFonts w:ascii="Times New Roman" w:hAnsi="Times New Roman"/>
          <w:sz w:val="24"/>
        </w:rPr>
        <w:t xml:space="preserve"> </w:t>
      </w:r>
      <w:r w:rsidR="006703DA">
        <w:rPr>
          <w:rFonts w:ascii="Times New Roman" w:hAnsi="Times New Roman"/>
          <w:sz w:val="24"/>
        </w:rPr>
        <w:t>By</w:t>
      </w:r>
      <w:r w:rsidR="006703DA" w:rsidRPr="004D235F">
        <w:rPr>
          <w:rFonts w:ascii="Times New Roman" w:hAnsi="Times New Roman"/>
          <w:sz w:val="24"/>
        </w:rPr>
        <w:t xml:space="preserve"> </w:t>
      </w:r>
      <w:r w:rsidR="006703DA">
        <w:rPr>
          <w:rFonts w:ascii="Times New Roman" w:hAnsi="Times New Roman"/>
          <w:sz w:val="24"/>
        </w:rPr>
        <w:t>imposing specific duties on the opposing parties</w:t>
      </w:r>
      <w:r w:rsidR="006703DA" w:rsidRPr="004D235F">
        <w:rPr>
          <w:rFonts w:ascii="Times New Roman" w:hAnsi="Times New Roman"/>
          <w:sz w:val="24"/>
        </w:rPr>
        <w:t xml:space="preserve"> </w:t>
      </w:r>
      <w:r w:rsidR="006703DA">
        <w:rPr>
          <w:rFonts w:ascii="Times New Roman" w:hAnsi="Times New Roman"/>
          <w:sz w:val="24"/>
        </w:rPr>
        <w:t>to armed violence,</w:t>
      </w:r>
      <w:r w:rsidR="006703DA" w:rsidRPr="004D235F">
        <w:rPr>
          <w:rFonts w:ascii="Times New Roman" w:hAnsi="Times New Roman"/>
          <w:sz w:val="24"/>
        </w:rPr>
        <w:t xml:space="preserve"> </w:t>
      </w:r>
      <w:r w:rsidR="006703DA">
        <w:rPr>
          <w:rFonts w:ascii="Times New Roman" w:hAnsi="Times New Roman"/>
          <w:sz w:val="24"/>
        </w:rPr>
        <w:t xml:space="preserve">this provision can be </w:t>
      </w:r>
      <w:r w:rsidR="00267376">
        <w:rPr>
          <w:rFonts w:ascii="Times New Roman" w:hAnsi="Times New Roman"/>
          <w:sz w:val="24"/>
        </w:rPr>
        <w:t>construed</w:t>
      </w:r>
      <w:r w:rsidR="006703DA">
        <w:rPr>
          <w:rFonts w:ascii="Times New Roman" w:hAnsi="Times New Roman"/>
          <w:sz w:val="24"/>
        </w:rPr>
        <w:t xml:space="preserve"> as underwriting</w:t>
      </w:r>
      <w:r w:rsidR="006703DA" w:rsidRPr="004D235F">
        <w:rPr>
          <w:rFonts w:ascii="Times New Roman" w:hAnsi="Times New Roman"/>
          <w:sz w:val="24"/>
        </w:rPr>
        <w:t xml:space="preserve"> the axiom of the equality in applying IHL to </w:t>
      </w:r>
      <w:r w:rsidR="006703DA">
        <w:rPr>
          <w:rFonts w:ascii="Times New Roman" w:hAnsi="Times New Roman"/>
          <w:sz w:val="24"/>
        </w:rPr>
        <w:t xml:space="preserve">all </w:t>
      </w:r>
      <w:r w:rsidR="006703DA" w:rsidRPr="004D235F">
        <w:rPr>
          <w:rFonts w:ascii="Times New Roman" w:hAnsi="Times New Roman"/>
          <w:sz w:val="24"/>
        </w:rPr>
        <w:t>the belligerents</w:t>
      </w:r>
      <w:r w:rsidR="006703DA">
        <w:rPr>
          <w:rFonts w:ascii="Times New Roman" w:hAnsi="Times New Roman"/>
          <w:sz w:val="24"/>
        </w:rPr>
        <w:t xml:space="preserve"> involved</w:t>
      </w:r>
      <w:r w:rsidR="006703DA" w:rsidRPr="004D235F">
        <w:rPr>
          <w:rFonts w:ascii="Times New Roman" w:hAnsi="Times New Roman"/>
          <w:sz w:val="24"/>
        </w:rPr>
        <w:t>.</w:t>
      </w:r>
      <w:r w:rsidR="006703DA" w:rsidRPr="004D235F">
        <w:rPr>
          <w:rStyle w:val="a5"/>
          <w:rFonts w:ascii="Times New Roman" w:hAnsi="Times New Roman"/>
          <w:sz w:val="24"/>
        </w:rPr>
        <w:footnoteReference w:id="18"/>
      </w:r>
    </w:p>
    <w:p w14:paraId="7B15B34E" w14:textId="19C05BA8" w:rsidR="004C22C4" w:rsidRDefault="004C22C4" w:rsidP="00E01082">
      <w:pPr>
        <w:rPr>
          <w:rFonts w:ascii="Times New Roman" w:hAnsi="Times New Roman"/>
          <w:sz w:val="24"/>
        </w:rPr>
      </w:pPr>
    </w:p>
    <w:p w14:paraId="4FDA1458" w14:textId="68FB0B98" w:rsidR="00927D4E" w:rsidRDefault="002C5F90" w:rsidP="006347AB">
      <w:pPr>
        <w:pStyle w:val="ad"/>
        <w:numPr>
          <w:ilvl w:val="0"/>
          <w:numId w:val="1"/>
        </w:numPr>
        <w:ind w:leftChars="0"/>
        <w:rPr>
          <w:rFonts w:ascii="Times New Roman" w:hAnsi="Times New Roman"/>
          <w:b/>
          <w:bCs/>
          <w:sz w:val="24"/>
        </w:rPr>
      </w:pPr>
      <w:r w:rsidRPr="00927D4E">
        <w:rPr>
          <w:rFonts w:ascii="Times New Roman" w:hAnsi="Times New Roman"/>
          <w:b/>
          <w:bCs/>
          <w:sz w:val="24"/>
        </w:rPr>
        <w:t xml:space="preserve">The </w:t>
      </w:r>
      <w:r w:rsidR="00543729">
        <w:rPr>
          <w:rFonts w:ascii="Times New Roman" w:hAnsi="Times New Roman"/>
          <w:b/>
          <w:bCs/>
          <w:sz w:val="24"/>
        </w:rPr>
        <w:t>E</w:t>
      </w:r>
      <w:r w:rsidRPr="00927D4E">
        <w:rPr>
          <w:rFonts w:ascii="Times New Roman" w:hAnsi="Times New Roman"/>
          <w:b/>
          <w:bCs/>
          <w:sz w:val="24"/>
        </w:rPr>
        <w:t xml:space="preserve">lements of </w:t>
      </w:r>
      <w:r w:rsidR="00543729">
        <w:rPr>
          <w:rFonts w:ascii="Times New Roman" w:hAnsi="Times New Roman"/>
          <w:b/>
          <w:bCs/>
          <w:sz w:val="24"/>
        </w:rPr>
        <w:t>O</w:t>
      </w:r>
      <w:r w:rsidRPr="00927D4E">
        <w:rPr>
          <w:rFonts w:ascii="Times New Roman" w:hAnsi="Times New Roman"/>
          <w:b/>
          <w:bCs/>
          <w:sz w:val="24"/>
        </w:rPr>
        <w:t xml:space="preserve">rganization for </w:t>
      </w:r>
      <w:r w:rsidR="00543729">
        <w:rPr>
          <w:rFonts w:ascii="Times New Roman" w:hAnsi="Times New Roman"/>
          <w:b/>
          <w:bCs/>
          <w:sz w:val="24"/>
        </w:rPr>
        <w:t>A</w:t>
      </w:r>
      <w:r w:rsidR="00927D4E">
        <w:rPr>
          <w:rFonts w:ascii="Times New Roman" w:hAnsi="Times New Roman"/>
          <w:b/>
          <w:bCs/>
          <w:sz w:val="24"/>
        </w:rPr>
        <w:t xml:space="preserve">rmed </w:t>
      </w:r>
      <w:r w:rsidR="00543729">
        <w:rPr>
          <w:rFonts w:ascii="Times New Roman" w:hAnsi="Times New Roman"/>
          <w:b/>
          <w:bCs/>
          <w:sz w:val="24"/>
        </w:rPr>
        <w:t>G</w:t>
      </w:r>
      <w:r w:rsidR="00927D4E">
        <w:rPr>
          <w:rFonts w:ascii="Times New Roman" w:hAnsi="Times New Roman"/>
          <w:b/>
          <w:bCs/>
          <w:sz w:val="24"/>
        </w:rPr>
        <w:t>roups</w:t>
      </w:r>
    </w:p>
    <w:p w14:paraId="3ABA58F9" w14:textId="6F9F441E" w:rsidR="002C5F90" w:rsidRPr="00927D4E" w:rsidRDefault="00543729" w:rsidP="006347AB">
      <w:pPr>
        <w:pStyle w:val="ad"/>
        <w:numPr>
          <w:ilvl w:val="0"/>
          <w:numId w:val="3"/>
        </w:numPr>
        <w:ind w:leftChars="0"/>
        <w:rPr>
          <w:rFonts w:ascii="Times New Roman" w:hAnsi="Times New Roman"/>
          <w:b/>
          <w:bCs/>
          <w:sz w:val="24"/>
        </w:rPr>
      </w:pPr>
      <w:r>
        <w:rPr>
          <w:rFonts w:ascii="Times New Roman" w:hAnsi="Times New Roman"/>
          <w:b/>
          <w:bCs/>
          <w:sz w:val="24"/>
        </w:rPr>
        <w:t>The Elements of Organization for I</w:t>
      </w:r>
      <w:r w:rsidR="002C5F90" w:rsidRPr="00927D4E">
        <w:rPr>
          <w:rFonts w:ascii="Times New Roman" w:hAnsi="Times New Roman"/>
          <w:b/>
          <w:bCs/>
          <w:sz w:val="24"/>
        </w:rPr>
        <w:t xml:space="preserve">ndependent </w:t>
      </w:r>
      <w:r>
        <w:rPr>
          <w:rFonts w:ascii="Times New Roman" w:hAnsi="Times New Roman"/>
          <w:b/>
          <w:bCs/>
          <w:sz w:val="24"/>
        </w:rPr>
        <w:t>A</w:t>
      </w:r>
      <w:r w:rsidR="002C5F90" w:rsidRPr="00927D4E">
        <w:rPr>
          <w:rFonts w:ascii="Times New Roman" w:hAnsi="Times New Roman"/>
          <w:b/>
          <w:bCs/>
          <w:sz w:val="24"/>
        </w:rPr>
        <w:t xml:space="preserve">rmed </w:t>
      </w:r>
      <w:r>
        <w:rPr>
          <w:rFonts w:ascii="Times New Roman" w:hAnsi="Times New Roman"/>
          <w:b/>
          <w:bCs/>
          <w:sz w:val="24"/>
        </w:rPr>
        <w:t>G</w:t>
      </w:r>
      <w:r w:rsidR="002C5F90" w:rsidRPr="00927D4E">
        <w:rPr>
          <w:rFonts w:ascii="Times New Roman" w:hAnsi="Times New Roman"/>
          <w:b/>
          <w:bCs/>
          <w:sz w:val="24"/>
        </w:rPr>
        <w:t>roups under Article 4</w:t>
      </w:r>
      <w:proofErr w:type="gramStart"/>
      <w:r w:rsidR="002C5F90" w:rsidRPr="00927D4E">
        <w:rPr>
          <w:rFonts w:ascii="Times New Roman" w:hAnsi="Times New Roman"/>
          <w:b/>
          <w:bCs/>
          <w:sz w:val="24"/>
        </w:rPr>
        <w:t>A(</w:t>
      </w:r>
      <w:proofErr w:type="gramEnd"/>
      <w:r w:rsidR="002C5F90" w:rsidRPr="00927D4E">
        <w:rPr>
          <w:rFonts w:ascii="Times New Roman" w:hAnsi="Times New Roman"/>
          <w:b/>
          <w:bCs/>
          <w:sz w:val="24"/>
        </w:rPr>
        <w:t xml:space="preserve">2) </w:t>
      </w:r>
      <w:r w:rsidR="00874553">
        <w:rPr>
          <w:rFonts w:ascii="Times New Roman" w:hAnsi="Times New Roman"/>
          <w:b/>
          <w:bCs/>
          <w:sz w:val="24"/>
        </w:rPr>
        <w:t xml:space="preserve">of the </w:t>
      </w:r>
      <w:r w:rsidR="001D7ED3">
        <w:rPr>
          <w:rFonts w:ascii="Times New Roman" w:hAnsi="Times New Roman"/>
          <w:b/>
          <w:bCs/>
          <w:sz w:val="24"/>
        </w:rPr>
        <w:t>Geneva Convention</w:t>
      </w:r>
      <w:r w:rsidR="002C5F90" w:rsidRPr="00927D4E">
        <w:rPr>
          <w:rFonts w:ascii="Times New Roman" w:hAnsi="Times New Roman"/>
          <w:b/>
          <w:bCs/>
          <w:sz w:val="24"/>
        </w:rPr>
        <w:t xml:space="preserve"> III</w:t>
      </w:r>
    </w:p>
    <w:p w14:paraId="3A8342ED" w14:textId="68590278" w:rsidR="002C5F90" w:rsidRDefault="002C5F90" w:rsidP="002C5F90">
      <w:pPr>
        <w:rPr>
          <w:rFonts w:ascii="Times New Roman" w:hAnsi="Times New Roman"/>
          <w:sz w:val="24"/>
        </w:rPr>
      </w:pPr>
      <w:r>
        <w:rPr>
          <w:rFonts w:ascii="Times New Roman" w:hAnsi="Times New Roman"/>
          <w:sz w:val="24"/>
        </w:rPr>
        <w:t>Prior to the Diplomatic Conference, the ICRC</w:t>
      </w:r>
      <w:r w:rsidRPr="004D235F">
        <w:rPr>
          <w:rFonts w:ascii="Times New Roman" w:hAnsi="Times New Roman"/>
          <w:sz w:val="24"/>
        </w:rPr>
        <w:t xml:space="preserve"> </w:t>
      </w:r>
      <w:r>
        <w:rPr>
          <w:rFonts w:ascii="Times New Roman" w:hAnsi="Times New Roman"/>
          <w:sz w:val="24"/>
        </w:rPr>
        <w:t>made it clear</w:t>
      </w:r>
      <w:r w:rsidRPr="004D235F">
        <w:rPr>
          <w:rFonts w:ascii="Times New Roman" w:hAnsi="Times New Roman"/>
          <w:sz w:val="24"/>
        </w:rPr>
        <w:t xml:space="preserve"> that a ‘military organization’ contemplated in Article 3(1) of the Stockholm Draft</w:t>
      </w:r>
      <w:r w:rsidR="00D22B93">
        <w:rPr>
          <w:rFonts w:ascii="Times New Roman" w:hAnsi="Times New Roman"/>
          <w:sz w:val="24"/>
        </w:rPr>
        <w:t xml:space="preserve"> POW Convention</w:t>
      </w:r>
      <w:r w:rsidRPr="004D235F">
        <w:rPr>
          <w:rFonts w:ascii="Times New Roman" w:hAnsi="Times New Roman"/>
          <w:sz w:val="24"/>
        </w:rPr>
        <w:t xml:space="preserve"> (which would </w:t>
      </w:r>
      <w:r w:rsidRPr="004D235F">
        <w:rPr>
          <w:rFonts w:ascii="Times New Roman" w:hAnsi="Times New Roman"/>
          <w:sz w:val="24"/>
        </w:rPr>
        <w:lastRenderedPageBreak/>
        <w:t xml:space="preserve">become Article 4A </w:t>
      </w:r>
      <w:r w:rsidR="00EB2158">
        <w:rPr>
          <w:rFonts w:ascii="Times New Roman" w:hAnsi="Times New Roman"/>
          <w:sz w:val="24"/>
        </w:rPr>
        <w:t xml:space="preserve">of the Third </w:t>
      </w:r>
      <w:r w:rsidR="001D7ED3">
        <w:rPr>
          <w:rFonts w:ascii="Times New Roman" w:hAnsi="Times New Roman"/>
          <w:sz w:val="24"/>
        </w:rPr>
        <w:t>Geneva Convention</w:t>
      </w:r>
      <w:r w:rsidRPr="004D235F">
        <w:rPr>
          <w:rFonts w:ascii="Times New Roman" w:hAnsi="Times New Roman"/>
          <w:sz w:val="24"/>
        </w:rPr>
        <w:t>) should be equipped with ‘the main attributes common to all armed forces’</w:t>
      </w:r>
      <w:r>
        <w:rPr>
          <w:rFonts w:ascii="Times New Roman" w:hAnsi="Times New Roman"/>
          <w:sz w:val="24"/>
        </w:rPr>
        <w:t>. It highlighted such attributes</w:t>
      </w:r>
      <w:r w:rsidRPr="004D235F">
        <w:rPr>
          <w:rFonts w:ascii="Times New Roman" w:hAnsi="Times New Roman"/>
          <w:sz w:val="24"/>
        </w:rPr>
        <w:t xml:space="preserve"> as discipline, military cadres, </w:t>
      </w:r>
      <w:proofErr w:type="gramStart"/>
      <w:r w:rsidRPr="004D235F">
        <w:rPr>
          <w:rFonts w:ascii="Times New Roman" w:hAnsi="Times New Roman"/>
          <w:sz w:val="24"/>
        </w:rPr>
        <w:t>responsibility</w:t>
      </w:r>
      <w:proofErr w:type="gramEnd"/>
      <w:r w:rsidRPr="004D235F">
        <w:rPr>
          <w:rFonts w:ascii="Times New Roman" w:hAnsi="Times New Roman"/>
          <w:sz w:val="24"/>
        </w:rPr>
        <w:t xml:space="preserve"> and military honour.</w:t>
      </w:r>
      <w:r w:rsidRPr="004D235F">
        <w:rPr>
          <w:rStyle w:val="a5"/>
          <w:rFonts w:ascii="Times New Roman" w:hAnsi="Times New Roman"/>
          <w:sz w:val="24"/>
        </w:rPr>
        <w:footnoteReference w:id="19"/>
      </w:r>
      <w:r w:rsidRPr="004D235F">
        <w:rPr>
          <w:rFonts w:ascii="Times New Roman" w:hAnsi="Times New Roman"/>
          <w:sz w:val="24"/>
        </w:rPr>
        <w:t xml:space="preserve"> However, clearly, </w:t>
      </w:r>
      <w:r>
        <w:rPr>
          <w:rFonts w:ascii="Times New Roman" w:hAnsi="Times New Roman"/>
          <w:sz w:val="24"/>
        </w:rPr>
        <w:t>requiring the irregular armed group to partake of the attributes</w:t>
      </w:r>
      <w:r w:rsidRPr="00A473F4">
        <w:rPr>
          <w:rFonts w:ascii="Times New Roman" w:hAnsi="Times New Roman"/>
          <w:sz w:val="24"/>
        </w:rPr>
        <w:t xml:space="preserve"> </w:t>
      </w:r>
      <w:r>
        <w:rPr>
          <w:rFonts w:ascii="Times New Roman" w:hAnsi="Times New Roman"/>
          <w:sz w:val="24"/>
        </w:rPr>
        <w:t>comparable to those</w:t>
      </w:r>
      <w:r w:rsidRPr="004D235F">
        <w:rPr>
          <w:rFonts w:ascii="Times New Roman" w:hAnsi="Times New Roman"/>
          <w:sz w:val="24"/>
        </w:rPr>
        <w:t xml:space="preserve"> </w:t>
      </w:r>
      <w:r>
        <w:rPr>
          <w:rFonts w:ascii="Times New Roman" w:hAnsi="Times New Roman"/>
          <w:sz w:val="24"/>
        </w:rPr>
        <w:t xml:space="preserve">of </w:t>
      </w:r>
      <w:r w:rsidRPr="004D235F">
        <w:rPr>
          <w:rFonts w:ascii="Times New Roman" w:hAnsi="Times New Roman"/>
          <w:sz w:val="24"/>
        </w:rPr>
        <w:t>national armed forces</w:t>
      </w:r>
      <w:r>
        <w:rPr>
          <w:rFonts w:ascii="Times New Roman" w:hAnsi="Times New Roman"/>
          <w:sz w:val="24"/>
        </w:rPr>
        <w:t xml:space="preserve"> would </w:t>
      </w:r>
      <w:r w:rsidRPr="004D235F">
        <w:rPr>
          <w:rFonts w:ascii="Times New Roman" w:hAnsi="Times New Roman"/>
          <w:sz w:val="24"/>
        </w:rPr>
        <w:t xml:space="preserve">pose a considerable obstacle. </w:t>
      </w:r>
      <w:r w:rsidR="00267376">
        <w:rPr>
          <w:rFonts w:ascii="Times New Roman" w:hAnsi="Times New Roman"/>
          <w:sz w:val="24"/>
        </w:rPr>
        <w:t xml:space="preserve">By </w:t>
      </w:r>
      <w:r w:rsidRPr="004D235F">
        <w:rPr>
          <w:rFonts w:ascii="Times New Roman" w:hAnsi="Times New Roman"/>
          <w:sz w:val="24"/>
        </w:rPr>
        <w:t>portraying national armed forces as the archetype to be followed, the independent armed groups would be expected to live up to an unrealistically high threshold. This would narrow the chance of its members acquir</w:t>
      </w:r>
      <w:r>
        <w:rPr>
          <w:rFonts w:ascii="Times New Roman" w:hAnsi="Times New Roman"/>
          <w:sz w:val="24"/>
        </w:rPr>
        <w:t>ing</w:t>
      </w:r>
      <w:r w:rsidRPr="004D235F">
        <w:rPr>
          <w:rFonts w:ascii="Times New Roman" w:hAnsi="Times New Roman"/>
          <w:sz w:val="24"/>
        </w:rPr>
        <w:t xml:space="preserve"> the POW status under Article 4</w:t>
      </w:r>
      <w:proofErr w:type="gramStart"/>
      <w:r w:rsidRPr="004D235F">
        <w:rPr>
          <w:rFonts w:ascii="Times New Roman" w:hAnsi="Times New Roman"/>
          <w:sz w:val="24"/>
        </w:rPr>
        <w:t>A(</w:t>
      </w:r>
      <w:proofErr w:type="gramEnd"/>
      <w:r w:rsidRPr="004D235F">
        <w:rPr>
          <w:rFonts w:ascii="Times New Roman" w:hAnsi="Times New Roman"/>
          <w:sz w:val="24"/>
        </w:rPr>
        <w:t xml:space="preserve">2) </w:t>
      </w:r>
      <w:r w:rsidR="00EB2158">
        <w:rPr>
          <w:rFonts w:ascii="Times New Roman" w:hAnsi="Times New Roman"/>
          <w:sz w:val="24"/>
        </w:rPr>
        <w:t xml:space="preserve">of the Third </w:t>
      </w:r>
      <w:r w:rsidR="001D7ED3">
        <w:rPr>
          <w:rFonts w:ascii="Times New Roman" w:hAnsi="Times New Roman"/>
          <w:sz w:val="24"/>
        </w:rPr>
        <w:t>Geneva Convention</w:t>
      </w:r>
      <w:r w:rsidRPr="004D235F">
        <w:rPr>
          <w:rFonts w:ascii="Times New Roman" w:hAnsi="Times New Roman"/>
          <w:sz w:val="24"/>
        </w:rPr>
        <w:t>.</w:t>
      </w:r>
      <w:r w:rsidRPr="004D235F">
        <w:rPr>
          <w:rStyle w:val="a5"/>
          <w:rFonts w:ascii="Times New Roman" w:hAnsi="Times New Roman"/>
          <w:sz w:val="24"/>
        </w:rPr>
        <w:footnoteReference w:id="20"/>
      </w:r>
      <w:r w:rsidR="00267376">
        <w:rPr>
          <w:rFonts w:ascii="Times New Roman" w:hAnsi="Times New Roman" w:hint="eastAsia"/>
          <w:sz w:val="24"/>
        </w:rPr>
        <w:t xml:space="preserve"> </w:t>
      </w:r>
      <w:r w:rsidR="00543729">
        <w:rPr>
          <w:rFonts w:ascii="Times New Roman" w:hAnsi="Times New Roman"/>
          <w:sz w:val="24"/>
        </w:rPr>
        <w:t xml:space="preserve">Nevertheless, at the 1949 Diplomatic Conference, there was no discussion on the elements of organization. Even </w:t>
      </w:r>
      <w:r w:rsidRPr="00990DA9">
        <w:rPr>
          <w:rFonts w:ascii="Times New Roman" w:hAnsi="Times New Roman"/>
          <w:sz w:val="24"/>
        </w:rPr>
        <w:t>the ICR</w:t>
      </w:r>
      <w:r w:rsidR="00543729">
        <w:rPr>
          <w:rFonts w:ascii="Times New Roman" w:hAnsi="Times New Roman"/>
          <w:sz w:val="24"/>
        </w:rPr>
        <w:t>C did not advance any specific follow-up proposal.</w:t>
      </w:r>
    </w:p>
    <w:p w14:paraId="03890610" w14:textId="77777777" w:rsidR="002C5F90" w:rsidRPr="002C5F90" w:rsidRDefault="002C5F90" w:rsidP="00E01082">
      <w:pPr>
        <w:rPr>
          <w:rFonts w:ascii="Times New Roman" w:hAnsi="Times New Roman"/>
          <w:sz w:val="24"/>
        </w:rPr>
      </w:pPr>
    </w:p>
    <w:p w14:paraId="06868F36" w14:textId="1C235A5E" w:rsidR="00763706" w:rsidRDefault="00763706" w:rsidP="006347AB">
      <w:pPr>
        <w:pStyle w:val="ad"/>
        <w:numPr>
          <w:ilvl w:val="0"/>
          <w:numId w:val="3"/>
        </w:numPr>
        <w:ind w:leftChars="0"/>
        <w:rPr>
          <w:rFonts w:ascii="Times New Roman" w:hAnsi="Times New Roman"/>
          <w:b/>
          <w:bCs/>
          <w:sz w:val="24"/>
        </w:rPr>
      </w:pPr>
      <w:r>
        <w:rPr>
          <w:rFonts w:ascii="Times New Roman" w:hAnsi="Times New Roman" w:hint="eastAsia"/>
          <w:b/>
          <w:bCs/>
          <w:sz w:val="24"/>
        </w:rPr>
        <w:t>T</w:t>
      </w:r>
      <w:r>
        <w:rPr>
          <w:rFonts w:ascii="Times New Roman" w:hAnsi="Times New Roman"/>
          <w:b/>
          <w:bCs/>
          <w:sz w:val="24"/>
        </w:rPr>
        <w:t xml:space="preserve">he </w:t>
      </w:r>
      <w:r w:rsidR="0043101F">
        <w:rPr>
          <w:rFonts w:ascii="Times New Roman" w:hAnsi="Times New Roman"/>
          <w:b/>
          <w:bCs/>
          <w:sz w:val="24"/>
        </w:rPr>
        <w:t>M</w:t>
      </w:r>
      <w:r>
        <w:rPr>
          <w:rFonts w:ascii="Times New Roman" w:hAnsi="Times New Roman"/>
          <w:b/>
          <w:bCs/>
          <w:sz w:val="24"/>
        </w:rPr>
        <w:t xml:space="preserve">inimum </w:t>
      </w:r>
      <w:r w:rsidR="0043101F">
        <w:rPr>
          <w:rFonts w:ascii="Times New Roman" w:hAnsi="Times New Roman"/>
          <w:b/>
          <w:bCs/>
          <w:sz w:val="24"/>
        </w:rPr>
        <w:t>E</w:t>
      </w:r>
      <w:r>
        <w:rPr>
          <w:rFonts w:ascii="Times New Roman" w:hAnsi="Times New Roman"/>
          <w:b/>
          <w:bCs/>
          <w:sz w:val="24"/>
        </w:rPr>
        <w:t xml:space="preserve">lements of </w:t>
      </w:r>
      <w:r w:rsidR="0043101F">
        <w:rPr>
          <w:rFonts w:ascii="Times New Roman" w:hAnsi="Times New Roman"/>
          <w:b/>
          <w:bCs/>
          <w:sz w:val="24"/>
        </w:rPr>
        <w:t>O</w:t>
      </w:r>
      <w:r>
        <w:rPr>
          <w:rFonts w:ascii="Times New Roman" w:hAnsi="Times New Roman"/>
          <w:b/>
          <w:bCs/>
          <w:sz w:val="24"/>
        </w:rPr>
        <w:t xml:space="preserve">rganization for </w:t>
      </w:r>
      <w:r w:rsidR="0043101F">
        <w:rPr>
          <w:rFonts w:ascii="Times New Roman" w:hAnsi="Times New Roman"/>
          <w:b/>
          <w:bCs/>
          <w:sz w:val="24"/>
        </w:rPr>
        <w:t>A</w:t>
      </w:r>
      <w:r>
        <w:rPr>
          <w:rFonts w:ascii="Times New Roman" w:hAnsi="Times New Roman"/>
          <w:b/>
          <w:bCs/>
          <w:sz w:val="24"/>
        </w:rPr>
        <w:t xml:space="preserve">rmed </w:t>
      </w:r>
      <w:r w:rsidR="0043101F">
        <w:rPr>
          <w:rFonts w:ascii="Times New Roman" w:hAnsi="Times New Roman"/>
          <w:b/>
          <w:bCs/>
          <w:sz w:val="24"/>
        </w:rPr>
        <w:t>G</w:t>
      </w:r>
      <w:r>
        <w:rPr>
          <w:rFonts w:ascii="Times New Roman" w:hAnsi="Times New Roman"/>
          <w:b/>
          <w:bCs/>
          <w:sz w:val="24"/>
        </w:rPr>
        <w:t>roups in NIACs</w:t>
      </w:r>
    </w:p>
    <w:p w14:paraId="382F113F" w14:textId="415659B2" w:rsidR="004A6A69" w:rsidRPr="004D235F" w:rsidRDefault="00763706" w:rsidP="004A6A69">
      <w:pPr>
        <w:rPr>
          <w:rFonts w:ascii="Times New Roman" w:hAnsi="Times New Roman"/>
          <w:sz w:val="24"/>
        </w:rPr>
      </w:pPr>
      <w:r w:rsidRPr="00763706">
        <w:rPr>
          <w:rFonts w:ascii="Times New Roman" w:hAnsi="Times New Roman"/>
          <w:sz w:val="24"/>
        </w:rPr>
        <w:t xml:space="preserve">Given the dearth of the scholarly and judicial debates on the requirement of organization under Article 4A(2) </w:t>
      </w:r>
      <w:r w:rsidR="00EB2158">
        <w:rPr>
          <w:rFonts w:ascii="Times New Roman" w:hAnsi="Times New Roman"/>
          <w:sz w:val="24"/>
        </w:rPr>
        <w:t xml:space="preserve">of the </w:t>
      </w:r>
      <w:r w:rsidR="001D7ED3">
        <w:rPr>
          <w:rFonts w:ascii="Times New Roman" w:hAnsi="Times New Roman"/>
          <w:sz w:val="24"/>
        </w:rPr>
        <w:t>Geneva Convention</w:t>
      </w:r>
      <w:r w:rsidRPr="00763706">
        <w:rPr>
          <w:rFonts w:ascii="Times New Roman" w:hAnsi="Times New Roman"/>
          <w:sz w:val="24"/>
        </w:rPr>
        <w:t xml:space="preserve"> III, it </w:t>
      </w:r>
      <w:r w:rsidR="004A6A69">
        <w:rPr>
          <w:rFonts w:ascii="Times New Roman" w:hAnsi="Times New Roman"/>
          <w:sz w:val="24"/>
        </w:rPr>
        <w:t xml:space="preserve">can be proposed that </w:t>
      </w:r>
      <w:r w:rsidRPr="00763706">
        <w:rPr>
          <w:rFonts w:ascii="Times New Roman" w:hAnsi="Times New Roman"/>
          <w:sz w:val="24"/>
        </w:rPr>
        <w:t xml:space="preserve">some guidance </w:t>
      </w:r>
      <w:r w:rsidR="004A6A69">
        <w:rPr>
          <w:rFonts w:ascii="Times New Roman" w:hAnsi="Times New Roman"/>
          <w:sz w:val="24"/>
        </w:rPr>
        <w:t xml:space="preserve">be obtained </w:t>
      </w:r>
      <w:r w:rsidRPr="00763706">
        <w:rPr>
          <w:rFonts w:ascii="Times New Roman" w:hAnsi="Times New Roman"/>
          <w:sz w:val="24"/>
        </w:rPr>
        <w:t xml:space="preserve">from the case-law of international criminal tribunals that have </w:t>
      </w:r>
      <w:r w:rsidR="00B656A5">
        <w:rPr>
          <w:rFonts w:ascii="Times New Roman" w:hAnsi="Times New Roman"/>
          <w:sz w:val="24"/>
        </w:rPr>
        <w:t>scrutinized</w:t>
      </w:r>
      <w:r w:rsidRPr="00763706">
        <w:rPr>
          <w:rFonts w:ascii="Times New Roman" w:hAnsi="Times New Roman"/>
          <w:sz w:val="24"/>
        </w:rPr>
        <w:t xml:space="preserve"> the constituent elements of this requirement when ascertaining the onset of NIACs. </w:t>
      </w:r>
      <w:r w:rsidR="006C22BE">
        <w:rPr>
          <w:rFonts w:ascii="Times New Roman" w:hAnsi="Times New Roman"/>
          <w:sz w:val="24"/>
        </w:rPr>
        <w:t>The only caveat is that</w:t>
      </w:r>
      <w:r w:rsidR="004A6A69">
        <w:rPr>
          <w:rFonts w:ascii="Times New Roman" w:hAnsi="Times New Roman"/>
          <w:sz w:val="24"/>
        </w:rPr>
        <w:t xml:space="preserve"> extrapolat</w:t>
      </w:r>
      <w:r w:rsidR="006C22BE">
        <w:rPr>
          <w:rFonts w:ascii="Times New Roman" w:hAnsi="Times New Roman"/>
          <w:sz w:val="24"/>
        </w:rPr>
        <w:t>ing</w:t>
      </w:r>
      <w:r w:rsidR="004A6A69" w:rsidRPr="004D235F">
        <w:rPr>
          <w:rFonts w:ascii="Times New Roman" w:hAnsi="Times New Roman"/>
          <w:sz w:val="24"/>
        </w:rPr>
        <w:t xml:space="preserve"> points of reference from the IHL of NIACs and </w:t>
      </w:r>
      <w:r w:rsidR="006C22BE">
        <w:rPr>
          <w:rFonts w:ascii="Times New Roman" w:hAnsi="Times New Roman"/>
          <w:sz w:val="24"/>
        </w:rPr>
        <w:t>applying</w:t>
      </w:r>
      <w:r w:rsidR="004A6A69" w:rsidRPr="004D235F">
        <w:rPr>
          <w:rFonts w:ascii="Times New Roman" w:hAnsi="Times New Roman"/>
          <w:sz w:val="24"/>
        </w:rPr>
        <w:t xml:space="preserve"> them </w:t>
      </w:r>
      <w:r w:rsidR="004A6A69" w:rsidRPr="004D235F">
        <w:rPr>
          <w:rFonts w:ascii="Times New Roman" w:hAnsi="Times New Roman"/>
          <w:i/>
          <w:iCs/>
          <w:sz w:val="24"/>
        </w:rPr>
        <w:t>mutatis mutandis</w:t>
      </w:r>
      <w:r w:rsidR="004A6A69" w:rsidRPr="004D235F">
        <w:rPr>
          <w:rFonts w:ascii="Times New Roman" w:hAnsi="Times New Roman"/>
          <w:sz w:val="24"/>
        </w:rPr>
        <w:t xml:space="preserve"> </w:t>
      </w:r>
      <w:r w:rsidR="004A6A69">
        <w:rPr>
          <w:rFonts w:ascii="Times New Roman" w:hAnsi="Times New Roman"/>
          <w:sz w:val="24"/>
        </w:rPr>
        <w:t xml:space="preserve">in </w:t>
      </w:r>
      <w:r w:rsidR="004A6A69" w:rsidRPr="004D235F">
        <w:rPr>
          <w:rFonts w:ascii="Times New Roman" w:hAnsi="Times New Roman"/>
          <w:sz w:val="24"/>
        </w:rPr>
        <w:t>the IHL of IACs should be done prudently</w:t>
      </w:r>
      <w:r w:rsidR="00EB4B4F">
        <w:rPr>
          <w:rFonts w:ascii="Times New Roman" w:hAnsi="Times New Roman"/>
          <w:sz w:val="24"/>
        </w:rPr>
        <w:t>. D</w:t>
      </w:r>
      <w:r w:rsidR="00B74AEC">
        <w:rPr>
          <w:rFonts w:ascii="Times New Roman" w:hAnsi="Times New Roman"/>
          <w:sz w:val="24"/>
        </w:rPr>
        <w:t xml:space="preserve">ue account </w:t>
      </w:r>
      <w:r w:rsidR="00EB4B4F">
        <w:rPr>
          <w:rFonts w:ascii="Times New Roman" w:hAnsi="Times New Roman"/>
          <w:sz w:val="24"/>
        </w:rPr>
        <w:t xml:space="preserve">ought </w:t>
      </w:r>
      <w:r w:rsidR="00927D4E">
        <w:rPr>
          <w:rFonts w:ascii="Times New Roman" w:hAnsi="Times New Roman"/>
          <w:sz w:val="24"/>
        </w:rPr>
        <w:t xml:space="preserve">to be taken </w:t>
      </w:r>
      <w:r w:rsidR="00B74AEC">
        <w:rPr>
          <w:rFonts w:ascii="Times New Roman" w:hAnsi="Times New Roman"/>
          <w:sz w:val="24"/>
        </w:rPr>
        <w:t xml:space="preserve">of </w:t>
      </w:r>
      <w:r w:rsidR="006C22BE">
        <w:rPr>
          <w:rFonts w:ascii="Times New Roman" w:hAnsi="Times New Roman"/>
          <w:sz w:val="24"/>
        </w:rPr>
        <w:t>contextual differences.</w:t>
      </w:r>
      <w:r w:rsidR="00063535" w:rsidRPr="004D235F">
        <w:rPr>
          <w:rStyle w:val="a5"/>
          <w:rFonts w:ascii="Times New Roman" w:hAnsi="Times New Roman"/>
          <w:sz w:val="24"/>
        </w:rPr>
        <w:footnoteReference w:id="21"/>
      </w:r>
    </w:p>
    <w:p w14:paraId="3F7991E5" w14:textId="77777777" w:rsidR="004A6A69" w:rsidRDefault="004A6A69" w:rsidP="00763706">
      <w:pPr>
        <w:rPr>
          <w:rFonts w:ascii="Times New Roman" w:hAnsi="Times New Roman"/>
          <w:sz w:val="24"/>
        </w:rPr>
      </w:pPr>
    </w:p>
    <w:p w14:paraId="3BB1D771" w14:textId="606EEF1B" w:rsidR="00763706" w:rsidRPr="00763706" w:rsidRDefault="00763706" w:rsidP="00763706">
      <w:pPr>
        <w:rPr>
          <w:rFonts w:ascii="Times New Roman" w:hAnsi="Times New Roman"/>
          <w:sz w:val="24"/>
        </w:rPr>
      </w:pPr>
      <w:r w:rsidRPr="00763706">
        <w:rPr>
          <w:rFonts w:ascii="Times New Roman" w:hAnsi="Times New Roman"/>
          <w:sz w:val="24"/>
        </w:rPr>
        <w:t xml:space="preserve">The ICTY Trial Chamber in </w:t>
      </w:r>
      <w:proofErr w:type="spellStart"/>
      <w:r w:rsidRPr="00763706">
        <w:rPr>
          <w:rFonts w:ascii="Times New Roman" w:hAnsi="Times New Roman"/>
          <w:i/>
          <w:iCs/>
          <w:sz w:val="24"/>
        </w:rPr>
        <w:t>Boškoski</w:t>
      </w:r>
      <w:proofErr w:type="spellEnd"/>
      <w:r w:rsidRPr="00763706">
        <w:rPr>
          <w:rFonts w:ascii="Times New Roman" w:hAnsi="Times New Roman"/>
          <w:sz w:val="24"/>
        </w:rPr>
        <w:t xml:space="preserve"> has provided five indicative elements of organization.</w:t>
      </w:r>
      <w:r w:rsidRPr="004D235F">
        <w:rPr>
          <w:rStyle w:val="a5"/>
          <w:rFonts w:ascii="Times New Roman" w:hAnsi="Times New Roman"/>
          <w:sz w:val="24"/>
        </w:rPr>
        <w:footnoteReference w:id="22"/>
      </w:r>
      <w:r w:rsidRPr="00763706">
        <w:rPr>
          <w:rFonts w:ascii="Times New Roman" w:hAnsi="Times New Roman"/>
          <w:sz w:val="24"/>
        </w:rPr>
        <w:t xml:space="preserve"> These are:  (1) a command structure;</w:t>
      </w:r>
      <w:r w:rsidRPr="004D235F">
        <w:rPr>
          <w:rStyle w:val="a5"/>
          <w:rFonts w:ascii="Times New Roman" w:hAnsi="Times New Roman"/>
          <w:sz w:val="24"/>
        </w:rPr>
        <w:footnoteReference w:id="23"/>
      </w:r>
      <w:r w:rsidRPr="00763706">
        <w:rPr>
          <w:rFonts w:ascii="Times New Roman" w:hAnsi="Times New Roman"/>
          <w:sz w:val="24"/>
        </w:rPr>
        <w:t xml:space="preserve"> (2) the ability to carry out an organized military operation;</w:t>
      </w:r>
      <w:r w:rsidRPr="004D235F">
        <w:rPr>
          <w:rStyle w:val="a5"/>
          <w:rFonts w:ascii="Times New Roman" w:hAnsi="Times New Roman"/>
          <w:sz w:val="24"/>
        </w:rPr>
        <w:footnoteReference w:id="24"/>
      </w:r>
      <w:r w:rsidRPr="00763706">
        <w:rPr>
          <w:rFonts w:ascii="Times New Roman" w:hAnsi="Times New Roman"/>
          <w:sz w:val="24"/>
        </w:rPr>
        <w:t xml:space="preserve"> (3) its level of logistics;</w:t>
      </w:r>
      <w:r w:rsidRPr="004D235F">
        <w:rPr>
          <w:rStyle w:val="a5"/>
          <w:rFonts w:ascii="Times New Roman" w:hAnsi="Times New Roman"/>
          <w:sz w:val="24"/>
        </w:rPr>
        <w:footnoteReference w:id="25"/>
      </w:r>
      <w:r w:rsidRPr="00763706">
        <w:rPr>
          <w:rFonts w:ascii="Times New Roman" w:hAnsi="Times New Roman"/>
          <w:sz w:val="24"/>
        </w:rPr>
        <w:t xml:space="preserve"> (4) a sufficient level of </w:t>
      </w:r>
      <w:r w:rsidRPr="00763706">
        <w:rPr>
          <w:rFonts w:ascii="Times New Roman" w:hAnsi="Times New Roman"/>
          <w:sz w:val="24"/>
        </w:rPr>
        <w:lastRenderedPageBreak/>
        <w:t xml:space="preserve">discipline and the ability to implement the basic obligations of common Article 3 </w:t>
      </w:r>
      <w:r w:rsidR="00A61233">
        <w:rPr>
          <w:rFonts w:ascii="Times New Roman" w:hAnsi="Times New Roman"/>
          <w:sz w:val="24"/>
        </w:rPr>
        <w:t xml:space="preserve">of the </w:t>
      </w:r>
      <w:r w:rsidR="001D7ED3">
        <w:rPr>
          <w:rFonts w:ascii="Times New Roman" w:hAnsi="Times New Roman"/>
          <w:sz w:val="24"/>
        </w:rPr>
        <w:t>Geneva Convention</w:t>
      </w:r>
      <w:r w:rsidRPr="00763706">
        <w:rPr>
          <w:rFonts w:ascii="Times New Roman" w:hAnsi="Times New Roman"/>
          <w:sz w:val="24"/>
        </w:rPr>
        <w:t>s;</w:t>
      </w:r>
      <w:r w:rsidRPr="004D235F">
        <w:rPr>
          <w:rStyle w:val="a5"/>
          <w:rFonts w:ascii="Times New Roman" w:hAnsi="Times New Roman"/>
          <w:sz w:val="24"/>
        </w:rPr>
        <w:footnoteReference w:id="26"/>
      </w:r>
      <w:r w:rsidRPr="00763706">
        <w:rPr>
          <w:rFonts w:ascii="Times New Roman" w:hAnsi="Times New Roman"/>
          <w:sz w:val="24"/>
        </w:rPr>
        <w:t xml:space="preserve"> and (5) the ability to speak with a unified voice.</w:t>
      </w:r>
      <w:r w:rsidRPr="004D235F">
        <w:rPr>
          <w:rStyle w:val="a5"/>
          <w:rFonts w:ascii="Times New Roman" w:hAnsi="Times New Roman"/>
          <w:sz w:val="24"/>
        </w:rPr>
        <w:footnoteReference w:id="27"/>
      </w:r>
      <w:r w:rsidRPr="00763706">
        <w:rPr>
          <w:rFonts w:ascii="Times New Roman" w:hAnsi="Times New Roman"/>
          <w:sz w:val="24"/>
        </w:rPr>
        <w:t xml:space="preserve"> In </w:t>
      </w:r>
      <w:r w:rsidR="006672DC">
        <w:rPr>
          <w:rFonts w:ascii="Times New Roman" w:hAnsi="Times New Roman"/>
          <w:sz w:val="24"/>
        </w:rPr>
        <w:t>some cases</w:t>
      </w:r>
      <w:r w:rsidRPr="004D235F">
        <w:rPr>
          <w:rStyle w:val="a5"/>
          <w:rFonts w:ascii="Times New Roman" w:hAnsi="Times New Roman"/>
          <w:i/>
          <w:iCs/>
          <w:sz w:val="24"/>
        </w:rPr>
        <w:footnoteReference w:id="28"/>
      </w:r>
      <w:r w:rsidR="006672DC">
        <w:rPr>
          <w:rFonts w:ascii="Times New Roman" w:hAnsi="Times New Roman"/>
          <w:sz w:val="24"/>
        </w:rPr>
        <w:t xml:space="preserve"> </w:t>
      </w:r>
      <w:r w:rsidRPr="00763706">
        <w:rPr>
          <w:rFonts w:ascii="Times New Roman" w:hAnsi="Times New Roman"/>
          <w:sz w:val="24"/>
        </w:rPr>
        <w:t>the Trial Chambers</w:t>
      </w:r>
      <w:r w:rsidR="00B430B2">
        <w:rPr>
          <w:rFonts w:ascii="Times New Roman" w:hAnsi="Times New Roman"/>
          <w:sz w:val="24"/>
        </w:rPr>
        <w:t xml:space="preserve"> of the International Criminal Court (ICC)</w:t>
      </w:r>
      <w:r w:rsidRPr="00763706">
        <w:rPr>
          <w:rFonts w:ascii="Times New Roman" w:hAnsi="Times New Roman"/>
          <w:sz w:val="24"/>
        </w:rPr>
        <w:t xml:space="preserve">, when ascertaining if an armed conflict was of non-international character, highlighted five factors which more or less correspond to the </w:t>
      </w:r>
      <w:proofErr w:type="spellStart"/>
      <w:r w:rsidRPr="00763706">
        <w:rPr>
          <w:rFonts w:ascii="Times New Roman" w:hAnsi="Times New Roman"/>
          <w:i/>
          <w:iCs/>
          <w:sz w:val="24"/>
        </w:rPr>
        <w:t>Boškoski</w:t>
      </w:r>
      <w:proofErr w:type="spellEnd"/>
      <w:r w:rsidRPr="00763706">
        <w:rPr>
          <w:rFonts w:ascii="Times New Roman" w:hAnsi="Times New Roman"/>
          <w:sz w:val="24"/>
        </w:rPr>
        <w:t xml:space="preserve"> indicia. These are</w:t>
      </w:r>
      <w:r w:rsidR="005C34FB">
        <w:rPr>
          <w:rFonts w:ascii="Times New Roman" w:hAnsi="Times New Roman"/>
          <w:sz w:val="24"/>
        </w:rPr>
        <w:t xml:space="preserve"> comprised of</w:t>
      </w:r>
      <w:r w:rsidRPr="00763706">
        <w:rPr>
          <w:rFonts w:ascii="Times New Roman" w:hAnsi="Times New Roman"/>
          <w:sz w:val="24"/>
        </w:rPr>
        <w:t>: (1) the group’s internal hierarchy; (2) the command structure and rules; (3) the extent to which military equipment, including firearms, are available; (4) the group’s ability to plan military operations and put them into effect; and (5) the extent, seriousness, and intensity of any military involvement.</w:t>
      </w:r>
      <w:r w:rsidRPr="004D235F">
        <w:rPr>
          <w:rStyle w:val="a5"/>
          <w:rFonts w:ascii="Times New Roman" w:hAnsi="Times New Roman"/>
          <w:sz w:val="24"/>
        </w:rPr>
        <w:footnoteReference w:id="29"/>
      </w:r>
      <w:r w:rsidRPr="00763706">
        <w:rPr>
          <w:rFonts w:ascii="Times New Roman" w:hAnsi="Times New Roman"/>
          <w:sz w:val="24"/>
        </w:rPr>
        <w:t xml:space="preserve"> </w:t>
      </w:r>
    </w:p>
    <w:p w14:paraId="30A2DD39" w14:textId="77777777" w:rsidR="00763706" w:rsidRPr="00763706" w:rsidRDefault="00763706" w:rsidP="00763706">
      <w:pPr>
        <w:rPr>
          <w:rFonts w:ascii="Times New Roman" w:hAnsi="Times New Roman"/>
          <w:sz w:val="24"/>
        </w:rPr>
      </w:pPr>
    </w:p>
    <w:p w14:paraId="6D5842B4" w14:textId="18F25061" w:rsidR="00F64BA4" w:rsidRDefault="00763706" w:rsidP="00763706">
      <w:pPr>
        <w:rPr>
          <w:rFonts w:ascii="Times New Roman" w:hAnsi="Times New Roman"/>
          <w:sz w:val="24"/>
          <w:shd w:val="clear" w:color="auto" w:fill="FFFFFF"/>
        </w:rPr>
      </w:pPr>
      <w:r w:rsidRPr="00763706">
        <w:rPr>
          <w:rFonts w:ascii="Times New Roman" w:hAnsi="Times New Roman"/>
          <w:sz w:val="24"/>
        </w:rPr>
        <w:t xml:space="preserve">A diagnosis of the </w:t>
      </w:r>
      <w:r w:rsidR="005C34FB">
        <w:rPr>
          <w:rFonts w:ascii="Times New Roman" w:hAnsi="Times New Roman"/>
          <w:sz w:val="24"/>
        </w:rPr>
        <w:t>international criminal tribunals’</w:t>
      </w:r>
      <w:r w:rsidRPr="00763706">
        <w:rPr>
          <w:rFonts w:ascii="Times New Roman" w:hAnsi="Times New Roman"/>
          <w:sz w:val="24"/>
        </w:rPr>
        <w:t xml:space="preserve"> </w:t>
      </w:r>
      <w:r w:rsidR="005C34FB">
        <w:rPr>
          <w:rFonts w:ascii="Times New Roman" w:hAnsi="Times New Roman"/>
          <w:sz w:val="24"/>
        </w:rPr>
        <w:t>reasoning</w:t>
      </w:r>
      <w:r w:rsidRPr="00763706">
        <w:rPr>
          <w:rFonts w:ascii="Times New Roman" w:hAnsi="Times New Roman"/>
          <w:sz w:val="24"/>
        </w:rPr>
        <w:t xml:space="preserve"> uncovers an implicit distinction between ‘merely indicative factors’ on one hand, and ‘determinative factors’, on the other. It seems that the absence of the latter would </w:t>
      </w:r>
      <w:r w:rsidRPr="00763706">
        <w:rPr>
          <w:rFonts w:ascii="Times New Roman" w:hAnsi="Times New Roman"/>
          <w:i/>
          <w:iCs/>
          <w:sz w:val="24"/>
        </w:rPr>
        <w:t>ipso facto</w:t>
      </w:r>
      <w:r w:rsidRPr="00763706">
        <w:rPr>
          <w:rFonts w:ascii="Times New Roman" w:hAnsi="Times New Roman"/>
          <w:sz w:val="24"/>
        </w:rPr>
        <w:t xml:space="preserve"> defeat the purpose of assessing the applicability of the IHL of NIACs.</w:t>
      </w:r>
      <w:r w:rsidRPr="004D235F">
        <w:rPr>
          <w:rStyle w:val="a5"/>
          <w:rFonts w:ascii="Times New Roman" w:hAnsi="Times New Roman"/>
          <w:sz w:val="24"/>
        </w:rPr>
        <w:footnoteReference w:id="30"/>
      </w:r>
      <w:r w:rsidRPr="00763706">
        <w:rPr>
          <w:rFonts w:ascii="Times New Roman" w:hAnsi="Times New Roman" w:hint="eastAsia"/>
          <w:sz w:val="24"/>
        </w:rPr>
        <w:t xml:space="preserve"> </w:t>
      </w:r>
      <w:r w:rsidR="000F6D62">
        <w:rPr>
          <w:rFonts w:ascii="Times New Roman" w:hAnsi="Times New Roman"/>
          <w:sz w:val="24"/>
        </w:rPr>
        <w:t xml:space="preserve">This paper proposes that </w:t>
      </w:r>
      <w:r w:rsidRPr="00763706">
        <w:rPr>
          <w:rFonts w:ascii="Times New Roman" w:hAnsi="Times New Roman"/>
          <w:sz w:val="24"/>
        </w:rPr>
        <w:t xml:space="preserve">what should be earmarked as the minimum </w:t>
      </w:r>
      <w:r w:rsidRPr="00763706">
        <w:rPr>
          <w:rFonts w:ascii="Times New Roman" w:hAnsi="Times New Roman"/>
          <w:sz w:val="24"/>
          <w:shd w:val="clear" w:color="auto" w:fill="FFFFFF"/>
        </w:rPr>
        <w:t>organizational attributes for any armed group</w:t>
      </w:r>
      <w:r>
        <w:rPr>
          <w:rStyle w:val="a5"/>
          <w:rFonts w:ascii="Times New Roman" w:hAnsi="Times New Roman"/>
          <w:sz w:val="24"/>
          <w:shd w:val="clear" w:color="auto" w:fill="FFFFFF"/>
        </w:rPr>
        <w:footnoteReference w:id="31"/>
      </w:r>
      <w:r w:rsidRPr="00763706">
        <w:rPr>
          <w:rFonts w:ascii="Times New Roman" w:hAnsi="Times New Roman"/>
          <w:sz w:val="24"/>
          <w:shd w:val="clear" w:color="auto" w:fill="FFFFFF"/>
        </w:rPr>
        <w:t xml:space="preserve"> are:  (1) responsible command; (2) the capacity to undertake a military operation (</w:t>
      </w:r>
      <w:r w:rsidRPr="00927D4E">
        <w:rPr>
          <w:rFonts w:ascii="Times New Roman" w:hAnsi="Times New Roman"/>
          <w:sz w:val="24"/>
          <w:shd w:val="clear" w:color="auto" w:fill="FFFFFF"/>
        </w:rPr>
        <w:t>supposedly</w:t>
      </w:r>
      <w:r w:rsidRPr="00763706">
        <w:rPr>
          <w:rFonts w:ascii="Times New Roman" w:hAnsi="Times New Roman"/>
          <w:sz w:val="24"/>
          <w:shd w:val="clear" w:color="auto" w:fill="FFFFFF"/>
        </w:rPr>
        <w:t xml:space="preserve"> pursuant to IHL);</w:t>
      </w:r>
      <w:r w:rsidRPr="004D235F">
        <w:rPr>
          <w:rStyle w:val="a5"/>
          <w:rFonts w:ascii="Times New Roman" w:hAnsi="Times New Roman"/>
          <w:sz w:val="24"/>
          <w:shd w:val="clear" w:color="auto" w:fill="FFFFFF"/>
        </w:rPr>
        <w:footnoteReference w:id="32"/>
      </w:r>
      <w:r w:rsidRPr="00763706">
        <w:rPr>
          <w:rFonts w:ascii="Times New Roman" w:hAnsi="Times New Roman"/>
          <w:sz w:val="24"/>
          <w:shd w:val="clear" w:color="auto" w:fill="FFFFFF"/>
        </w:rPr>
        <w:t xml:space="preserve"> and (3) the existence of an external representative function with the capacity to enter into a (political) negotiation.</w:t>
      </w:r>
      <w:r w:rsidRPr="004D235F">
        <w:rPr>
          <w:rStyle w:val="a5"/>
          <w:rFonts w:ascii="Times New Roman" w:hAnsi="Times New Roman"/>
          <w:sz w:val="24"/>
          <w:shd w:val="clear" w:color="auto" w:fill="FFFFFF"/>
        </w:rPr>
        <w:footnoteReference w:id="33"/>
      </w:r>
      <w:r w:rsidR="00C31B05">
        <w:rPr>
          <w:rFonts w:ascii="Times New Roman" w:hAnsi="Times New Roman"/>
          <w:sz w:val="24"/>
          <w:shd w:val="clear" w:color="auto" w:fill="FFFFFF"/>
        </w:rPr>
        <w:t xml:space="preserve"> </w:t>
      </w:r>
    </w:p>
    <w:p w14:paraId="28882143" w14:textId="77777777" w:rsidR="00F64BA4" w:rsidRDefault="00F64BA4" w:rsidP="00763706">
      <w:pPr>
        <w:rPr>
          <w:rFonts w:ascii="Times New Roman" w:hAnsi="Times New Roman"/>
          <w:sz w:val="24"/>
          <w:shd w:val="clear" w:color="auto" w:fill="FFFFFF"/>
        </w:rPr>
      </w:pPr>
    </w:p>
    <w:p w14:paraId="730D9F02" w14:textId="19AFA3ED" w:rsidR="00763706" w:rsidRPr="00AD6D2F" w:rsidRDefault="00C31B05" w:rsidP="00763706">
      <w:pPr>
        <w:rPr>
          <w:rFonts w:ascii="Times New Roman" w:hAnsi="Times New Roman"/>
          <w:sz w:val="24"/>
          <w:shd w:val="clear" w:color="auto" w:fill="FFFFFF"/>
        </w:rPr>
      </w:pPr>
      <w:r>
        <w:rPr>
          <w:rFonts w:ascii="Times New Roman" w:hAnsi="Times New Roman"/>
          <w:sz w:val="24"/>
          <w:shd w:val="clear" w:color="auto" w:fill="FFFFFF"/>
        </w:rPr>
        <w:t xml:space="preserve">As regards </w:t>
      </w:r>
      <w:r w:rsidR="00AD6D2F">
        <w:rPr>
          <w:rFonts w:ascii="Times New Roman" w:hAnsi="Times New Roman"/>
          <w:sz w:val="24"/>
          <w:shd w:val="clear" w:color="auto" w:fill="FFFFFF"/>
        </w:rPr>
        <w:t xml:space="preserve">the first </w:t>
      </w:r>
      <w:r w:rsidR="00F55346">
        <w:rPr>
          <w:rFonts w:ascii="Times New Roman" w:hAnsi="Times New Roman"/>
          <w:sz w:val="24"/>
          <w:shd w:val="clear" w:color="auto" w:fill="FFFFFF"/>
        </w:rPr>
        <w:t xml:space="preserve">proposed </w:t>
      </w:r>
      <w:r w:rsidR="00AD6D2F">
        <w:rPr>
          <w:rFonts w:ascii="Times New Roman" w:hAnsi="Times New Roman"/>
          <w:sz w:val="24"/>
          <w:shd w:val="clear" w:color="auto" w:fill="FFFFFF"/>
        </w:rPr>
        <w:t>core element</w:t>
      </w:r>
      <w:r>
        <w:rPr>
          <w:rFonts w:ascii="Times New Roman" w:hAnsi="Times New Roman"/>
          <w:sz w:val="24"/>
          <w:shd w:val="clear" w:color="auto" w:fill="FFFFFF"/>
        </w:rPr>
        <w:t xml:space="preserve">, </w:t>
      </w:r>
      <w:r>
        <w:rPr>
          <w:rFonts w:ascii="Times New Roman" w:hAnsi="Times New Roman"/>
          <w:sz w:val="24"/>
        </w:rPr>
        <w:t>the</w:t>
      </w:r>
      <w:r w:rsidRPr="004D235F">
        <w:rPr>
          <w:rFonts w:ascii="Times New Roman" w:hAnsi="Times New Roman"/>
          <w:sz w:val="24"/>
        </w:rPr>
        <w:t xml:space="preserve"> ICRC</w:t>
      </w:r>
      <w:r w:rsidRPr="004D235F">
        <w:rPr>
          <w:rFonts w:ascii="Times New Roman" w:hAnsi="Times New Roman"/>
          <w:i/>
          <w:iCs/>
          <w:sz w:val="24"/>
        </w:rPr>
        <w:t xml:space="preserve">’s Commentary on the 1973 ICRC Draft Text of </w:t>
      </w:r>
      <w:r w:rsidR="001D7ED3">
        <w:rPr>
          <w:rFonts w:ascii="Times New Roman" w:hAnsi="Times New Roman"/>
          <w:i/>
          <w:iCs/>
          <w:sz w:val="24"/>
        </w:rPr>
        <w:t>Additional Protocol</w:t>
      </w:r>
      <w:r w:rsidR="00EB2158">
        <w:rPr>
          <w:rFonts w:ascii="Times New Roman" w:hAnsi="Times New Roman"/>
          <w:i/>
          <w:iCs/>
          <w:sz w:val="24"/>
        </w:rPr>
        <w:t xml:space="preserve"> </w:t>
      </w:r>
      <w:r w:rsidRPr="004D235F">
        <w:rPr>
          <w:rFonts w:ascii="Times New Roman" w:hAnsi="Times New Roman"/>
          <w:i/>
          <w:iCs/>
          <w:sz w:val="24"/>
        </w:rPr>
        <w:t>II</w:t>
      </w:r>
      <w:r w:rsidRPr="004D235F">
        <w:rPr>
          <w:rFonts w:ascii="Times New Roman" w:hAnsi="Times New Roman"/>
          <w:sz w:val="24"/>
        </w:rPr>
        <w:t xml:space="preserve"> confirmed </w:t>
      </w:r>
      <w:r w:rsidR="006D391C">
        <w:rPr>
          <w:rFonts w:ascii="Times New Roman" w:hAnsi="Times New Roman"/>
          <w:sz w:val="24"/>
        </w:rPr>
        <w:t>that</w:t>
      </w:r>
      <w:r w:rsidRPr="004D235F">
        <w:rPr>
          <w:rFonts w:ascii="Times New Roman" w:hAnsi="Times New Roman"/>
          <w:sz w:val="24"/>
        </w:rPr>
        <w:t xml:space="preserve"> this element, together with its affiliated </w:t>
      </w:r>
      <w:r w:rsidRPr="004D235F">
        <w:rPr>
          <w:rFonts w:ascii="Times New Roman" w:hAnsi="Times New Roman"/>
          <w:sz w:val="24"/>
        </w:rPr>
        <w:lastRenderedPageBreak/>
        <w:t>element of an internal disciplinary mechanism, forms the edifice of organization.</w:t>
      </w:r>
      <w:r w:rsidRPr="004D235F">
        <w:rPr>
          <w:rStyle w:val="a5"/>
          <w:rFonts w:ascii="Times New Roman" w:hAnsi="Times New Roman"/>
          <w:sz w:val="24"/>
        </w:rPr>
        <w:footnoteReference w:id="34"/>
      </w:r>
      <w:r w:rsidRPr="004D235F">
        <w:rPr>
          <w:rFonts w:ascii="Times New Roman" w:hAnsi="Times New Roman"/>
          <w:sz w:val="24"/>
        </w:rPr>
        <w:t xml:space="preserve"> The ICTY Appeals Chamber in </w:t>
      </w:r>
      <w:proofErr w:type="spellStart"/>
      <w:r w:rsidRPr="004D235F">
        <w:rPr>
          <w:rFonts w:ascii="Times New Roman" w:hAnsi="Times New Roman"/>
          <w:i/>
          <w:iCs/>
          <w:sz w:val="24"/>
        </w:rPr>
        <w:t>Hadžihasanović</w:t>
      </w:r>
      <w:proofErr w:type="spellEnd"/>
      <w:r w:rsidRPr="004D235F">
        <w:rPr>
          <w:rFonts w:ascii="Times New Roman" w:hAnsi="Times New Roman"/>
          <w:sz w:val="24"/>
        </w:rPr>
        <w:t xml:space="preserve"> held that </w:t>
      </w:r>
      <w:r w:rsidRPr="004D235F">
        <w:rPr>
          <w:rFonts w:ascii="Times New Roman" w:hAnsi="Times New Roman"/>
          <w:sz w:val="24"/>
          <w:shd w:val="clear" w:color="auto" w:fill="FFFFFF"/>
        </w:rPr>
        <w:t>‘there cannot be an organized military force save on the basis of responsible command’.</w:t>
      </w:r>
      <w:r w:rsidRPr="004D235F">
        <w:rPr>
          <w:rStyle w:val="a5"/>
          <w:rFonts w:ascii="Times New Roman" w:hAnsi="Times New Roman"/>
          <w:sz w:val="24"/>
          <w:shd w:val="clear" w:color="auto" w:fill="FFFFFF"/>
        </w:rPr>
        <w:footnoteReference w:id="35"/>
      </w:r>
      <w:r w:rsidR="00F64BA4">
        <w:rPr>
          <w:rFonts w:ascii="Times New Roman" w:hAnsi="Times New Roman"/>
          <w:sz w:val="24"/>
          <w:shd w:val="clear" w:color="auto" w:fill="FFFFFF"/>
        </w:rPr>
        <w:t xml:space="preserve"> </w:t>
      </w:r>
      <w:r w:rsidR="0062086B">
        <w:rPr>
          <w:rFonts w:ascii="Times New Roman" w:hAnsi="Times New Roman"/>
          <w:sz w:val="24"/>
          <w:shd w:val="clear" w:color="auto" w:fill="FFFFFF"/>
        </w:rPr>
        <w:t>This element is essential to ensure compliance with IHL.</w:t>
      </w:r>
      <w:r w:rsidR="0062086B">
        <w:rPr>
          <w:rStyle w:val="a5"/>
          <w:rFonts w:ascii="Times New Roman" w:hAnsi="Times New Roman"/>
          <w:sz w:val="24"/>
          <w:shd w:val="clear" w:color="auto" w:fill="FFFFFF"/>
        </w:rPr>
        <w:footnoteReference w:id="36"/>
      </w:r>
      <w:r w:rsidR="0062086B">
        <w:rPr>
          <w:rFonts w:ascii="Times New Roman" w:hAnsi="Times New Roman"/>
          <w:sz w:val="24"/>
          <w:shd w:val="clear" w:color="auto" w:fill="FFFFFF"/>
        </w:rPr>
        <w:t xml:space="preserve"> </w:t>
      </w:r>
      <w:r w:rsidR="00AD6D2F">
        <w:rPr>
          <w:rFonts w:ascii="Times New Roman" w:hAnsi="Times New Roman"/>
          <w:sz w:val="24"/>
          <w:shd w:val="clear" w:color="auto" w:fill="FFFFFF"/>
        </w:rPr>
        <w:t xml:space="preserve">The </w:t>
      </w:r>
      <w:r w:rsidR="00AD6D2F" w:rsidRPr="004D235F">
        <w:rPr>
          <w:rFonts w:ascii="Times New Roman" w:hAnsi="Times New Roman"/>
          <w:sz w:val="24"/>
          <w:shd w:val="clear" w:color="auto" w:fill="FFFFFF"/>
        </w:rPr>
        <w:t xml:space="preserve">notion ‘responsible command’ </w:t>
      </w:r>
      <w:r w:rsidR="006D391C">
        <w:rPr>
          <w:rFonts w:ascii="Times New Roman" w:hAnsi="Times New Roman"/>
          <w:sz w:val="24"/>
          <w:shd w:val="clear" w:color="auto" w:fill="FFFFFF"/>
        </w:rPr>
        <w:t xml:space="preserve">should </w:t>
      </w:r>
      <w:r w:rsidR="00AD6D2F">
        <w:rPr>
          <w:rFonts w:ascii="Times New Roman" w:hAnsi="Times New Roman"/>
          <w:sz w:val="24"/>
          <w:shd w:val="clear" w:color="auto" w:fill="FFFFFF"/>
        </w:rPr>
        <w:t xml:space="preserve">be understood </w:t>
      </w:r>
      <w:r w:rsidR="006D391C">
        <w:rPr>
          <w:rFonts w:ascii="Times New Roman" w:hAnsi="Times New Roman"/>
          <w:sz w:val="24"/>
          <w:shd w:val="clear" w:color="auto" w:fill="FFFFFF"/>
        </w:rPr>
        <w:t>broadly.</w:t>
      </w:r>
      <w:r w:rsidR="00AD6D2F">
        <w:rPr>
          <w:rFonts w:ascii="Times New Roman" w:hAnsi="Times New Roman"/>
          <w:sz w:val="24"/>
          <w:shd w:val="clear" w:color="auto" w:fill="FFFFFF"/>
        </w:rPr>
        <w:t xml:space="preserve"> Even a </w:t>
      </w:r>
      <w:r w:rsidR="00AD6D2F" w:rsidRPr="004D235F">
        <w:rPr>
          <w:rFonts w:ascii="Times New Roman" w:hAnsi="Times New Roman"/>
          <w:sz w:val="24"/>
          <w:shd w:val="clear" w:color="auto" w:fill="FFFFFF"/>
        </w:rPr>
        <w:t xml:space="preserve">commander of </w:t>
      </w:r>
      <w:r w:rsidR="00AD6D2F" w:rsidRPr="004D235F">
        <w:rPr>
          <w:rFonts w:ascii="Times New Roman" w:hAnsi="Times New Roman"/>
          <w:i/>
          <w:iCs/>
          <w:sz w:val="24"/>
          <w:shd w:val="clear" w:color="auto" w:fill="FFFFFF"/>
        </w:rPr>
        <w:t xml:space="preserve">de facto </w:t>
      </w:r>
      <w:r w:rsidR="00AD6D2F" w:rsidRPr="004D235F">
        <w:rPr>
          <w:rFonts w:ascii="Times New Roman" w:hAnsi="Times New Roman"/>
          <w:sz w:val="24"/>
          <w:shd w:val="clear" w:color="auto" w:fill="FFFFFF"/>
        </w:rPr>
        <w:t xml:space="preserve">kind </w:t>
      </w:r>
      <w:r w:rsidR="006D391C">
        <w:rPr>
          <w:rFonts w:ascii="Times New Roman" w:hAnsi="Times New Roman"/>
          <w:sz w:val="24"/>
          <w:shd w:val="clear" w:color="auto" w:fill="FFFFFF"/>
        </w:rPr>
        <w:t xml:space="preserve">is </w:t>
      </w:r>
      <w:r w:rsidR="00AD6D2F" w:rsidRPr="004D235F">
        <w:rPr>
          <w:rFonts w:ascii="Times New Roman" w:hAnsi="Times New Roman"/>
          <w:sz w:val="24"/>
          <w:shd w:val="clear" w:color="auto" w:fill="FFFFFF"/>
        </w:rPr>
        <w:t>sufficient.</w:t>
      </w:r>
      <w:r w:rsidR="00AD6D2F" w:rsidRPr="004D235F">
        <w:rPr>
          <w:rStyle w:val="a5"/>
          <w:rFonts w:ascii="Times New Roman" w:hAnsi="Times New Roman"/>
          <w:sz w:val="24"/>
          <w:shd w:val="clear" w:color="auto" w:fill="FFFFFF"/>
        </w:rPr>
        <w:footnoteReference w:id="37"/>
      </w:r>
      <w:r w:rsidR="00AD6D2F" w:rsidRPr="004D235F">
        <w:rPr>
          <w:rFonts w:ascii="Times New Roman" w:hAnsi="Times New Roman"/>
          <w:sz w:val="24"/>
          <w:shd w:val="clear" w:color="auto" w:fill="FFFFFF"/>
        </w:rPr>
        <w:t xml:space="preserve"> </w:t>
      </w:r>
      <w:r w:rsidR="00AD6D2F">
        <w:rPr>
          <w:rFonts w:ascii="Times New Roman" w:hAnsi="Times New Roman"/>
          <w:sz w:val="24"/>
          <w:shd w:val="clear" w:color="auto" w:fill="FFFFFF"/>
        </w:rPr>
        <w:t xml:space="preserve">It is not necessary that an </w:t>
      </w:r>
      <w:r w:rsidR="00AD6D2F" w:rsidRPr="004D235F">
        <w:rPr>
          <w:rFonts w:ascii="Times New Roman" w:hAnsi="Times New Roman"/>
          <w:sz w:val="24"/>
          <w:shd w:val="clear" w:color="auto" w:fill="FFFFFF"/>
        </w:rPr>
        <w:t xml:space="preserve">armed group be possessed with a </w:t>
      </w:r>
      <w:r w:rsidR="00AD6D2F">
        <w:rPr>
          <w:rFonts w:ascii="Times New Roman" w:hAnsi="Times New Roman"/>
          <w:sz w:val="24"/>
          <w:shd w:val="clear" w:color="auto" w:fill="FFFFFF"/>
        </w:rPr>
        <w:t xml:space="preserve">rigid </w:t>
      </w:r>
      <w:r w:rsidR="00AD6D2F" w:rsidRPr="004D235F">
        <w:rPr>
          <w:rFonts w:ascii="Times New Roman" w:hAnsi="Times New Roman"/>
          <w:sz w:val="24"/>
          <w:shd w:val="clear" w:color="auto" w:fill="FFFFFF"/>
        </w:rPr>
        <w:t>hierarchical military structure</w:t>
      </w:r>
      <w:r w:rsidR="006D391C">
        <w:rPr>
          <w:rFonts w:ascii="Times New Roman" w:hAnsi="Times New Roman"/>
          <w:sz w:val="24"/>
          <w:shd w:val="clear" w:color="auto" w:fill="FFFFFF"/>
        </w:rPr>
        <w:t>.</w:t>
      </w:r>
      <w:r w:rsidR="00AD6D2F" w:rsidRPr="004D235F">
        <w:rPr>
          <w:rStyle w:val="a5"/>
          <w:rFonts w:ascii="Times New Roman" w:hAnsi="Times New Roman"/>
          <w:sz w:val="24"/>
          <w:shd w:val="clear" w:color="auto" w:fill="FFFFFF"/>
        </w:rPr>
        <w:footnoteReference w:id="38"/>
      </w:r>
    </w:p>
    <w:p w14:paraId="07B7EA21" w14:textId="395EAA44" w:rsidR="00F64BA4" w:rsidRDefault="00F64BA4" w:rsidP="00763706">
      <w:pPr>
        <w:rPr>
          <w:rFonts w:ascii="Times New Roman" w:hAnsi="Times New Roman"/>
          <w:sz w:val="24"/>
        </w:rPr>
      </w:pPr>
    </w:p>
    <w:p w14:paraId="7FB6D1DC" w14:textId="0B5A44D2" w:rsidR="00F64BA4" w:rsidRDefault="00F64BA4" w:rsidP="00F64BA4">
      <w:pPr>
        <w:rPr>
          <w:rFonts w:ascii="Times New Roman" w:hAnsi="Times New Roman"/>
          <w:sz w:val="24"/>
        </w:rPr>
      </w:pPr>
      <w:r>
        <w:rPr>
          <w:rFonts w:ascii="Times New Roman" w:hAnsi="Times New Roman" w:hint="eastAsia"/>
          <w:sz w:val="24"/>
        </w:rPr>
        <w:t>I</w:t>
      </w:r>
      <w:r>
        <w:rPr>
          <w:rFonts w:ascii="Times New Roman" w:hAnsi="Times New Roman"/>
          <w:sz w:val="24"/>
        </w:rPr>
        <w:t xml:space="preserve">n relation to </w:t>
      </w:r>
      <w:r w:rsidR="00EE188A">
        <w:rPr>
          <w:rFonts w:ascii="Times New Roman" w:hAnsi="Times New Roman"/>
          <w:sz w:val="24"/>
        </w:rPr>
        <w:t xml:space="preserve">the </w:t>
      </w:r>
      <w:r w:rsidR="002B4703">
        <w:rPr>
          <w:rFonts w:ascii="Times New Roman" w:hAnsi="Times New Roman"/>
          <w:sz w:val="24"/>
        </w:rPr>
        <w:t xml:space="preserve">capacity to pursue a military operation as the </w:t>
      </w:r>
      <w:r w:rsidR="00EE188A">
        <w:rPr>
          <w:rFonts w:ascii="Times New Roman" w:hAnsi="Times New Roman"/>
          <w:sz w:val="24"/>
        </w:rPr>
        <w:t>second mandatory element</w:t>
      </w:r>
      <w:r>
        <w:rPr>
          <w:rFonts w:ascii="Times New Roman" w:hAnsi="Times New Roman"/>
          <w:sz w:val="24"/>
        </w:rPr>
        <w:t xml:space="preserve">, </w:t>
      </w:r>
      <w:r w:rsidR="001E158E">
        <w:rPr>
          <w:rFonts w:ascii="Times New Roman" w:hAnsi="Times New Roman"/>
          <w:sz w:val="24"/>
        </w:rPr>
        <w:t xml:space="preserve">its content and scope </w:t>
      </w:r>
      <w:r w:rsidR="002B4703">
        <w:rPr>
          <w:rFonts w:ascii="Times New Roman" w:hAnsi="Times New Roman"/>
          <w:sz w:val="24"/>
        </w:rPr>
        <w:t>are</w:t>
      </w:r>
      <w:r w:rsidR="001E158E">
        <w:rPr>
          <w:rFonts w:ascii="Times New Roman" w:hAnsi="Times New Roman"/>
          <w:sz w:val="24"/>
        </w:rPr>
        <w:t xml:space="preserve"> inevitably shaped by </w:t>
      </w:r>
      <w:r w:rsidR="002B4703">
        <w:rPr>
          <w:rFonts w:ascii="Times New Roman" w:hAnsi="Times New Roman"/>
          <w:sz w:val="24"/>
        </w:rPr>
        <w:t xml:space="preserve">added complexity of </w:t>
      </w:r>
      <w:proofErr w:type="gramStart"/>
      <w:r w:rsidR="001E158E">
        <w:rPr>
          <w:rFonts w:ascii="Times New Roman" w:hAnsi="Times New Roman"/>
          <w:sz w:val="24"/>
        </w:rPr>
        <w:t>particular circumstances</w:t>
      </w:r>
      <w:proofErr w:type="gramEnd"/>
      <w:r w:rsidR="001E158E">
        <w:rPr>
          <w:rFonts w:ascii="Times New Roman" w:hAnsi="Times New Roman"/>
          <w:sz w:val="24"/>
        </w:rPr>
        <w:t xml:space="preserve"> and context-specific factors</w:t>
      </w:r>
      <w:r w:rsidR="005E2693">
        <w:rPr>
          <w:rFonts w:ascii="Times New Roman" w:hAnsi="Times New Roman"/>
          <w:sz w:val="24"/>
        </w:rPr>
        <w:t xml:space="preserve">. Still, </w:t>
      </w:r>
      <w:r w:rsidR="008B611A">
        <w:rPr>
          <w:rFonts w:ascii="Times New Roman" w:hAnsi="Times New Roman"/>
          <w:sz w:val="24"/>
        </w:rPr>
        <w:t xml:space="preserve">it </w:t>
      </w:r>
      <w:r w:rsidR="0008577C">
        <w:rPr>
          <w:rFonts w:ascii="Times New Roman" w:hAnsi="Times New Roman"/>
          <w:sz w:val="24"/>
        </w:rPr>
        <w:t>can be argued</w:t>
      </w:r>
      <w:r w:rsidR="008B611A">
        <w:rPr>
          <w:rFonts w:ascii="Times New Roman" w:hAnsi="Times New Roman"/>
          <w:sz w:val="24"/>
        </w:rPr>
        <w:t xml:space="preserve"> that this element is largely </w:t>
      </w:r>
      <w:r w:rsidR="001E158E">
        <w:rPr>
          <w:rFonts w:ascii="Times New Roman" w:hAnsi="Times New Roman"/>
          <w:sz w:val="24"/>
        </w:rPr>
        <w:t>contingen</w:t>
      </w:r>
      <w:r w:rsidR="008B611A">
        <w:rPr>
          <w:rFonts w:ascii="Times New Roman" w:hAnsi="Times New Roman"/>
          <w:sz w:val="24"/>
        </w:rPr>
        <w:t>t o</w:t>
      </w:r>
      <w:r w:rsidR="00EB4B4F">
        <w:rPr>
          <w:rFonts w:ascii="Times New Roman" w:hAnsi="Times New Roman"/>
          <w:sz w:val="24"/>
        </w:rPr>
        <w:t xml:space="preserve">n the modality of military operations. It stands to reason that </w:t>
      </w:r>
      <w:r w:rsidR="00DB7D5C">
        <w:rPr>
          <w:rFonts w:ascii="Times New Roman" w:hAnsi="Times New Roman"/>
          <w:sz w:val="24"/>
        </w:rPr>
        <w:t>the operational capacity of an armed group intent on launching kinetic attacks</w:t>
      </w:r>
      <w:r w:rsidR="00DB7D5C">
        <w:rPr>
          <w:rStyle w:val="a5"/>
          <w:rFonts w:ascii="Times New Roman" w:hAnsi="Times New Roman"/>
          <w:sz w:val="24"/>
        </w:rPr>
        <w:footnoteReference w:id="39"/>
      </w:r>
      <w:r w:rsidR="00DB7D5C">
        <w:rPr>
          <w:rFonts w:ascii="Times New Roman" w:hAnsi="Times New Roman"/>
          <w:sz w:val="24"/>
        </w:rPr>
        <w:t xml:space="preserve"> is likely to differ from </w:t>
      </w:r>
      <w:r w:rsidR="00EB4B4F">
        <w:rPr>
          <w:rFonts w:ascii="Times New Roman" w:hAnsi="Times New Roman"/>
          <w:sz w:val="24"/>
        </w:rPr>
        <w:t xml:space="preserve">the necessary ingredients for the armed group that engages only in cyber operations (or </w:t>
      </w:r>
      <w:r w:rsidR="00DB7D5C">
        <w:rPr>
          <w:rFonts w:ascii="Times New Roman" w:hAnsi="Times New Roman"/>
          <w:sz w:val="24"/>
        </w:rPr>
        <w:t xml:space="preserve">in </w:t>
      </w:r>
      <w:r w:rsidR="00EB4B4F">
        <w:rPr>
          <w:rFonts w:ascii="Times New Roman" w:hAnsi="Times New Roman"/>
          <w:sz w:val="24"/>
        </w:rPr>
        <w:t>both kinetic and virtual attacks)</w:t>
      </w:r>
      <w:r w:rsidR="001963A3">
        <w:rPr>
          <w:rFonts w:ascii="Times New Roman" w:hAnsi="Times New Roman"/>
          <w:sz w:val="24"/>
        </w:rPr>
        <w:t>.</w:t>
      </w:r>
      <w:r w:rsidR="003C7722">
        <w:rPr>
          <w:rStyle w:val="a5"/>
          <w:rFonts w:ascii="Times New Roman" w:hAnsi="Times New Roman"/>
          <w:sz w:val="24"/>
        </w:rPr>
        <w:footnoteReference w:id="40"/>
      </w:r>
      <w:r w:rsidR="001963A3">
        <w:rPr>
          <w:rFonts w:ascii="Times New Roman" w:hAnsi="Times New Roman"/>
          <w:sz w:val="24"/>
        </w:rPr>
        <w:t xml:space="preserve"> </w:t>
      </w:r>
      <w:r w:rsidR="00032F1A">
        <w:rPr>
          <w:rFonts w:ascii="Times New Roman" w:hAnsi="Times New Roman"/>
          <w:sz w:val="24"/>
        </w:rPr>
        <w:t>Further</w:t>
      </w:r>
      <w:r w:rsidR="00407D16">
        <w:rPr>
          <w:rFonts w:ascii="Times New Roman" w:hAnsi="Times New Roman"/>
          <w:sz w:val="24"/>
        </w:rPr>
        <w:t xml:space="preserve">, it is essential to </w:t>
      </w:r>
      <w:r w:rsidR="00EE188A">
        <w:rPr>
          <w:rFonts w:ascii="Times New Roman" w:hAnsi="Times New Roman"/>
          <w:sz w:val="24"/>
        </w:rPr>
        <w:t xml:space="preserve">differentiate </w:t>
      </w:r>
      <w:r w:rsidRPr="004D235F">
        <w:rPr>
          <w:rFonts w:ascii="Times New Roman" w:hAnsi="Times New Roman"/>
          <w:sz w:val="24"/>
          <w:shd w:val="clear" w:color="auto" w:fill="FFFFFF"/>
        </w:rPr>
        <w:t xml:space="preserve">the </w:t>
      </w:r>
      <w:r>
        <w:rPr>
          <w:rFonts w:ascii="Times New Roman" w:hAnsi="Times New Roman"/>
          <w:sz w:val="24"/>
          <w:shd w:val="clear" w:color="auto" w:fill="FFFFFF"/>
        </w:rPr>
        <w:t xml:space="preserve">material </w:t>
      </w:r>
      <w:r w:rsidRPr="004D235F">
        <w:rPr>
          <w:rFonts w:ascii="Times New Roman" w:hAnsi="Times New Roman"/>
          <w:sz w:val="24"/>
        </w:rPr>
        <w:t>capacity to pursue a military operation</w:t>
      </w:r>
      <w:r w:rsidR="00EE188A">
        <w:rPr>
          <w:rFonts w:ascii="Times New Roman" w:hAnsi="Times New Roman"/>
          <w:sz w:val="24"/>
        </w:rPr>
        <w:t xml:space="preserve"> </w:t>
      </w:r>
      <w:r>
        <w:rPr>
          <w:rFonts w:ascii="Times New Roman" w:hAnsi="Times New Roman"/>
          <w:sz w:val="24"/>
        </w:rPr>
        <w:t xml:space="preserve">from </w:t>
      </w:r>
      <w:r w:rsidRPr="004D235F">
        <w:rPr>
          <w:rFonts w:ascii="Times New Roman" w:hAnsi="Times New Roman"/>
          <w:sz w:val="24"/>
        </w:rPr>
        <w:t xml:space="preserve">the </w:t>
      </w:r>
      <w:r>
        <w:rPr>
          <w:rFonts w:ascii="Times New Roman" w:hAnsi="Times New Roman"/>
          <w:sz w:val="24"/>
        </w:rPr>
        <w:t>rational ability</w:t>
      </w:r>
      <w:r w:rsidRPr="004D235F">
        <w:rPr>
          <w:rFonts w:ascii="Times New Roman" w:hAnsi="Times New Roman"/>
          <w:sz w:val="24"/>
        </w:rPr>
        <w:t xml:space="preserve"> to ensure application of IHL. On one hand, the </w:t>
      </w:r>
      <w:r w:rsidR="00E234ED">
        <w:rPr>
          <w:rFonts w:ascii="Times New Roman" w:hAnsi="Times New Roman"/>
          <w:sz w:val="24"/>
        </w:rPr>
        <w:t>sufficiency</w:t>
      </w:r>
      <w:r w:rsidR="00E234ED" w:rsidRPr="004D235F">
        <w:rPr>
          <w:rFonts w:ascii="Times New Roman" w:hAnsi="Times New Roman"/>
          <w:sz w:val="24"/>
        </w:rPr>
        <w:t xml:space="preserve"> </w:t>
      </w:r>
      <w:r w:rsidRPr="004D235F">
        <w:rPr>
          <w:rFonts w:ascii="Times New Roman" w:hAnsi="Times New Roman"/>
          <w:sz w:val="24"/>
        </w:rPr>
        <w:t>of logisti</w:t>
      </w:r>
      <w:r w:rsidR="00B0741D">
        <w:rPr>
          <w:rFonts w:ascii="Times New Roman" w:hAnsi="Times New Roman"/>
          <w:sz w:val="24"/>
        </w:rPr>
        <w:t>cs</w:t>
      </w:r>
      <w:r w:rsidRPr="004D235F">
        <w:rPr>
          <w:rFonts w:ascii="Times New Roman" w:hAnsi="Times New Roman"/>
          <w:sz w:val="24"/>
        </w:rPr>
        <w:t xml:space="preserve"> and human resources to </w:t>
      </w:r>
      <w:r w:rsidR="00B0741D">
        <w:rPr>
          <w:rFonts w:ascii="Times New Roman" w:hAnsi="Times New Roman"/>
          <w:sz w:val="24"/>
        </w:rPr>
        <w:t>sustain</w:t>
      </w:r>
      <w:r w:rsidR="00816688" w:rsidRPr="004D235F">
        <w:rPr>
          <w:rFonts w:ascii="Times New Roman" w:hAnsi="Times New Roman"/>
          <w:sz w:val="24"/>
        </w:rPr>
        <w:t xml:space="preserve"> </w:t>
      </w:r>
      <w:r w:rsidRPr="004D235F">
        <w:rPr>
          <w:rFonts w:ascii="Times New Roman" w:hAnsi="Times New Roman"/>
          <w:sz w:val="24"/>
        </w:rPr>
        <w:t>military operations for a certain period</w:t>
      </w:r>
      <w:r w:rsidR="00C958BF">
        <w:rPr>
          <w:rFonts w:ascii="Times New Roman" w:hAnsi="Times New Roman"/>
          <w:sz w:val="24"/>
        </w:rPr>
        <w:t xml:space="preserve"> is essential for any group as a hallmark of </w:t>
      </w:r>
      <w:r w:rsidR="00307C72">
        <w:rPr>
          <w:rFonts w:ascii="Times New Roman" w:hAnsi="Times New Roman"/>
          <w:sz w:val="24"/>
        </w:rPr>
        <w:lastRenderedPageBreak/>
        <w:t>a military</w:t>
      </w:r>
      <w:r w:rsidR="00C958BF">
        <w:rPr>
          <w:rFonts w:ascii="Times New Roman" w:hAnsi="Times New Roman"/>
          <w:sz w:val="24"/>
        </w:rPr>
        <w:t xml:space="preserve"> organization.</w:t>
      </w:r>
      <w:r w:rsidRPr="004D235F">
        <w:rPr>
          <w:rStyle w:val="a5"/>
          <w:rFonts w:ascii="Times New Roman" w:hAnsi="Times New Roman"/>
          <w:sz w:val="24"/>
        </w:rPr>
        <w:footnoteReference w:id="41"/>
      </w:r>
      <w:r w:rsidR="00C958BF">
        <w:rPr>
          <w:rFonts w:ascii="Times New Roman" w:hAnsi="Times New Roman"/>
          <w:sz w:val="24"/>
        </w:rPr>
        <w:t xml:space="preserve"> </w:t>
      </w:r>
      <w:r w:rsidRPr="004D235F">
        <w:rPr>
          <w:rFonts w:ascii="Times New Roman" w:hAnsi="Times New Roman"/>
          <w:sz w:val="24"/>
          <w:shd w:val="clear" w:color="auto" w:fill="FFFFFF"/>
        </w:rPr>
        <w:t xml:space="preserve">This </w:t>
      </w:r>
      <w:r w:rsidR="0000350E">
        <w:rPr>
          <w:rFonts w:ascii="Times New Roman" w:hAnsi="Times New Roman"/>
          <w:sz w:val="24"/>
          <w:shd w:val="clear" w:color="auto" w:fill="FFFFFF"/>
        </w:rPr>
        <w:t xml:space="preserve">element </w:t>
      </w:r>
      <w:r w:rsidRPr="004D235F">
        <w:rPr>
          <w:rFonts w:ascii="Times New Roman" w:hAnsi="Times New Roman"/>
          <w:sz w:val="24"/>
          <w:shd w:val="clear" w:color="auto" w:fill="FFFFFF"/>
        </w:rPr>
        <w:t>encompass</w:t>
      </w:r>
      <w:r w:rsidR="00C958BF">
        <w:rPr>
          <w:rFonts w:ascii="Times New Roman" w:hAnsi="Times New Roman"/>
          <w:sz w:val="24"/>
          <w:shd w:val="clear" w:color="auto" w:fill="FFFFFF"/>
        </w:rPr>
        <w:t>es</w:t>
      </w:r>
      <w:r w:rsidRPr="004D235F">
        <w:rPr>
          <w:rFonts w:ascii="Times New Roman" w:hAnsi="Times New Roman"/>
          <w:sz w:val="24"/>
          <w:shd w:val="clear" w:color="auto" w:fill="FFFFFF"/>
        </w:rPr>
        <w:t xml:space="preserve"> </w:t>
      </w:r>
      <w:r w:rsidR="00B0741D">
        <w:rPr>
          <w:rFonts w:ascii="Times New Roman" w:hAnsi="Times New Roman"/>
          <w:sz w:val="24"/>
          <w:shd w:val="clear" w:color="auto" w:fill="FFFFFF"/>
        </w:rPr>
        <w:t xml:space="preserve">skills and </w:t>
      </w:r>
      <w:r w:rsidRPr="004D235F">
        <w:rPr>
          <w:rFonts w:ascii="Times New Roman" w:hAnsi="Times New Roman"/>
          <w:sz w:val="24"/>
          <w:shd w:val="clear" w:color="auto" w:fill="FFFFFF"/>
        </w:rPr>
        <w:t>aptitudes relating to recruitment, training, and enforcement of tactics</w:t>
      </w:r>
      <w:r w:rsidR="0000350E">
        <w:rPr>
          <w:rFonts w:ascii="Times New Roman" w:hAnsi="Times New Roman"/>
          <w:sz w:val="24"/>
          <w:shd w:val="clear" w:color="auto" w:fill="FFFFFF"/>
        </w:rPr>
        <w:t>.</w:t>
      </w:r>
      <w:r w:rsidRPr="004D235F">
        <w:rPr>
          <w:rStyle w:val="a5"/>
          <w:rFonts w:ascii="Times New Roman" w:hAnsi="Times New Roman"/>
          <w:sz w:val="24"/>
          <w:shd w:val="clear" w:color="auto" w:fill="FFFFFF"/>
        </w:rPr>
        <w:footnoteReference w:id="42"/>
      </w:r>
      <w:r w:rsidRPr="004D235F">
        <w:rPr>
          <w:rFonts w:ascii="Times New Roman" w:hAnsi="Times New Roman"/>
          <w:sz w:val="24"/>
          <w:shd w:val="clear" w:color="auto" w:fill="FFFFFF"/>
        </w:rPr>
        <w:t xml:space="preserve"> </w:t>
      </w:r>
      <w:r w:rsidR="00FB52D1">
        <w:rPr>
          <w:rFonts w:ascii="Times New Roman" w:hAnsi="Times New Roman"/>
          <w:sz w:val="24"/>
          <w:shd w:val="clear" w:color="auto" w:fill="FFFFFF"/>
        </w:rPr>
        <w:t>O</w:t>
      </w:r>
      <w:r w:rsidR="00C0008F">
        <w:rPr>
          <w:rFonts w:ascii="Times New Roman" w:hAnsi="Times New Roman"/>
          <w:sz w:val="24"/>
          <w:shd w:val="clear" w:color="auto" w:fill="FFFFFF"/>
        </w:rPr>
        <w:t xml:space="preserve">ften (albeit not necessarily) </w:t>
      </w:r>
      <w:r w:rsidR="00B0741D">
        <w:rPr>
          <w:rFonts w:ascii="Times New Roman" w:hAnsi="Times New Roman"/>
          <w:sz w:val="24"/>
          <w:shd w:val="clear" w:color="auto" w:fill="FFFFFF"/>
        </w:rPr>
        <w:t xml:space="preserve">the inability to undertake military operations </w:t>
      </w:r>
      <w:r w:rsidR="00C0008F">
        <w:rPr>
          <w:rFonts w:ascii="Times New Roman" w:hAnsi="Times New Roman"/>
          <w:sz w:val="24"/>
          <w:shd w:val="clear" w:color="auto" w:fill="FFFFFF"/>
        </w:rPr>
        <w:t xml:space="preserve">is discernible in parallel </w:t>
      </w:r>
      <w:r w:rsidR="00C63186">
        <w:rPr>
          <w:rFonts w:ascii="Times New Roman" w:hAnsi="Times New Roman"/>
          <w:sz w:val="24"/>
          <w:shd w:val="clear" w:color="auto" w:fill="FFFFFF"/>
        </w:rPr>
        <w:t>to</w:t>
      </w:r>
      <w:r w:rsidR="00B0741D">
        <w:rPr>
          <w:rFonts w:ascii="Times New Roman" w:hAnsi="Times New Roman"/>
          <w:sz w:val="24"/>
          <w:shd w:val="clear" w:color="auto" w:fill="FFFFFF"/>
        </w:rPr>
        <w:t xml:space="preserve"> the cessation of the ‘continuous combat function’</w:t>
      </w:r>
      <w:r w:rsidR="00C63186">
        <w:rPr>
          <w:rStyle w:val="a5"/>
          <w:rFonts w:ascii="Times New Roman" w:hAnsi="Times New Roman"/>
          <w:sz w:val="24"/>
          <w:shd w:val="clear" w:color="auto" w:fill="FFFFFF"/>
        </w:rPr>
        <w:footnoteReference w:id="43"/>
      </w:r>
      <w:r w:rsidR="00B0741D">
        <w:rPr>
          <w:rFonts w:ascii="Times New Roman" w:hAnsi="Times New Roman"/>
          <w:sz w:val="24"/>
          <w:shd w:val="clear" w:color="auto" w:fill="FFFFFF"/>
        </w:rPr>
        <w:t xml:space="preserve"> of </w:t>
      </w:r>
      <w:r w:rsidR="00C0008F">
        <w:rPr>
          <w:rFonts w:ascii="Times New Roman" w:hAnsi="Times New Roman"/>
          <w:sz w:val="24"/>
          <w:shd w:val="clear" w:color="auto" w:fill="FFFFFF"/>
        </w:rPr>
        <w:t>members of an armed group.</w:t>
      </w:r>
      <w:r w:rsidR="00C0008F">
        <w:rPr>
          <w:rStyle w:val="a5"/>
          <w:rFonts w:ascii="Times New Roman" w:hAnsi="Times New Roman"/>
          <w:sz w:val="24"/>
          <w:shd w:val="clear" w:color="auto" w:fill="FFFFFF"/>
        </w:rPr>
        <w:footnoteReference w:id="44"/>
      </w:r>
      <w:r w:rsidR="00C0008F">
        <w:rPr>
          <w:rFonts w:ascii="Times New Roman" w:hAnsi="Times New Roman"/>
          <w:sz w:val="24"/>
          <w:shd w:val="clear" w:color="auto" w:fill="FFFFFF"/>
        </w:rPr>
        <w:t xml:space="preserve"> </w:t>
      </w:r>
      <w:r w:rsidRPr="004D235F">
        <w:rPr>
          <w:rFonts w:ascii="Times New Roman" w:hAnsi="Times New Roman"/>
          <w:sz w:val="24"/>
        </w:rPr>
        <w:t xml:space="preserve">On the other, the </w:t>
      </w:r>
      <w:r w:rsidR="00643EFD">
        <w:rPr>
          <w:rFonts w:ascii="Times New Roman" w:hAnsi="Times New Roman"/>
          <w:sz w:val="24"/>
        </w:rPr>
        <w:t xml:space="preserve">actual </w:t>
      </w:r>
      <w:r w:rsidRPr="004D235F">
        <w:rPr>
          <w:rFonts w:ascii="Times New Roman" w:hAnsi="Times New Roman"/>
          <w:sz w:val="24"/>
        </w:rPr>
        <w:t xml:space="preserve">capacity </w:t>
      </w:r>
      <w:r w:rsidR="00643EFD">
        <w:rPr>
          <w:rFonts w:ascii="Times New Roman" w:hAnsi="Times New Roman"/>
          <w:sz w:val="24"/>
        </w:rPr>
        <w:t xml:space="preserve">of an armed group </w:t>
      </w:r>
      <w:r w:rsidR="009D5502">
        <w:rPr>
          <w:rFonts w:ascii="Times New Roman" w:hAnsi="Times New Roman"/>
          <w:sz w:val="24"/>
        </w:rPr>
        <w:t xml:space="preserve">to implement </w:t>
      </w:r>
      <w:r w:rsidR="00787BB4">
        <w:rPr>
          <w:rFonts w:ascii="Times New Roman" w:hAnsi="Times New Roman"/>
          <w:sz w:val="24"/>
        </w:rPr>
        <w:t>the rules of</w:t>
      </w:r>
      <w:r w:rsidR="009D5502">
        <w:rPr>
          <w:rFonts w:ascii="Times New Roman" w:hAnsi="Times New Roman"/>
          <w:sz w:val="24"/>
        </w:rPr>
        <w:t xml:space="preserve"> IHL </w:t>
      </w:r>
      <w:r w:rsidR="000E0B50">
        <w:rPr>
          <w:rFonts w:ascii="Times New Roman" w:hAnsi="Times New Roman"/>
          <w:sz w:val="24"/>
        </w:rPr>
        <w:t xml:space="preserve">should </w:t>
      </w:r>
      <w:r w:rsidR="00643EFD">
        <w:rPr>
          <w:rFonts w:ascii="Times New Roman" w:hAnsi="Times New Roman"/>
          <w:sz w:val="24"/>
        </w:rPr>
        <w:t xml:space="preserve">not </w:t>
      </w:r>
      <w:r w:rsidR="000E0B50">
        <w:rPr>
          <w:rFonts w:ascii="Times New Roman" w:hAnsi="Times New Roman"/>
          <w:sz w:val="24"/>
        </w:rPr>
        <w:t>be</w:t>
      </w:r>
      <w:r w:rsidR="00576F70">
        <w:rPr>
          <w:rFonts w:ascii="Times New Roman" w:hAnsi="Times New Roman"/>
          <w:sz w:val="24"/>
        </w:rPr>
        <w:t xml:space="preserve"> pre-determined or </w:t>
      </w:r>
      <w:r w:rsidR="009D5502">
        <w:rPr>
          <w:rFonts w:ascii="Times New Roman" w:hAnsi="Times New Roman"/>
          <w:sz w:val="24"/>
        </w:rPr>
        <w:t xml:space="preserve">indispensable. </w:t>
      </w:r>
      <w:r w:rsidR="005F3128">
        <w:rPr>
          <w:rFonts w:ascii="Times New Roman" w:hAnsi="Times New Roman"/>
          <w:sz w:val="24"/>
        </w:rPr>
        <w:t>Indeed, a</w:t>
      </w:r>
      <w:r w:rsidR="009D5502">
        <w:rPr>
          <w:rFonts w:ascii="Times New Roman" w:hAnsi="Times New Roman"/>
          <w:sz w:val="24"/>
        </w:rPr>
        <w:t xml:space="preserve">ny </w:t>
      </w:r>
      <w:r w:rsidRPr="00995D33">
        <w:rPr>
          <w:rFonts w:ascii="Times New Roman" w:hAnsi="Times New Roman"/>
          <w:i/>
          <w:iCs/>
          <w:sz w:val="24"/>
        </w:rPr>
        <w:t xml:space="preserve">ex ante </w:t>
      </w:r>
      <w:r w:rsidRPr="004D235F">
        <w:rPr>
          <w:rFonts w:ascii="Times New Roman" w:hAnsi="Times New Roman"/>
          <w:sz w:val="24"/>
        </w:rPr>
        <w:t xml:space="preserve">assessment of this criterion prior to </w:t>
      </w:r>
      <w:r w:rsidR="00C958BF">
        <w:rPr>
          <w:rFonts w:ascii="Times New Roman" w:hAnsi="Times New Roman"/>
          <w:sz w:val="24"/>
        </w:rPr>
        <w:t>an</w:t>
      </w:r>
      <w:r w:rsidRPr="004D235F">
        <w:rPr>
          <w:rFonts w:ascii="Times New Roman" w:hAnsi="Times New Roman"/>
          <w:sz w:val="24"/>
        </w:rPr>
        <w:t xml:space="preserve"> </w:t>
      </w:r>
      <w:r w:rsidR="00C958BF">
        <w:rPr>
          <w:rFonts w:ascii="Times New Roman" w:hAnsi="Times New Roman"/>
          <w:sz w:val="24"/>
        </w:rPr>
        <w:t xml:space="preserve">armed </w:t>
      </w:r>
      <w:r w:rsidRPr="004D235F">
        <w:rPr>
          <w:rFonts w:ascii="Times New Roman" w:hAnsi="Times New Roman"/>
          <w:sz w:val="24"/>
        </w:rPr>
        <w:t xml:space="preserve">group’s participation in a military operation </w:t>
      </w:r>
      <w:r>
        <w:rPr>
          <w:rFonts w:ascii="Times New Roman" w:hAnsi="Times New Roman"/>
          <w:sz w:val="24"/>
        </w:rPr>
        <w:t>may</w:t>
      </w:r>
      <w:r w:rsidRPr="004D235F">
        <w:rPr>
          <w:rFonts w:ascii="Times New Roman" w:hAnsi="Times New Roman"/>
          <w:sz w:val="24"/>
        </w:rPr>
        <w:t xml:space="preserve"> be self-defeating</w:t>
      </w:r>
      <w:r w:rsidR="009D5502">
        <w:rPr>
          <w:rFonts w:ascii="Times New Roman" w:hAnsi="Times New Roman"/>
          <w:sz w:val="24"/>
        </w:rPr>
        <w:t>.</w:t>
      </w:r>
      <w:r w:rsidRPr="004D235F">
        <w:rPr>
          <w:rStyle w:val="a5"/>
          <w:rFonts w:ascii="Times New Roman" w:hAnsi="Times New Roman"/>
          <w:sz w:val="24"/>
        </w:rPr>
        <w:footnoteReference w:id="45"/>
      </w:r>
      <w:r w:rsidRPr="004D235F">
        <w:rPr>
          <w:rFonts w:ascii="Times New Roman" w:hAnsi="Times New Roman"/>
          <w:sz w:val="24"/>
        </w:rPr>
        <w:t xml:space="preserve"> </w:t>
      </w:r>
      <w:r w:rsidR="00740EA4">
        <w:rPr>
          <w:rFonts w:ascii="Times New Roman" w:hAnsi="Times New Roman"/>
          <w:sz w:val="24"/>
        </w:rPr>
        <w:t>For example</w:t>
      </w:r>
      <w:r w:rsidR="00407D16">
        <w:rPr>
          <w:rFonts w:ascii="Times New Roman" w:hAnsi="Times New Roman"/>
          <w:sz w:val="24"/>
        </w:rPr>
        <w:t>, to require an armed group to be equipped with sufficient organizational infrastructure to meet fair trial guarantees mentioned in common Article 3 Geneva Conventions</w:t>
      </w:r>
      <w:r w:rsidR="00407D16">
        <w:rPr>
          <w:rStyle w:val="a5"/>
          <w:rFonts w:ascii="Times New Roman" w:hAnsi="Times New Roman"/>
          <w:sz w:val="24"/>
        </w:rPr>
        <w:footnoteReference w:id="46"/>
      </w:r>
      <w:r w:rsidR="00407D16">
        <w:rPr>
          <w:rFonts w:ascii="Times New Roman" w:hAnsi="Times New Roman"/>
          <w:sz w:val="24"/>
        </w:rPr>
        <w:t xml:space="preserve"> would risk narrowing the scope of application of IHL.</w:t>
      </w:r>
      <w:r w:rsidR="00407D16">
        <w:rPr>
          <w:rStyle w:val="a5"/>
          <w:rFonts w:ascii="Times New Roman" w:hAnsi="Times New Roman"/>
          <w:sz w:val="24"/>
        </w:rPr>
        <w:footnoteReference w:id="47"/>
      </w:r>
      <w:r w:rsidR="00407D16">
        <w:rPr>
          <w:rFonts w:ascii="Times New Roman" w:hAnsi="Times New Roman"/>
          <w:sz w:val="24"/>
        </w:rPr>
        <w:t xml:space="preserve"> In this author’s view, this should not be </w:t>
      </w:r>
      <w:r w:rsidR="00A0382A">
        <w:rPr>
          <w:rFonts w:ascii="Times New Roman" w:hAnsi="Times New Roman"/>
          <w:sz w:val="24"/>
        </w:rPr>
        <w:t>woven into the</w:t>
      </w:r>
      <w:r w:rsidR="00407D16">
        <w:rPr>
          <w:rFonts w:ascii="Times New Roman" w:hAnsi="Times New Roman"/>
          <w:sz w:val="24"/>
        </w:rPr>
        <w:t xml:space="preserve"> organizational </w:t>
      </w:r>
      <w:r w:rsidR="00A0382A">
        <w:rPr>
          <w:rFonts w:ascii="Times New Roman" w:hAnsi="Times New Roman"/>
          <w:sz w:val="24"/>
        </w:rPr>
        <w:t>fabric</w:t>
      </w:r>
      <w:r w:rsidR="00407D16">
        <w:rPr>
          <w:rFonts w:ascii="Times New Roman" w:hAnsi="Times New Roman"/>
          <w:sz w:val="24"/>
        </w:rPr>
        <w:t xml:space="preserve"> required for armed groups. Instead, </w:t>
      </w:r>
      <w:r w:rsidR="00875139">
        <w:rPr>
          <w:rFonts w:ascii="Times New Roman" w:hAnsi="Times New Roman"/>
          <w:sz w:val="24"/>
        </w:rPr>
        <w:t>this</w:t>
      </w:r>
      <w:r w:rsidR="00407D16">
        <w:rPr>
          <w:rFonts w:ascii="Times New Roman" w:hAnsi="Times New Roman"/>
          <w:sz w:val="24"/>
        </w:rPr>
        <w:t xml:space="preserve"> </w:t>
      </w:r>
      <w:r w:rsidR="00A0382A">
        <w:rPr>
          <w:rFonts w:ascii="Times New Roman" w:hAnsi="Times New Roman"/>
          <w:sz w:val="24"/>
        </w:rPr>
        <w:t>should be posited</w:t>
      </w:r>
      <w:r w:rsidR="005D219C">
        <w:rPr>
          <w:rFonts w:ascii="Times New Roman" w:hAnsi="Times New Roman"/>
          <w:sz w:val="24"/>
        </w:rPr>
        <w:t xml:space="preserve"> </w:t>
      </w:r>
      <w:r w:rsidR="00407D16">
        <w:rPr>
          <w:rFonts w:ascii="Times New Roman" w:hAnsi="Times New Roman"/>
          <w:sz w:val="24"/>
        </w:rPr>
        <w:t xml:space="preserve">more </w:t>
      </w:r>
      <w:r w:rsidR="00A0382A">
        <w:rPr>
          <w:rFonts w:ascii="Times New Roman" w:hAnsi="Times New Roman"/>
          <w:sz w:val="24"/>
        </w:rPr>
        <w:t xml:space="preserve">as </w:t>
      </w:r>
      <w:r w:rsidR="00407D16">
        <w:rPr>
          <w:rFonts w:ascii="Times New Roman" w:hAnsi="Times New Roman"/>
          <w:sz w:val="24"/>
        </w:rPr>
        <w:t>the issue of compliance with IHL obligations</w:t>
      </w:r>
      <w:r w:rsidR="005D219C">
        <w:rPr>
          <w:rFonts w:ascii="Times New Roman" w:hAnsi="Times New Roman"/>
          <w:sz w:val="24"/>
        </w:rPr>
        <w:t xml:space="preserve">, </w:t>
      </w:r>
      <w:r w:rsidR="00A0382A">
        <w:rPr>
          <w:rFonts w:ascii="Times New Roman" w:hAnsi="Times New Roman"/>
          <w:sz w:val="24"/>
        </w:rPr>
        <w:t xml:space="preserve">which can be addressed by a nuanced assessment in view of </w:t>
      </w:r>
      <w:r w:rsidR="005D219C">
        <w:rPr>
          <w:rFonts w:ascii="Times New Roman" w:hAnsi="Times New Roman"/>
          <w:sz w:val="24"/>
        </w:rPr>
        <w:t>the</w:t>
      </w:r>
      <w:r w:rsidR="005D219C" w:rsidRPr="005D219C">
        <w:rPr>
          <w:rFonts w:ascii="Times New Roman" w:hAnsi="Times New Roman"/>
          <w:i/>
          <w:iCs/>
          <w:sz w:val="24"/>
        </w:rPr>
        <w:t xml:space="preserve"> </w:t>
      </w:r>
      <w:r w:rsidR="005D219C" w:rsidRPr="00121C08">
        <w:rPr>
          <w:rFonts w:ascii="Times New Roman" w:hAnsi="Times New Roman"/>
          <w:i/>
          <w:iCs/>
          <w:sz w:val="24"/>
        </w:rPr>
        <w:t xml:space="preserve">de facto </w:t>
      </w:r>
      <w:r w:rsidR="005D219C">
        <w:rPr>
          <w:rFonts w:ascii="Times New Roman" w:hAnsi="Times New Roman"/>
          <w:sz w:val="24"/>
        </w:rPr>
        <w:t>inequality between armed groups and State armed forces.</w:t>
      </w:r>
      <w:r w:rsidR="005D219C">
        <w:rPr>
          <w:rStyle w:val="a5"/>
          <w:rFonts w:ascii="Times New Roman" w:hAnsi="Times New Roman"/>
          <w:sz w:val="24"/>
        </w:rPr>
        <w:footnoteReference w:id="48"/>
      </w:r>
      <w:r w:rsidR="005D219C">
        <w:rPr>
          <w:rFonts w:ascii="Times New Roman" w:hAnsi="Times New Roman"/>
          <w:sz w:val="24"/>
        </w:rPr>
        <w:t xml:space="preserve"> </w:t>
      </w:r>
      <w:r w:rsidR="00EC301B">
        <w:rPr>
          <w:rFonts w:ascii="Times New Roman" w:hAnsi="Times New Roman"/>
          <w:sz w:val="24"/>
        </w:rPr>
        <w:t>N</w:t>
      </w:r>
      <w:r w:rsidR="009D5502">
        <w:rPr>
          <w:rFonts w:ascii="Times New Roman" w:hAnsi="Times New Roman"/>
          <w:sz w:val="24"/>
        </w:rPr>
        <w:t>onetheless</w:t>
      </w:r>
      <w:r w:rsidR="00EC301B">
        <w:rPr>
          <w:rFonts w:ascii="Times New Roman" w:hAnsi="Times New Roman"/>
          <w:sz w:val="24"/>
        </w:rPr>
        <w:t xml:space="preserve">, it </w:t>
      </w:r>
      <w:r w:rsidR="000B4DAC">
        <w:rPr>
          <w:rFonts w:ascii="Times New Roman" w:hAnsi="Times New Roman"/>
          <w:sz w:val="24"/>
        </w:rPr>
        <w:t xml:space="preserve">remains </w:t>
      </w:r>
      <w:r w:rsidR="009D5502">
        <w:rPr>
          <w:rFonts w:ascii="Times New Roman" w:hAnsi="Times New Roman"/>
          <w:sz w:val="24"/>
        </w:rPr>
        <w:t xml:space="preserve">essential </w:t>
      </w:r>
      <w:r w:rsidR="000B4DAC">
        <w:rPr>
          <w:rFonts w:ascii="Times New Roman" w:hAnsi="Times New Roman"/>
          <w:sz w:val="24"/>
        </w:rPr>
        <w:t xml:space="preserve">for </w:t>
      </w:r>
      <w:r w:rsidR="009D5502">
        <w:rPr>
          <w:rFonts w:ascii="Times New Roman" w:hAnsi="Times New Roman"/>
          <w:sz w:val="24"/>
        </w:rPr>
        <w:t xml:space="preserve">an armed group </w:t>
      </w:r>
      <w:r w:rsidR="000B4DAC">
        <w:rPr>
          <w:rFonts w:ascii="Times New Roman" w:hAnsi="Times New Roman"/>
          <w:sz w:val="24"/>
        </w:rPr>
        <w:t xml:space="preserve">at least to </w:t>
      </w:r>
      <w:r w:rsidRPr="004D235F">
        <w:rPr>
          <w:rFonts w:ascii="Times New Roman" w:hAnsi="Times New Roman"/>
          <w:sz w:val="24"/>
        </w:rPr>
        <w:t xml:space="preserve">show its </w:t>
      </w:r>
      <w:r w:rsidR="009D5502">
        <w:rPr>
          <w:rFonts w:ascii="Times New Roman" w:hAnsi="Times New Roman"/>
          <w:sz w:val="24"/>
        </w:rPr>
        <w:t xml:space="preserve">commitment to </w:t>
      </w:r>
      <w:r w:rsidR="00C958BF">
        <w:rPr>
          <w:rFonts w:ascii="Times New Roman" w:hAnsi="Times New Roman"/>
          <w:sz w:val="24"/>
        </w:rPr>
        <w:t>applying</w:t>
      </w:r>
      <w:r w:rsidRPr="004D235F">
        <w:rPr>
          <w:rFonts w:ascii="Times New Roman" w:hAnsi="Times New Roman"/>
          <w:sz w:val="24"/>
        </w:rPr>
        <w:t xml:space="preserve"> IHL</w:t>
      </w:r>
      <w:r w:rsidR="009D5502" w:rsidRPr="009D5502">
        <w:rPr>
          <w:rFonts w:ascii="Times New Roman" w:hAnsi="Times New Roman"/>
          <w:sz w:val="24"/>
        </w:rPr>
        <w:t xml:space="preserve"> </w:t>
      </w:r>
      <w:r w:rsidR="009D5502">
        <w:rPr>
          <w:rFonts w:ascii="Times New Roman" w:hAnsi="Times New Roman"/>
          <w:sz w:val="24"/>
        </w:rPr>
        <w:t>as its policy</w:t>
      </w:r>
      <w:r>
        <w:rPr>
          <w:rFonts w:ascii="Times New Roman" w:hAnsi="Times New Roman"/>
          <w:sz w:val="24"/>
        </w:rPr>
        <w:t>.</w:t>
      </w:r>
      <w:r w:rsidRPr="004D235F">
        <w:rPr>
          <w:rStyle w:val="a5"/>
          <w:rFonts w:ascii="Times New Roman" w:hAnsi="Times New Roman"/>
          <w:sz w:val="24"/>
        </w:rPr>
        <w:footnoteReference w:id="49"/>
      </w:r>
      <w:r>
        <w:rPr>
          <w:rFonts w:ascii="Times New Roman" w:hAnsi="Times New Roman"/>
          <w:sz w:val="24"/>
        </w:rPr>
        <w:t xml:space="preserve"> </w:t>
      </w:r>
    </w:p>
    <w:p w14:paraId="235B0E98" w14:textId="774B9F9A" w:rsidR="00F64BA4" w:rsidRDefault="00F64BA4" w:rsidP="00F64BA4">
      <w:pPr>
        <w:rPr>
          <w:rFonts w:ascii="Times New Roman" w:hAnsi="Times New Roman"/>
          <w:sz w:val="24"/>
        </w:rPr>
      </w:pPr>
    </w:p>
    <w:p w14:paraId="2B36D49A" w14:textId="56576823" w:rsidR="00F64BA4" w:rsidRPr="00763706" w:rsidRDefault="00F64BA4" w:rsidP="00F64BA4">
      <w:pPr>
        <w:rPr>
          <w:rFonts w:ascii="Times New Roman" w:hAnsi="Times New Roman"/>
          <w:sz w:val="24"/>
        </w:rPr>
      </w:pPr>
      <w:r>
        <w:rPr>
          <w:rFonts w:ascii="Times New Roman" w:hAnsi="Times New Roman"/>
          <w:sz w:val="24"/>
          <w:shd w:val="clear" w:color="auto" w:fill="FFFFFF"/>
        </w:rPr>
        <w:t xml:space="preserve">The third core element </w:t>
      </w:r>
      <w:r w:rsidRPr="00F95341">
        <w:rPr>
          <w:rFonts w:ascii="Times New Roman" w:hAnsi="Times New Roman"/>
          <w:sz w:val="24"/>
          <w:shd w:val="clear" w:color="auto" w:fill="FFFFFF"/>
        </w:rPr>
        <w:t xml:space="preserve">corresponds to </w:t>
      </w:r>
      <w:r>
        <w:rPr>
          <w:rFonts w:ascii="Times New Roman" w:hAnsi="Times New Roman"/>
          <w:sz w:val="24"/>
          <w:shd w:val="clear" w:color="auto" w:fill="FFFFFF"/>
        </w:rPr>
        <w:t xml:space="preserve">the fifth </w:t>
      </w:r>
      <w:r w:rsidRPr="00F95341">
        <w:rPr>
          <w:rFonts w:ascii="Times New Roman" w:hAnsi="Times New Roman"/>
          <w:sz w:val="24"/>
          <w:shd w:val="clear" w:color="auto" w:fill="FFFFFF"/>
        </w:rPr>
        <w:t xml:space="preserve">element </w:t>
      </w:r>
      <w:r>
        <w:rPr>
          <w:rFonts w:ascii="Times New Roman" w:hAnsi="Times New Roman"/>
          <w:sz w:val="24"/>
          <w:shd w:val="clear" w:color="auto" w:fill="FFFFFF"/>
        </w:rPr>
        <w:t xml:space="preserve">hammered out </w:t>
      </w:r>
      <w:r w:rsidRPr="00F95341">
        <w:rPr>
          <w:rFonts w:ascii="Times New Roman" w:hAnsi="Times New Roman"/>
          <w:sz w:val="24"/>
          <w:shd w:val="clear" w:color="auto" w:fill="FFFFFF"/>
        </w:rPr>
        <w:t xml:space="preserve">in </w:t>
      </w:r>
      <w:proofErr w:type="spellStart"/>
      <w:r w:rsidRPr="00F95341">
        <w:rPr>
          <w:rFonts w:ascii="Times New Roman" w:hAnsi="Times New Roman"/>
          <w:i/>
          <w:iCs/>
          <w:sz w:val="24"/>
        </w:rPr>
        <w:t>Boškoski</w:t>
      </w:r>
      <w:proofErr w:type="spellEnd"/>
      <w:r w:rsidRPr="00F95341">
        <w:rPr>
          <w:rFonts w:ascii="Times New Roman" w:hAnsi="Times New Roman"/>
          <w:sz w:val="24"/>
          <w:shd w:val="clear" w:color="auto" w:fill="FFFFFF"/>
        </w:rPr>
        <w:t xml:space="preserve">. </w:t>
      </w:r>
      <w:r>
        <w:rPr>
          <w:rFonts w:ascii="Times New Roman" w:hAnsi="Times New Roman"/>
          <w:sz w:val="24"/>
          <w:shd w:val="clear" w:color="auto" w:fill="FFFFFF"/>
        </w:rPr>
        <w:t xml:space="preserve">As </w:t>
      </w:r>
      <w:r w:rsidRPr="00F95341">
        <w:rPr>
          <w:rFonts w:ascii="Times New Roman" w:hAnsi="Times New Roman"/>
          <w:sz w:val="24"/>
          <w:shd w:val="clear" w:color="auto" w:fill="FFFFFF"/>
        </w:rPr>
        <w:t xml:space="preserve">highlighted in </w:t>
      </w:r>
      <w:proofErr w:type="spellStart"/>
      <w:r w:rsidRPr="00F95341">
        <w:rPr>
          <w:rFonts w:ascii="Times New Roman" w:hAnsi="Times New Roman"/>
          <w:i/>
          <w:iCs/>
          <w:sz w:val="24"/>
          <w:shd w:val="clear" w:color="auto" w:fill="FFFFFF"/>
        </w:rPr>
        <w:t>Limaj</w:t>
      </w:r>
      <w:proofErr w:type="spellEnd"/>
      <w:r>
        <w:rPr>
          <w:rFonts w:ascii="Times New Roman" w:hAnsi="Times New Roman"/>
          <w:sz w:val="24"/>
          <w:shd w:val="clear" w:color="auto" w:fill="FFFFFF"/>
        </w:rPr>
        <w:t>,</w:t>
      </w:r>
      <w:r w:rsidRPr="00F95341">
        <w:rPr>
          <w:rStyle w:val="a5"/>
          <w:rFonts w:ascii="Times New Roman" w:hAnsi="Times New Roman"/>
          <w:sz w:val="24"/>
          <w:shd w:val="clear" w:color="auto" w:fill="FFFFFF"/>
        </w:rPr>
        <w:footnoteReference w:id="50"/>
      </w:r>
      <w:r w:rsidRPr="00F95341">
        <w:rPr>
          <w:rFonts w:ascii="Times New Roman" w:hAnsi="Times New Roman"/>
          <w:sz w:val="24"/>
          <w:shd w:val="clear" w:color="auto" w:fill="FFFFFF"/>
        </w:rPr>
        <w:t xml:space="preserve"> </w:t>
      </w:r>
      <w:r>
        <w:rPr>
          <w:rFonts w:ascii="Times New Roman" w:hAnsi="Times New Roman"/>
          <w:sz w:val="24"/>
          <w:shd w:val="clear" w:color="auto" w:fill="FFFFFF"/>
        </w:rPr>
        <w:t>this</w:t>
      </w:r>
      <w:r w:rsidRPr="00F95341">
        <w:rPr>
          <w:rFonts w:ascii="Times New Roman" w:hAnsi="Times New Roman"/>
          <w:sz w:val="24"/>
          <w:shd w:val="clear" w:color="auto" w:fill="FFFFFF"/>
        </w:rPr>
        <w:t xml:space="preserve"> component </w:t>
      </w:r>
      <w:r>
        <w:rPr>
          <w:rFonts w:ascii="Times New Roman" w:hAnsi="Times New Roman"/>
          <w:sz w:val="24"/>
          <w:shd w:val="clear" w:color="auto" w:fill="FFFFFF"/>
        </w:rPr>
        <w:t xml:space="preserve">is crucial </w:t>
      </w:r>
      <w:r w:rsidR="00840E81">
        <w:rPr>
          <w:rFonts w:ascii="Times New Roman" w:hAnsi="Times New Roman"/>
          <w:sz w:val="24"/>
          <w:shd w:val="clear" w:color="auto" w:fill="FFFFFF"/>
        </w:rPr>
        <w:t xml:space="preserve">for </w:t>
      </w:r>
      <w:r w:rsidRPr="00F95341">
        <w:rPr>
          <w:rFonts w:ascii="Times New Roman" w:hAnsi="Times New Roman"/>
          <w:sz w:val="24"/>
          <w:shd w:val="clear" w:color="auto" w:fill="FFFFFF"/>
        </w:rPr>
        <w:t>differentiat</w:t>
      </w:r>
      <w:r>
        <w:rPr>
          <w:rFonts w:ascii="Times New Roman" w:hAnsi="Times New Roman"/>
          <w:sz w:val="24"/>
          <w:shd w:val="clear" w:color="auto" w:fill="FFFFFF"/>
        </w:rPr>
        <w:t>ing</w:t>
      </w:r>
      <w:r w:rsidRPr="00F95341">
        <w:rPr>
          <w:rFonts w:ascii="Times New Roman" w:hAnsi="Times New Roman"/>
          <w:sz w:val="24"/>
          <w:shd w:val="clear" w:color="auto" w:fill="FFFFFF"/>
        </w:rPr>
        <w:t xml:space="preserve"> an armed group that is considered a party to a NIAC from a horizontal</w:t>
      </w:r>
      <w:r w:rsidR="00E179D1">
        <w:rPr>
          <w:rFonts w:ascii="Times New Roman" w:hAnsi="Times New Roman"/>
          <w:sz w:val="24"/>
          <w:shd w:val="clear" w:color="auto" w:fill="FFFFFF"/>
        </w:rPr>
        <w:t xml:space="preserve">, </w:t>
      </w:r>
      <w:r w:rsidRPr="00F95341">
        <w:rPr>
          <w:rFonts w:ascii="Times New Roman" w:hAnsi="Times New Roman"/>
          <w:sz w:val="24"/>
          <w:shd w:val="clear" w:color="auto" w:fill="FFFFFF"/>
        </w:rPr>
        <w:t xml:space="preserve">fragmented </w:t>
      </w:r>
      <w:r w:rsidR="00E179D1">
        <w:rPr>
          <w:rFonts w:ascii="Times New Roman" w:hAnsi="Times New Roman"/>
          <w:sz w:val="24"/>
          <w:shd w:val="clear" w:color="auto" w:fill="FFFFFF"/>
        </w:rPr>
        <w:t xml:space="preserve">and diffuse </w:t>
      </w:r>
      <w:r w:rsidRPr="00F95341">
        <w:rPr>
          <w:rFonts w:ascii="Times New Roman" w:hAnsi="Times New Roman"/>
          <w:sz w:val="24"/>
          <w:shd w:val="clear" w:color="auto" w:fill="FFFFFF"/>
        </w:rPr>
        <w:t xml:space="preserve">network of </w:t>
      </w:r>
      <w:r w:rsidR="00E179D1">
        <w:rPr>
          <w:rFonts w:ascii="Times New Roman" w:hAnsi="Times New Roman"/>
          <w:sz w:val="24"/>
          <w:shd w:val="clear" w:color="auto" w:fill="FFFFFF"/>
        </w:rPr>
        <w:t xml:space="preserve">peripheral </w:t>
      </w:r>
      <w:r w:rsidR="00AC2E83">
        <w:rPr>
          <w:rFonts w:ascii="Times New Roman" w:hAnsi="Times New Roman"/>
          <w:sz w:val="24"/>
          <w:shd w:val="clear" w:color="auto" w:fill="FFFFFF"/>
        </w:rPr>
        <w:t xml:space="preserve">and semi-autonomous </w:t>
      </w:r>
      <w:r w:rsidRPr="00F95341">
        <w:rPr>
          <w:rFonts w:ascii="Times New Roman" w:hAnsi="Times New Roman"/>
          <w:sz w:val="24"/>
          <w:shd w:val="clear" w:color="auto" w:fill="FFFFFF"/>
        </w:rPr>
        <w:t>armed cells</w:t>
      </w:r>
      <w:r w:rsidR="00630EA1">
        <w:rPr>
          <w:rFonts w:ascii="Times New Roman" w:hAnsi="Times New Roman"/>
          <w:sz w:val="24"/>
          <w:shd w:val="clear" w:color="auto" w:fill="FFFFFF"/>
        </w:rPr>
        <w:t>.</w:t>
      </w:r>
      <w:r w:rsidR="00E179D1">
        <w:rPr>
          <w:rStyle w:val="a5"/>
          <w:rFonts w:ascii="Times New Roman" w:hAnsi="Times New Roman"/>
          <w:sz w:val="24"/>
          <w:shd w:val="clear" w:color="auto" w:fill="FFFFFF"/>
        </w:rPr>
        <w:footnoteReference w:id="51"/>
      </w:r>
      <w:r w:rsidR="0054330B">
        <w:rPr>
          <w:rFonts w:ascii="Times New Roman" w:hAnsi="Times New Roman"/>
          <w:sz w:val="24"/>
          <w:shd w:val="clear" w:color="auto" w:fill="FFFFFF"/>
        </w:rPr>
        <w:t xml:space="preserve"> </w:t>
      </w:r>
      <w:r w:rsidR="007A7AC2">
        <w:rPr>
          <w:rFonts w:ascii="Times New Roman" w:hAnsi="Times New Roman"/>
          <w:sz w:val="24"/>
          <w:shd w:val="clear" w:color="auto" w:fill="FFFFFF"/>
        </w:rPr>
        <w:t>T</w:t>
      </w:r>
      <w:r>
        <w:rPr>
          <w:rFonts w:ascii="Times New Roman" w:hAnsi="Times New Roman"/>
          <w:sz w:val="24"/>
          <w:shd w:val="clear" w:color="auto" w:fill="FFFFFF"/>
        </w:rPr>
        <w:t xml:space="preserve">his </w:t>
      </w:r>
      <w:r w:rsidR="00E07C43">
        <w:rPr>
          <w:rFonts w:ascii="Times New Roman" w:hAnsi="Times New Roman"/>
          <w:sz w:val="24"/>
          <w:shd w:val="clear" w:color="auto" w:fill="FFFFFF"/>
        </w:rPr>
        <w:t xml:space="preserve">criterion </w:t>
      </w:r>
      <w:r w:rsidR="00F55346">
        <w:rPr>
          <w:rFonts w:ascii="Times New Roman" w:hAnsi="Times New Roman"/>
          <w:sz w:val="24"/>
          <w:shd w:val="clear" w:color="auto" w:fill="FFFFFF"/>
        </w:rPr>
        <w:t xml:space="preserve">may </w:t>
      </w:r>
      <w:r w:rsidR="008B611A">
        <w:rPr>
          <w:rFonts w:ascii="Times New Roman" w:hAnsi="Times New Roman"/>
          <w:sz w:val="24"/>
          <w:shd w:val="clear" w:color="auto" w:fill="FFFFFF"/>
        </w:rPr>
        <w:t xml:space="preserve">be </w:t>
      </w:r>
      <w:r w:rsidR="0008577C">
        <w:rPr>
          <w:rFonts w:ascii="Times New Roman" w:hAnsi="Times New Roman"/>
          <w:sz w:val="24"/>
          <w:shd w:val="clear" w:color="auto" w:fill="FFFFFF"/>
        </w:rPr>
        <w:t>of special pertinence to</w:t>
      </w:r>
      <w:r w:rsidR="008B611A">
        <w:rPr>
          <w:rFonts w:ascii="Times New Roman" w:hAnsi="Times New Roman"/>
          <w:sz w:val="24"/>
          <w:shd w:val="clear" w:color="auto" w:fill="FFFFFF"/>
        </w:rPr>
        <w:t xml:space="preserve"> </w:t>
      </w:r>
      <w:r w:rsidR="0008577C">
        <w:rPr>
          <w:rFonts w:ascii="Times New Roman" w:hAnsi="Times New Roman"/>
          <w:sz w:val="24"/>
          <w:shd w:val="clear" w:color="auto" w:fill="FFFFFF"/>
        </w:rPr>
        <w:t>the</w:t>
      </w:r>
      <w:r w:rsidR="008B611A">
        <w:rPr>
          <w:rFonts w:ascii="Times New Roman" w:hAnsi="Times New Roman"/>
          <w:sz w:val="24"/>
          <w:shd w:val="clear" w:color="auto" w:fill="FFFFFF"/>
        </w:rPr>
        <w:t xml:space="preserve"> ‘independent forces’ </w:t>
      </w:r>
      <w:r w:rsidR="0008577C">
        <w:rPr>
          <w:rFonts w:ascii="Times New Roman" w:hAnsi="Times New Roman"/>
          <w:sz w:val="24"/>
          <w:shd w:val="clear" w:color="auto" w:fill="FFFFFF"/>
        </w:rPr>
        <w:t>when it</w:t>
      </w:r>
      <w:r w:rsidR="008B611A">
        <w:rPr>
          <w:rFonts w:ascii="Times New Roman" w:hAnsi="Times New Roman"/>
          <w:sz w:val="24"/>
          <w:shd w:val="clear" w:color="auto" w:fill="FFFFFF"/>
        </w:rPr>
        <w:t xml:space="preserve"> meet</w:t>
      </w:r>
      <w:r w:rsidR="0008577C">
        <w:rPr>
          <w:rFonts w:ascii="Times New Roman" w:hAnsi="Times New Roman"/>
          <w:sz w:val="24"/>
          <w:shd w:val="clear" w:color="auto" w:fill="FFFFFF"/>
        </w:rPr>
        <w:t>s</w:t>
      </w:r>
      <w:r w:rsidR="007A7AC2">
        <w:rPr>
          <w:rFonts w:ascii="Times New Roman" w:hAnsi="Times New Roman"/>
          <w:sz w:val="24"/>
          <w:shd w:val="clear" w:color="auto" w:fill="FFFFFF"/>
        </w:rPr>
        <w:t xml:space="preserve"> </w:t>
      </w:r>
      <w:r>
        <w:rPr>
          <w:rFonts w:ascii="Times New Roman" w:hAnsi="Times New Roman"/>
          <w:sz w:val="24"/>
          <w:shd w:val="clear" w:color="auto" w:fill="FFFFFF"/>
        </w:rPr>
        <w:t>the requirement of belonging to a party to the conflict</w:t>
      </w:r>
      <w:r w:rsidR="00F20815">
        <w:rPr>
          <w:rFonts w:ascii="Times New Roman" w:hAnsi="Times New Roman"/>
          <w:sz w:val="24"/>
          <w:shd w:val="clear" w:color="auto" w:fill="FFFFFF"/>
        </w:rPr>
        <w:t xml:space="preserve"> contained in Article 4A(2) of the Third Geneva Convention,</w:t>
      </w:r>
      <w:r>
        <w:rPr>
          <w:rFonts w:ascii="Times New Roman" w:hAnsi="Times New Roman"/>
          <w:sz w:val="24"/>
          <w:shd w:val="clear" w:color="auto" w:fill="FFFFFF"/>
        </w:rPr>
        <w:t xml:space="preserve">. </w:t>
      </w:r>
    </w:p>
    <w:p w14:paraId="39BA6305" w14:textId="77777777" w:rsidR="00763706" w:rsidRPr="00763706" w:rsidRDefault="00763706" w:rsidP="00763706">
      <w:pPr>
        <w:rPr>
          <w:rFonts w:ascii="Times New Roman" w:hAnsi="Times New Roman"/>
          <w:b/>
          <w:bCs/>
          <w:sz w:val="24"/>
        </w:rPr>
      </w:pPr>
    </w:p>
    <w:p w14:paraId="52F6FA17" w14:textId="4EFF7836" w:rsidR="004161B8" w:rsidRPr="00B70961" w:rsidRDefault="008B1F2F" w:rsidP="006347AB">
      <w:pPr>
        <w:pStyle w:val="ad"/>
        <w:numPr>
          <w:ilvl w:val="0"/>
          <w:numId w:val="1"/>
        </w:numPr>
        <w:ind w:leftChars="0"/>
        <w:rPr>
          <w:rFonts w:ascii="Times New Roman" w:hAnsi="Times New Roman"/>
          <w:b/>
          <w:bCs/>
          <w:sz w:val="24"/>
        </w:rPr>
      </w:pPr>
      <w:r w:rsidRPr="00927D4E">
        <w:rPr>
          <w:rFonts w:ascii="Times New Roman" w:hAnsi="Times New Roman"/>
          <w:b/>
          <w:bCs/>
          <w:sz w:val="24"/>
        </w:rPr>
        <w:t xml:space="preserve">The </w:t>
      </w:r>
      <w:r w:rsidR="0043101F">
        <w:rPr>
          <w:rFonts w:ascii="Times New Roman" w:hAnsi="Times New Roman"/>
          <w:b/>
          <w:bCs/>
          <w:sz w:val="24"/>
        </w:rPr>
        <w:t>T</w:t>
      </w:r>
      <w:r w:rsidRPr="00927D4E">
        <w:rPr>
          <w:rFonts w:ascii="Times New Roman" w:hAnsi="Times New Roman"/>
          <w:b/>
          <w:bCs/>
          <w:sz w:val="24"/>
        </w:rPr>
        <w:t xml:space="preserve">hreshold for </w:t>
      </w:r>
      <w:r w:rsidR="0043101F">
        <w:rPr>
          <w:rFonts w:ascii="Times New Roman" w:hAnsi="Times New Roman"/>
          <w:b/>
          <w:bCs/>
          <w:sz w:val="24"/>
        </w:rPr>
        <w:t>A</w:t>
      </w:r>
      <w:r w:rsidRPr="00927D4E">
        <w:rPr>
          <w:rFonts w:ascii="Times New Roman" w:hAnsi="Times New Roman"/>
          <w:b/>
          <w:bCs/>
          <w:sz w:val="24"/>
        </w:rPr>
        <w:t xml:space="preserve">ssessing the </w:t>
      </w:r>
      <w:r w:rsidR="0043101F">
        <w:rPr>
          <w:rFonts w:ascii="Times New Roman" w:hAnsi="Times New Roman"/>
          <w:b/>
          <w:bCs/>
          <w:sz w:val="24"/>
        </w:rPr>
        <w:t>R</w:t>
      </w:r>
      <w:r w:rsidRPr="00927D4E">
        <w:rPr>
          <w:rFonts w:ascii="Times New Roman" w:hAnsi="Times New Roman"/>
          <w:b/>
          <w:bCs/>
          <w:sz w:val="24"/>
        </w:rPr>
        <w:t xml:space="preserve">equirement of </w:t>
      </w:r>
      <w:r w:rsidR="0043101F">
        <w:rPr>
          <w:rFonts w:ascii="Times New Roman" w:hAnsi="Times New Roman"/>
          <w:b/>
          <w:bCs/>
          <w:sz w:val="24"/>
        </w:rPr>
        <w:t>O</w:t>
      </w:r>
      <w:r w:rsidRPr="00927D4E">
        <w:rPr>
          <w:rFonts w:ascii="Times New Roman" w:hAnsi="Times New Roman"/>
          <w:b/>
          <w:bCs/>
          <w:sz w:val="24"/>
        </w:rPr>
        <w:t xml:space="preserve">rganization </w:t>
      </w:r>
    </w:p>
    <w:p w14:paraId="67E537F8" w14:textId="4196EF38" w:rsidR="004161B8" w:rsidRPr="00A72FC7" w:rsidRDefault="004161B8" w:rsidP="006347AB">
      <w:pPr>
        <w:pStyle w:val="ad"/>
        <w:numPr>
          <w:ilvl w:val="0"/>
          <w:numId w:val="4"/>
        </w:numPr>
        <w:ind w:leftChars="0"/>
        <w:rPr>
          <w:rFonts w:ascii="Times New Roman" w:hAnsi="Times New Roman"/>
          <w:b/>
          <w:bCs/>
          <w:sz w:val="24"/>
        </w:rPr>
      </w:pPr>
      <w:r w:rsidRPr="00A72FC7">
        <w:rPr>
          <w:rFonts w:ascii="Times New Roman" w:hAnsi="Times New Roman"/>
          <w:b/>
          <w:bCs/>
          <w:sz w:val="24"/>
        </w:rPr>
        <w:t xml:space="preserve">The </w:t>
      </w:r>
      <w:r w:rsidR="0043101F">
        <w:rPr>
          <w:rFonts w:ascii="Times New Roman" w:hAnsi="Times New Roman"/>
          <w:b/>
          <w:bCs/>
          <w:sz w:val="24"/>
        </w:rPr>
        <w:t>S</w:t>
      </w:r>
      <w:r w:rsidRPr="00A72FC7">
        <w:rPr>
          <w:rFonts w:ascii="Times New Roman" w:hAnsi="Times New Roman"/>
          <w:b/>
          <w:bCs/>
          <w:sz w:val="24"/>
        </w:rPr>
        <w:t xml:space="preserve">tandard of </w:t>
      </w:r>
      <w:r w:rsidR="0043101F">
        <w:rPr>
          <w:rFonts w:ascii="Times New Roman" w:hAnsi="Times New Roman"/>
          <w:b/>
          <w:bCs/>
          <w:sz w:val="24"/>
        </w:rPr>
        <w:t>O</w:t>
      </w:r>
      <w:r w:rsidRPr="00A72FC7">
        <w:rPr>
          <w:rFonts w:ascii="Times New Roman" w:hAnsi="Times New Roman"/>
          <w:b/>
          <w:bCs/>
          <w:sz w:val="24"/>
        </w:rPr>
        <w:t>rganization under Article 4</w:t>
      </w:r>
      <w:proofErr w:type="gramStart"/>
      <w:r w:rsidRPr="00A72FC7">
        <w:rPr>
          <w:rFonts w:ascii="Times New Roman" w:hAnsi="Times New Roman"/>
          <w:b/>
          <w:bCs/>
          <w:sz w:val="24"/>
        </w:rPr>
        <w:t>A(</w:t>
      </w:r>
      <w:proofErr w:type="gramEnd"/>
      <w:r w:rsidRPr="00A72FC7">
        <w:rPr>
          <w:rFonts w:ascii="Times New Roman" w:hAnsi="Times New Roman"/>
          <w:b/>
          <w:bCs/>
          <w:sz w:val="24"/>
        </w:rPr>
        <w:t>2)</w:t>
      </w:r>
      <w:r w:rsidR="00A61233">
        <w:rPr>
          <w:rFonts w:ascii="Times New Roman" w:hAnsi="Times New Roman"/>
          <w:b/>
          <w:bCs/>
          <w:sz w:val="24"/>
        </w:rPr>
        <w:t xml:space="preserve"> of the</w:t>
      </w:r>
      <w:r w:rsidRPr="00A72FC7">
        <w:rPr>
          <w:rFonts w:ascii="Times New Roman" w:hAnsi="Times New Roman"/>
          <w:b/>
          <w:bCs/>
          <w:sz w:val="24"/>
        </w:rPr>
        <w:t xml:space="preserve"> </w:t>
      </w:r>
      <w:r w:rsidR="001D7ED3">
        <w:rPr>
          <w:rFonts w:ascii="Times New Roman" w:hAnsi="Times New Roman"/>
          <w:b/>
          <w:bCs/>
          <w:sz w:val="24"/>
        </w:rPr>
        <w:t>Geneva Convention</w:t>
      </w:r>
      <w:r w:rsidRPr="00A72FC7">
        <w:rPr>
          <w:rFonts w:ascii="Times New Roman" w:hAnsi="Times New Roman"/>
          <w:b/>
          <w:bCs/>
          <w:sz w:val="24"/>
        </w:rPr>
        <w:t xml:space="preserve"> III</w:t>
      </w:r>
    </w:p>
    <w:p w14:paraId="2CC6547A" w14:textId="28F64BA1" w:rsidR="00E732C9" w:rsidRDefault="00BC0100" w:rsidP="006B604D">
      <w:pPr>
        <w:tabs>
          <w:tab w:val="left" w:pos="4820"/>
        </w:tabs>
        <w:rPr>
          <w:rFonts w:ascii="Times New Roman" w:hAnsi="Times New Roman"/>
          <w:sz w:val="24"/>
        </w:rPr>
      </w:pPr>
      <w:r>
        <w:rPr>
          <w:rFonts w:ascii="Times New Roman" w:hAnsi="Times New Roman" w:hint="eastAsia"/>
          <w:sz w:val="24"/>
        </w:rPr>
        <w:t>A</w:t>
      </w:r>
      <w:r>
        <w:rPr>
          <w:rFonts w:ascii="Times New Roman" w:hAnsi="Times New Roman"/>
          <w:sz w:val="24"/>
        </w:rPr>
        <w:t xml:space="preserve">s discussed above, </w:t>
      </w:r>
      <w:r w:rsidR="004E1245">
        <w:rPr>
          <w:rFonts w:ascii="Times New Roman" w:hAnsi="Times New Roman"/>
          <w:sz w:val="24"/>
        </w:rPr>
        <w:t xml:space="preserve">in one of the </w:t>
      </w:r>
      <w:r w:rsidR="004161B8">
        <w:rPr>
          <w:rFonts w:ascii="Times New Roman" w:hAnsi="Times New Roman"/>
          <w:sz w:val="24"/>
        </w:rPr>
        <w:t xml:space="preserve">earlier </w:t>
      </w:r>
      <w:r w:rsidR="004161B8" w:rsidRPr="004D235F">
        <w:rPr>
          <w:rFonts w:ascii="Times New Roman" w:hAnsi="Times New Roman"/>
          <w:i/>
          <w:iCs/>
          <w:sz w:val="24"/>
        </w:rPr>
        <w:t xml:space="preserve">travaux </w:t>
      </w:r>
      <w:proofErr w:type="spellStart"/>
      <w:r w:rsidR="004161B8" w:rsidRPr="00F55346">
        <w:rPr>
          <w:rFonts w:ascii="Times New Roman" w:hAnsi="Times New Roman"/>
          <w:i/>
          <w:iCs/>
          <w:sz w:val="24"/>
        </w:rPr>
        <w:t>pr</w:t>
      </w:r>
      <w:r w:rsidR="00F55346" w:rsidRPr="00F55346">
        <w:rPr>
          <w:rFonts w:ascii="Times New Roman" w:hAnsi="Times New Roman"/>
          <w:i/>
          <w:iCs/>
          <w:sz w:val="24"/>
        </w:rPr>
        <w:t>é</w:t>
      </w:r>
      <w:r w:rsidR="004161B8" w:rsidRPr="00F55346">
        <w:rPr>
          <w:rFonts w:ascii="Times New Roman" w:hAnsi="Times New Roman"/>
          <w:i/>
          <w:iCs/>
          <w:sz w:val="24"/>
        </w:rPr>
        <w:t>paratoires</w:t>
      </w:r>
      <w:proofErr w:type="spellEnd"/>
      <w:r w:rsidR="004161B8" w:rsidRPr="004D235F">
        <w:rPr>
          <w:rFonts w:ascii="Times New Roman" w:hAnsi="Times New Roman"/>
          <w:i/>
          <w:iCs/>
          <w:sz w:val="24"/>
        </w:rPr>
        <w:t xml:space="preserve"> </w:t>
      </w:r>
      <w:r w:rsidR="006B604D" w:rsidRPr="006B604D">
        <w:rPr>
          <w:rFonts w:ascii="Times New Roman" w:hAnsi="Times New Roman"/>
          <w:sz w:val="24"/>
        </w:rPr>
        <w:t xml:space="preserve">of the </w:t>
      </w:r>
      <w:r w:rsidR="001D7ED3">
        <w:rPr>
          <w:rFonts w:ascii="Times New Roman" w:hAnsi="Times New Roman"/>
          <w:sz w:val="24"/>
        </w:rPr>
        <w:t>Geneva Convention</w:t>
      </w:r>
      <w:r w:rsidR="006B604D" w:rsidRPr="006B604D">
        <w:rPr>
          <w:rFonts w:ascii="Times New Roman" w:hAnsi="Times New Roman"/>
          <w:sz w:val="24"/>
        </w:rPr>
        <w:t xml:space="preserve"> III</w:t>
      </w:r>
      <w:r w:rsidR="004E1245">
        <w:rPr>
          <w:rFonts w:ascii="Times New Roman" w:hAnsi="Times New Roman"/>
          <w:sz w:val="24"/>
        </w:rPr>
        <w:t xml:space="preserve">, </w:t>
      </w:r>
      <w:r w:rsidR="006B604D">
        <w:rPr>
          <w:rFonts w:ascii="Times New Roman" w:hAnsi="Times New Roman"/>
          <w:sz w:val="24"/>
        </w:rPr>
        <w:t>the ICRC</w:t>
      </w:r>
      <w:r w:rsidR="00B70961">
        <w:rPr>
          <w:rFonts w:ascii="Times New Roman" w:hAnsi="Times New Roman"/>
          <w:sz w:val="24"/>
        </w:rPr>
        <w:t xml:space="preserve"> proposed </w:t>
      </w:r>
      <w:r w:rsidR="004161B8" w:rsidRPr="004D235F">
        <w:rPr>
          <w:rFonts w:ascii="Times New Roman" w:hAnsi="Times New Roman"/>
          <w:sz w:val="24"/>
        </w:rPr>
        <w:t xml:space="preserve">a relatively </w:t>
      </w:r>
      <w:r w:rsidR="00026086">
        <w:rPr>
          <w:rFonts w:ascii="Times New Roman" w:hAnsi="Times New Roman"/>
          <w:sz w:val="24"/>
        </w:rPr>
        <w:t>elevated</w:t>
      </w:r>
      <w:r w:rsidR="004161B8" w:rsidRPr="004D235F">
        <w:rPr>
          <w:rFonts w:ascii="Times New Roman" w:hAnsi="Times New Roman"/>
          <w:sz w:val="24"/>
        </w:rPr>
        <w:t xml:space="preserve"> standard for </w:t>
      </w:r>
      <w:r w:rsidR="004161B8">
        <w:rPr>
          <w:rFonts w:ascii="Times New Roman" w:hAnsi="Times New Roman"/>
          <w:sz w:val="24"/>
        </w:rPr>
        <w:t>this</w:t>
      </w:r>
      <w:r w:rsidR="004161B8" w:rsidRPr="004D235F">
        <w:rPr>
          <w:rFonts w:ascii="Times New Roman" w:hAnsi="Times New Roman"/>
          <w:sz w:val="24"/>
        </w:rPr>
        <w:t xml:space="preserve"> requirement</w:t>
      </w:r>
      <w:r w:rsidR="004E1245">
        <w:rPr>
          <w:rFonts w:ascii="Times New Roman" w:hAnsi="Times New Roman"/>
          <w:sz w:val="24"/>
        </w:rPr>
        <w:t xml:space="preserve">. The </w:t>
      </w:r>
      <w:r w:rsidR="00026086">
        <w:rPr>
          <w:rFonts w:ascii="Times New Roman" w:hAnsi="Times New Roman"/>
          <w:sz w:val="24"/>
        </w:rPr>
        <w:t>ICRC document</w:t>
      </w:r>
      <w:r w:rsidR="00927D4E">
        <w:rPr>
          <w:rFonts w:ascii="Times New Roman" w:hAnsi="Times New Roman"/>
          <w:sz w:val="24"/>
        </w:rPr>
        <w:t xml:space="preserve">, prepared </w:t>
      </w:r>
      <w:r w:rsidR="00026086">
        <w:rPr>
          <w:rFonts w:ascii="Times New Roman" w:hAnsi="Times New Roman"/>
          <w:sz w:val="24"/>
        </w:rPr>
        <w:t xml:space="preserve">for </w:t>
      </w:r>
      <w:r w:rsidR="00E732C9">
        <w:rPr>
          <w:rFonts w:ascii="Times New Roman" w:hAnsi="Times New Roman"/>
          <w:sz w:val="24"/>
        </w:rPr>
        <w:t>the 1949 Diplomatic Conference</w:t>
      </w:r>
      <w:r w:rsidR="00927D4E">
        <w:rPr>
          <w:rFonts w:ascii="Times New Roman" w:hAnsi="Times New Roman"/>
          <w:sz w:val="24"/>
        </w:rPr>
        <w:t>,</w:t>
      </w:r>
      <w:r w:rsidR="00E732C9">
        <w:rPr>
          <w:rFonts w:ascii="Times New Roman" w:hAnsi="Times New Roman"/>
          <w:sz w:val="24"/>
        </w:rPr>
        <w:t xml:space="preserve"> </w:t>
      </w:r>
      <w:r w:rsidR="00026086">
        <w:rPr>
          <w:rFonts w:ascii="Times New Roman" w:hAnsi="Times New Roman"/>
          <w:sz w:val="24"/>
        </w:rPr>
        <w:t>recommended</w:t>
      </w:r>
      <w:r w:rsidR="004E1245">
        <w:rPr>
          <w:rFonts w:ascii="Times New Roman" w:hAnsi="Times New Roman"/>
          <w:sz w:val="24"/>
        </w:rPr>
        <w:t xml:space="preserve"> that </w:t>
      </w:r>
      <w:r w:rsidR="006B604D">
        <w:rPr>
          <w:rFonts w:ascii="Times New Roman" w:hAnsi="Times New Roman"/>
          <w:sz w:val="24"/>
        </w:rPr>
        <w:t xml:space="preserve">an independent militia </w:t>
      </w:r>
      <w:r w:rsidR="004E1245">
        <w:rPr>
          <w:rFonts w:ascii="Times New Roman" w:hAnsi="Times New Roman"/>
          <w:sz w:val="24"/>
        </w:rPr>
        <w:t>should</w:t>
      </w:r>
      <w:r w:rsidR="006B604D">
        <w:rPr>
          <w:rFonts w:ascii="Times New Roman" w:hAnsi="Times New Roman"/>
          <w:sz w:val="24"/>
        </w:rPr>
        <w:t xml:space="preserve"> partake of</w:t>
      </w:r>
      <w:r w:rsidR="004161B8" w:rsidRPr="004D235F">
        <w:rPr>
          <w:rFonts w:ascii="Times New Roman" w:hAnsi="Times New Roman"/>
          <w:sz w:val="24"/>
        </w:rPr>
        <w:t xml:space="preserve"> </w:t>
      </w:r>
      <w:r w:rsidR="006B604D">
        <w:rPr>
          <w:rFonts w:ascii="Times New Roman" w:hAnsi="Times New Roman"/>
          <w:sz w:val="24"/>
        </w:rPr>
        <w:t>the essential attributes of national armed forces</w:t>
      </w:r>
      <w:r w:rsidR="004161B8" w:rsidRPr="004D235F">
        <w:rPr>
          <w:rFonts w:ascii="Times New Roman" w:hAnsi="Times New Roman"/>
          <w:sz w:val="24"/>
        </w:rPr>
        <w:t>.</w:t>
      </w:r>
      <w:r w:rsidR="004161B8" w:rsidRPr="004D235F">
        <w:rPr>
          <w:rStyle w:val="a5"/>
          <w:rFonts w:ascii="Times New Roman" w:hAnsi="Times New Roman"/>
          <w:sz w:val="24"/>
        </w:rPr>
        <w:footnoteReference w:id="52"/>
      </w:r>
      <w:r w:rsidR="004161B8" w:rsidRPr="004D235F">
        <w:rPr>
          <w:rFonts w:ascii="Times New Roman" w:hAnsi="Times New Roman"/>
          <w:sz w:val="24"/>
        </w:rPr>
        <w:t xml:space="preserve"> </w:t>
      </w:r>
      <w:r w:rsidR="006B604D">
        <w:rPr>
          <w:rFonts w:ascii="Times New Roman" w:hAnsi="Times New Roman"/>
          <w:sz w:val="24"/>
        </w:rPr>
        <w:t xml:space="preserve">Yet, </w:t>
      </w:r>
      <w:r w:rsidR="00E732C9">
        <w:rPr>
          <w:rFonts w:ascii="Times New Roman" w:hAnsi="Times New Roman"/>
          <w:sz w:val="24"/>
        </w:rPr>
        <w:t>little discussion on the requirement of organization</w:t>
      </w:r>
      <w:r w:rsidR="006B604D">
        <w:rPr>
          <w:rFonts w:ascii="Times New Roman" w:hAnsi="Times New Roman"/>
          <w:sz w:val="24"/>
        </w:rPr>
        <w:t xml:space="preserve"> </w:t>
      </w:r>
      <w:r w:rsidR="00E732C9">
        <w:rPr>
          <w:rFonts w:ascii="Times New Roman" w:hAnsi="Times New Roman"/>
          <w:sz w:val="24"/>
        </w:rPr>
        <w:t xml:space="preserve">(much less on its core elements) occurred </w:t>
      </w:r>
      <w:r w:rsidR="006B604D">
        <w:rPr>
          <w:rFonts w:ascii="Times New Roman" w:hAnsi="Times New Roman"/>
          <w:sz w:val="24"/>
        </w:rPr>
        <w:t>at the Diplomatic Conference.</w:t>
      </w:r>
      <w:r w:rsidR="0050318C">
        <w:rPr>
          <w:rStyle w:val="a5"/>
          <w:rFonts w:ascii="Times New Roman" w:hAnsi="Times New Roman"/>
          <w:sz w:val="24"/>
        </w:rPr>
        <w:footnoteReference w:id="53"/>
      </w:r>
      <w:r w:rsidR="006B604D">
        <w:rPr>
          <w:rFonts w:ascii="Times New Roman" w:hAnsi="Times New Roman"/>
          <w:sz w:val="24"/>
        </w:rPr>
        <w:t xml:space="preserve"> </w:t>
      </w:r>
      <w:r w:rsidR="00E732C9">
        <w:rPr>
          <w:rFonts w:ascii="Times New Roman" w:hAnsi="Times New Roman"/>
          <w:sz w:val="24"/>
        </w:rPr>
        <w:t xml:space="preserve">A </w:t>
      </w:r>
      <w:r w:rsidR="006B604D" w:rsidRPr="004D235F">
        <w:rPr>
          <w:rFonts w:ascii="Times New Roman" w:hAnsi="Times New Roman"/>
          <w:sz w:val="24"/>
        </w:rPr>
        <w:t xml:space="preserve">handful of </w:t>
      </w:r>
      <w:r w:rsidR="006B604D">
        <w:rPr>
          <w:rFonts w:ascii="Times New Roman" w:hAnsi="Times New Roman"/>
          <w:sz w:val="24"/>
        </w:rPr>
        <w:t xml:space="preserve">post-1949 </w:t>
      </w:r>
      <w:r w:rsidR="006B604D" w:rsidRPr="004D235F">
        <w:rPr>
          <w:rFonts w:ascii="Times New Roman" w:hAnsi="Times New Roman"/>
          <w:sz w:val="24"/>
        </w:rPr>
        <w:t>scholarly opinions</w:t>
      </w:r>
      <w:r w:rsidR="00E732C9">
        <w:rPr>
          <w:rFonts w:ascii="Times New Roman" w:hAnsi="Times New Roman"/>
          <w:sz w:val="24"/>
        </w:rPr>
        <w:t xml:space="preserve">, which </w:t>
      </w:r>
      <w:r w:rsidR="00B70961">
        <w:rPr>
          <w:rFonts w:ascii="Times New Roman" w:hAnsi="Times New Roman"/>
          <w:sz w:val="24"/>
        </w:rPr>
        <w:t>have touched</w:t>
      </w:r>
      <w:r w:rsidR="00E732C9">
        <w:rPr>
          <w:rFonts w:ascii="Times New Roman" w:hAnsi="Times New Roman"/>
          <w:sz w:val="24"/>
        </w:rPr>
        <w:t xml:space="preserve"> on this requirement, </w:t>
      </w:r>
      <w:r w:rsidR="00B70961">
        <w:rPr>
          <w:rFonts w:ascii="Times New Roman" w:hAnsi="Times New Roman"/>
          <w:sz w:val="24"/>
        </w:rPr>
        <w:t xml:space="preserve">point </w:t>
      </w:r>
      <w:r w:rsidR="00E732C9">
        <w:rPr>
          <w:rFonts w:ascii="Times New Roman" w:hAnsi="Times New Roman"/>
          <w:sz w:val="24"/>
        </w:rPr>
        <w:t xml:space="preserve">unmistakably to a </w:t>
      </w:r>
      <w:r w:rsidR="006B604D" w:rsidRPr="004D235F">
        <w:rPr>
          <w:rFonts w:ascii="Times New Roman" w:hAnsi="Times New Roman"/>
          <w:sz w:val="24"/>
        </w:rPr>
        <w:t>low threshold</w:t>
      </w:r>
      <w:r w:rsidR="00026086">
        <w:rPr>
          <w:rFonts w:ascii="Times New Roman" w:hAnsi="Times New Roman"/>
          <w:sz w:val="24"/>
        </w:rPr>
        <w:t>.</w:t>
      </w:r>
      <w:r w:rsidR="006B604D" w:rsidRPr="004D235F">
        <w:rPr>
          <w:rStyle w:val="a5"/>
          <w:rFonts w:ascii="Times New Roman" w:hAnsi="Times New Roman"/>
          <w:sz w:val="24"/>
        </w:rPr>
        <w:footnoteReference w:id="54"/>
      </w:r>
      <w:r w:rsidR="00026086">
        <w:rPr>
          <w:rFonts w:ascii="Times New Roman" w:hAnsi="Times New Roman"/>
          <w:sz w:val="24"/>
        </w:rPr>
        <w:t xml:space="preserve"> </w:t>
      </w:r>
      <w:r w:rsidR="0043101F">
        <w:rPr>
          <w:rFonts w:ascii="Times New Roman" w:hAnsi="Times New Roman"/>
          <w:sz w:val="24"/>
        </w:rPr>
        <w:t xml:space="preserve">Arguably, </w:t>
      </w:r>
      <w:r w:rsidR="00B70961">
        <w:rPr>
          <w:rFonts w:ascii="Times New Roman" w:hAnsi="Times New Roman"/>
          <w:sz w:val="24"/>
        </w:rPr>
        <w:t>the</w:t>
      </w:r>
      <w:r w:rsidR="00026086">
        <w:rPr>
          <w:rFonts w:ascii="Times New Roman" w:hAnsi="Times New Roman"/>
          <w:sz w:val="24"/>
        </w:rPr>
        <w:t xml:space="preserve"> fact that any issue relating to </w:t>
      </w:r>
      <w:r w:rsidR="00E732C9">
        <w:rPr>
          <w:rFonts w:ascii="Times New Roman" w:hAnsi="Times New Roman"/>
          <w:sz w:val="24"/>
        </w:rPr>
        <w:t>this requirement</w:t>
      </w:r>
      <w:r w:rsidR="00026086">
        <w:rPr>
          <w:rFonts w:ascii="Times New Roman" w:hAnsi="Times New Roman"/>
          <w:sz w:val="24"/>
        </w:rPr>
        <w:t>, including</w:t>
      </w:r>
      <w:r w:rsidR="002F1C77">
        <w:rPr>
          <w:rFonts w:ascii="Times New Roman" w:hAnsi="Times New Roman"/>
          <w:sz w:val="24"/>
        </w:rPr>
        <w:t xml:space="preserve"> its constituent elements</w:t>
      </w:r>
      <w:r w:rsidR="00026086">
        <w:rPr>
          <w:rFonts w:ascii="Times New Roman" w:hAnsi="Times New Roman"/>
          <w:sz w:val="24"/>
        </w:rPr>
        <w:t xml:space="preserve">, has attracted </w:t>
      </w:r>
      <w:r w:rsidR="00927D4E">
        <w:rPr>
          <w:rFonts w:ascii="Times New Roman" w:hAnsi="Times New Roman"/>
          <w:sz w:val="24"/>
        </w:rPr>
        <w:t xml:space="preserve">hardly </w:t>
      </w:r>
      <w:r w:rsidR="00026086">
        <w:rPr>
          <w:rFonts w:ascii="Times New Roman" w:hAnsi="Times New Roman"/>
          <w:sz w:val="24"/>
        </w:rPr>
        <w:t xml:space="preserve">any </w:t>
      </w:r>
      <w:r w:rsidR="002F1C77">
        <w:rPr>
          <w:rFonts w:ascii="Times New Roman" w:hAnsi="Times New Roman"/>
          <w:sz w:val="24"/>
        </w:rPr>
        <w:t>meticulous analyses</w:t>
      </w:r>
      <w:r w:rsidR="00026086">
        <w:rPr>
          <w:rFonts w:ascii="Times New Roman" w:hAnsi="Times New Roman"/>
          <w:sz w:val="24"/>
        </w:rPr>
        <w:t xml:space="preserve"> </w:t>
      </w:r>
      <w:r w:rsidR="00840E81">
        <w:rPr>
          <w:rFonts w:ascii="Times New Roman" w:hAnsi="Times New Roman"/>
          <w:sz w:val="24"/>
        </w:rPr>
        <w:t xml:space="preserve">can </w:t>
      </w:r>
      <w:r w:rsidR="00026086">
        <w:rPr>
          <w:rFonts w:ascii="Times New Roman" w:hAnsi="Times New Roman"/>
          <w:sz w:val="24"/>
        </w:rPr>
        <w:t xml:space="preserve">be taken as </w:t>
      </w:r>
      <w:r w:rsidR="00840E81">
        <w:rPr>
          <w:rFonts w:ascii="Times New Roman" w:hAnsi="Times New Roman"/>
          <w:sz w:val="24"/>
        </w:rPr>
        <w:t xml:space="preserve">supposing </w:t>
      </w:r>
      <w:r w:rsidR="00780CFC">
        <w:rPr>
          <w:rFonts w:ascii="Times New Roman" w:hAnsi="Times New Roman"/>
          <w:sz w:val="24"/>
        </w:rPr>
        <w:t xml:space="preserve">that this requirement </w:t>
      </w:r>
      <w:r w:rsidR="00B619A3">
        <w:rPr>
          <w:rFonts w:ascii="Times New Roman" w:hAnsi="Times New Roman"/>
          <w:sz w:val="24"/>
        </w:rPr>
        <w:t>should</w:t>
      </w:r>
      <w:r w:rsidR="00780CFC">
        <w:rPr>
          <w:rFonts w:ascii="Times New Roman" w:hAnsi="Times New Roman"/>
          <w:sz w:val="24"/>
        </w:rPr>
        <w:t xml:space="preserve"> be</w:t>
      </w:r>
      <w:r w:rsidR="003559D4">
        <w:rPr>
          <w:rFonts w:ascii="Times New Roman" w:hAnsi="Times New Roman"/>
          <w:sz w:val="24"/>
        </w:rPr>
        <w:t xml:space="preserve"> </w:t>
      </w:r>
      <w:r w:rsidR="000B4CAE">
        <w:rPr>
          <w:rFonts w:ascii="Times New Roman" w:hAnsi="Times New Roman"/>
          <w:sz w:val="24"/>
        </w:rPr>
        <w:t>measured</w:t>
      </w:r>
      <w:r w:rsidR="00B619A3">
        <w:rPr>
          <w:rFonts w:ascii="Times New Roman" w:hAnsi="Times New Roman"/>
          <w:sz w:val="24"/>
        </w:rPr>
        <w:t xml:space="preserve"> </w:t>
      </w:r>
      <w:r w:rsidR="003559D4">
        <w:rPr>
          <w:rFonts w:ascii="Times New Roman" w:hAnsi="Times New Roman"/>
          <w:sz w:val="24"/>
        </w:rPr>
        <w:t xml:space="preserve">by a </w:t>
      </w:r>
      <w:r w:rsidR="00026086">
        <w:rPr>
          <w:rFonts w:ascii="Times New Roman" w:hAnsi="Times New Roman"/>
          <w:sz w:val="24"/>
        </w:rPr>
        <w:t>generally low threshold</w:t>
      </w:r>
      <w:r w:rsidR="003559D4">
        <w:rPr>
          <w:rFonts w:ascii="Times New Roman" w:hAnsi="Times New Roman"/>
          <w:sz w:val="24"/>
        </w:rPr>
        <w:t>.</w:t>
      </w:r>
    </w:p>
    <w:p w14:paraId="18E97A75" w14:textId="77777777" w:rsidR="004161B8" w:rsidRPr="004D235F" w:rsidRDefault="004161B8" w:rsidP="00E01082">
      <w:pPr>
        <w:rPr>
          <w:rFonts w:ascii="Times New Roman" w:hAnsi="Times New Roman"/>
          <w:sz w:val="24"/>
        </w:rPr>
      </w:pPr>
    </w:p>
    <w:p w14:paraId="500B891C" w14:textId="2A99CA74" w:rsidR="004161B8" w:rsidRPr="004D235F" w:rsidRDefault="004161B8" w:rsidP="00E01082">
      <w:pPr>
        <w:rPr>
          <w:rFonts w:ascii="Times New Roman" w:hAnsi="Times New Roman"/>
          <w:sz w:val="24"/>
        </w:rPr>
      </w:pPr>
      <w:r>
        <w:rPr>
          <w:rFonts w:ascii="Times New Roman" w:hAnsi="Times New Roman"/>
          <w:sz w:val="24"/>
        </w:rPr>
        <w:t>Needless to say</w:t>
      </w:r>
      <w:r w:rsidRPr="004D235F">
        <w:rPr>
          <w:rFonts w:ascii="Times New Roman" w:hAnsi="Times New Roman"/>
          <w:sz w:val="24"/>
        </w:rPr>
        <w:t>, under Article 4</w:t>
      </w:r>
      <w:proofErr w:type="gramStart"/>
      <w:r w:rsidRPr="004D235F">
        <w:rPr>
          <w:rFonts w:ascii="Times New Roman" w:hAnsi="Times New Roman"/>
          <w:sz w:val="24"/>
        </w:rPr>
        <w:t>A(</w:t>
      </w:r>
      <w:proofErr w:type="gramEnd"/>
      <w:r w:rsidRPr="004D235F">
        <w:rPr>
          <w:rFonts w:ascii="Times New Roman" w:hAnsi="Times New Roman"/>
          <w:sz w:val="24"/>
        </w:rPr>
        <w:t xml:space="preserve">2) </w:t>
      </w:r>
      <w:r w:rsidR="00A61233">
        <w:rPr>
          <w:rFonts w:ascii="Times New Roman" w:hAnsi="Times New Roman"/>
          <w:sz w:val="24"/>
        </w:rPr>
        <w:t xml:space="preserve">of the </w:t>
      </w:r>
      <w:r w:rsidR="001D7ED3">
        <w:rPr>
          <w:rFonts w:ascii="Times New Roman" w:hAnsi="Times New Roman"/>
          <w:sz w:val="24"/>
        </w:rPr>
        <w:t>Geneva Convention</w:t>
      </w:r>
      <w:r w:rsidRPr="004D235F">
        <w:rPr>
          <w:rFonts w:ascii="Times New Roman" w:hAnsi="Times New Roman"/>
          <w:sz w:val="24"/>
        </w:rPr>
        <w:t xml:space="preserve"> III</w:t>
      </w:r>
      <w:r>
        <w:rPr>
          <w:rFonts w:ascii="Times New Roman" w:hAnsi="Times New Roman"/>
          <w:sz w:val="24"/>
        </w:rPr>
        <w:t xml:space="preserve">, </w:t>
      </w:r>
      <w:r w:rsidRPr="004D235F">
        <w:rPr>
          <w:rFonts w:ascii="Times New Roman" w:hAnsi="Times New Roman"/>
          <w:sz w:val="24"/>
        </w:rPr>
        <w:t>there is no built-in requirement</w:t>
      </w:r>
      <w:r w:rsidR="00F55346">
        <w:rPr>
          <w:rFonts w:ascii="Times New Roman" w:hAnsi="Times New Roman"/>
          <w:sz w:val="24"/>
        </w:rPr>
        <w:t xml:space="preserve"> </w:t>
      </w:r>
      <w:r w:rsidRPr="004D235F">
        <w:rPr>
          <w:rFonts w:ascii="Times New Roman" w:hAnsi="Times New Roman"/>
          <w:sz w:val="24"/>
        </w:rPr>
        <w:t xml:space="preserve">that an independent armed group must exercise control over part of a State’s territory </w:t>
      </w:r>
      <w:r>
        <w:rPr>
          <w:rFonts w:ascii="Times New Roman" w:hAnsi="Times New Roman"/>
          <w:sz w:val="24"/>
        </w:rPr>
        <w:t>or</w:t>
      </w:r>
      <w:r w:rsidRPr="004D235F">
        <w:rPr>
          <w:rFonts w:ascii="Times New Roman" w:hAnsi="Times New Roman"/>
          <w:sz w:val="24"/>
        </w:rPr>
        <w:t xml:space="preserve"> </w:t>
      </w:r>
      <w:r w:rsidR="00E01082">
        <w:rPr>
          <w:rFonts w:ascii="Times New Roman" w:hAnsi="Times New Roman"/>
          <w:sz w:val="24"/>
        </w:rPr>
        <w:t xml:space="preserve">have </w:t>
      </w:r>
      <w:r w:rsidRPr="004D235F">
        <w:rPr>
          <w:rFonts w:ascii="Times New Roman" w:hAnsi="Times New Roman"/>
          <w:sz w:val="24"/>
        </w:rPr>
        <w:t xml:space="preserve">its potential to do so. The fact that independent militia, including an organized resistance movement, does not exert any control over part of </w:t>
      </w:r>
      <w:r w:rsidR="00927D4E">
        <w:rPr>
          <w:rFonts w:ascii="Times New Roman" w:hAnsi="Times New Roman"/>
          <w:sz w:val="24"/>
        </w:rPr>
        <w:t>a belligerent party’s</w:t>
      </w:r>
      <w:r w:rsidRPr="004D235F">
        <w:rPr>
          <w:rFonts w:ascii="Times New Roman" w:hAnsi="Times New Roman"/>
          <w:sz w:val="24"/>
        </w:rPr>
        <w:t xml:space="preserve"> territory or occupied territory never handicap</w:t>
      </w:r>
      <w:r w:rsidR="000B4CAE">
        <w:rPr>
          <w:rFonts w:ascii="Times New Roman" w:hAnsi="Times New Roman"/>
          <w:sz w:val="24"/>
        </w:rPr>
        <w:t>s</w:t>
      </w:r>
      <w:r w:rsidRPr="004D235F">
        <w:rPr>
          <w:rFonts w:ascii="Times New Roman" w:hAnsi="Times New Roman"/>
          <w:sz w:val="24"/>
        </w:rPr>
        <w:t xml:space="preserve"> its members</w:t>
      </w:r>
      <w:r w:rsidR="00E01082">
        <w:rPr>
          <w:rFonts w:ascii="Times New Roman" w:hAnsi="Times New Roman"/>
          <w:sz w:val="24"/>
        </w:rPr>
        <w:t xml:space="preserve">’ eligibility for </w:t>
      </w:r>
      <w:r w:rsidRPr="004D235F">
        <w:rPr>
          <w:rFonts w:ascii="Times New Roman" w:hAnsi="Times New Roman"/>
          <w:sz w:val="24"/>
        </w:rPr>
        <w:t>post-capture POW status</w:t>
      </w:r>
      <w:r w:rsidR="00E01082">
        <w:rPr>
          <w:rFonts w:ascii="Times New Roman" w:hAnsi="Times New Roman"/>
          <w:sz w:val="24"/>
        </w:rPr>
        <w:t xml:space="preserve"> (provided all other POW criteria are met).</w:t>
      </w:r>
    </w:p>
    <w:p w14:paraId="60D3BC52" w14:textId="77777777" w:rsidR="004161B8" w:rsidRPr="004D235F" w:rsidRDefault="004161B8" w:rsidP="00E01082">
      <w:pPr>
        <w:rPr>
          <w:rFonts w:ascii="Times New Roman" w:hAnsi="Times New Roman"/>
          <w:sz w:val="24"/>
        </w:rPr>
      </w:pPr>
    </w:p>
    <w:p w14:paraId="35EC86A2" w14:textId="2BC0F635" w:rsidR="004161B8" w:rsidRPr="004E1245" w:rsidRDefault="004161B8" w:rsidP="006347AB">
      <w:pPr>
        <w:pStyle w:val="ad"/>
        <w:numPr>
          <w:ilvl w:val="0"/>
          <w:numId w:val="4"/>
        </w:numPr>
        <w:ind w:leftChars="0"/>
        <w:rPr>
          <w:rFonts w:ascii="Times New Roman" w:hAnsi="Times New Roman"/>
          <w:b/>
          <w:bCs/>
          <w:sz w:val="24"/>
        </w:rPr>
      </w:pPr>
      <w:r w:rsidRPr="004E1245">
        <w:rPr>
          <w:rFonts w:ascii="Times New Roman" w:hAnsi="Times New Roman"/>
          <w:b/>
          <w:bCs/>
          <w:sz w:val="24"/>
        </w:rPr>
        <w:t xml:space="preserve">Two </w:t>
      </w:r>
      <w:r w:rsidR="00A61233">
        <w:rPr>
          <w:rFonts w:ascii="Times New Roman" w:hAnsi="Times New Roman"/>
          <w:b/>
          <w:bCs/>
          <w:sz w:val="24"/>
        </w:rPr>
        <w:t>S</w:t>
      </w:r>
      <w:r w:rsidRPr="004E1245">
        <w:rPr>
          <w:rFonts w:ascii="Times New Roman" w:hAnsi="Times New Roman"/>
          <w:b/>
          <w:bCs/>
          <w:sz w:val="24"/>
        </w:rPr>
        <w:t xml:space="preserve">tandards of </w:t>
      </w:r>
      <w:r w:rsidR="00A61233">
        <w:rPr>
          <w:rFonts w:ascii="Times New Roman" w:hAnsi="Times New Roman"/>
          <w:b/>
          <w:bCs/>
          <w:sz w:val="24"/>
        </w:rPr>
        <w:t>O</w:t>
      </w:r>
      <w:r w:rsidRPr="004E1245">
        <w:rPr>
          <w:rFonts w:ascii="Times New Roman" w:hAnsi="Times New Roman"/>
          <w:b/>
          <w:bCs/>
          <w:sz w:val="24"/>
        </w:rPr>
        <w:t xml:space="preserve">rganization in the </w:t>
      </w:r>
      <w:r w:rsidR="00A61233">
        <w:rPr>
          <w:rFonts w:ascii="Times New Roman" w:hAnsi="Times New Roman"/>
          <w:b/>
          <w:bCs/>
          <w:sz w:val="24"/>
        </w:rPr>
        <w:t>C</w:t>
      </w:r>
      <w:r w:rsidRPr="004E1245">
        <w:rPr>
          <w:rFonts w:ascii="Times New Roman" w:hAnsi="Times New Roman"/>
          <w:b/>
          <w:bCs/>
          <w:sz w:val="24"/>
        </w:rPr>
        <w:t xml:space="preserve">onventional IHL of NIACs </w:t>
      </w:r>
    </w:p>
    <w:p w14:paraId="4DF5BD75" w14:textId="7B8D6AA1" w:rsidR="004161B8" w:rsidRDefault="004161B8" w:rsidP="00E01082">
      <w:pPr>
        <w:rPr>
          <w:rFonts w:ascii="Times New Roman" w:hAnsi="Times New Roman"/>
          <w:sz w:val="24"/>
        </w:rPr>
      </w:pPr>
      <w:r w:rsidRPr="004D235F">
        <w:rPr>
          <w:rFonts w:ascii="Times New Roman" w:hAnsi="Times New Roman"/>
          <w:sz w:val="24"/>
        </w:rPr>
        <w:t xml:space="preserve">As well-known, the conventional rules </w:t>
      </w:r>
      <w:r>
        <w:rPr>
          <w:rFonts w:ascii="Times New Roman" w:hAnsi="Times New Roman"/>
          <w:sz w:val="24"/>
        </w:rPr>
        <w:t xml:space="preserve">of IHL </w:t>
      </w:r>
      <w:r w:rsidRPr="004D235F">
        <w:rPr>
          <w:rFonts w:ascii="Times New Roman" w:hAnsi="Times New Roman"/>
          <w:sz w:val="24"/>
        </w:rPr>
        <w:t xml:space="preserve">suppose two thresholds for the NIACs:  </w:t>
      </w:r>
      <w:r w:rsidRPr="004D235F">
        <w:rPr>
          <w:rFonts w:ascii="Times New Roman" w:hAnsi="Times New Roman"/>
          <w:sz w:val="24"/>
        </w:rPr>
        <w:lastRenderedPageBreak/>
        <w:t xml:space="preserve">the one based on common Article 3 </w:t>
      </w:r>
      <w:r w:rsidR="00A61233">
        <w:rPr>
          <w:rFonts w:ascii="Times New Roman" w:hAnsi="Times New Roman"/>
          <w:sz w:val="24"/>
        </w:rPr>
        <w:t xml:space="preserve">of the </w:t>
      </w:r>
      <w:r w:rsidR="001D7ED3">
        <w:rPr>
          <w:rFonts w:ascii="Times New Roman" w:hAnsi="Times New Roman"/>
          <w:sz w:val="24"/>
        </w:rPr>
        <w:t>Geneva Convention</w:t>
      </w:r>
      <w:r w:rsidRPr="004D235F">
        <w:rPr>
          <w:rFonts w:ascii="Times New Roman" w:hAnsi="Times New Roman"/>
          <w:sz w:val="24"/>
        </w:rPr>
        <w:t xml:space="preserve">s; and the other predicated on the </w:t>
      </w:r>
      <w:r w:rsidR="001D7ED3">
        <w:rPr>
          <w:rFonts w:ascii="Times New Roman" w:hAnsi="Times New Roman"/>
          <w:sz w:val="24"/>
        </w:rPr>
        <w:t>Additional Protocol</w:t>
      </w:r>
      <w:r w:rsidR="00EB2158">
        <w:rPr>
          <w:rFonts w:ascii="Times New Roman" w:hAnsi="Times New Roman"/>
          <w:sz w:val="24"/>
        </w:rPr>
        <w:t xml:space="preserve"> </w:t>
      </w:r>
      <w:r w:rsidRPr="004D235F">
        <w:rPr>
          <w:rFonts w:ascii="Times New Roman" w:hAnsi="Times New Roman"/>
          <w:sz w:val="24"/>
        </w:rPr>
        <w:t>II. The latter is higher than the former in view of specific</w:t>
      </w:r>
      <w:r>
        <w:rPr>
          <w:rFonts w:ascii="Times New Roman" w:hAnsi="Times New Roman"/>
          <w:sz w:val="24"/>
        </w:rPr>
        <w:t xml:space="preserve"> strings attached </w:t>
      </w:r>
      <w:r w:rsidRPr="004D235F">
        <w:rPr>
          <w:rFonts w:ascii="Times New Roman" w:hAnsi="Times New Roman"/>
          <w:sz w:val="24"/>
        </w:rPr>
        <w:t xml:space="preserve">in Article 1 </w:t>
      </w:r>
      <w:r w:rsidR="00EB2158">
        <w:rPr>
          <w:rFonts w:ascii="Times New Roman" w:hAnsi="Times New Roman"/>
          <w:sz w:val="24"/>
        </w:rPr>
        <w:t xml:space="preserve">of the Second </w:t>
      </w:r>
      <w:r w:rsidR="001D7ED3">
        <w:rPr>
          <w:rFonts w:ascii="Times New Roman" w:hAnsi="Times New Roman"/>
          <w:sz w:val="24"/>
        </w:rPr>
        <w:t>Additional Protocol</w:t>
      </w:r>
      <w:r w:rsidRPr="004D235F">
        <w:rPr>
          <w:rFonts w:ascii="Times New Roman" w:hAnsi="Times New Roman"/>
          <w:sz w:val="24"/>
        </w:rPr>
        <w:t>.</w:t>
      </w:r>
      <w:r w:rsidRPr="004D235F">
        <w:rPr>
          <w:rStyle w:val="a5"/>
          <w:rFonts w:ascii="Times New Roman" w:hAnsi="Times New Roman"/>
          <w:sz w:val="24"/>
        </w:rPr>
        <w:footnoteReference w:id="55"/>
      </w:r>
      <w:r w:rsidRPr="004D235F">
        <w:rPr>
          <w:rFonts w:ascii="Times New Roman" w:hAnsi="Times New Roman"/>
          <w:sz w:val="24"/>
        </w:rPr>
        <w:t xml:space="preserve"> </w:t>
      </w:r>
      <w:r>
        <w:rPr>
          <w:rFonts w:ascii="Times New Roman" w:hAnsi="Times New Roman"/>
          <w:sz w:val="24"/>
        </w:rPr>
        <w:t xml:space="preserve">Above all, </w:t>
      </w:r>
      <w:r w:rsidRPr="004D235F">
        <w:rPr>
          <w:rFonts w:ascii="Times New Roman" w:hAnsi="Times New Roman"/>
          <w:sz w:val="24"/>
        </w:rPr>
        <w:t>the criterion of territorial control</w:t>
      </w:r>
      <w:r>
        <w:rPr>
          <w:rFonts w:ascii="Times New Roman" w:hAnsi="Times New Roman"/>
          <w:sz w:val="24"/>
        </w:rPr>
        <w:t xml:space="preserve"> contained in </w:t>
      </w:r>
      <w:r w:rsidR="009F69DC">
        <w:rPr>
          <w:rFonts w:ascii="Times New Roman" w:hAnsi="Times New Roman"/>
          <w:sz w:val="24"/>
        </w:rPr>
        <w:t xml:space="preserve">this provision </w:t>
      </w:r>
      <w:r>
        <w:rPr>
          <w:rFonts w:ascii="Times New Roman" w:hAnsi="Times New Roman"/>
          <w:sz w:val="24"/>
        </w:rPr>
        <w:t xml:space="preserve">is susceptible to a heightened </w:t>
      </w:r>
      <w:r w:rsidRPr="004D235F">
        <w:rPr>
          <w:rFonts w:ascii="Times New Roman" w:hAnsi="Times New Roman"/>
          <w:sz w:val="24"/>
        </w:rPr>
        <w:t>threshold for a NIAC.</w:t>
      </w:r>
      <w:r w:rsidRPr="004D235F">
        <w:rPr>
          <w:rStyle w:val="a5"/>
          <w:rFonts w:ascii="Times New Roman" w:hAnsi="Times New Roman"/>
          <w:sz w:val="24"/>
        </w:rPr>
        <w:footnoteReference w:id="56"/>
      </w:r>
      <w:r>
        <w:rPr>
          <w:rFonts w:ascii="Times New Roman" w:hAnsi="Times New Roman"/>
          <w:sz w:val="24"/>
        </w:rPr>
        <w:t xml:space="preserve"> Contrariwise</w:t>
      </w:r>
      <w:r w:rsidRPr="004D235F">
        <w:rPr>
          <w:rFonts w:ascii="Times New Roman" w:hAnsi="Times New Roman"/>
          <w:sz w:val="24"/>
        </w:rPr>
        <w:t xml:space="preserve">, the absence of any equivalent requirement of territorial control under common Article 3 </w:t>
      </w:r>
      <w:r w:rsidR="00A61233">
        <w:rPr>
          <w:rFonts w:ascii="Times New Roman" w:hAnsi="Times New Roman"/>
          <w:sz w:val="24"/>
        </w:rPr>
        <w:t xml:space="preserve">of the </w:t>
      </w:r>
      <w:r w:rsidR="001D7ED3">
        <w:rPr>
          <w:rFonts w:ascii="Times New Roman" w:hAnsi="Times New Roman"/>
          <w:sz w:val="24"/>
        </w:rPr>
        <w:t>Geneva Convention</w:t>
      </w:r>
      <w:r w:rsidRPr="004D235F">
        <w:rPr>
          <w:rFonts w:ascii="Times New Roman" w:hAnsi="Times New Roman"/>
          <w:sz w:val="24"/>
        </w:rPr>
        <w:t>s</w:t>
      </w:r>
      <w:r w:rsidRPr="004D235F">
        <w:rPr>
          <w:rStyle w:val="a5"/>
          <w:rFonts w:ascii="Times New Roman" w:hAnsi="Times New Roman"/>
          <w:sz w:val="24"/>
        </w:rPr>
        <w:footnoteReference w:id="57"/>
      </w:r>
      <w:r w:rsidRPr="004D235F">
        <w:rPr>
          <w:rFonts w:ascii="Times New Roman" w:hAnsi="Times New Roman"/>
          <w:sz w:val="24"/>
        </w:rPr>
        <w:t xml:space="preserve"> can be </w:t>
      </w:r>
      <w:r w:rsidR="000B4CAE">
        <w:rPr>
          <w:rFonts w:ascii="Times New Roman" w:hAnsi="Times New Roman"/>
          <w:sz w:val="24"/>
        </w:rPr>
        <w:t>read</w:t>
      </w:r>
      <w:r w:rsidRPr="004D235F">
        <w:rPr>
          <w:rFonts w:ascii="Times New Roman" w:hAnsi="Times New Roman"/>
          <w:sz w:val="24"/>
        </w:rPr>
        <w:t xml:space="preserve"> as </w:t>
      </w:r>
      <w:r w:rsidR="009F69DC">
        <w:rPr>
          <w:rFonts w:ascii="Times New Roman" w:hAnsi="Times New Roman"/>
          <w:sz w:val="24"/>
        </w:rPr>
        <w:t xml:space="preserve">corroborating </w:t>
      </w:r>
      <w:r w:rsidR="0050318C">
        <w:rPr>
          <w:rFonts w:ascii="Times New Roman" w:hAnsi="Times New Roman"/>
          <w:sz w:val="24"/>
        </w:rPr>
        <w:t xml:space="preserve">the view </w:t>
      </w:r>
      <w:r w:rsidR="009F69DC">
        <w:rPr>
          <w:rFonts w:ascii="Times New Roman" w:hAnsi="Times New Roman"/>
          <w:sz w:val="24"/>
        </w:rPr>
        <w:t>that</w:t>
      </w:r>
      <w:r w:rsidRPr="004D235F">
        <w:rPr>
          <w:rFonts w:ascii="Times New Roman" w:hAnsi="Times New Roman"/>
          <w:sz w:val="24"/>
        </w:rPr>
        <w:t xml:space="preserve"> </w:t>
      </w:r>
      <w:r>
        <w:rPr>
          <w:rFonts w:ascii="Times New Roman" w:hAnsi="Times New Roman"/>
          <w:sz w:val="24"/>
        </w:rPr>
        <w:t>the</w:t>
      </w:r>
      <w:r w:rsidRPr="004D235F">
        <w:rPr>
          <w:rFonts w:ascii="Times New Roman" w:hAnsi="Times New Roman"/>
          <w:sz w:val="24"/>
        </w:rPr>
        <w:t xml:space="preserve"> overall threshold for a NIAC </w:t>
      </w:r>
      <w:r w:rsidR="009F69DC">
        <w:rPr>
          <w:rFonts w:ascii="Times New Roman" w:hAnsi="Times New Roman"/>
          <w:sz w:val="24"/>
        </w:rPr>
        <w:t xml:space="preserve">under this provision is lower </w:t>
      </w:r>
      <w:r w:rsidRPr="004D235F">
        <w:rPr>
          <w:rFonts w:ascii="Times New Roman" w:hAnsi="Times New Roman"/>
          <w:sz w:val="24"/>
        </w:rPr>
        <w:t xml:space="preserve">than </w:t>
      </w:r>
      <w:r w:rsidR="000B4CAE">
        <w:rPr>
          <w:rFonts w:ascii="Times New Roman" w:hAnsi="Times New Roman"/>
          <w:sz w:val="24"/>
        </w:rPr>
        <w:t>that under</w:t>
      </w:r>
      <w:r w:rsidRPr="004D235F">
        <w:rPr>
          <w:rFonts w:ascii="Times New Roman" w:hAnsi="Times New Roman"/>
          <w:sz w:val="24"/>
        </w:rPr>
        <w:t xml:space="preserve"> the </w:t>
      </w:r>
      <w:r w:rsidR="001D7ED3">
        <w:rPr>
          <w:rFonts w:ascii="Times New Roman" w:hAnsi="Times New Roman"/>
          <w:sz w:val="24"/>
        </w:rPr>
        <w:t>Additional Protocol</w:t>
      </w:r>
      <w:r w:rsidR="00EB2158">
        <w:rPr>
          <w:rFonts w:ascii="Times New Roman" w:hAnsi="Times New Roman"/>
          <w:sz w:val="24"/>
        </w:rPr>
        <w:t xml:space="preserve"> </w:t>
      </w:r>
      <w:r w:rsidRPr="004D235F">
        <w:rPr>
          <w:rFonts w:ascii="Times New Roman" w:hAnsi="Times New Roman"/>
          <w:sz w:val="24"/>
        </w:rPr>
        <w:t>II.</w:t>
      </w:r>
    </w:p>
    <w:p w14:paraId="345930F0" w14:textId="77777777" w:rsidR="00B172FA" w:rsidRDefault="00B172FA" w:rsidP="00E01082">
      <w:pPr>
        <w:rPr>
          <w:rFonts w:ascii="Times New Roman" w:hAnsi="Times New Roman"/>
          <w:sz w:val="24"/>
        </w:rPr>
      </w:pPr>
    </w:p>
    <w:p w14:paraId="73D20725" w14:textId="0E05ACE1" w:rsidR="00211101" w:rsidRPr="004D235F" w:rsidRDefault="00A7461D" w:rsidP="00E01082">
      <w:pPr>
        <w:rPr>
          <w:rFonts w:ascii="Times New Roman" w:hAnsi="Times New Roman"/>
          <w:sz w:val="24"/>
        </w:rPr>
      </w:pPr>
      <w:r w:rsidRPr="004D235F">
        <w:rPr>
          <w:rFonts w:ascii="Times New Roman" w:hAnsi="Times New Roman"/>
          <w:sz w:val="24"/>
        </w:rPr>
        <w:t xml:space="preserve">Correspondingly, it is possible to </w:t>
      </w:r>
      <w:r w:rsidR="00622113">
        <w:rPr>
          <w:rFonts w:ascii="Times New Roman" w:hAnsi="Times New Roman"/>
          <w:sz w:val="24"/>
        </w:rPr>
        <w:t xml:space="preserve">suggest </w:t>
      </w:r>
      <w:r w:rsidR="00B172FA">
        <w:rPr>
          <w:rFonts w:ascii="Times New Roman" w:hAnsi="Times New Roman"/>
          <w:sz w:val="24"/>
        </w:rPr>
        <w:t>a binary yardstick for gauging the organizational level</w:t>
      </w:r>
      <w:r w:rsidR="00786738">
        <w:rPr>
          <w:rFonts w:ascii="Times New Roman" w:hAnsi="Times New Roman"/>
          <w:sz w:val="24"/>
        </w:rPr>
        <w:t xml:space="preserve"> in NIACs</w:t>
      </w:r>
      <w:r w:rsidR="00B172FA">
        <w:rPr>
          <w:rFonts w:ascii="Times New Roman" w:hAnsi="Times New Roman"/>
          <w:sz w:val="24"/>
        </w:rPr>
        <w:t xml:space="preserve">. The </w:t>
      </w:r>
      <w:r w:rsidRPr="004D235F">
        <w:rPr>
          <w:rFonts w:ascii="Times New Roman" w:hAnsi="Times New Roman"/>
          <w:sz w:val="24"/>
        </w:rPr>
        <w:t xml:space="preserve">standard for assessing </w:t>
      </w:r>
      <w:r w:rsidR="00840E81">
        <w:rPr>
          <w:rFonts w:ascii="Times New Roman" w:hAnsi="Times New Roman"/>
          <w:sz w:val="24"/>
        </w:rPr>
        <w:t xml:space="preserve">the </w:t>
      </w:r>
      <w:r w:rsidRPr="004D235F">
        <w:rPr>
          <w:rFonts w:ascii="Times New Roman" w:hAnsi="Times New Roman"/>
          <w:sz w:val="24"/>
        </w:rPr>
        <w:t>organization</w:t>
      </w:r>
      <w:r w:rsidR="00786738">
        <w:rPr>
          <w:rFonts w:ascii="Times New Roman" w:hAnsi="Times New Roman"/>
          <w:sz w:val="24"/>
        </w:rPr>
        <w:t xml:space="preserve"> </w:t>
      </w:r>
      <w:r w:rsidRPr="004D235F">
        <w:rPr>
          <w:rFonts w:ascii="Times New Roman" w:hAnsi="Times New Roman"/>
          <w:sz w:val="24"/>
        </w:rPr>
        <w:t>of an armed group</w:t>
      </w:r>
      <w:r w:rsidR="00E630FD">
        <w:rPr>
          <w:rFonts w:ascii="Times New Roman" w:hAnsi="Times New Roman"/>
          <w:sz w:val="24"/>
        </w:rPr>
        <w:t xml:space="preserve"> </w:t>
      </w:r>
      <w:r w:rsidR="00B172FA">
        <w:rPr>
          <w:rFonts w:ascii="Times New Roman" w:hAnsi="Times New Roman"/>
          <w:sz w:val="24"/>
        </w:rPr>
        <w:t xml:space="preserve">may </w:t>
      </w:r>
      <w:r w:rsidR="00622113">
        <w:rPr>
          <w:rFonts w:ascii="Times New Roman" w:hAnsi="Times New Roman"/>
          <w:sz w:val="24"/>
        </w:rPr>
        <w:t xml:space="preserve">be bifurcated </w:t>
      </w:r>
      <w:r w:rsidR="00E630FD">
        <w:rPr>
          <w:rFonts w:ascii="Times New Roman" w:hAnsi="Times New Roman"/>
          <w:sz w:val="24"/>
        </w:rPr>
        <w:t>into</w:t>
      </w:r>
      <w:r w:rsidRPr="004D235F">
        <w:rPr>
          <w:rFonts w:ascii="Times New Roman" w:hAnsi="Times New Roman"/>
          <w:sz w:val="24"/>
        </w:rPr>
        <w:t xml:space="preserve">:  </w:t>
      </w:r>
      <w:r w:rsidR="000A446D">
        <w:rPr>
          <w:rFonts w:ascii="Times New Roman" w:hAnsi="Times New Roman"/>
          <w:sz w:val="24"/>
        </w:rPr>
        <w:t xml:space="preserve">(1) </w:t>
      </w:r>
      <w:r w:rsidRPr="004D235F">
        <w:rPr>
          <w:rFonts w:ascii="Times New Roman" w:hAnsi="Times New Roman"/>
          <w:sz w:val="24"/>
        </w:rPr>
        <w:t xml:space="preserve">a </w:t>
      </w:r>
      <w:r w:rsidR="008B2B4F">
        <w:rPr>
          <w:rFonts w:ascii="Times New Roman" w:hAnsi="Times New Roman"/>
          <w:sz w:val="24"/>
        </w:rPr>
        <w:t>threshold</w:t>
      </w:r>
      <w:r w:rsidRPr="004D235F">
        <w:rPr>
          <w:rFonts w:ascii="Times New Roman" w:hAnsi="Times New Roman"/>
          <w:sz w:val="24"/>
        </w:rPr>
        <w:t xml:space="preserve"> for armed groups in ‘common-Article 3 NIACs’; and </w:t>
      </w:r>
      <w:r w:rsidR="000A446D">
        <w:rPr>
          <w:rFonts w:ascii="Times New Roman" w:hAnsi="Times New Roman"/>
          <w:sz w:val="24"/>
        </w:rPr>
        <w:t xml:space="preserve">(2) </w:t>
      </w:r>
      <w:r w:rsidRPr="004D235F">
        <w:rPr>
          <w:rFonts w:ascii="Times New Roman" w:hAnsi="Times New Roman"/>
          <w:sz w:val="24"/>
        </w:rPr>
        <w:t xml:space="preserve">a relatively higher </w:t>
      </w:r>
      <w:r w:rsidR="008B2B4F">
        <w:rPr>
          <w:rFonts w:ascii="Times New Roman" w:hAnsi="Times New Roman"/>
          <w:sz w:val="24"/>
        </w:rPr>
        <w:t>threshold</w:t>
      </w:r>
      <w:r w:rsidR="008B2B4F" w:rsidRPr="004D235F">
        <w:rPr>
          <w:rFonts w:ascii="Times New Roman" w:hAnsi="Times New Roman"/>
          <w:sz w:val="24"/>
        </w:rPr>
        <w:t xml:space="preserve"> </w:t>
      </w:r>
      <w:r w:rsidRPr="004D235F">
        <w:rPr>
          <w:rFonts w:ascii="Times New Roman" w:hAnsi="Times New Roman"/>
          <w:sz w:val="24"/>
        </w:rPr>
        <w:t>in ‘A</w:t>
      </w:r>
      <w:r w:rsidR="00EB2158">
        <w:rPr>
          <w:rFonts w:ascii="Times New Roman" w:hAnsi="Times New Roman"/>
          <w:sz w:val="24"/>
        </w:rPr>
        <w:t>dditional Protocol II-</w:t>
      </w:r>
      <w:r w:rsidRPr="004D235F">
        <w:rPr>
          <w:rFonts w:ascii="Times New Roman" w:hAnsi="Times New Roman"/>
          <w:sz w:val="24"/>
        </w:rPr>
        <w:t xml:space="preserve"> NIACs’. </w:t>
      </w:r>
      <w:r w:rsidR="00B172FA">
        <w:rPr>
          <w:rFonts w:ascii="Times New Roman" w:hAnsi="Times New Roman"/>
          <w:sz w:val="24"/>
        </w:rPr>
        <w:t>As will be examined at depth below,</w:t>
      </w:r>
      <w:r w:rsidR="00622113">
        <w:rPr>
          <w:rFonts w:ascii="Times New Roman" w:hAnsi="Times New Roman"/>
          <w:sz w:val="24"/>
        </w:rPr>
        <w:t xml:space="preserve"> </w:t>
      </w:r>
      <w:r w:rsidR="00B172FA">
        <w:rPr>
          <w:rFonts w:ascii="Times New Roman" w:hAnsi="Times New Roman"/>
          <w:sz w:val="24"/>
        </w:rPr>
        <w:t xml:space="preserve">the suggestion that the </w:t>
      </w:r>
      <w:r w:rsidR="00E630FD">
        <w:rPr>
          <w:rFonts w:ascii="Times New Roman" w:hAnsi="Times New Roman"/>
          <w:sz w:val="24"/>
        </w:rPr>
        <w:t xml:space="preserve">two-tier thresholds for NIACs in </w:t>
      </w:r>
      <w:r w:rsidR="00AB20C2">
        <w:rPr>
          <w:rFonts w:ascii="Times New Roman" w:hAnsi="Times New Roman"/>
          <w:sz w:val="24"/>
        </w:rPr>
        <w:t xml:space="preserve">the </w:t>
      </w:r>
      <w:r w:rsidR="00E630FD">
        <w:rPr>
          <w:rFonts w:ascii="Times New Roman" w:hAnsi="Times New Roman"/>
          <w:sz w:val="24"/>
        </w:rPr>
        <w:t xml:space="preserve">IHL treaties </w:t>
      </w:r>
      <w:r w:rsidR="005D6F0F">
        <w:rPr>
          <w:rFonts w:ascii="Times New Roman" w:hAnsi="Times New Roman"/>
          <w:sz w:val="24"/>
        </w:rPr>
        <w:t xml:space="preserve">may give rise to </w:t>
      </w:r>
      <w:r w:rsidR="00B172FA">
        <w:rPr>
          <w:rFonts w:ascii="Times New Roman" w:hAnsi="Times New Roman"/>
          <w:sz w:val="24"/>
        </w:rPr>
        <w:t xml:space="preserve">a rift in the organizational level of an armed group </w:t>
      </w:r>
      <w:r w:rsidR="00E630FD">
        <w:rPr>
          <w:rFonts w:ascii="Times New Roman" w:hAnsi="Times New Roman"/>
          <w:sz w:val="24"/>
        </w:rPr>
        <w:t xml:space="preserve">is expressly endorsed </w:t>
      </w:r>
      <w:r w:rsidR="00E73400">
        <w:rPr>
          <w:rFonts w:ascii="Times New Roman" w:hAnsi="Times New Roman"/>
          <w:sz w:val="24"/>
        </w:rPr>
        <w:t>by</w:t>
      </w:r>
      <w:r w:rsidRPr="004D235F">
        <w:rPr>
          <w:rFonts w:ascii="Times New Roman" w:hAnsi="Times New Roman"/>
          <w:sz w:val="24"/>
        </w:rPr>
        <w:t xml:space="preserve"> the case-law.</w:t>
      </w:r>
      <w:r w:rsidRPr="004D235F">
        <w:rPr>
          <w:rStyle w:val="a5"/>
          <w:rFonts w:ascii="Times New Roman" w:hAnsi="Times New Roman"/>
          <w:sz w:val="24"/>
        </w:rPr>
        <w:footnoteReference w:id="58"/>
      </w:r>
    </w:p>
    <w:p w14:paraId="00D8C148" w14:textId="77777777" w:rsidR="00FC79AF" w:rsidRDefault="00FC79AF" w:rsidP="00FC79AF">
      <w:pPr>
        <w:rPr>
          <w:rFonts w:ascii="Times New Roman" w:hAnsi="Times New Roman"/>
          <w:sz w:val="24"/>
        </w:rPr>
      </w:pPr>
    </w:p>
    <w:p w14:paraId="2F30ADA7" w14:textId="425F1A09" w:rsidR="004A16D7" w:rsidRPr="00927D4E" w:rsidRDefault="004A16D7" w:rsidP="006347AB">
      <w:pPr>
        <w:pStyle w:val="ad"/>
        <w:numPr>
          <w:ilvl w:val="0"/>
          <w:numId w:val="4"/>
        </w:numPr>
        <w:ind w:leftChars="0"/>
        <w:rPr>
          <w:rFonts w:ascii="Times New Roman" w:hAnsi="Times New Roman"/>
          <w:b/>
          <w:bCs/>
          <w:sz w:val="24"/>
        </w:rPr>
      </w:pPr>
      <w:r w:rsidRPr="00927D4E">
        <w:rPr>
          <w:rFonts w:ascii="Times New Roman" w:hAnsi="Times New Roman" w:hint="eastAsia"/>
          <w:b/>
          <w:bCs/>
          <w:sz w:val="24"/>
        </w:rPr>
        <w:t>T</w:t>
      </w:r>
      <w:r w:rsidRPr="00927D4E">
        <w:rPr>
          <w:rFonts w:ascii="Times New Roman" w:hAnsi="Times New Roman"/>
          <w:b/>
          <w:bCs/>
          <w:sz w:val="24"/>
        </w:rPr>
        <w:t xml:space="preserve">he </w:t>
      </w:r>
      <w:r w:rsidR="00AB20C2">
        <w:rPr>
          <w:rFonts w:ascii="Times New Roman" w:hAnsi="Times New Roman"/>
          <w:b/>
          <w:bCs/>
          <w:sz w:val="24"/>
        </w:rPr>
        <w:t>S</w:t>
      </w:r>
      <w:r w:rsidRPr="00927D4E">
        <w:rPr>
          <w:rFonts w:ascii="Times New Roman" w:hAnsi="Times New Roman"/>
          <w:b/>
          <w:bCs/>
          <w:sz w:val="24"/>
        </w:rPr>
        <w:t xml:space="preserve">tandard </w:t>
      </w:r>
      <w:r w:rsidR="00786738">
        <w:rPr>
          <w:rFonts w:ascii="Times New Roman" w:hAnsi="Times New Roman"/>
          <w:b/>
          <w:bCs/>
          <w:sz w:val="24"/>
        </w:rPr>
        <w:t>for</w:t>
      </w:r>
      <w:r w:rsidRPr="00927D4E">
        <w:rPr>
          <w:rFonts w:ascii="Times New Roman" w:hAnsi="Times New Roman"/>
          <w:b/>
          <w:bCs/>
          <w:sz w:val="24"/>
        </w:rPr>
        <w:t xml:space="preserve"> </w:t>
      </w:r>
      <w:r w:rsidR="00AB20C2">
        <w:rPr>
          <w:rFonts w:ascii="Times New Roman" w:hAnsi="Times New Roman"/>
          <w:b/>
          <w:bCs/>
          <w:sz w:val="24"/>
        </w:rPr>
        <w:t>O</w:t>
      </w:r>
      <w:r w:rsidRPr="00927D4E">
        <w:rPr>
          <w:rFonts w:ascii="Times New Roman" w:hAnsi="Times New Roman"/>
          <w:b/>
          <w:bCs/>
          <w:sz w:val="24"/>
        </w:rPr>
        <w:t xml:space="preserve">rganization under </w:t>
      </w:r>
      <w:r w:rsidR="00AB20C2">
        <w:rPr>
          <w:rFonts w:ascii="Times New Roman" w:hAnsi="Times New Roman"/>
          <w:b/>
          <w:bCs/>
          <w:sz w:val="24"/>
        </w:rPr>
        <w:t>Co</w:t>
      </w:r>
      <w:r w:rsidRPr="00927D4E">
        <w:rPr>
          <w:rFonts w:ascii="Times New Roman" w:hAnsi="Times New Roman"/>
          <w:b/>
          <w:bCs/>
          <w:sz w:val="24"/>
        </w:rPr>
        <w:t xml:space="preserve">mmon Article 3 </w:t>
      </w:r>
      <w:r w:rsidR="00A61233">
        <w:rPr>
          <w:rFonts w:ascii="Times New Roman" w:hAnsi="Times New Roman"/>
          <w:b/>
          <w:bCs/>
          <w:sz w:val="24"/>
        </w:rPr>
        <w:t xml:space="preserve">of the </w:t>
      </w:r>
      <w:r w:rsidR="001D7ED3">
        <w:rPr>
          <w:rFonts w:ascii="Times New Roman" w:hAnsi="Times New Roman"/>
          <w:b/>
          <w:bCs/>
          <w:sz w:val="24"/>
        </w:rPr>
        <w:t>Geneva Convention</w:t>
      </w:r>
      <w:r w:rsidRPr="00927D4E">
        <w:rPr>
          <w:rFonts w:ascii="Times New Roman" w:hAnsi="Times New Roman"/>
          <w:b/>
          <w:bCs/>
          <w:sz w:val="24"/>
        </w:rPr>
        <w:t>s</w:t>
      </w:r>
    </w:p>
    <w:p w14:paraId="46482A1B" w14:textId="0BC01F8E" w:rsidR="00CA0752" w:rsidRPr="00FC79AF" w:rsidRDefault="00CA0752" w:rsidP="00E01082">
      <w:pPr>
        <w:widowControl/>
        <w:rPr>
          <w:rFonts w:ascii="Times New Roman" w:hAnsi="Times New Roman"/>
          <w:sz w:val="24"/>
        </w:rPr>
      </w:pPr>
      <w:r w:rsidRPr="004D235F">
        <w:rPr>
          <w:rFonts w:ascii="Times New Roman" w:hAnsi="Times New Roman"/>
          <w:sz w:val="24"/>
        </w:rPr>
        <w:t xml:space="preserve">At the 1949 Diplomatic Conference, there was </w:t>
      </w:r>
      <w:r w:rsidR="00C811C2">
        <w:rPr>
          <w:rFonts w:ascii="Times New Roman" w:hAnsi="Times New Roman"/>
          <w:sz w:val="24"/>
        </w:rPr>
        <w:t xml:space="preserve">even </w:t>
      </w:r>
      <w:r w:rsidRPr="004D235F">
        <w:rPr>
          <w:rFonts w:ascii="Times New Roman" w:hAnsi="Times New Roman"/>
          <w:sz w:val="24"/>
        </w:rPr>
        <w:t xml:space="preserve">a proposal that the organizational level of armed groups should be </w:t>
      </w:r>
      <w:r w:rsidR="00AF0908">
        <w:rPr>
          <w:rFonts w:ascii="Times New Roman" w:hAnsi="Times New Roman"/>
          <w:sz w:val="24"/>
        </w:rPr>
        <w:t xml:space="preserve">set </w:t>
      </w:r>
      <w:r w:rsidR="00F54DB9">
        <w:rPr>
          <w:rFonts w:ascii="Times New Roman" w:hAnsi="Times New Roman"/>
          <w:sz w:val="24"/>
        </w:rPr>
        <w:t>as</w:t>
      </w:r>
      <w:r w:rsidRPr="004D235F">
        <w:rPr>
          <w:rFonts w:ascii="Times New Roman" w:hAnsi="Times New Roman"/>
          <w:sz w:val="24"/>
        </w:rPr>
        <w:t xml:space="preserve"> high as it </w:t>
      </w:r>
      <w:r w:rsidR="00211101" w:rsidRPr="004D235F">
        <w:rPr>
          <w:rFonts w:ascii="Times New Roman" w:hAnsi="Times New Roman"/>
          <w:sz w:val="24"/>
        </w:rPr>
        <w:t>would</w:t>
      </w:r>
      <w:r w:rsidRPr="004D235F">
        <w:rPr>
          <w:rFonts w:ascii="Times New Roman" w:hAnsi="Times New Roman"/>
          <w:sz w:val="24"/>
        </w:rPr>
        <w:t xml:space="preserve"> be equivalent to that of belligerent parties in an IAC,</w:t>
      </w:r>
      <w:r w:rsidRPr="004D235F">
        <w:rPr>
          <w:rStyle w:val="a5"/>
          <w:rFonts w:ascii="Times New Roman" w:hAnsi="Times New Roman"/>
          <w:sz w:val="24"/>
        </w:rPr>
        <w:footnoteReference w:id="59"/>
      </w:r>
      <w:r w:rsidRPr="004D235F">
        <w:rPr>
          <w:rFonts w:ascii="Times New Roman" w:hAnsi="Times New Roman"/>
          <w:sz w:val="24"/>
        </w:rPr>
        <w:t xml:space="preserve"> or sufficient to meet the condition for the ‘recognition of belligerency’</w:t>
      </w:r>
      <w:r w:rsidRPr="004D235F">
        <w:rPr>
          <w:rStyle w:val="a5"/>
          <w:rFonts w:ascii="Times New Roman" w:hAnsi="Times New Roman"/>
          <w:sz w:val="24"/>
        </w:rPr>
        <w:footnoteReference w:id="60"/>
      </w:r>
      <w:r w:rsidR="00AC6686" w:rsidRPr="00AC6686">
        <w:rPr>
          <w:rFonts w:ascii="Times New Roman" w:hAnsi="Times New Roman"/>
          <w:kern w:val="0"/>
          <w:sz w:val="24"/>
        </w:rPr>
        <w:t xml:space="preserve"> </w:t>
      </w:r>
      <w:r w:rsidR="00AC6686">
        <w:rPr>
          <w:rFonts w:ascii="Times New Roman" w:hAnsi="Times New Roman"/>
          <w:kern w:val="0"/>
          <w:sz w:val="24"/>
        </w:rPr>
        <w:t>or ‘recognition of insurgency’.</w:t>
      </w:r>
      <w:r w:rsidR="00AC6686">
        <w:rPr>
          <w:rStyle w:val="a5"/>
          <w:rFonts w:ascii="Times New Roman" w:hAnsi="Times New Roman"/>
          <w:kern w:val="0"/>
          <w:sz w:val="24"/>
        </w:rPr>
        <w:footnoteReference w:id="61"/>
      </w:r>
      <w:r w:rsidRPr="004D235F">
        <w:rPr>
          <w:rFonts w:ascii="Times New Roman" w:hAnsi="Times New Roman"/>
          <w:sz w:val="24"/>
        </w:rPr>
        <w:t xml:space="preserve"> </w:t>
      </w:r>
      <w:r w:rsidR="00BF37EA">
        <w:rPr>
          <w:rFonts w:ascii="Times New Roman" w:hAnsi="Times New Roman"/>
          <w:sz w:val="24"/>
        </w:rPr>
        <w:t xml:space="preserve">There </w:t>
      </w:r>
      <w:r w:rsidRPr="004D235F">
        <w:rPr>
          <w:rFonts w:ascii="Times New Roman" w:hAnsi="Times New Roman"/>
          <w:sz w:val="24"/>
        </w:rPr>
        <w:t xml:space="preserve">was </w:t>
      </w:r>
      <w:r w:rsidR="00AF0908">
        <w:rPr>
          <w:rFonts w:ascii="Times New Roman" w:hAnsi="Times New Roman"/>
          <w:sz w:val="24"/>
        </w:rPr>
        <w:t>yet</w:t>
      </w:r>
      <w:r w:rsidRPr="004D235F">
        <w:rPr>
          <w:rFonts w:ascii="Times New Roman" w:hAnsi="Times New Roman"/>
          <w:sz w:val="24"/>
        </w:rPr>
        <w:t xml:space="preserve"> </w:t>
      </w:r>
      <w:r w:rsidR="00C811C2">
        <w:rPr>
          <w:rFonts w:ascii="Times New Roman" w:hAnsi="Times New Roman"/>
          <w:sz w:val="24"/>
        </w:rPr>
        <w:t>another suggestion</w:t>
      </w:r>
      <w:r w:rsidRPr="004D235F">
        <w:rPr>
          <w:rFonts w:ascii="Times New Roman" w:hAnsi="Times New Roman"/>
          <w:sz w:val="24"/>
        </w:rPr>
        <w:t xml:space="preserve"> </w:t>
      </w:r>
      <w:r w:rsidR="00AB0F7D">
        <w:rPr>
          <w:rFonts w:ascii="Times New Roman" w:hAnsi="Times New Roman"/>
          <w:sz w:val="24"/>
        </w:rPr>
        <w:t>that</w:t>
      </w:r>
      <w:r w:rsidRPr="004D235F">
        <w:rPr>
          <w:rFonts w:ascii="Times New Roman" w:hAnsi="Times New Roman"/>
          <w:sz w:val="24"/>
        </w:rPr>
        <w:t xml:space="preserve"> insurgents </w:t>
      </w:r>
      <w:r w:rsidR="00AB0F7D">
        <w:rPr>
          <w:rFonts w:ascii="Times New Roman" w:hAnsi="Times New Roman"/>
          <w:sz w:val="24"/>
        </w:rPr>
        <w:t>should</w:t>
      </w:r>
      <w:r w:rsidRPr="004D235F">
        <w:rPr>
          <w:rFonts w:ascii="Times New Roman" w:hAnsi="Times New Roman"/>
          <w:sz w:val="24"/>
        </w:rPr>
        <w:t xml:space="preserve"> hold some territorial control.</w:t>
      </w:r>
      <w:r w:rsidRPr="004D235F">
        <w:rPr>
          <w:rStyle w:val="a5"/>
          <w:rFonts w:ascii="Times New Roman" w:hAnsi="Times New Roman"/>
          <w:sz w:val="24"/>
        </w:rPr>
        <w:footnoteReference w:id="62"/>
      </w:r>
      <w:r w:rsidRPr="004D235F">
        <w:rPr>
          <w:rFonts w:ascii="Times New Roman" w:hAnsi="Times New Roman"/>
          <w:sz w:val="24"/>
        </w:rPr>
        <w:t xml:space="preserve"> However, the post-1949 case-law and doctrine </w:t>
      </w:r>
      <w:r w:rsidR="00874BDB">
        <w:rPr>
          <w:rFonts w:ascii="Times New Roman" w:hAnsi="Times New Roman"/>
          <w:sz w:val="24"/>
        </w:rPr>
        <w:t>has</w:t>
      </w:r>
      <w:r w:rsidRPr="004D235F">
        <w:rPr>
          <w:rFonts w:ascii="Times New Roman" w:hAnsi="Times New Roman"/>
          <w:sz w:val="24"/>
        </w:rPr>
        <w:t xml:space="preserve"> </w:t>
      </w:r>
      <w:r w:rsidR="00874BDB">
        <w:rPr>
          <w:rFonts w:ascii="Times New Roman" w:hAnsi="Times New Roman"/>
          <w:sz w:val="24"/>
        </w:rPr>
        <w:t xml:space="preserve">rejected any such rigorous threshold. </w:t>
      </w:r>
      <w:r w:rsidR="00840E81">
        <w:rPr>
          <w:rFonts w:ascii="Times New Roman" w:hAnsi="Times New Roman"/>
          <w:sz w:val="24"/>
        </w:rPr>
        <w:t xml:space="preserve">They have </w:t>
      </w:r>
      <w:r w:rsidR="00AB0F7D">
        <w:rPr>
          <w:rFonts w:ascii="Times New Roman" w:hAnsi="Times New Roman"/>
          <w:sz w:val="24"/>
        </w:rPr>
        <w:t xml:space="preserve">consistently </w:t>
      </w:r>
      <w:r w:rsidR="00FC79AF">
        <w:rPr>
          <w:rFonts w:ascii="Times New Roman" w:hAnsi="Times New Roman"/>
          <w:sz w:val="24"/>
        </w:rPr>
        <w:t>navigated toward a downward trajectory over years</w:t>
      </w:r>
      <w:r w:rsidR="00874BDB">
        <w:rPr>
          <w:rFonts w:ascii="Times New Roman" w:hAnsi="Times New Roman"/>
          <w:sz w:val="24"/>
        </w:rPr>
        <w:t>.</w:t>
      </w:r>
      <w:r w:rsidR="00FC79AF" w:rsidRPr="004D235F">
        <w:rPr>
          <w:rStyle w:val="a5"/>
          <w:rFonts w:ascii="Times New Roman" w:hAnsi="Times New Roman"/>
          <w:sz w:val="24"/>
        </w:rPr>
        <w:footnoteReference w:id="63"/>
      </w:r>
      <w:r w:rsidR="00FC79AF">
        <w:rPr>
          <w:rFonts w:ascii="Times New Roman" w:hAnsi="Times New Roman" w:hint="eastAsia"/>
          <w:sz w:val="24"/>
        </w:rPr>
        <w:t xml:space="preserve"> </w:t>
      </w:r>
      <w:r w:rsidRPr="004D235F">
        <w:rPr>
          <w:rFonts w:ascii="Times New Roman" w:hAnsi="Times New Roman"/>
          <w:sz w:val="24"/>
        </w:rPr>
        <w:t xml:space="preserve">Nowadays, the general consensus is to tune </w:t>
      </w:r>
      <w:r w:rsidRPr="004D235F">
        <w:rPr>
          <w:rFonts w:ascii="Times New Roman" w:hAnsi="Times New Roman"/>
          <w:sz w:val="24"/>
        </w:rPr>
        <w:lastRenderedPageBreak/>
        <w:t>the overall threshold for common Article 3</w:t>
      </w:r>
      <w:r w:rsidR="00A61233">
        <w:rPr>
          <w:rFonts w:ascii="Times New Roman" w:hAnsi="Times New Roman"/>
          <w:sz w:val="24"/>
        </w:rPr>
        <w:t xml:space="preserve"> of the</w:t>
      </w:r>
      <w:r w:rsidRPr="004D235F">
        <w:rPr>
          <w:rFonts w:ascii="Times New Roman" w:hAnsi="Times New Roman"/>
          <w:sz w:val="24"/>
        </w:rPr>
        <w:t xml:space="preserve"> </w:t>
      </w:r>
      <w:r w:rsidR="001D7ED3">
        <w:rPr>
          <w:rFonts w:ascii="Times New Roman" w:hAnsi="Times New Roman"/>
          <w:sz w:val="24"/>
        </w:rPr>
        <w:t>Geneva Convention</w:t>
      </w:r>
      <w:r w:rsidRPr="004D235F">
        <w:rPr>
          <w:rFonts w:ascii="Times New Roman" w:hAnsi="Times New Roman"/>
          <w:sz w:val="24"/>
        </w:rPr>
        <w:t xml:space="preserve">s </w:t>
      </w:r>
      <w:r w:rsidR="00874BDB" w:rsidRPr="004D235F">
        <w:rPr>
          <w:rFonts w:ascii="Times New Roman" w:hAnsi="Times New Roman"/>
          <w:sz w:val="24"/>
        </w:rPr>
        <w:t xml:space="preserve">unstintingly </w:t>
      </w:r>
      <w:r w:rsidRPr="004D235F">
        <w:rPr>
          <w:rFonts w:ascii="Times New Roman" w:hAnsi="Times New Roman"/>
          <w:sz w:val="24"/>
        </w:rPr>
        <w:t>at a lower level</w:t>
      </w:r>
      <w:r w:rsidR="00D12E1C">
        <w:rPr>
          <w:rFonts w:ascii="Times New Roman" w:hAnsi="Times New Roman"/>
          <w:sz w:val="24"/>
        </w:rPr>
        <w:t>,</w:t>
      </w:r>
      <w:r w:rsidRPr="004D235F">
        <w:rPr>
          <w:rStyle w:val="a5"/>
          <w:rFonts w:ascii="Times New Roman" w:hAnsi="Times New Roman"/>
          <w:sz w:val="24"/>
        </w:rPr>
        <w:footnoteReference w:id="64"/>
      </w:r>
      <w:r w:rsidRPr="004D235F">
        <w:rPr>
          <w:rFonts w:ascii="Times New Roman" w:hAnsi="Times New Roman"/>
          <w:sz w:val="24"/>
        </w:rPr>
        <w:t xml:space="preserve"> </w:t>
      </w:r>
      <w:r w:rsidR="00D12E1C">
        <w:rPr>
          <w:rFonts w:ascii="Times New Roman" w:hAnsi="Times New Roman"/>
          <w:sz w:val="24"/>
        </w:rPr>
        <w:t xml:space="preserve">allowing </w:t>
      </w:r>
      <w:r w:rsidR="00B222A4" w:rsidRPr="004D235F">
        <w:rPr>
          <w:rFonts w:ascii="Times New Roman" w:hAnsi="Times New Roman"/>
          <w:sz w:val="24"/>
        </w:rPr>
        <w:t>the</w:t>
      </w:r>
      <w:r w:rsidRPr="004D235F">
        <w:rPr>
          <w:rFonts w:ascii="Times New Roman" w:hAnsi="Times New Roman"/>
          <w:sz w:val="24"/>
        </w:rPr>
        <w:t xml:space="preserve"> compass </w:t>
      </w:r>
      <w:r w:rsidR="00B222A4" w:rsidRPr="004D235F">
        <w:rPr>
          <w:rFonts w:ascii="Times New Roman" w:hAnsi="Times New Roman"/>
          <w:sz w:val="24"/>
        </w:rPr>
        <w:t>of this provision</w:t>
      </w:r>
      <w:r w:rsidR="00D12E1C">
        <w:rPr>
          <w:rFonts w:ascii="Times New Roman" w:hAnsi="Times New Roman"/>
          <w:sz w:val="24"/>
        </w:rPr>
        <w:t xml:space="preserve"> to be read</w:t>
      </w:r>
      <w:r w:rsidR="00B222A4" w:rsidRPr="004D235F">
        <w:rPr>
          <w:rFonts w:ascii="Times New Roman" w:hAnsi="Times New Roman"/>
          <w:sz w:val="24"/>
        </w:rPr>
        <w:t xml:space="preserve"> </w:t>
      </w:r>
      <w:r w:rsidR="00FB188F">
        <w:rPr>
          <w:rFonts w:ascii="Times New Roman" w:hAnsi="Times New Roman"/>
          <w:sz w:val="24"/>
        </w:rPr>
        <w:t>in a</w:t>
      </w:r>
      <w:r w:rsidR="00874BDB">
        <w:rPr>
          <w:rFonts w:ascii="Times New Roman" w:hAnsi="Times New Roman"/>
          <w:sz w:val="24"/>
        </w:rPr>
        <w:t xml:space="preserve"> </w:t>
      </w:r>
      <w:r w:rsidRPr="004D235F">
        <w:rPr>
          <w:rFonts w:ascii="Times New Roman" w:hAnsi="Times New Roman"/>
          <w:sz w:val="24"/>
        </w:rPr>
        <w:t>wide</w:t>
      </w:r>
      <w:r w:rsidR="00FB188F">
        <w:rPr>
          <w:rFonts w:ascii="Times New Roman" w:hAnsi="Times New Roman"/>
          <w:sz w:val="24"/>
        </w:rPr>
        <w:t xml:space="preserve"> manner</w:t>
      </w:r>
      <w:r w:rsidRPr="004D235F">
        <w:rPr>
          <w:rFonts w:ascii="Times New Roman" w:hAnsi="Times New Roman"/>
          <w:sz w:val="24"/>
        </w:rPr>
        <w:t>.</w:t>
      </w:r>
      <w:r w:rsidRPr="004D235F">
        <w:rPr>
          <w:rStyle w:val="a5"/>
          <w:rFonts w:ascii="Times New Roman" w:hAnsi="Times New Roman"/>
          <w:sz w:val="24"/>
        </w:rPr>
        <w:footnoteReference w:id="65"/>
      </w:r>
      <w:r w:rsidRPr="004D235F">
        <w:rPr>
          <w:rFonts w:ascii="Times New Roman" w:hAnsi="Times New Roman"/>
          <w:sz w:val="24"/>
        </w:rPr>
        <w:t xml:space="preserve"> </w:t>
      </w:r>
    </w:p>
    <w:p w14:paraId="59843668" w14:textId="77777777" w:rsidR="00CA0752" w:rsidRPr="00874BDB" w:rsidRDefault="00CA0752" w:rsidP="00E01082">
      <w:pPr>
        <w:rPr>
          <w:rFonts w:ascii="Times New Roman" w:hAnsi="Times New Roman"/>
          <w:b/>
          <w:bCs/>
          <w:sz w:val="24"/>
        </w:rPr>
      </w:pPr>
    </w:p>
    <w:p w14:paraId="40282380" w14:textId="07728C3B" w:rsidR="00CA0752" w:rsidRPr="00774B6A" w:rsidRDefault="00211101" w:rsidP="006347AB">
      <w:pPr>
        <w:pStyle w:val="ad"/>
        <w:numPr>
          <w:ilvl w:val="0"/>
          <w:numId w:val="4"/>
        </w:numPr>
        <w:ind w:leftChars="0"/>
        <w:rPr>
          <w:rFonts w:ascii="Times New Roman" w:hAnsi="Times New Roman"/>
          <w:b/>
          <w:bCs/>
          <w:sz w:val="24"/>
        </w:rPr>
      </w:pPr>
      <w:r w:rsidRPr="00774B6A">
        <w:rPr>
          <w:rFonts w:ascii="Times New Roman" w:hAnsi="Times New Roman"/>
          <w:b/>
          <w:bCs/>
          <w:sz w:val="24"/>
        </w:rPr>
        <w:t xml:space="preserve">The </w:t>
      </w:r>
      <w:r w:rsidR="00EB2158">
        <w:rPr>
          <w:rFonts w:ascii="Times New Roman" w:hAnsi="Times New Roman"/>
          <w:b/>
          <w:bCs/>
          <w:sz w:val="24"/>
        </w:rPr>
        <w:t>H</w:t>
      </w:r>
      <w:r w:rsidR="00CA0752" w:rsidRPr="00774B6A">
        <w:rPr>
          <w:rFonts w:ascii="Times New Roman" w:hAnsi="Times New Roman"/>
          <w:b/>
          <w:bCs/>
          <w:sz w:val="24"/>
        </w:rPr>
        <w:t xml:space="preserve">igher </w:t>
      </w:r>
      <w:r w:rsidR="00EB2158">
        <w:rPr>
          <w:rFonts w:ascii="Times New Roman" w:hAnsi="Times New Roman"/>
          <w:b/>
          <w:bCs/>
          <w:sz w:val="24"/>
        </w:rPr>
        <w:t>St</w:t>
      </w:r>
      <w:r w:rsidR="00CA0752" w:rsidRPr="00774B6A">
        <w:rPr>
          <w:rFonts w:ascii="Times New Roman" w:hAnsi="Times New Roman"/>
          <w:b/>
          <w:bCs/>
          <w:sz w:val="24"/>
        </w:rPr>
        <w:t>andard</w:t>
      </w:r>
      <w:r w:rsidRPr="00774B6A">
        <w:rPr>
          <w:rFonts w:ascii="Times New Roman" w:hAnsi="Times New Roman"/>
          <w:b/>
          <w:bCs/>
          <w:sz w:val="24"/>
        </w:rPr>
        <w:t xml:space="preserve"> </w:t>
      </w:r>
      <w:r w:rsidR="00786738">
        <w:rPr>
          <w:rFonts w:ascii="Times New Roman" w:hAnsi="Times New Roman"/>
          <w:b/>
          <w:bCs/>
          <w:sz w:val="24"/>
        </w:rPr>
        <w:t>for</w:t>
      </w:r>
      <w:r w:rsidRPr="00774B6A">
        <w:rPr>
          <w:rFonts w:ascii="Times New Roman" w:hAnsi="Times New Roman"/>
          <w:b/>
          <w:bCs/>
          <w:sz w:val="24"/>
        </w:rPr>
        <w:t xml:space="preserve"> </w:t>
      </w:r>
      <w:r w:rsidR="00EB2158">
        <w:rPr>
          <w:rFonts w:ascii="Times New Roman" w:hAnsi="Times New Roman"/>
          <w:b/>
          <w:bCs/>
          <w:sz w:val="24"/>
        </w:rPr>
        <w:t>O</w:t>
      </w:r>
      <w:r w:rsidRPr="00774B6A">
        <w:rPr>
          <w:rFonts w:ascii="Times New Roman" w:hAnsi="Times New Roman"/>
          <w:b/>
          <w:bCs/>
          <w:sz w:val="24"/>
        </w:rPr>
        <w:t>rganization</w:t>
      </w:r>
      <w:r w:rsidR="00CA0752" w:rsidRPr="00774B6A">
        <w:rPr>
          <w:rFonts w:ascii="Times New Roman" w:hAnsi="Times New Roman"/>
          <w:b/>
          <w:bCs/>
          <w:sz w:val="24"/>
        </w:rPr>
        <w:t xml:space="preserve"> under the </w:t>
      </w:r>
      <w:r w:rsidR="001D7ED3">
        <w:rPr>
          <w:rFonts w:ascii="Times New Roman" w:hAnsi="Times New Roman"/>
          <w:b/>
          <w:bCs/>
          <w:sz w:val="24"/>
        </w:rPr>
        <w:t>Additional Protocol</w:t>
      </w:r>
      <w:r w:rsidR="00EB2158">
        <w:rPr>
          <w:rFonts w:ascii="Times New Roman" w:hAnsi="Times New Roman"/>
          <w:b/>
          <w:bCs/>
          <w:sz w:val="24"/>
        </w:rPr>
        <w:t xml:space="preserve"> </w:t>
      </w:r>
      <w:r w:rsidR="00CA0752" w:rsidRPr="00774B6A">
        <w:rPr>
          <w:rFonts w:ascii="Times New Roman" w:hAnsi="Times New Roman"/>
          <w:b/>
          <w:bCs/>
          <w:sz w:val="24"/>
        </w:rPr>
        <w:t xml:space="preserve">II </w:t>
      </w:r>
    </w:p>
    <w:p w14:paraId="1F7859D0" w14:textId="648749AC" w:rsidR="00B222A4" w:rsidRPr="004D235F" w:rsidRDefault="00F20815" w:rsidP="00E01082">
      <w:pPr>
        <w:rPr>
          <w:rFonts w:ascii="Times New Roman" w:hAnsi="Times New Roman"/>
          <w:sz w:val="24"/>
        </w:rPr>
      </w:pPr>
      <w:r>
        <w:rPr>
          <w:rFonts w:ascii="Times New Roman" w:hAnsi="Times New Roman"/>
          <w:sz w:val="24"/>
        </w:rPr>
        <w:t>As well-known, the</w:t>
      </w:r>
      <w:r w:rsidRPr="004D235F">
        <w:rPr>
          <w:rFonts w:ascii="Times New Roman" w:hAnsi="Times New Roman"/>
          <w:sz w:val="24"/>
        </w:rPr>
        <w:t xml:space="preserve"> </w:t>
      </w:r>
      <w:r w:rsidR="001D7ED3">
        <w:rPr>
          <w:rFonts w:ascii="Times New Roman" w:hAnsi="Times New Roman"/>
          <w:sz w:val="24"/>
        </w:rPr>
        <w:t>Additional Protocol</w:t>
      </w:r>
      <w:r w:rsidR="00EB2158">
        <w:rPr>
          <w:rFonts w:ascii="Times New Roman" w:hAnsi="Times New Roman"/>
          <w:sz w:val="24"/>
        </w:rPr>
        <w:t xml:space="preserve"> </w:t>
      </w:r>
      <w:r w:rsidR="00CA0752" w:rsidRPr="004D235F">
        <w:rPr>
          <w:rFonts w:ascii="Times New Roman" w:hAnsi="Times New Roman"/>
          <w:sz w:val="24"/>
        </w:rPr>
        <w:t xml:space="preserve">II’s higher threshold for organization can be attested by the </w:t>
      </w:r>
      <w:r w:rsidR="00211101" w:rsidRPr="004D235F">
        <w:rPr>
          <w:rFonts w:ascii="Times New Roman" w:hAnsi="Times New Roman"/>
          <w:sz w:val="24"/>
        </w:rPr>
        <w:t>text of Article 1</w:t>
      </w:r>
      <w:r w:rsidR="005D6F0F">
        <w:rPr>
          <w:rFonts w:ascii="Times New Roman" w:hAnsi="Times New Roman"/>
          <w:sz w:val="24"/>
        </w:rPr>
        <w:t xml:space="preserve">, which </w:t>
      </w:r>
      <w:r w:rsidR="003F4BD3">
        <w:rPr>
          <w:rFonts w:ascii="Times New Roman" w:hAnsi="Times New Roman"/>
          <w:sz w:val="24"/>
        </w:rPr>
        <w:t xml:space="preserve">spells out </w:t>
      </w:r>
      <w:r w:rsidR="005D6F0F">
        <w:rPr>
          <w:rFonts w:ascii="Times New Roman" w:hAnsi="Times New Roman"/>
          <w:sz w:val="24"/>
        </w:rPr>
        <w:t xml:space="preserve">the conditions for the application of </w:t>
      </w:r>
      <w:r w:rsidR="00AB20C2">
        <w:rPr>
          <w:rFonts w:ascii="Times New Roman" w:hAnsi="Times New Roman"/>
          <w:sz w:val="24"/>
        </w:rPr>
        <w:t>this treaty</w:t>
      </w:r>
      <w:r w:rsidR="00C811C2">
        <w:rPr>
          <w:rFonts w:ascii="Times New Roman" w:hAnsi="Times New Roman"/>
          <w:sz w:val="24"/>
        </w:rPr>
        <w:t xml:space="preserve">. This provision </w:t>
      </w:r>
      <w:r w:rsidR="00211101" w:rsidRPr="004D235F">
        <w:rPr>
          <w:rFonts w:ascii="Times New Roman" w:hAnsi="Times New Roman"/>
          <w:sz w:val="24"/>
        </w:rPr>
        <w:t xml:space="preserve">ordains that </w:t>
      </w:r>
      <w:r w:rsidR="005D6F0F">
        <w:rPr>
          <w:rFonts w:ascii="Times New Roman" w:hAnsi="Times New Roman"/>
          <w:sz w:val="24"/>
        </w:rPr>
        <w:t>on</w:t>
      </w:r>
      <w:r w:rsidR="005D6F0F" w:rsidRPr="004D235F">
        <w:rPr>
          <w:rFonts w:ascii="Times New Roman" w:hAnsi="Times New Roman"/>
          <w:sz w:val="24"/>
        </w:rPr>
        <w:t xml:space="preserve"> top of organization</w:t>
      </w:r>
      <w:r w:rsidR="00B70961">
        <w:rPr>
          <w:rFonts w:ascii="Times New Roman" w:hAnsi="Times New Roman"/>
          <w:sz w:val="24"/>
        </w:rPr>
        <w:t xml:space="preserve"> and</w:t>
      </w:r>
      <w:r w:rsidR="005D6F0F">
        <w:rPr>
          <w:rFonts w:ascii="Times New Roman" w:hAnsi="Times New Roman"/>
          <w:sz w:val="24"/>
        </w:rPr>
        <w:t xml:space="preserve"> intensity </w:t>
      </w:r>
      <w:r w:rsidR="00B70961">
        <w:rPr>
          <w:rFonts w:ascii="Times New Roman" w:hAnsi="Times New Roman"/>
          <w:sz w:val="24"/>
        </w:rPr>
        <w:t>(and</w:t>
      </w:r>
      <w:r w:rsidR="005D6F0F">
        <w:rPr>
          <w:rFonts w:ascii="Times New Roman" w:hAnsi="Times New Roman"/>
          <w:sz w:val="24"/>
        </w:rPr>
        <w:t xml:space="preserve"> certain duration</w:t>
      </w:r>
      <w:r w:rsidR="00B70961">
        <w:rPr>
          <w:rFonts w:ascii="Times New Roman" w:hAnsi="Times New Roman"/>
          <w:sz w:val="24"/>
        </w:rPr>
        <w:t>)</w:t>
      </w:r>
      <w:r w:rsidR="005D6F0F">
        <w:rPr>
          <w:rFonts w:ascii="Times New Roman" w:hAnsi="Times New Roman"/>
          <w:sz w:val="24"/>
        </w:rPr>
        <w:t xml:space="preserve"> </w:t>
      </w:r>
      <w:r w:rsidR="005D6F0F" w:rsidRPr="004D235F">
        <w:rPr>
          <w:rFonts w:ascii="Times New Roman" w:hAnsi="Times New Roman"/>
          <w:sz w:val="24"/>
        </w:rPr>
        <w:t xml:space="preserve">of violence, </w:t>
      </w:r>
      <w:r w:rsidR="00CA0752" w:rsidRPr="004D235F">
        <w:rPr>
          <w:rFonts w:ascii="Times New Roman" w:hAnsi="Times New Roman"/>
          <w:sz w:val="24"/>
        </w:rPr>
        <w:t xml:space="preserve">an insurgent </w:t>
      </w:r>
      <w:r w:rsidR="00211101" w:rsidRPr="004D235F">
        <w:rPr>
          <w:rFonts w:ascii="Times New Roman" w:hAnsi="Times New Roman"/>
          <w:sz w:val="24"/>
        </w:rPr>
        <w:t xml:space="preserve">must </w:t>
      </w:r>
      <w:r w:rsidR="00CA0752" w:rsidRPr="004D235F">
        <w:rPr>
          <w:rFonts w:ascii="Times New Roman" w:hAnsi="Times New Roman"/>
          <w:sz w:val="24"/>
        </w:rPr>
        <w:t>exert control over a certain portion of the territory or show its capacity to do so.</w:t>
      </w:r>
      <w:r w:rsidR="00CA0752" w:rsidRPr="004D235F">
        <w:rPr>
          <w:rStyle w:val="a5"/>
          <w:rFonts w:ascii="Times New Roman" w:hAnsi="Times New Roman"/>
          <w:sz w:val="24"/>
        </w:rPr>
        <w:footnoteReference w:id="66"/>
      </w:r>
      <w:r w:rsidR="00CA0752" w:rsidRPr="004D235F">
        <w:rPr>
          <w:rFonts w:ascii="Times New Roman" w:hAnsi="Times New Roman"/>
          <w:sz w:val="24"/>
        </w:rPr>
        <w:t xml:space="preserve"> </w:t>
      </w:r>
      <w:r w:rsidR="005D6F0F">
        <w:rPr>
          <w:rFonts w:ascii="Times New Roman" w:hAnsi="Times New Roman"/>
          <w:sz w:val="24"/>
        </w:rPr>
        <w:t>Hence, whether an insurgent exercises</w:t>
      </w:r>
      <w:r w:rsidR="00C811C2">
        <w:rPr>
          <w:rFonts w:ascii="Times New Roman" w:hAnsi="Times New Roman"/>
          <w:sz w:val="24"/>
        </w:rPr>
        <w:t xml:space="preserve"> </w:t>
      </w:r>
      <w:r w:rsidR="00CA0752" w:rsidRPr="004D235F">
        <w:rPr>
          <w:rFonts w:ascii="Times New Roman" w:hAnsi="Times New Roman"/>
          <w:sz w:val="24"/>
        </w:rPr>
        <w:t xml:space="preserve">control over part of the State’s territory </w:t>
      </w:r>
      <w:r w:rsidR="005D6F0F">
        <w:rPr>
          <w:rFonts w:ascii="Times New Roman" w:hAnsi="Times New Roman"/>
          <w:sz w:val="24"/>
        </w:rPr>
        <w:t xml:space="preserve">is </w:t>
      </w:r>
      <w:r w:rsidR="003F4BD3">
        <w:rPr>
          <w:rFonts w:ascii="Times New Roman" w:hAnsi="Times New Roman"/>
          <w:sz w:val="24"/>
        </w:rPr>
        <w:t>seen</w:t>
      </w:r>
      <w:r w:rsidR="005D6F0F">
        <w:rPr>
          <w:rFonts w:ascii="Times New Roman" w:hAnsi="Times New Roman"/>
          <w:sz w:val="24"/>
        </w:rPr>
        <w:t xml:space="preserve"> as one of the litmus tests</w:t>
      </w:r>
      <w:r w:rsidR="00CA0752" w:rsidRPr="004D235F">
        <w:rPr>
          <w:rFonts w:ascii="Times New Roman" w:hAnsi="Times New Roman"/>
          <w:sz w:val="24"/>
        </w:rPr>
        <w:t xml:space="preserve"> for the </w:t>
      </w:r>
      <w:r w:rsidR="005D6F0F">
        <w:rPr>
          <w:rFonts w:ascii="Times New Roman" w:hAnsi="Times New Roman"/>
          <w:sz w:val="24"/>
        </w:rPr>
        <w:t xml:space="preserve">applicability of the </w:t>
      </w:r>
      <w:r w:rsidR="00786738">
        <w:rPr>
          <w:rFonts w:ascii="Times New Roman" w:hAnsi="Times New Roman"/>
          <w:sz w:val="24"/>
        </w:rPr>
        <w:t>Second Additional Protocol</w:t>
      </w:r>
      <w:r w:rsidR="005D6F0F">
        <w:rPr>
          <w:rFonts w:ascii="Times New Roman" w:hAnsi="Times New Roman"/>
          <w:sz w:val="24"/>
        </w:rPr>
        <w:t>.</w:t>
      </w:r>
      <w:r w:rsidR="00CA0752" w:rsidRPr="004D235F">
        <w:rPr>
          <w:rStyle w:val="a5"/>
          <w:rFonts w:ascii="Times New Roman" w:hAnsi="Times New Roman"/>
          <w:sz w:val="24"/>
        </w:rPr>
        <w:footnoteReference w:id="67"/>
      </w:r>
      <w:r w:rsidR="00CA0752" w:rsidRPr="004D235F">
        <w:rPr>
          <w:rFonts w:ascii="Times New Roman" w:hAnsi="Times New Roman"/>
          <w:sz w:val="24"/>
        </w:rPr>
        <w:t xml:space="preserve"> </w:t>
      </w:r>
    </w:p>
    <w:p w14:paraId="544769C9" w14:textId="77777777" w:rsidR="00CA0752" w:rsidRPr="004D235F" w:rsidRDefault="00CA0752" w:rsidP="00E01082">
      <w:pPr>
        <w:rPr>
          <w:rFonts w:ascii="Times New Roman" w:hAnsi="Times New Roman"/>
          <w:sz w:val="24"/>
        </w:rPr>
      </w:pPr>
    </w:p>
    <w:p w14:paraId="40BC555B" w14:textId="35224971" w:rsidR="00F81D5C" w:rsidRDefault="00211101" w:rsidP="00E01082">
      <w:pPr>
        <w:rPr>
          <w:rFonts w:ascii="Times New Roman" w:hAnsi="Times New Roman"/>
          <w:sz w:val="24"/>
        </w:rPr>
      </w:pPr>
      <w:bookmarkStart w:id="1" w:name="_Hlk41623016"/>
      <w:r w:rsidRPr="001D2252">
        <w:rPr>
          <w:rFonts w:ascii="Times New Roman" w:hAnsi="Times New Roman"/>
          <w:sz w:val="24"/>
        </w:rPr>
        <w:t xml:space="preserve">Such </w:t>
      </w:r>
      <w:r w:rsidR="00CA0752" w:rsidRPr="001D2252">
        <w:rPr>
          <w:rFonts w:ascii="Times New Roman" w:hAnsi="Times New Roman"/>
          <w:sz w:val="24"/>
        </w:rPr>
        <w:t xml:space="preserve">a requirement of territorial control under the </w:t>
      </w:r>
      <w:r w:rsidR="001D7ED3" w:rsidRPr="001D2252">
        <w:rPr>
          <w:rFonts w:ascii="Times New Roman" w:hAnsi="Times New Roman"/>
          <w:sz w:val="24"/>
        </w:rPr>
        <w:t>Additional Protocol</w:t>
      </w:r>
      <w:r w:rsidR="00DD1150" w:rsidRPr="001D2252">
        <w:rPr>
          <w:rFonts w:ascii="Times New Roman" w:hAnsi="Times New Roman"/>
          <w:sz w:val="24"/>
        </w:rPr>
        <w:t xml:space="preserve"> </w:t>
      </w:r>
      <w:r w:rsidR="00CA0752" w:rsidRPr="001D2252">
        <w:rPr>
          <w:rFonts w:ascii="Times New Roman" w:hAnsi="Times New Roman"/>
          <w:sz w:val="24"/>
        </w:rPr>
        <w:t xml:space="preserve">II </w:t>
      </w:r>
      <w:r w:rsidR="003452E8" w:rsidRPr="001D2252">
        <w:rPr>
          <w:rFonts w:ascii="Times New Roman" w:hAnsi="Times New Roman"/>
          <w:sz w:val="24"/>
        </w:rPr>
        <w:t>can be</w:t>
      </w:r>
      <w:r w:rsidRPr="001D2252">
        <w:rPr>
          <w:rFonts w:ascii="Times New Roman" w:hAnsi="Times New Roman"/>
          <w:sz w:val="24"/>
        </w:rPr>
        <w:t xml:space="preserve"> considered to </w:t>
      </w:r>
      <w:r w:rsidR="003452E8" w:rsidRPr="0091062F">
        <w:rPr>
          <w:rFonts w:ascii="Times New Roman" w:hAnsi="Times New Roman"/>
          <w:sz w:val="24"/>
        </w:rPr>
        <w:t xml:space="preserve">inform the question </w:t>
      </w:r>
      <w:r w:rsidR="00CA0752" w:rsidRPr="0091062F">
        <w:rPr>
          <w:rFonts w:ascii="Times New Roman" w:hAnsi="Times New Roman"/>
          <w:sz w:val="24"/>
        </w:rPr>
        <w:t xml:space="preserve">how organized an armed group </w:t>
      </w:r>
      <w:r w:rsidR="00D12E1C" w:rsidRPr="0091062F">
        <w:rPr>
          <w:rFonts w:ascii="Times New Roman" w:hAnsi="Times New Roman"/>
          <w:sz w:val="24"/>
        </w:rPr>
        <w:t xml:space="preserve">should </w:t>
      </w:r>
      <w:r w:rsidR="00CA0752" w:rsidRPr="0091062F">
        <w:rPr>
          <w:rFonts w:ascii="Times New Roman" w:hAnsi="Times New Roman"/>
          <w:sz w:val="24"/>
        </w:rPr>
        <w:t>be under this treaty.</w:t>
      </w:r>
      <w:r w:rsidR="00CA0752" w:rsidRPr="001D2252">
        <w:rPr>
          <w:rStyle w:val="a5"/>
          <w:rFonts w:ascii="Times New Roman" w:hAnsi="Times New Roman"/>
          <w:sz w:val="24"/>
        </w:rPr>
        <w:footnoteReference w:id="68"/>
      </w:r>
      <w:r w:rsidR="00CA0752" w:rsidRPr="001D2252">
        <w:rPr>
          <w:rFonts w:ascii="Times New Roman" w:hAnsi="Times New Roman"/>
          <w:sz w:val="24"/>
        </w:rPr>
        <w:t xml:space="preserve"> </w:t>
      </w:r>
      <w:r w:rsidR="00AB20C2" w:rsidRPr="001D2252">
        <w:rPr>
          <w:rFonts w:ascii="Times New Roman" w:hAnsi="Times New Roman"/>
          <w:sz w:val="24"/>
        </w:rPr>
        <w:t xml:space="preserve">The </w:t>
      </w:r>
      <w:r w:rsidR="00CA0752" w:rsidRPr="001D2252">
        <w:rPr>
          <w:rFonts w:ascii="Times New Roman" w:hAnsi="Times New Roman"/>
          <w:sz w:val="24"/>
        </w:rPr>
        <w:t>correlation</w:t>
      </w:r>
      <w:r w:rsidR="00CF7314" w:rsidRPr="001D2252">
        <w:rPr>
          <w:rFonts w:ascii="Times New Roman" w:hAnsi="Times New Roman"/>
          <w:sz w:val="24"/>
        </w:rPr>
        <w:t xml:space="preserve">, </w:t>
      </w:r>
      <w:r w:rsidR="00817CE5" w:rsidRPr="001D2252">
        <w:rPr>
          <w:rFonts w:ascii="Times New Roman" w:hAnsi="Times New Roman"/>
          <w:sz w:val="24"/>
        </w:rPr>
        <w:t xml:space="preserve">and even a causal relation, </w:t>
      </w:r>
      <w:r w:rsidR="00CA0752" w:rsidRPr="001D2252">
        <w:rPr>
          <w:rFonts w:ascii="Times New Roman" w:hAnsi="Times New Roman"/>
          <w:sz w:val="24"/>
        </w:rPr>
        <w:t xml:space="preserve">between territorial control and organizational level has been recognized by </w:t>
      </w:r>
      <w:r w:rsidR="00A70C6C" w:rsidRPr="0091062F">
        <w:rPr>
          <w:rFonts w:ascii="Times New Roman" w:hAnsi="Times New Roman"/>
          <w:sz w:val="24"/>
        </w:rPr>
        <w:t xml:space="preserve">the </w:t>
      </w:r>
      <w:r w:rsidR="00CA0752" w:rsidRPr="0091062F">
        <w:rPr>
          <w:rFonts w:ascii="Times New Roman" w:hAnsi="Times New Roman"/>
          <w:sz w:val="24"/>
        </w:rPr>
        <w:t>international criminal tribunals</w:t>
      </w:r>
      <w:r w:rsidR="00CA0752" w:rsidRPr="0091062F">
        <w:rPr>
          <w:rFonts w:ascii="Times New Roman" w:hAnsi="Times New Roman"/>
          <w:i/>
          <w:iCs/>
          <w:sz w:val="24"/>
        </w:rPr>
        <w:t>.</w:t>
      </w:r>
      <w:r w:rsidR="00CA0752" w:rsidRPr="001D2252">
        <w:rPr>
          <w:rStyle w:val="a5"/>
          <w:rFonts w:ascii="Times New Roman" w:hAnsi="Times New Roman"/>
          <w:sz w:val="24"/>
        </w:rPr>
        <w:footnoteReference w:id="69"/>
      </w:r>
      <w:r w:rsidR="00CA0752" w:rsidRPr="001D2252">
        <w:rPr>
          <w:rFonts w:ascii="Times New Roman" w:hAnsi="Times New Roman"/>
          <w:sz w:val="24"/>
        </w:rPr>
        <w:t xml:space="preserve"> </w:t>
      </w:r>
      <w:r w:rsidR="00817CE5" w:rsidRPr="001D2252">
        <w:rPr>
          <w:rFonts w:ascii="Times New Roman" w:hAnsi="Times New Roman"/>
          <w:sz w:val="24"/>
        </w:rPr>
        <w:t xml:space="preserve">The </w:t>
      </w:r>
      <w:r w:rsidR="00CA0752" w:rsidRPr="001D2252">
        <w:rPr>
          <w:rFonts w:ascii="Times New Roman" w:hAnsi="Times New Roman"/>
          <w:sz w:val="24"/>
        </w:rPr>
        <w:t xml:space="preserve">ICTY has expressly endorsed the insight that the criterion of territorial control </w:t>
      </w:r>
      <w:r w:rsidR="00817CE5" w:rsidRPr="001D2252">
        <w:rPr>
          <w:rFonts w:ascii="Times New Roman" w:hAnsi="Times New Roman"/>
          <w:sz w:val="24"/>
        </w:rPr>
        <w:t xml:space="preserve">has special </w:t>
      </w:r>
      <w:r w:rsidR="00CF7314" w:rsidRPr="0091062F">
        <w:rPr>
          <w:rFonts w:ascii="Times New Roman" w:hAnsi="Times New Roman"/>
          <w:sz w:val="24"/>
        </w:rPr>
        <w:t>bearing on</w:t>
      </w:r>
      <w:r w:rsidR="00817CE5" w:rsidRPr="0091062F">
        <w:rPr>
          <w:rFonts w:ascii="Times New Roman" w:hAnsi="Times New Roman"/>
          <w:sz w:val="24"/>
        </w:rPr>
        <w:t xml:space="preserve"> </w:t>
      </w:r>
      <w:r w:rsidR="00CA0752" w:rsidRPr="0091062F">
        <w:rPr>
          <w:rFonts w:ascii="Times New Roman" w:hAnsi="Times New Roman"/>
          <w:sz w:val="24"/>
        </w:rPr>
        <w:t xml:space="preserve">the level of organization required of an armed group. </w:t>
      </w:r>
      <w:r w:rsidR="00D12E1C" w:rsidRPr="0091062F">
        <w:rPr>
          <w:rFonts w:ascii="Times New Roman" w:hAnsi="Times New Roman"/>
          <w:sz w:val="24"/>
        </w:rPr>
        <w:t xml:space="preserve">According to </w:t>
      </w:r>
      <w:r w:rsidR="007A576C" w:rsidRPr="0091062F">
        <w:rPr>
          <w:rFonts w:ascii="Times New Roman" w:hAnsi="Times New Roman"/>
          <w:sz w:val="24"/>
        </w:rPr>
        <w:t>the Trial Chamber</w:t>
      </w:r>
      <w:r w:rsidR="00BF37EA" w:rsidRPr="0091062F">
        <w:rPr>
          <w:rFonts w:ascii="Times New Roman" w:hAnsi="Times New Roman"/>
          <w:sz w:val="24"/>
        </w:rPr>
        <w:t xml:space="preserve"> in </w:t>
      </w:r>
      <w:proofErr w:type="spellStart"/>
      <w:r w:rsidR="00BF37EA" w:rsidRPr="0091062F">
        <w:rPr>
          <w:rFonts w:ascii="Times New Roman" w:hAnsi="Times New Roman"/>
          <w:i/>
          <w:iCs/>
          <w:sz w:val="24"/>
        </w:rPr>
        <w:t>Boškoski</w:t>
      </w:r>
      <w:proofErr w:type="spellEnd"/>
      <w:r w:rsidR="00BF37EA" w:rsidRPr="0091062F">
        <w:rPr>
          <w:rFonts w:ascii="Times New Roman" w:hAnsi="Times New Roman"/>
          <w:sz w:val="24"/>
        </w:rPr>
        <w:t xml:space="preserve">, the </w:t>
      </w:r>
      <w:r w:rsidR="00CA0752" w:rsidRPr="0091062F">
        <w:rPr>
          <w:rFonts w:ascii="Times New Roman" w:hAnsi="Times New Roman"/>
          <w:sz w:val="24"/>
        </w:rPr>
        <w:t xml:space="preserve">elevated bar for the </w:t>
      </w:r>
      <w:r w:rsidR="001D7ED3" w:rsidRPr="0091062F">
        <w:rPr>
          <w:rFonts w:ascii="Times New Roman" w:hAnsi="Times New Roman"/>
          <w:sz w:val="24"/>
        </w:rPr>
        <w:t>Additional Protocol</w:t>
      </w:r>
      <w:r w:rsidR="00EB2158" w:rsidRPr="0091062F">
        <w:rPr>
          <w:rFonts w:ascii="Times New Roman" w:hAnsi="Times New Roman"/>
          <w:sz w:val="24"/>
        </w:rPr>
        <w:t xml:space="preserve"> </w:t>
      </w:r>
      <w:r w:rsidR="00CA0752" w:rsidRPr="0091062F">
        <w:rPr>
          <w:rFonts w:ascii="Times New Roman" w:hAnsi="Times New Roman"/>
          <w:sz w:val="24"/>
        </w:rPr>
        <w:t xml:space="preserve">II-NIACs </w:t>
      </w:r>
      <w:r w:rsidR="00E01082" w:rsidRPr="0091062F">
        <w:rPr>
          <w:rFonts w:ascii="Times New Roman" w:hAnsi="Times New Roman"/>
          <w:sz w:val="24"/>
        </w:rPr>
        <w:t>may</w:t>
      </w:r>
      <w:r w:rsidR="00CA0752" w:rsidRPr="0091062F">
        <w:rPr>
          <w:rFonts w:ascii="Times New Roman" w:hAnsi="Times New Roman"/>
          <w:sz w:val="24"/>
        </w:rPr>
        <w:t xml:space="preserve"> be translated into a </w:t>
      </w:r>
      <w:r w:rsidR="00C811C2" w:rsidRPr="00F73020">
        <w:rPr>
          <w:rFonts w:ascii="Times New Roman" w:hAnsi="Times New Roman"/>
          <w:sz w:val="24"/>
        </w:rPr>
        <w:t>more rigorous standard</w:t>
      </w:r>
      <w:r w:rsidR="00CA0752" w:rsidRPr="00F73020">
        <w:rPr>
          <w:rFonts w:ascii="Times New Roman" w:hAnsi="Times New Roman"/>
          <w:sz w:val="24"/>
        </w:rPr>
        <w:t xml:space="preserve"> of organization </w:t>
      </w:r>
      <w:r w:rsidR="008C1901" w:rsidRPr="00E9144F">
        <w:rPr>
          <w:rFonts w:ascii="Times New Roman" w:hAnsi="Times New Roman"/>
          <w:sz w:val="24"/>
        </w:rPr>
        <w:t>demanded of</w:t>
      </w:r>
      <w:r w:rsidR="00CA0752" w:rsidRPr="00E9144F">
        <w:rPr>
          <w:rFonts w:ascii="Times New Roman" w:hAnsi="Times New Roman"/>
          <w:sz w:val="24"/>
        </w:rPr>
        <w:t xml:space="preserve"> an armed group under the </w:t>
      </w:r>
      <w:r w:rsidR="001D7ED3" w:rsidRPr="00E9144F">
        <w:rPr>
          <w:rFonts w:ascii="Times New Roman" w:hAnsi="Times New Roman"/>
          <w:sz w:val="24"/>
        </w:rPr>
        <w:t>Additional Protocol</w:t>
      </w:r>
      <w:r w:rsidR="00EB2158" w:rsidRPr="00E9144F">
        <w:rPr>
          <w:rFonts w:ascii="Times New Roman" w:hAnsi="Times New Roman"/>
          <w:sz w:val="24"/>
        </w:rPr>
        <w:t xml:space="preserve"> </w:t>
      </w:r>
      <w:r w:rsidR="00CA0752" w:rsidRPr="00E9144F">
        <w:rPr>
          <w:rFonts w:ascii="Times New Roman" w:hAnsi="Times New Roman"/>
          <w:sz w:val="24"/>
        </w:rPr>
        <w:t>II</w:t>
      </w:r>
      <w:r w:rsidR="007A576C" w:rsidRPr="00E9144F">
        <w:rPr>
          <w:rFonts w:ascii="Times New Roman" w:hAnsi="Times New Roman"/>
          <w:sz w:val="24"/>
        </w:rPr>
        <w:t>. C</w:t>
      </w:r>
      <w:r w:rsidR="00CA0752" w:rsidRPr="009A16F7">
        <w:rPr>
          <w:rFonts w:ascii="Times New Roman" w:hAnsi="Times New Roman"/>
          <w:sz w:val="24"/>
        </w:rPr>
        <w:t xml:space="preserve">onversely, </w:t>
      </w:r>
      <w:r w:rsidR="00786738" w:rsidRPr="00736BB5">
        <w:rPr>
          <w:rFonts w:ascii="Times New Roman" w:hAnsi="Times New Roman"/>
          <w:sz w:val="24"/>
        </w:rPr>
        <w:t xml:space="preserve">as confirmed by the ICC’s Pre-Trial Chamber in </w:t>
      </w:r>
      <w:r w:rsidR="00786738" w:rsidRPr="00DB591C">
        <w:rPr>
          <w:rFonts w:ascii="Times New Roman" w:hAnsi="Times New Roman"/>
          <w:i/>
          <w:iCs/>
          <w:sz w:val="24"/>
        </w:rPr>
        <w:t>Lubanga</w:t>
      </w:r>
      <w:r w:rsidR="00786738" w:rsidRPr="00DB591C">
        <w:rPr>
          <w:rFonts w:ascii="Times New Roman" w:hAnsi="Times New Roman"/>
          <w:sz w:val="24"/>
        </w:rPr>
        <w:t>,</w:t>
      </w:r>
      <w:r w:rsidR="00786738" w:rsidRPr="001D2252">
        <w:rPr>
          <w:rStyle w:val="a5"/>
          <w:rFonts w:ascii="Times New Roman" w:hAnsi="Times New Roman"/>
          <w:sz w:val="24"/>
        </w:rPr>
        <w:footnoteReference w:id="70"/>
      </w:r>
      <w:r w:rsidR="00786738" w:rsidRPr="001D2252">
        <w:rPr>
          <w:rFonts w:ascii="Times New Roman" w:hAnsi="Times New Roman"/>
          <w:sz w:val="24"/>
        </w:rPr>
        <w:t xml:space="preserve"> </w:t>
      </w:r>
      <w:r w:rsidR="00D12E1C" w:rsidRPr="001D2252">
        <w:rPr>
          <w:rFonts w:ascii="Times New Roman" w:hAnsi="Times New Roman"/>
          <w:sz w:val="24"/>
        </w:rPr>
        <w:t xml:space="preserve">common Article 3 </w:t>
      </w:r>
      <w:r w:rsidR="00A61233" w:rsidRPr="001D2252">
        <w:rPr>
          <w:rFonts w:ascii="Times New Roman" w:hAnsi="Times New Roman"/>
          <w:sz w:val="24"/>
        </w:rPr>
        <w:t xml:space="preserve">of the </w:t>
      </w:r>
      <w:r w:rsidR="001D7ED3" w:rsidRPr="001D2252">
        <w:rPr>
          <w:rFonts w:ascii="Times New Roman" w:hAnsi="Times New Roman"/>
          <w:sz w:val="24"/>
        </w:rPr>
        <w:t>Geneva Convention</w:t>
      </w:r>
      <w:r w:rsidR="00D12E1C" w:rsidRPr="001D2252">
        <w:rPr>
          <w:rFonts w:ascii="Times New Roman" w:hAnsi="Times New Roman"/>
          <w:sz w:val="24"/>
        </w:rPr>
        <w:t>s</w:t>
      </w:r>
      <w:r w:rsidR="00D12E1C" w:rsidRPr="001D2252">
        <w:rPr>
          <w:rStyle w:val="a5"/>
          <w:rFonts w:ascii="Times New Roman" w:hAnsi="Times New Roman"/>
          <w:sz w:val="24"/>
        </w:rPr>
        <w:footnoteReference w:id="71"/>
      </w:r>
      <w:r w:rsidR="00D12E1C" w:rsidRPr="001D2252">
        <w:rPr>
          <w:rFonts w:ascii="Times New Roman" w:hAnsi="Times New Roman"/>
          <w:sz w:val="24"/>
        </w:rPr>
        <w:t xml:space="preserve"> is </w:t>
      </w:r>
      <w:r w:rsidR="0050318C">
        <w:rPr>
          <w:rFonts w:ascii="Times New Roman" w:hAnsi="Times New Roman"/>
          <w:sz w:val="24"/>
        </w:rPr>
        <w:t>deemed</w:t>
      </w:r>
      <w:r w:rsidR="0050318C" w:rsidRPr="001D2252">
        <w:rPr>
          <w:rFonts w:ascii="Times New Roman" w:hAnsi="Times New Roman"/>
          <w:sz w:val="24"/>
        </w:rPr>
        <w:t xml:space="preserve"> </w:t>
      </w:r>
      <w:r w:rsidR="00D12E1C" w:rsidRPr="001D2252">
        <w:rPr>
          <w:rFonts w:ascii="Times New Roman" w:hAnsi="Times New Roman"/>
          <w:sz w:val="24"/>
        </w:rPr>
        <w:t xml:space="preserve">to demand </w:t>
      </w:r>
      <w:r w:rsidR="00CA0752" w:rsidRPr="001D2252">
        <w:rPr>
          <w:rFonts w:ascii="Times New Roman" w:hAnsi="Times New Roman"/>
          <w:sz w:val="24"/>
        </w:rPr>
        <w:t>a correlatively reduced degree of organization</w:t>
      </w:r>
      <w:r w:rsidR="00786738" w:rsidRPr="001D2252">
        <w:rPr>
          <w:rFonts w:ascii="Times New Roman" w:hAnsi="Times New Roman"/>
          <w:sz w:val="24"/>
        </w:rPr>
        <w:t>.</w:t>
      </w:r>
      <w:r w:rsidR="00CA0752" w:rsidRPr="001D2252">
        <w:rPr>
          <w:rFonts w:ascii="Times New Roman" w:hAnsi="Times New Roman"/>
          <w:sz w:val="24"/>
        </w:rPr>
        <w:t xml:space="preserve"> </w:t>
      </w:r>
    </w:p>
    <w:p w14:paraId="2CA508EB" w14:textId="77777777" w:rsidR="00F81D5C" w:rsidRDefault="00F81D5C" w:rsidP="00E01082">
      <w:pPr>
        <w:rPr>
          <w:rFonts w:ascii="Times New Roman" w:hAnsi="Times New Roman"/>
          <w:sz w:val="24"/>
        </w:rPr>
      </w:pPr>
    </w:p>
    <w:p w14:paraId="52B232EA" w14:textId="3CB81B40" w:rsidR="00CA0752" w:rsidRPr="009941C0" w:rsidRDefault="00C44EA8" w:rsidP="00E01082">
      <w:pPr>
        <w:rPr>
          <w:rFonts w:ascii="Times New Roman" w:hAnsi="Times New Roman"/>
          <w:sz w:val="24"/>
        </w:rPr>
      </w:pPr>
      <w:r w:rsidRPr="001D2252">
        <w:rPr>
          <w:rFonts w:ascii="Times New Roman" w:hAnsi="Times New Roman"/>
          <w:sz w:val="24"/>
        </w:rPr>
        <w:lastRenderedPageBreak/>
        <w:t xml:space="preserve">Still, </w:t>
      </w:r>
      <w:r w:rsidR="008231F8" w:rsidRPr="001D2252">
        <w:rPr>
          <w:rFonts w:ascii="Times New Roman" w:hAnsi="Times New Roman"/>
          <w:sz w:val="24"/>
        </w:rPr>
        <w:t>in the subsequent cases</w:t>
      </w:r>
      <w:r w:rsidR="001D2252" w:rsidRPr="001D2252">
        <w:rPr>
          <w:rFonts w:ascii="Times New Roman" w:hAnsi="Times New Roman"/>
          <w:sz w:val="24"/>
        </w:rPr>
        <w:t xml:space="preserve">, </w:t>
      </w:r>
      <w:r w:rsidR="008231F8" w:rsidRPr="001D2252">
        <w:rPr>
          <w:rFonts w:ascii="Times New Roman" w:hAnsi="Times New Roman"/>
          <w:sz w:val="24"/>
        </w:rPr>
        <w:t>the ICC T</w:t>
      </w:r>
      <w:r w:rsidR="008231F8" w:rsidRPr="0091062F">
        <w:rPr>
          <w:rFonts w:ascii="Times New Roman" w:hAnsi="Times New Roman"/>
          <w:sz w:val="24"/>
        </w:rPr>
        <w:t xml:space="preserve">rial Chamber </w:t>
      </w:r>
      <w:r w:rsidR="009A42F7">
        <w:rPr>
          <w:rFonts w:ascii="Times New Roman" w:hAnsi="Times New Roman"/>
          <w:sz w:val="24"/>
        </w:rPr>
        <w:t xml:space="preserve">has </w:t>
      </w:r>
      <w:r w:rsidR="00F20815">
        <w:rPr>
          <w:rFonts w:ascii="Times New Roman" w:hAnsi="Times New Roman"/>
          <w:sz w:val="24"/>
        </w:rPr>
        <w:t>appeared to shift its policy</w:t>
      </w:r>
      <w:r w:rsidR="009A42F7">
        <w:rPr>
          <w:rFonts w:ascii="Times New Roman" w:hAnsi="Times New Roman"/>
          <w:sz w:val="24"/>
        </w:rPr>
        <w:t>. It has reframed the controversy over territorial control as</w:t>
      </w:r>
      <w:r w:rsidR="008231F8" w:rsidRPr="0091062F">
        <w:rPr>
          <w:rFonts w:ascii="Times New Roman" w:hAnsi="Times New Roman"/>
          <w:sz w:val="24"/>
        </w:rPr>
        <w:t xml:space="preserve"> part of the intensity requirement. </w:t>
      </w:r>
      <w:r w:rsidR="001D2252" w:rsidRPr="0091062F">
        <w:rPr>
          <w:rFonts w:ascii="Times New Roman" w:hAnsi="Times New Roman"/>
          <w:sz w:val="24"/>
        </w:rPr>
        <w:t xml:space="preserve">In </w:t>
      </w:r>
      <w:r w:rsidR="001D2252" w:rsidRPr="00066403">
        <w:rPr>
          <w:rFonts w:ascii="Times New Roman" w:hAnsi="Times New Roman"/>
          <w:i/>
          <w:iCs/>
          <w:sz w:val="24"/>
        </w:rPr>
        <w:t>Al-Mahdi</w:t>
      </w:r>
      <w:r w:rsidR="001D2252" w:rsidRPr="001D2252">
        <w:rPr>
          <w:rFonts w:ascii="Times New Roman" w:hAnsi="Times New Roman"/>
          <w:sz w:val="24"/>
        </w:rPr>
        <w:t xml:space="preserve">, the Trial Chamber held that </w:t>
      </w:r>
      <w:r w:rsidR="001D2252">
        <w:rPr>
          <w:rFonts w:ascii="Times New Roman" w:hAnsi="Times New Roman"/>
          <w:sz w:val="24"/>
        </w:rPr>
        <w:t>‘</w:t>
      </w:r>
      <w:r w:rsidR="001D2252" w:rsidRPr="00066403">
        <w:rPr>
          <w:rFonts w:ascii="Times New Roman" w:hAnsi="Times New Roman"/>
          <w:sz w:val="24"/>
        </w:rPr>
        <w:t>the fact that these groups exercised control over such a large part of Mali for such a protracted period – with the resulting effect on the civilian population concerned – clearly demonstrates a sufficient degree of intensity of the conflict’</w:t>
      </w:r>
      <w:r w:rsidR="001D2252">
        <w:rPr>
          <w:rFonts w:ascii="Times New Roman" w:hAnsi="Times New Roman"/>
          <w:sz w:val="24"/>
        </w:rPr>
        <w:t>.</w:t>
      </w:r>
      <w:r w:rsidR="001D2252">
        <w:rPr>
          <w:rStyle w:val="a5"/>
          <w:rFonts w:ascii="Times New Roman" w:hAnsi="Times New Roman"/>
          <w:sz w:val="24"/>
        </w:rPr>
        <w:footnoteReference w:id="72"/>
      </w:r>
      <w:r w:rsidR="0091062F">
        <w:rPr>
          <w:rFonts w:ascii="Times New Roman" w:hAnsi="Times New Roman"/>
          <w:sz w:val="24"/>
        </w:rPr>
        <w:t xml:space="preserve"> </w:t>
      </w:r>
      <w:r w:rsidR="002D1C54">
        <w:rPr>
          <w:rFonts w:ascii="Times New Roman" w:hAnsi="Times New Roman"/>
          <w:sz w:val="24"/>
        </w:rPr>
        <w:t xml:space="preserve">In </w:t>
      </w:r>
      <w:r w:rsidR="002D1C54" w:rsidRPr="006A1D6E">
        <w:rPr>
          <w:rFonts w:ascii="Times New Roman" w:hAnsi="Times New Roman"/>
          <w:i/>
          <w:iCs/>
          <w:sz w:val="24"/>
        </w:rPr>
        <w:t>Ntaganda</w:t>
      </w:r>
      <w:r w:rsidR="002D1C54">
        <w:rPr>
          <w:rFonts w:ascii="Times New Roman" w:hAnsi="Times New Roman"/>
          <w:sz w:val="24"/>
        </w:rPr>
        <w:t xml:space="preserve">, </w:t>
      </w:r>
      <w:r w:rsidR="00F81D5C">
        <w:rPr>
          <w:rFonts w:ascii="Times New Roman" w:hAnsi="Times New Roman"/>
          <w:sz w:val="24"/>
        </w:rPr>
        <w:t>the Trial Chamber went further. A</w:t>
      </w:r>
      <w:r w:rsidR="002D1C54">
        <w:rPr>
          <w:rFonts w:ascii="Times New Roman" w:hAnsi="Times New Roman"/>
          <w:sz w:val="24"/>
        </w:rPr>
        <w:t xml:space="preserve">fter confirming that </w:t>
      </w:r>
      <w:r w:rsidR="002D1C54" w:rsidRPr="001D2252">
        <w:rPr>
          <w:rFonts w:ascii="Times New Roman" w:hAnsi="Times New Roman"/>
          <w:sz w:val="24"/>
        </w:rPr>
        <w:t xml:space="preserve">‘exercise of control over a part of the territory </w:t>
      </w:r>
      <w:r w:rsidR="002D1C54" w:rsidRPr="009941C0">
        <w:rPr>
          <w:rFonts w:ascii="Times New Roman" w:hAnsi="Times New Roman"/>
          <w:sz w:val="24"/>
        </w:rPr>
        <w:t>is not required for a group to meet the minimum level of organisation</w:t>
      </w:r>
      <w:r w:rsidR="002D1C54">
        <w:rPr>
          <w:rFonts w:ascii="Times New Roman" w:hAnsi="Times New Roman"/>
          <w:sz w:val="24"/>
        </w:rPr>
        <w:t xml:space="preserve">’, </w:t>
      </w:r>
      <w:r w:rsidR="00F81D5C">
        <w:rPr>
          <w:rFonts w:ascii="Times New Roman" w:hAnsi="Times New Roman"/>
          <w:sz w:val="24"/>
        </w:rPr>
        <w:t>it found</w:t>
      </w:r>
      <w:r w:rsidR="002D1C54">
        <w:rPr>
          <w:rFonts w:ascii="Times New Roman" w:hAnsi="Times New Roman"/>
          <w:sz w:val="24"/>
        </w:rPr>
        <w:t xml:space="preserve"> that ‘</w:t>
      </w:r>
      <w:r w:rsidR="002D1C54" w:rsidRPr="009941C0">
        <w:rPr>
          <w:rFonts w:ascii="Times New Roman" w:hAnsi="Times New Roman"/>
          <w:sz w:val="24"/>
        </w:rPr>
        <w:t>in the absence of active hostilities, it may be a determinative factor in assessing whether the intensity threshold is fulfilled’.</w:t>
      </w:r>
      <w:r w:rsidR="002D1C54" w:rsidRPr="001D2252">
        <w:rPr>
          <w:rStyle w:val="a5"/>
          <w:rFonts w:ascii="Times New Roman" w:hAnsi="Times New Roman"/>
          <w:sz w:val="24"/>
        </w:rPr>
        <w:footnoteReference w:id="73"/>
      </w:r>
      <w:r w:rsidR="002D1C54" w:rsidRPr="001D2252">
        <w:rPr>
          <w:rFonts w:ascii="Times New Roman" w:hAnsi="Times New Roman"/>
          <w:sz w:val="24"/>
        </w:rPr>
        <w:t xml:space="preserve"> </w:t>
      </w:r>
      <w:r w:rsidR="002D1C54">
        <w:rPr>
          <w:rFonts w:ascii="Times New Roman" w:hAnsi="Times New Roman"/>
          <w:sz w:val="24"/>
        </w:rPr>
        <w:t xml:space="preserve">The </w:t>
      </w:r>
      <w:r w:rsidR="009A42F7" w:rsidRPr="006A1D6E">
        <w:rPr>
          <w:rFonts w:ascii="Times New Roman" w:hAnsi="Times New Roman"/>
          <w:i/>
          <w:iCs/>
          <w:sz w:val="24"/>
        </w:rPr>
        <w:t>Ntaganda</w:t>
      </w:r>
      <w:r w:rsidR="009A42F7">
        <w:rPr>
          <w:rFonts w:ascii="Times New Roman" w:hAnsi="Times New Roman"/>
          <w:sz w:val="24"/>
        </w:rPr>
        <w:t xml:space="preserve"> </w:t>
      </w:r>
      <w:r w:rsidR="00E01AD0">
        <w:rPr>
          <w:rFonts w:ascii="Times New Roman" w:hAnsi="Times New Roman"/>
          <w:sz w:val="24"/>
        </w:rPr>
        <w:t>Trial Chamber</w:t>
      </w:r>
      <w:r w:rsidR="009A42F7">
        <w:rPr>
          <w:rFonts w:ascii="Times New Roman" w:hAnsi="Times New Roman"/>
          <w:sz w:val="24"/>
        </w:rPr>
        <w:t xml:space="preserve"> advanced that</w:t>
      </w:r>
      <w:r w:rsidR="00E01AD0">
        <w:rPr>
          <w:rFonts w:ascii="Times New Roman" w:hAnsi="Times New Roman"/>
          <w:sz w:val="24"/>
        </w:rPr>
        <w:t xml:space="preserve"> the element of territorial control </w:t>
      </w:r>
      <w:r w:rsidR="009A42F7">
        <w:rPr>
          <w:rFonts w:ascii="Times New Roman" w:hAnsi="Times New Roman"/>
          <w:sz w:val="24"/>
        </w:rPr>
        <w:t xml:space="preserve">should </w:t>
      </w:r>
      <w:r w:rsidR="00CD4107">
        <w:rPr>
          <w:rFonts w:ascii="Times New Roman" w:hAnsi="Times New Roman"/>
          <w:sz w:val="24"/>
        </w:rPr>
        <w:t xml:space="preserve">be </w:t>
      </w:r>
      <w:r w:rsidR="009A42F7">
        <w:rPr>
          <w:rFonts w:ascii="Times New Roman" w:hAnsi="Times New Roman"/>
          <w:sz w:val="24"/>
        </w:rPr>
        <w:t>shift</w:t>
      </w:r>
      <w:r w:rsidR="00CD4107">
        <w:rPr>
          <w:rFonts w:ascii="Times New Roman" w:hAnsi="Times New Roman"/>
          <w:sz w:val="24"/>
        </w:rPr>
        <w:t>ed</w:t>
      </w:r>
      <w:r w:rsidR="009A42F7">
        <w:rPr>
          <w:rFonts w:ascii="Times New Roman" w:hAnsi="Times New Roman"/>
          <w:sz w:val="24"/>
        </w:rPr>
        <w:t xml:space="preserve"> </w:t>
      </w:r>
      <w:r w:rsidR="00E01AD0">
        <w:rPr>
          <w:rFonts w:ascii="Times New Roman" w:hAnsi="Times New Roman"/>
          <w:sz w:val="24"/>
        </w:rPr>
        <w:t>from the heading of the requirement of organization to that of the intensity criterion</w:t>
      </w:r>
      <w:r w:rsidR="00F81D5C">
        <w:rPr>
          <w:rFonts w:ascii="Times New Roman" w:hAnsi="Times New Roman"/>
          <w:sz w:val="24"/>
        </w:rPr>
        <w:t>.</w:t>
      </w:r>
      <w:r w:rsidR="00E01AD0">
        <w:rPr>
          <w:rFonts w:ascii="Times New Roman" w:hAnsi="Times New Roman"/>
          <w:sz w:val="24"/>
        </w:rPr>
        <w:t xml:space="preserve"> </w:t>
      </w:r>
      <w:r w:rsidR="009A42F7">
        <w:rPr>
          <w:rFonts w:ascii="Times New Roman" w:hAnsi="Times New Roman"/>
          <w:sz w:val="24"/>
        </w:rPr>
        <w:t xml:space="preserve">Yet, short of </w:t>
      </w:r>
      <w:r w:rsidR="00940790">
        <w:rPr>
          <w:rFonts w:ascii="Times New Roman" w:hAnsi="Times New Roman"/>
          <w:sz w:val="24"/>
        </w:rPr>
        <w:t>any</w:t>
      </w:r>
      <w:r w:rsidR="00892608">
        <w:rPr>
          <w:rFonts w:ascii="Times New Roman" w:hAnsi="Times New Roman"/>
          <w:sz w:val="24"/>
        </w:rPr>
        <w:t xml:space="preserve"> proof of </w:t>
      </w:r>
      <w:r w:rsidR="00630EA1">
        <w:rPr>
          <w:rFonts w:ascii="Times New Roman" w:hAnsi="Times New Roman"/>
          <w:sz w:val="24"/>
        </w:rPr>
        <w:t xml:space="preserve">actual or imminent </w:t>
      </w:r>
      <w:r w:rsidR="00892608">
        <w:rPr>
          <w:rFonts w:ascii="Times New Roman" w:hAnsi="Times New Roman"/>
          <w:sz w:val="24"/>
        </w:rPr>
        <w:t>attack from the area held by an armed group</w:t>
      </w:r>
      <w:r w:rsidR="008231F8" w:rsidRPr="001D2252">
        <w:rPr>
          <w:rFonts w:ascii="Times New Roman" w:hAnsi="Times New Roman"/>
          <w:sz w:val="24"/>
        </w:rPr>
        <w:t>,</w:t>
      </w:r>
      <w:r w:rsidR="00630EA1" w:rsidRPr="00630EA1">
        <w:rPr>
          <w:rFonts w:ascii="Times New Roman" w:hAnsi="Times New Roman"/>
          <w:sz w:val="24"/>
        </w:rPr>
        <w:t xml:space="preserve"> </w:t>
      </w:r>
      <w:r w:rsidR="009A42F7">
        <w:rPr>
          <w:rFonts w:ascii="Times New Roman" w:hAnsi="Times New Roman"/>
          <w:sz w:val="24"/>
        </w:rPr>
        <w:t xml:space="preserve">the </w:t>
      </w:r>
      <w:r w:rsidR="00CD4107">
        <w:rPr>
          <w:rFonts w:ascii="Times New Roman" w:hAnsi="Times New Roman"/>
          <w:sz w:val="24"/>
        </w:rPr>
        <w:t>motion</w:t>
      </w:r>
      <w:r w:rsidR="009A42F7">
        <w:rPr>
          <w:rFonts w:ascii="Times New Roman" w:hAnsi="Times New Roman"/>
          <w:sz w:val="24"/>
        </w:rPr>
        <w:t xml:space="preserve"> that </w:t>
      </w:r>
      <w:r w:rsidR="008231F8" w:rsidRPr="001D2252">
        <w:rPr>
          <w:rFonts w:ascii="Times New Roman" w:hAnsi="Times New Roman"/>
          <w:sz w:val="24"/>
        </w:rPr>
        <w:t xml:space="preserve">territorial control </w:t>
      </w:r>
      <w:r w:rsidR="00892608">
        <w:rPr>
          <w:rFonts w:ascii="Times New Roman" w:hAnsi="Times New Roman"/>
          <w:sz w:val="24"/>
        </w:rPr>
        <w:t>should</w:t>
      </w:r>
      <w:r w:rsidR="008231F8" w:rsidRPr="001D2252">
        <w:rPr>
          <w:rFonts w:ascii="Times New Roman" w:hAnsi="Times New Roman"/>
          <w:sz w:val="24"/>
        </w:rPr>
        <w:t xml:space="preserve"> be </w:t>
      </w:r>
      <w:r w:rsidR="009A42F7">
        <w:rPr>
          <w:rFonts w:ascii="Times New Roman" w:hAnsi="Times New Roman"/>
          <w:sz w:val="24"/>
        </w:rPr>
        <w:t>a yardstick by which to measure the</w:t>
      </w:r>
      <w:r w:rsidR="008231F8" w:rsidRPr="009941C0">
        <w:rPr>
          <w:rFonts w:ascii="Times New Roman" w:hAnsi="Times New Roman"/>
          <w:sz w:val="24"/>
        </w:rPr>
        <w:t xml:space="preserve"> intensity of armed violence</w:t>
      </w:r>
      <w:r w:rsidR="009A42F7">
        <w:rPr>
          <w:rFonts w:ascii="Times New Roman" w:hAnsi="Times New Roman"/>
          <w:sz w:val="24"/>
        </w:rPr>
        <w:t xml:space="preserve"> seems far-fetched</w:t>
      </w:r>
      <w:r w:rsidR="009E7CB6" w:rsidRPr="009941C0">
        <w:rPr>
          <w:rFonts w:ascii="Times New Roman" w:hAnsi="Times New Roman"/>
          <w:sz w:val="24"/>
        </w:rPr>
        <w:t>.</w:t>
      </w:r>
    </w:p>
    <w:bookmarkEnd w:id="1"/>
    <w:p w14:paraId="088FDF99" w14:textId="20F644E6" w:rsidR="00AA56E2" w:rsidRDefault="00AA56E2" w:rsidP="00E01082">
      <w:pPr>
        <w:rPr>
          <w:rFonts w:ascii="Times New Roman" w:hAnsi="Times New Roman"/>
          <w:sz w:val="24"/>
        </w:rPr>
      </w:pPr>
    </w:p>
    <w:p w14:paraId="22BDE6FA" w14:textId="770D11BC" w:rsidR="00B70961" w:rsidRPr="00B70961" w:rsidRDefault="00B70961" w:rsidP="006347AB">
      <w:pPr>
        <w:pStyle w:val="ad"/>
        <w:numPr>
          <w:ilvl w:val="0"/>
          <w:numId w:val="4"/>
        </w:numPr>
        <w:ind w:leftChars="0"/>
        <w:rPr>
          <w:rFonts w:ascii="Times New Roman" w:hAnsi="Times New Roman"/>
          <w:b/>
          <w:bCs/>
          <w:sz w:val="24"/>
        </w:rPr>
      </w:pPr>
      <w:r w:rsidRPr="00B70961">
        <w:rPr>
          <w:rFonts w:ascii="Times New Roman" w:hAnsi="Times New Roman"/>
          <w:b/>
          <w:bCs/>
          <w:sz w:val="24"/>
        </w:rPr>
        <w:t xml:space="preserve">A Critique of Pigeonholing the Standards </w:t>
      </w:r>
      <w:r w:rsidR="00AB20C2">
        <w:rPr>
          <w:rFonts w:ascii="Times New Roman" w:hAnsi="Times New Roman"/>
          <w:b/>
          <w:bCs/>
          <w:sz w:val="24"/>
        </w:rPr>
        <w:t>for Organization</w:t>
      </w:r>
      <w:r w:rsidRPr="00B70961">
        <w:rPr>
          <w:rFonts w:ascii="Times New Roman" w:hAnsi="Times New Roman"/>
          <w:b/>
          <w:bCs/>
          <w:sz w:val="24"/>
        </w:rPr>
        <w:t xml:space="preserve"> </w:t>
      </w:r>
      <w:proofErr w:type="gramStart"/>
      <w:r w:rsidR="00AB20C2">
        <w:rPr>
          <w:rFonts w:ascii="Times New Roman" w:hAnsi="Times New Roman"/>
          <w:b/>
          <w:bCs/>
          <w:sz w:val="24"/>
        </w:rPr>
        <w:t xml:space="preserve">on </w:t>
      </w:r>
      <w:r w:rsidRPr="00B70961">
        <w:rPr>
          <w:rFonts w:ascii="Times New Roman" w:hAnsi="Times New Roman"/>
          <w:b/>
          <w:bCs/>
          <w:sz w:val="24"/>
        </w:rPr>
        <w:t xml:space="preserve">the </w:t>
      </w:r>
      <w:r>
        <w:rPr>
          <w:rFonts w:ascii="Times New Roman" w:hAnsi="Times New Roman"/>
          <w:b/>
          <w:bCs/>
          <w:sz w:val="24"/>
        </w:rPr>
        <w:t>B</w:t>
      </w:r>
      <w:r w:rsidRPr="00B70961">
        <w:rPr>
          <w:rFonts w:ascii="Times New Roman" w:hAnsi="Times New Roman"/>
          <w:b/>
          <w:bCs/>
          <w:sz w:val="24"/>
        </w:rPr>
        <w:t>asis of</w:t>
      </w:r>
      <w:proofErr w:type="gramEnd"/>
      <w:r w:rsidRPr="00B70961">
        <w:rPr>
          <w:rFonts w:ascii="Times New Roman" w:hAnsi="Times New Roman"/>
          <w:b/>
          <w:bCs/>
          <w:sz w:val="24"/>
        </w:rPr>
        <w:t xml:space="preserve"> the </w:t>
      </w:r>
      <w:r>
        <w:rPr>
          <w:rFonts w:ascii="Times New Roman" w:hAnsi="Times New Roman"/>
          <w:b/>
          <w:bCs/>
          <w:sz w:val="24"/>
        </w:rPr>
        <w:t>D</w:t>
      </w:r>
      <w:r w:rsidRPr="00B70961">
        <w:rPr>
          <w:rFonts w:ascii="Times New Roman" w:hAnsi="Times New Roman"/>
          <w:b/>
          <w:bCs/>
          <w:sz w:val="24"/>
        </w:rPr>
        <w:t>istinction between IACs and NIACs</w:t>
      </w:r>
    </w:p>
    <w:p w14:paraId="1696DA13" w14:textId="5A5A53A8" w:rsidR="00B70961" w:rsidRDefault="00B70961" w:rsidP="00B70961">
      <w:pPr>
        <w:rPr>
          <w:rFonts w:ascii="Times New Roman" w:hAnsi="Times New Roman"/>
          <w:sz w:val="24"/>
        </w:rPr>
      </w:pPr>
      <w:r w:rsidRPr="00B70961">
        <w:rPr>
          <w:rFonts w:ascii="Times New Roman" w:hAnsi="Times New Roman"/>
          <w:sz w:val="24"/>
        </w:rPr>
        <w:t xml:space="preserve">The foregoing examinations have compartmentalized the standard for organization </w:t>
      </w:r>
      <w:r w:rsidR="00AB20C2">
        <w:rPr>
          <w:rFonts w:ascii="Times New Roman" w:hAnsi="Times New Roman"/>
          <w:sz w:val="24"/>
        </w:rPr>
        <w:t>relating to</w:t>
      </w:r>
      <w:r w:rsidRPr="00B70961">
        <w:rPr>
          <w:rFonts w:ascii="Times New Roman" w:hAnsi="Times New Roman"/>
          <w:sz w:val="24"/>
        </w:rPr>
        <w:t xml:space="preserve"> non-State armed groups in three different contexts</w:t>
      </w:r>
      <w:proofErr w:type="gramStart"/>
      <w:r w:rsidRPr="00B70961">
        <w:rPr>
          <w:rFonts w:ascii="Times New Roman" w:hAnsi="Times New Roman"/>
          <w:sz w:val="24"/>
        </w:rPr>
        <w:t>:  (</w:t>
      </w:r>
      <w:proofErr w:type="gramEnd"/>
      <w:r w:rsidRPr="00B70961">
        <w:rPr>
          <w:rFonts w:ascii="Times New Roman" w:hAnsi="Times New Roman"/>
          <w:sz w:val="24"/>
        </w:rPr>
        <w:t xml:space="preserve">1) IACs; (2) common-Article 3 NIACs; and (3) </w:t>
      </w:r>
      <w:r w:rsidR="001D7ED3">
        <w:rPr>
          <w:rFonts w:ascii="Times New Roman" w:hAnsi="Times New Roman"/>
          <w:sz w:val="24"/>
        </w:rPr>
        <w:t>Additional Protocol</w:t>
      </w:r>
      <w:r w:rsidR="00EB2158">
        <w:rPr>
          <w:rFonts w:ascii="Times New Roman" w:hAnsi="Times New Roman"/>
          <w:sz w:val="24"/>
        </w:rPr>
        <w:t xml:space="preserve"> </w:t>
      </w:r>
      <w:r w:rsidRPr="00B70961">
        <w:rPr>
          <w:rFonts w:ascii="Times New Roman" w:hAnsi="Times New Roman"/>
          <w:sz w:val="24"/>
        </w:rPr>
        <w:t xml:space="preserve">II-based NIACs. Nonetheless, it may be </w:t>
      </w:r>
      <w:r w:rsidR="00AB20C2">
        <w:rPr>
          <w:rFonts w:ascii="Times New Roman" w:hAnsi="Times New Roman"/>
          <w:sz w:val="24"/>
        </w:rPr>
        <w:t>objected</w:t>
      </w:r>
      <w:r w:rsidRPr="00B70961">
        <w:rPr>
          <w:rFonts w:ascii="Times New Roman" w:hAnsi="Times New Roman"/>
          <w:sz w:val="24"/>
        </w:rPr>
        <w:t xml:space="preserve"> that what holds the decisive sway over the variation in the standard for organization </w:t>
      </w:r>
      <w:r w:rsidR="00926710">
        <w:rPr>
          <w:rFonts w:ascii="Times New Roman" w:hAnsi="Times New Roman"/>
          <w:sz w:val="24"/>
        </w:rPr>
        <w:t>should</w:t>
      </w:r>
      <w:r w:rsidRPr="00B70961">
        <w:rPr>
          <w:rFonts w:ascii="Times New Roman" w:hAnsi="Times New Roman"/>
          <w:sz w:val="24"/>
        </w:rPr>
        <w:t xml:space="preserve"> not</w:t>
      </w:r>
      <w:r w:rsidR="00926710">
        <w:rPr>
          <w:rFonts w:ascii="Times New Roman" w:hAnsi="Times New Roman"/>
          <w:sz w:val="24"/>
        </w:rPr>
        <w:t xml:space="preserve"> necessarily</w:t>
      </w:r>
      <w:r w:rsidRPr="00B70961">
        <w:rPr>
          <w:rFonts w:ascii="Times New Roman" w:hAnsi="Times New Roman"/>
          <w:sz w:val="24"/>
        </w:rPr>
        <w:t xml:space="preserve"> </w:t>
      </w:r>
      <w:r w:rsidR="00926710">
        <w:rPr>
          <w:rFonts w:ascii="Times New Roman" w:hAnsi="Times New Roman"/>
          <w:sz w:val="24"/>
        </w:rPr>
        <w:t xml:space="preserve">be </w:t>
      </w:r>
      <w:r w:rsidRPr="00B70961">
        <w:rPr>
          <w:rFonts w:ascii="Times New Roman" w:hAnsi="Times New Roman"/>
          <w:sz w:val="24"/>
        </w:rPr>
        <w:t xml:space="preserve">the distinction between IACs and NIACs. </w:t>
      </w:r>
      <w:r w:rsidR="00786738">
        <w:rPr>
          <w:rFonts w:ascii="Times New Roman" w:hAnsi="Times New Roman" w:hint="eastAsia"/>
          <w:sz w:val="24"/>
        </w:rPr>
        <w:t>S</w:t>
      </w:r>
      <w:r w:rsidR="00786738">
        <w:rPr>
          <w:rFonts w:ascii="Times New Roman" w:hAnsi="Times New Roman"/>
          <w:sz w:val="24"/>
        </w:rPr>
        <w:t>everal grounds may be put forward.</w:t>
      </w:r>
    </w:p>
    <w:p w14:paraId="56483B35" w14:textId="77777777" w:rsidR="00786738" w:rsidRPr="00B70961" w:rsidRDefault="00786738" w:rsidP="00B70961">
      <w:pPr>
        <w:rPr>
          <w:rFonts w:ascii="Times New Roman" w:hAnsi="Times New Roman"/>
          <w:sz w:val="24"/>
        </w:rPr>
      </w:pPr>
    </w:p>
    <w:p w14:paraId="3438BBAF" w14:textId="2FCAD596" w:rsidR="00B70961" w:rsidRPr="00482D2B" w:rsidRDefault="00B70961" w:rsidP="00B70961">
      <w:pPr>
        <w:rPr>
          <w:rFonts w:ascii="Times New Roman" w:hAnsi="Times New Roman"/>
          <w:sz w:val="24"/>
        </w:rPr>
      </w:pPr>
      <w:r w:rsidRPr="00482D2B">
        <w:rPr>
          <w:rFonts w:ascii="Times New Roman" w:hAnsi="Times New Roman" w:hint="eastAsia"/>
          <w:sz w:val="24"/>
        </w:rPr>
        <w:t>O</w:t>
      </w:r>
      <w:r w:rsidRPr="00482D2B">
        <w:rPr>
          <w:rFonts w:ascii="Times New Roman" w:hAnsi="Times New Roman"/>
          <w:sz w:val="24"/>
        </w:rPr>
        <w:t>n practical level,</w:t>
      </w:r>
      <w:r w:rsidRPr="00227D77">
        <w:rPr>
          <w:rFonts w:ascii="Times New Roman" w:hAnsi="Times New Roman"/>
          <w:sz w:val="24"/>
        </w:rPr>
        <w:t xml:space="preserve"> one may see a certain symmetry in the organizational structure between independent forces </w:t>
      </w:r>
      <w:r w:rsidR="006D5822" w:rsidRPr="00227D77">
        <w:rPr>
          <w:rFonts w:ascii="Times New Roman" w:hAnsi="Times New Roman"/>
          <w:sz w:val="24"/>
        </w:rPr>
        <w:t xml:space="preserve">(including organized resistance movements) </w:t>
      </w:r>
      <w:r w:rsidR="006D5822" w:rsidRPr="003546BF">
        <w:rPr>
          <w:rFonts w:ascii="Times New Roman" w:hAnsi="Times New Roman"/>
          <w:sz w:val="24"/>
        </w:rPr>
        <w:t xml:space="preserve">that aspire to </w:t>
      </w:r>
      <w:r w:rsidR="003F1A89" w:rsidRPr="003546BF">
        <w:rPr>
          <w:rFonts w:ascii="Times New Roman" w:hAnsi="Times New Roman"/>
          <w:sz w:val="24"/>
        </w:rPr>
        <w:t xml:space="preserve">qualify under </w:t>
      </w:r>
      <w:r w:rsidRPr="00482D2B">
        <w:rPr>
          <w:rFonts w:ascii="Times New Roman" w:hAnsi="Times New Roman"/>
          <w:sz w:val="24"/>
        </w:rPr>
        <w:t>Article 4</w:t>
      </w:r>
      <w:proofErr w:type="gramStart"/>
      <w:r w:rsidRPr="00482D2B">
        <w:rPr>
          <w:rFonts w:ascii="Times New Roman" w:hAnsi="Times New Roman"/>
          <w:sz w:val="24"/>
        </w:rPr>
        <w:t>A(</w:t>
      </w:r>
      <w:proofErr w:type="gramEnd"/>
      <w:r w:rsidRPr="00482D2B">
        <w:rPr>
          <w:rFonts w:ascii="Times New Roman" w:hAnsi="Times New Roman"/>
          <w:sz w:val="24"/>
        </w:rPr>
        <w:t xml:space="preserve">2) </w:t>
      </w:r>
      <w:r w:rsidR="00A61233" w:rsidRPr="00482D2B">
        <w:rPr>
          <w:rFonts w:ascii="Times New Roman" w:hAnsi="Times New Roman"/>
          <w:sz w:val="24"/>
        </w:rPr>
        <w:t xml:space="preserve">of the </w:t>
      </w:r>
      <w:r w:rsidR="001D7ED3" w:rsidRPr="00482D2B">
        <w:rPr>
          <w:rFonts w:ascii="Times New Roman" w:hAnsi="Times New Roman"/>
          <w:sz w:val="24"/>
        </w:rPr>
        <w:t>Geneva Convention</w:t>
      </w:r>
      <w:r w:rsidRPr="00482D2B">
        <w:rPr>
          <w:rFonts w:ascii="Times New Roman" w:hAnsi="Times New Roman"/>
          <w:sz w:val="24"/>
        </w:rPr>
        <w:t xml:space="preserve"> III and armed groups in NIACs. Their empirical symmetries can be elucidated when those groups are deconstructed into its functional components. It may well be that both are devoid of a refined system of vertical command equivalent to that of the national armed forces.</w:t>
      </w:r>
      <w:r w:rsidR="00482D2B" w:rsidRPr="00066403">
        <w:rPr>
          <w:rFonts w:ascii="Times New Roman" w:hAnsi="Times New Roman"/>
          <w:sz w:val="24"/>
        </w:rPr>
        <w:t xml:space="preserve"> This point was highlighted by </w:t>
      </w:r>
      <w:r w:rsidR="00482D2B" w:rsidRPr="00066403">
        <w:rPr>
          <w:rFonts w:ascii="Times New Roman" w:hAnsi="Times New Roman"/>
          <w:sz w:val="24"/>
        </w:rPr>
        <w:lastRenderedPageBreak/>
        <w:t>the ICRC several years before the adoption of the Additional Protocol II.</w:t>
      </w:r>
      <w:r w:rsidRPr="00482D2B">
        <w:rPr>
          <w:rStyle w:val="a5"/>
          <w:rFonts w:ascii="Times New Roman" w:hAnsi="Times New Roman"/>
          <w:sz w:val="24"/>
        </w:rPr>
        <w:footnoteReference w:id="74"/>
      </w:r>
      <w:r w:rsidRPr="00482D2B">
        <w:rPr>
          <w:rFonts w:ascii="Times New Roman" w:hAnsi="Times New Roman"/>
          <w:sz w:val="24"/>
        </w:rPr>
        <w:t xml:space="preserve"> </w:t>
      </w:r>
    </w:p>
    <w:p w14:paraId="7F84E590" w14:textId="77777777" w:rsidR="00B70961" w:rsidRPr="00B70961" w:rsidRDefault="00B70961" w:rsidP="00B70961">
      <w:pPr>
        <w:rPr>
          <w:rFonts w:ascii="Times New Roman" w:hAnsi="Times New Roman"/>
          <w:sz w:val="24"/>
        </w:rPr>
      </w:pPr>
    </w:p>
    <w:p w14:paraId="2867BFF9" w14:textId="5D74C392" w:rsidR="00B70961" w:rsidRPr="00B70961" w:rsidRDefault="00B70961" w:rsidP="00B70961">
      <w:pPr>
        <w:rPr>
          <w:rFonts w:ascii="Times New Roman" w:hAnsi="Times New Roman"/>
          <w:sz w:val="24"/>
        </w:rPr>
      </w:pPr>
      <w:r w:rsidRPr="00B70961">
        <w:rPr>
          <w:rFonts w:ascii="Times New Roman" w:hAnsi="Times New Roman"/>
          <w:sz w:val="24"/>
        </w:rPr>
        <w:t xml:space="preserve">The suggestion that the standard </w:t>
      </w:r>
      <w:r w:rsidR="00C64686">
        <w:rPr>
          <w:rFonts w:ascii="Times New Roman" w:hAnsi="Times New Roman"/>
          <w:sz w:val="24"/>
        </w:rPr>
        <w:t>for</w:t>
      </w:r>
      <w:r w:rsidRPr="00B70961">
        <w:rPr>
          <w:rFonts w:ascii="Times New Roman" w:hAnsi="Times New Roman"/>
          <w:sz w:val="24"/>
        </w:rPr>
        <w:t xml:space="preserve"> organization should be gauged with subtle gradation </w:t>
      </w:r>
      <w:r w:rsidR="00F20815">
        <w:rPr>
          <w:rFonts w:ascii="Times New Roman" w:hAnsi="Times New Roman"/>
          <w:sz w:val="24"/>
        </w:rPr>
        <w:t xml:space="preserve">and not on the basis of the IAC/NIAC dichotomy </w:t>
      </w:r>
      <w:r w:rsidRPr="00B70961">
        <w:rPr>
          <w:rFonts w:ascii="Times New Roman" w:hAnsi="Times New Roman"/>
          <w:sz w:val="24"/>
        </w:rPr>
        <w:t xml:space="preserve">can be supported by the permeability of </w:t>
      </w:r>
      <w:r w:rsidR="00786738" w:rsidRPr="00B70961">
        <w:rPr>
          <w:rFonts w:ascii="Times New Roman" w:hAnsi="Times New Roman"/>
          <w:sz w:val="24"/>
        </w:rPr>
        <w:t xml:space="preserve">the boundaries between IACs and NIACs </w:t>
      </w:r>
      <w:r w:rsidRPr="00B70961">
        <w:rPr>
          <w:rFonts w:ascii="Times New Roman" w:hAnsi="Times New Roman"/>
          <w:sz w:val="24"/>
        </w:rPr>
        <w:t>where the legal character of the conflict may be in flux.</w:t>
      </w:r>
      <w:r w:rsidR="00A34F6F">
        <w:rPr>
          <w:rFonts w:ascii="Times New Roman" w:hAnsi="Times New Roman"/>
          <w:sz w:val="24"/>
        </w:rPr>
        <w:t xml:space="preserve"> Suppose that</w:t>
      </w:r>
      <w:r w:rsidRPr="00B70961">
        <w:rPr>
          <w:rFonts w:ascii="Times New Roman" w:hAnsi="Times New Roman"/>
          <w:sz w:val="24"/>
        </w:rPr>
        <w:t xml:space="preserve"> </w:t>
      </w:r>
      <w:r w:rsidR="00A34F6F">
        <w:rPr>
          <w:rFonts w:ascii="Times New Roman" w:hAnsi="Times New Roman"/>
          <w:sz w:val="24"/>
        </w:rPr>
        <w:t>a foreign State wields some degree of control over</w:t>
      </w:r>
      <w:r w:rsidR="00A34F6F" w:rsidRPr="00B70961">
        <w:rPr>
          <w:rFonts w:ascii="Times New Roman" w:hAnsi="Times New Roman"/>
          <w:sz w:val="24"/>
        </w:rPr>
        <w:t xml:space="preserve"> an armed group </w:t>
      </w:r>
      <w:r w:rsidR="00A34F6F">
        <w:rPr>
          <w:rFonts w:ascii="Times New Roman" w:hAnsi="Times New Roman"/>
          <w:sz w:val="24"/>
        </w:rPr>
        <w:t xml:space="preserve">that is </w:t>
      </w:r>
      <w:r w:rsidR="00A34F6F" w:rsidRPr="00B70961">
        <w:rPr>
          <w:rFonts w:ascii="Times New Roman" w:hAnsi="Times New Roman"/>
          <w:sz w:val="24"/>
        </w:rPr>
        <w:t xml:space="preserve">engaged in </w:t>
      </w:r>
      <w:r w:rsidR="00A34F6F">
        <w:rPr>
          <w:rFonts w:ascii="Times New Roman" w:hAnsi="Times New Roman"/>
          <w:sz w:val="24"/>
        </w:rPr>
        <w:t>a NIAC against the national armed forces of the territorial State.</w:t>
      </w:r>
      <w:r w:rsidR="00A34F6F" w:rsidRPr="00B70961">
        <w:rPr>
          <w:rFonts w:ascii="Times New Roman" w:hAnsi="Times New Roman"/>
          <w:sz w:val="24"/>
        </w:rPr>
        <w:t xml:space="preserve"> </w:t>
      </w:r>
      <w:r w:rsidR="00630EA1">
        <w:rPr>
          <w:rFonts w:ascii="Times New Roman" w:hAnsi="Times New Roman"/>
          <w:sz w:val="24"/>
        </w:rPr>
        <w:t xml:space="preserve">The </w:t>
      </w:r>
      <w:r w:rsidRPr="00B70961">
        <w:rPr>
          <w:rFonts w:ascii="Times New Roman" w:hAnsi="Times New Roman"/>
          <w:sz w:val="24"/>
        </w:rPr>
        <w:t xml:space="preserve">legal character of an ongoing NIAC may be internationalized </w:t>
      </w:r>
      <w:r w:rsidR="00216981">
        <w:rPr>
          <w:rFonts w:ascii="Times New Roman" w:hAnsi="Times New Roman"/>
          <w:sz w:val="24"/>
        </w:rPr>
        <w:t xml:space="preserve">when </w:t>
      </w:r>
      <w:r w:rsidR="00477866">
        <w:rPr>
          <w:rFonts w:ascii="Times New Roman" w:hAnsi="Times New Roman"/>
          <w:sz w:val="24"/>
        </w:rPr>
        <w:t>the external</w:t>
      </w:r>
      <w:r w:rsidR="00216981">
        <w:rPr>
          <w:rFonts w:ascii="Times New Roman" w:hAnsi="Times New Roman"/>
          <w:sz w:val="24"/>
        </w:rPr>
        <w:t xml:space="preserve"> </w:t>
      </w:r>
      <w:r w:rsidR="00477866">
        <w:rPr>
          <w:rFonts w:ascii="Times New Roman" w:hAnsi="Times New Roman"/>
          <w:sz w:val="24"/>
        </w:rPr>
        <w:t>power’s</w:t>
      </w:r>
      <w:r w:rsidR="00216981">
        <w:rPr>
          <w:rFonts w:ascii="Times New Roman" w:hAnsi="Times New Roman"/>
          <w:sz w:val="24"/>
        </w:rPr>
        <w:t xml:space="preserve"> </w:t>
      </w:r>
      <w:r w:rsidR="00477866">
        <w:rPr>
          <w:rFonts w:ascii="Times New Roman" w:hAnsi="Times New Roman"/>
          <w:sz w:val="24"/>
        </w:rPr>
        <w:t xml:space="preserve">degree of control over the armed group grows </w:t>
      </w:r>
      <w:r w:rsidR="00A34F6F">
        <w:rPr>
          <w:rFonts w:ascii="Times New Roman" w:hAnsi="Times New Roman"/>
          <w:sz w:val="24"/>
        </w:rPr>
        <w:t xml:space="preserve">progressively to </w:t>
      </w:r>
      <w:r w:rsidR="00477866">
        <w:rPr>
          <w:rFonts w:ascii="Times New Roman" w:hAnsi="Times New Roman"/>
          <w:sz w:val="24"/>
        </w:rPr>
        <w:t>reach</w:t>
      </w:r>
      <w:r w:rsidR="00216981">
        <w:rPr>
          <w:rFonts w:ascii="Times New Roman" w:hAnsi="Times New Roman"/>
          <w:sz w:val="24"/>
        </w:rPr>
        <w:t xml:space="preserve"> </w:t>
      </w:r>
      <w:r w:rsidR="00A34F6F">
        <w:rPr>
          <w:rFonts w:ascii="Times New Roman" w:hAnsi="Times New Roman"/>
          <w:sz w:val="24"/>
        </w:rPr>
        <w:t>th</w:t>
      </w:r>
      <w:r w:rsidR="00477866">
        <w:rPr>
          <w:rFonts w:ascii="Times New Roman" w:hAnsi="Times New Roman"/>
          <w:sz w:val="24"/>
        </w:rPr>
        <w:t xml:space="preserve">at </w:t>
      </w:r>
      <w:r w:rsidR="00216981">
        <w:rPr>
          <w:rFonts w:ascii="Times New Roman" w:hAnsi="Times New Roman"/>
          <w:sz w:val="24"/>
        </w:rPr>
        <w:t>of ‘overall control’</w:t>
      </w:r>
      <w:r>
        <w:rPr>
          <w:rStyle w:val="a5"/>
          <w:rFonts w:ascii="Times New Roman" w:hAnsi="Times New Roman"/>
          <w:sz w:val="24"/>
        </w:rPr>
        <w:footnoteReference w:id="75"/>
      </w:r>
      <w:r w:rsidRPr="00B70961">
        <w:rPr>
          <w:rFonts w:ascii="Times New Roman" w:hAnsi="Times New Roman"/>
          <w:sz w:val="24"/>
        </w:rPr>
        <w:t xml:space="preserve"> Conversely, an IAC may switch (back) to a NIAC in case the degree of linkage between the armed group and the supporting State diminishes</w:t>
      </w:r>
      <w:r w:rsidR="00EF3563">
        <w:rPr>
          <w:rFonts w:ascii="Times New Roman" w:hAnsi="Times New Roman"/>
          <w:sz w:val="24"/>
        </w:rPr>
        <w:t xml:space="preserve"> </w:t>
      </w:r>
      <w:r w:rsidR="00482D2B">
        <w:rPr>
          <w:rFonts w:ascii="Times New Roman" w:hAnsi="Times New Roman"/>
          <w:sz w:val="24"/>
        </w:rPr>
        <w:t xml:space="preserve">to fall </w:t>
      </w:r>
      <w:r w:rsidR="00EF3563">
        <w:rPr>
          <w:rFonts w:ascii="Times New Roman" w:hAnsi="Times New Roman"/>
          <w:sz w:val="24"/>
        </w:rPr>
        <w:t>below the threshold of ‘overall control’</w:t>
      </w:r>
      <w:r w:rsidRPr="00B70961">
        <w:rPr>
          <w:rFonts w:ascii="Times New Roman" w:hAnsi="Times New Roman"/>
          <w:sz w:val="24"/>
        </w:rPr>
        <w:t>. Faced with such fluid nature of the armed conflict,</w:t>
      </w:r>
      <w:r w:rsidR="002C1B8A">
        <w:rPr>
          <w:rStyle w:val="a5"/>
          <w:rFonts w:ascii="Times New Roman" w:hAnsi="Times New Roman"/>
          <w:sz w:val="24"/>
        </w:rPr>
        <w:footnoteReference w:id="76"/>
      </w:r>
      <w:r w:rsidRPr="00B70961">
        <w:rPr>
          <w:rFonts w:ascii="Times New Roman" w:hAnsi="Times New Roman"/>
          <w:sz w:val="24"/>
        </w:rPr>
        <w:t xml:space="preserve"> it seems fallacious to propose that the level of organization should differ across the ‘artificial’ line between an IAC and a NIAC.</w:t>
      </w:r>
      <w:r>
        <w:rPr>
          <w:rStyle w:val="a5"/>
          <w:rFonts w:ascii="Times New Roman" w:hAnsi="Times New Roman"/>
          <w:sz w:val="24"/>
        </w:rPr>
        <w:footnoteReference w:id="77"/>
      </w:r>
      <w:r w:rsidRPr="00B70961">
        <w:rPr>
          <w:rFonts w:ascii="Times New Roman" w:hAnsi="Times New Roman"/>
          <w:sz w:val="24"/>
        </w:rPr>
        <w:t xml:space="preserve"> </w:t>
      </w:r>
    </w:p>
    <w:p w14:paraId="2F3C7445" w14:textId="77777777" w:rsidR="00B70961" w:rsidRPr="00B70961" w:rsidRDefault="00B70961" w:rsidP="00B70961">
      <w:pPr>
        <w:rPr>
          <w:rFonts w:ascii="Times New Roman" w:hAnsi="Times New Roman"/>
          <w:sz w:val="24"/>
        </w:rPr>
      </w:pPr>
    </w:p>
    <w:p w14:paraId="3D45597A" w14:textId="13BCD8CB" w:rsidR="00B70961" w:rsidRPr="00B70961" w:rsidRDefault="00B70961" w:rsidP="00B70961">
      <w:pPr>
        <w:rPr>
          <w:rFonts w:ascii="Times New Roman" w:hAnsi="Times New Roman"/>
          <w:sz w:val="24"/>
        </w:rPr>
      </w:pPr>
      <w:r w:rsidRPr="00B70961">
        <w:rPr>
          <w:rFonts w:ascii="Times New Roman" w:hAnsi="Times New Roman"/>
          <w:sz w:val="24"/>
        </w:rPr>
        <w:t>Further, on a more general level,</w:t>
      </w:r>
      <w:r w:rsidRPr="00B70961">
        <w:rPr>
          <w:rFonts w:ascii="Times New Roman" w:hAnsi="Times New Roman" w:hint="eastAsia"/>
          <w:sz w:val="24"/>
        </w:rPr>
        <w:t xml:space="preserve"> </w:t>
      </w:r>
      <w:r w:rsidRPr="00B70961">
        <w:rPr>
          <w:rFonts w:ascii="Times New Roman" w:hAnsi="Times New Roman"/>
          <w:sz w:val="24"/>
        </w:rPr>
        <w:t>there is a proposition to unpack and expose the flimsiness of the normative construct of IHL based on this ‘rigid bifurcation’ in armed conflicts between IACs and NIACs.</w:t>
      </w:r>
      <w:r w:rsidRPr="006F72D3">
        <w:rPr>
          <w:rStyle w:val="a5"/>
          <w:rFonts w:ascii="Times New Roman" w:hAnsi="Times New Roman"/>
          <w:sz w:val="24"/>
        </w:rPr>
        <w:footnoteReference w:id="78"/>
      </w:r>
      <w:r w:rsidRPr="00B70961">
        <w:rPr>
          <w:rFonts w:ascii="Times New Roman" w:hAnsi="Times New Roman"/>
          <w:sz w:val="24"/>
        </w:rPr>
        <w:t xml:space="preserve"> A critique goes further, suggesting that such dichotomy be nullified by merging much of the standards of IHL which are applicable to any armed conflict.</w:t>
      </w:r>
      <w:r w:rsidRPr="006F72D3">
        <w:rPr>
          <w:rStyle w:val="a5"/>
          <w:rFonts w:ascii="Times New Roman" w:hAnsi="Times New Roman"/>
          <w:sz w:val="24"/>
        </w:rPr>
        <w:footnoteReference w:id="79"/>
      </w:r>
      <w:r w:rsidRPr="00B70961">
        <w:rPr>
          <w:rFonts w:ascii="Times New Roman" w:hAnsi="Times New Roman"/>
          <w:sz w:val="24"/>
        </w:rPr>
        <w:t xml:space="preserve"> Those suggestions may be bolstered by the effect of the progressive expansion </w:t>
      </w:r>
      <w:r w:rsidRPr="00B70961">
        <w:rPr>
          <w:rFonts w:ascii="Times New Roman" w:hAnsi="Times New Roman"/>
          <w:sz w:val="24"/>
        </w:rPr>
        <w:lastRenderedPageBreak/>
        <w:t>of the customary IHL of NIACs</w:t>
      </w:r>
      <w:r w:rsidRPr="006F72D3">
        <w:rPr>
          <w:rStyle w:val="a5"/>
          <w:rFonts w:ascii="Times New Roman" w:hAnsi="Times New Roman"/>
          <w:sz w:val="24"/>
        </w:rPr>
        <w:footnoteReference w:id="80"/>
      </w:r>
      <w:r w:rsidRPr="00B70961">
        <w:rPr>
          <w:rFonts w:ascii="Times New Roman" w:hAnsi="Times New Roman"/>
          <w:sz w:val="24"/>
        </w:rPr>
        <w:t xml:space="preserve"> in narrowing the perceived NIAC/IAC chasm. </w:t>
      </w:r>
      <w:r w:rsidR="00DD3E16">
        <w:rPr>
          <w:rFonts w:ascii="Times New Roman" w:hAnsi="Times New Roman"/>
          <w:sz w:val="24"/>
        </w:rPr>
        <w:t>However, notwithstanding</w:t>
      </w:r>
      <w:r w:rsidR="00DD3E16" w:rsidRPr="00B70961">
        <w:rPr>
          <w:rFonts w:ascii="Times New Roman" w:hAnsi="Times New Roman"/>
          <w:sz w:val="24"/>
        </w:rPr>
        <w:t xml:space="preserve"> </w:t>
      </w:r>
      <w:r w:rsidR="00482D2B">
        <w:rPr>
          <w:rFonts w:ascii="Times New Roman" w:hAnsi="Times New Roman"/>
          <w:sz w:val="24"/>
        </w:rPr>
        <w:t>such growing opening in</w:t>
      </w:r>
      <w:r w:rsidRPr="00B70961">
        <w:rPr>
          <w:rFonts w:ascii="Times New Roman" w:hAnsi="Times New Roman"/>
          <w:sz w:val="24"/>
        </w:rPr>
        <w:t xml:space="preserve"> the </w:t>
      </w:r>
      <w:r w:rsidR="0050318C">
        <w:rPr>
          <w:rFonts w:ascii="Times New Roman" w:hAnsi="Times New Roman"/>
          <w:sz w:val="24"/>
        </w:rPr>
        <w:t>separation</w:t>
      </w:r>
      <w:r w:rsidR="0050318C" w:rsidRPr="00B70961">
        <w:rPr>
          <w:rFonts w:ascii="Times New Roman" w:hAnsi="Times New Roman"/>
          <w:sz w:val="24"/>
        </w:rPr>
        <w:t xml:space="preserve"> </w:t>
      </w:r>
      <w:r w:rsidR="00482D2B">
        <w:rPr>
          <w:rFonts w:ascii="Times New Roman" w:hAnsi="Times New Roman"/>
          <w:sz w:val="24"/>
        </w:rPr>
        <w:t xml:space="preserve">wall </w:t>
      </w:r>
      <w:r w:rsidRPr="00B70961">
        <w:rPr>
          <w:rFonts w:ascii="Times New Roman" w:hAnsi="Times New Roman"/>
          <w:sz w:val="24"/>
        </w:rPr>
        <w:t xml:space="preserve">between IACs and NIAC, it </w:t>
      </w:r>
      <w:r w:rsidR="00C64686">
        <w:rPr>
          <w:rFonts w:ascii="Times New Roman" w:hAnsi="Times New Roman"/>
          <w:sz w:val="24"/>
        </w:rPr>
        <w:t>is predictable</w:t>
      </w:r>
      <w:r w:rsidR="00DD3E16">
        <w:rPr>
          <w:rFonts w:ascii="Times New Roman" w:hAnsi="Times New Roman"/>
          <w:sz w:val="24"/>
        </w:rPr>
        <w:t xml:space="preserve"> </w:t>
      </w:r>
      <w:r w:rsidRPr="00B70961">
        <w:rPr>
          <w:rFonts w:ascii="Times New Roman" w:hAnsi="Times New Roman"/>
          <w:sz w:val="24"/>
        </w:rPr>
        <w:t xml:space="preserve">that at least in State practice, the divergence in the key IHL concepts and principles across the IAC/NIAC </w:t>
      </w:r>
      <w:r w:rsidR="0050318C">
        <w:rPr>
          <w:rFonts w:ascii="Times New Roman" w:hAnsi="Times New Roman"/>
          <w:sz w:val="24"/>
        </w:rPr>
        <w:t>binary</w:t>
      </w:r>
      <w:r w:rsidR="0050318C" w:rsidRPr="00B70961">
        <w:rPr>
          <w:rFonts w:ascii="Times New Roman" w:hAnsi="Times New Roman"/>
          <w:sz w:val="24"/>
        </w:rPr>
        <w:t xml:space="preserve"> </w:t>
      </w:r>
      <w:r w:rsidRPr="00B70961">
        <w:rPr>
          <w:rFonts w:ascii="Times New Roman" w:hAnsi="Times New Roman"/>
          <w:sz w:val="24"/>
        </w:rPr>
        <w:t>is likely to resonate for a good while</w:t>
      </w:r>
      <w:r w:rsidR="003A5CC6">
        <w:rPr>
          <w:rFonts w:ascii="Times New Roman" w:hAnsi="Times New Roman"/>
          <w:sz w:val="24"/>
        </w:rPr>
        <w:t>.</w:t>
      </w:r>
      <w:r w:rsidRPr="00152932">
        <w:rPr>
          <w:rStyle w:val="a5"/>
          <w:rFonts w:ascii="Times New Roman" w:hAnsi="Times New Roman"/>
          <w:sz w:val="24"/>
        </w:rPr>
        <w:footnoteReference w:id="81"/>
      </w:r>
      <w:r w:rsidR="003A5CC6" w:rsidRPr="003A5CC6">
        <w:rPr>
          <w:rFonts w:ascii="Times New Roman" w:hAnsi="Times New Roman"/>
          <w:sz w:val="24"/>
        </w:rPr>
        <w:t xml:space="preserve"> </w:t>
      </w:r>
      <w:r w:rsidR="003A5CC6">
        <w:rPr>
          <w:rFonts w:ascii="Times New Roman" w:hAnsi="Times New Roman"/>
          <w:sz w:val="24"/>
        </w:rPr>
        <w:t>Above all, the ICC’s jurisdictional purview of war crimes under Article 8 of the Rome Statute is demarcated on the strength of such a dichotomy.</w:t>
      </w:r>
      <w:r w:rsidRPr="00B70961">
        <w:rPr>
          <w:rFonts w:ascii="Times New Roman" w:hAnsi="Times New Roman"/>
          <w:sz w:val="24"/>
        </w:rPr>
        <w:t xml:space="preserve"> </w:t>
      </w:r>
      <w:r w:rsidR="00C64686">
        <w:rPr>
          <w:rFonts w:ascii="Times New Roman" w:hAnsi="Times New Roman"/>
          <w:sz w:val="24"/>
        </w:rPr>
        <w:t xml:space="preserve">The point that there is need for nuanced analyses in the case where such boundaries are fluid is revisited </w:t>
      </w:r>
      <w:r w:rsidR="00DD3E16">
        <w:rPr>
          <w:rFonts w:ascii="Times New Roman" w:hAnsi="Times New Roman"/>
          <w:sz w:val="24"/>
        </w:rPr>
        <w:t xml:space="preserve">at greater depth </w:t>
      </w:r>
      <w:r w:rsidR="00C64686">
        <w:rPr>
          <w:rFonts w:ascii="Times New Roman" w:hAnsi="Times New Roman"/>
          <w:sz w:val="24"/>
        </w:rPr>
        <w:t>in Section 8</w:t>
      </w:r>
      <w:r w:rsidR="005D5536">
        <w:rPr>
          <w:rFonts w:ascii="Times New Roman" w:hAnsi="Times New Roman"/>
          <w:sz w:val="24"/>
        </w:rPr>
        <w:t xml:space="preserve"> below</w:t>
      </w:r>
      <w:r w:rsidR="00C64686">
        <w:rPr>
          <w:rFonts w:ascii="Times New Roman" w:hAnsi="Times New Roman"/>
          <w:sz w:val="24"/>
        </w:rPr>
        <w:t>.</w:t>
      </w:r>
    </w:p>
    <w:p w14:paraId="34060DD4" w14:textId="77777777" w:rsidR="00B70961" w:rsidRPr="00B70961" w:rsidRDefault="00B70961" w:rsidP="00B70961">
      <w:pPr>
        <w:rPr>
          <w:rFonts w:ascii="Times New Roman" w:hAnsi="Times New Roman"/>
          <w:sz w:val="24"/>
        </w:rPr>
      </w:pPr>
    </w:p>
    <w:p w14:paraId="64408C67" w14:textId="0622D3B9" w:rsidR="00FC79AF" w:rsidRPr="006061CF" w:rsidRDefault="00D60483" w:rsidP="006347AB">
      <w:pPr>
        <w:pStyle w:val="ad"/>
        <w:numPr>
          <w:ilvl w:val="0"/>
          <w:numId w:val="1"/>
        </w:numPr>
        <w:ind w:leftChars="0"/>
        <w:rPr>
          <w:rFonts w:ascii="Times New Roman" w:hAnsi="Times New Roman"/>
          <w:b/>
          <w:bCs/>
          <w:sz w:val="24"/>
        </w:rPr>
      </w:pPr>
      <w:r w:rsidRPr="006061CF">
        <w:rPr>
          <w:rFonts w:ascii="Times New Roman" w:hAnsi="Times New Roman"/>
          <w:b/>
          <w:bCs/>
          <w:sz w:val="24"/>
        </w:rPr>
        <w:t xml:space="preserve">A </w:t>
      </w:r>
      <w:r w:rsidR="0053159F">
        <w:rPr>
          <w:rFonts w:ascii="Times New Roman" w:hAnsi="Times New Roman"/>
          <w:b/>
          <w:bCs/>
          <w:sz w:val="24"/>
        </w:rPr>
        <w:t>H</w:t>
      </w:r>
      <w:r w:rsidR="00FC79AF" w:rsidRPr="006061CF">
        <w:rPr>
          <w:rFonts w:ascii="Times New Roman" w:hAnsi="Times New Roman"/>
          <w:b/>
          <w:bCs/>
          <w:sz w:val="24"/>
        </w:rPr>
        <w:t xml:space="preserve">ypothesis </w:t>
      </w:r>
      <w:r w:rsidR="0053159F">
        <w:rPr>
          <w:rFonts w:ascii="Times New Roman" w:hAnsi="Times New Roman"/>
          <w:b/>
          <w:bCs/>
          <w:sz w:val="24"/>
        </w:rPr>
        <w:t>T</w:t>
      </w:r>
      <w:r w:rsidR="00FC79AF" w:rsidRPr="006061CF">
        <w:rPr>
          <w:rFonts w:ascii="Times New Roman" w:hAnsi="Times New Roman"/>
          <w:b/>
          <w:bCs/>
          <w:sz w:val="24"/>
        </w:rPr>
        <w:t xml:space="preserve">hat the </w:t>
      </w:r>
      <w:r w:rsidR="0053159F">
        <w:rPr>
          <w:rFonts w:ascii="Times New Roman" w:hAnsi="Times New Roman"/>
          <w:b/>
          <w:bCs/>
          <w:sz w:val="24"/>
        </w:rPr>
        <w:t>S</w:t>
      </w:r>
      <w:r w:rsidR="00FC79AF" w:rsidRPr="006061CF">
        <w:rPr>
          <w:rFonts w:ascii="Times New Roman" w:hAnsi="Times New Roman"/>
          <w:b/>
          <w:bCs/>
          <w:sz w:val="24"/>
        </w:rPr>
        <w:t xml:space="preserve">tandard </w:t>
      </w:r>
      <w:r w:rsidR="0053159F">
        <w:rPr>
          <w:rFonts w:ascii="Times New Roman" w:hAnsi="Times New Roman"/>
          <w:b/>
          <w:bCs/>
          <w:sz w:val="24"/>
        </w:rPr>
        <w:t>for</w:t>
      </w:r>
      <w:r w:rsidR="00FC79AF" w:rsidRPr="006061CF">
        <w:rPr>
          <w:rFonts w:ascii="Times New Roman" w:hAnsi="Times New Roman"/>
          <w:b/>
          <w:bCs/>
          <w:sz w:val="24"/>
        </w:rPr>
        <w:t xml:space="preserve"> </w:t>
      </w:r>
      <w:r w:rsidR="0053159F">
        <w:rPr>
          <w:rFonts w:ascii="Times New Roman" w:hAnsi="Times New Roman"/>
          <w:b/>
          <w:bCs/>
          <w:sz w:val="24"/>
        </w:rPr>
        <w:t>O</w:t>
      </w:r>
      <w:r w:rsidR="00FC79AF" w:rsidRPr="006061CF">
        <w:rPr>
          <w:rFonts w:ascii="Times New Roman" w:hAnsi="Times New Roman"/>
          <w:b/>
          <w:bCs/>
          <w:sz w:val="24"/>
        </w:rPr>
        <w:t>rganization under Article 4</w:t>
      </w:r>
      <w:proofErr w:type="gramStart"/>
      <w:r w:rsidR="00FC79AF" w:rsidRPr="006061CF">
        <w:rPr>
          <w:rFonts w:ascii="Times New Roman" w:hAnsi="Times New Roman"/>
          <w:b/>
          <w:bCs/>
          <w:sz w:val="24"/>
        </w:rPr>
        <w:t>A(</w:t>
      </w:r>
      <w:proofErr w:type="gramEnd"/>
      <w:r w:rsidR="00FC79AF" w:rsidRPr="006061CF">
        <w:rPr>
          <w:rFonts w:ascii="Times New Roman" w:hAnsi="Times New Roman"/>
          <w:b/>
          <w:bCs/>
          <w:sz w:val="24"/>
        </w:rPr>
        <w:t>2)</w:t>
      </w:r>
      <w:r w:rsidR="00A61233">
        <w:rPr>
          <w:rFonts w:ascii="Times New Roman" w:hAnsi="Times New Roman"/>
          <w:b/>
          <w:bCs/>
          <w:sz w:val="24"/>
        </w:rPr>
        <w:t xml:space="preserve"> of the</w:t>
      </w:r>
      <w:r w:rsidR="00FC79AF" w:rsidRPr="006061CF">
        <w:rPr>
          <w:rFonts w:ascii="Times New Roman" w:hAnsi="Times New Roman"/>
          <w:b/>
          <w:bCs/>
          <w:sz w:val="24"/>
        </w:rPr>
        <w:t xml:space="preserve"> </w:t>
      </w:r>
      <w:r w:rsidR="001D7ED3">
        <w:rPr>
          <w:rFonts w:ascii="Times New Roman" w:hAnsi="Times New Roman"/>
          <w:b/>
          <w:bCs/>
          <w:sz w:val="24"/>
        </w:rPr>
        <w:t>Geneva Convention</w:t>
      </w:r>
      <w:r w:rsidR="00FC79AF" w:rsidRPr="006061CF">
        <w:rPr>
          <w:rFonts w:ascii="Times New Roman" w:hAnsi="Times New Roman"/>
          <w:b/>
          <w:bCs/>
          <w:sz w:val="24"/>
        </w:rPr>
        <w:t xml:space="preserve"> III </w:t>
      </w:r>
      <w:r w:rsidR="0053159F">
        <w:rPr>
          <w:rFonts w:ascii="Times New Roman" w:hAnsi="Times New Roman"/>
          <w:b/>
          <w:bCs/>
          <w:sz w:val="24"/>
        </w:rPr>
        <w:t>M</w:t>
      </w:r>
      <w:r w:rsidRPr="006061CF">
        <w:rPr>
          <w:rFonts w:ascii="Times New Roman" w:hAnsi="Times New Roman"/>
          <w:b/>
          <w:bCs/>
          <w:sz w:val="24"/>
        </w:rPr>
        <w:t>ight be</w:t>
      </w:r>
      <w:r w:rsidR="00FC79AF" w:rsidRPr="006061CF">
        <w:rPr>
          <w:rFonts w:ascii="Times New Roman" w:hAnsi="Times New Roman"/>
          <w:b/>
          <w:bCs/>
          <w:sz w:val="24"/>
        </w:rPr>
        <w:t xml:space="preserve"> </w:t>
      </w:r>
      <w:r w:rsidR="0053159F">
        <w:rPr>
          <w:rFonts w:ascii="Times New Roman" w:hAnsi="Times New Roman"/>
          <w:b/>
          <w:bCs/>
          <w:sz w:val="24"/>
        </w:rPr>
        <w:t>H</w:t>
      </w:r>
      <w:r w:rsidR="00FC79AF" w:rsidRPr="006061CF">
        <w:rPr>
          <w:rFonts w:ascii="Times New Roman" w:hAnsi="Times New Roman"/>
          <w:b/>
          <w:bCs/>
          <w:sz w:val="24"/>
        </w:rPr>
        <w:t xml:space="preserve">igher </w:t>
      </w:r>
      <w:r w:rsidR="0053159F">
        <w:rPr>
          <w:rFonts w:ascii="Times New Roman" w:hAnsi="Times New Roman"/>
          <w:b/>
          <w:bCs/>
          <w:sz w:val="24"/>
        </w:rPr>
        <w:t>T</w:t>
      </w:r>
      <w:r w:rsidR="00FC79AF" w:rsidRPr="006061CF">
        <w:rPr>
          <w:rFonts w:ascii="Times New Roman" w:hAnsi="Times New Roman"/>
          <w:b/>
          <w:bCs/>
          <w:sz w:val="24"/>
        </w:rPr>
        <w:t xml:space="preserve">han </w:t>
      </w:r>
      <w:r w:rsidR="0053159F">
        <w:rPr>
          <w:rFonts w:ascii="Times New Roman" w:hAnsi="Times New Roman"/>
          <w:b/>
          <w:bCs/>
          <w:sz w:val="24"/>
        </w:rPr>
        <w:t>T</w:t>
      </w:r>
      <w:r w:rsidR="00FC79AF" w:rsidRPr="006061CF">
        <w:rPr>
          <w:rFonts w:ascii="Times New Roman" w:hAnsi="Times New Roman"/>
          <w:b/>
          <w:bCs/>
          <w:sz w:val="24"/>
        </w:rPr>
        <w:t>hat in NIAC</w:t>
      </w:r>
      <w:r w:rsidR="0053159F">
        <w:rPr>
          <w:rFonts w:ascii="Times New Roman" w:hAnsi="Times New Roman"/>
          <w:b/>
          <w:bCs/>
          <w:sz w:val="24"/>
        </w:rPr>
        <w:t>s</w:t>
      </w:r>
    </w:p>
    <w:p w14:paraId="1B574A80" w14:textId="74142BFF" w:rsidR="00FC79AF" w:rsidRDefault="00FC79AF" w:rsidP="00FC79AF">
      <w:pPr>
        <w:rPr>
          <w:rFonts w:ascii="Times New Roman" w:hAnsi="Times New Roman"/>
          <w:sz w:val="24"/>
        </w:rPr>
      </w:pPr>
      <w:r w:rsidRPr="004D235F">
        <w:rPr>
          <w:rFonts w:ascii="Times New Roman" w:hAnsi="Times New Roman"/>
          <w:sz w:val="24"/>
        </w:rPr>
        <w:t xml:space="preserve">It may be hypothesized that </w:t>
      </w:r>
      <w:r w:rsidR="005D5536">
        <w:rPr>
          <w:rFonts w:ascii="Times New Roman" w:hAnsi="Times New Roman"/>
          <w:sz w:val="24"/>
        </w:rPr>
        <w:t xml:space="preserve">the organized level </w:t>
      </w:r>
      <w:r w:rsidR="009B4918">
        <w:rPr>
          <w:rFonts w:ascii="Times New Roman" w:hAnsi="Times New Roman"/>
          <w:sz w:val="24"/>
        </w:rPr>
        <w:t xml:space="preserve">of </w:t>
      </w:r>
      <w:r w:rsidRPr="004D235F">
        <w:rPr>
          <w:rFonts w:ascii="Times New Roman" w:hAnsi="Times New Roman"/>
          <w:sz w:val="24"/>
        </w:rPr>
        <w:t xml:space="preserve">an irregular armed group covered by Article 4A(2) </w:t>
      </w:r>
      <w:r w:rsidR="00EB2158">
        <w:rPr>
          <w:rFonts w:ascii="Times New Roman" w:hAnsi="Times New Roman"/>
          <w:sz w:val="24"/>
        </w:rPr>
        <w:t xml:space="preserve">of the </w:t>
      </w:r>
      <w:r w:rsidR="001D7ED3">
        <w:rPr>
          <w:rFonts w:ascii="Times New Roman" w:hAnsi="Times New Roman"/>
          <w:sz w:val="24"/>
        </w:rPr>
        <w:t>Geneva Convention</w:t>
      </w:r>
      <w:r w:rsidRPr="004D235F">
        <w:rPr>
          <w:rFonts w:ascii="Times New Roman" w:hAnsi="Times New Roman"/>
          <w:sz w:val="24"/>
        </w:rPr>
        <w:t xml:space="preserve"> III should measure </w:t>
      </w:r>
      <w:r>
        <w:rPr>
          <w:rFonts w:ascii="Times New Roman" w:hAnsi="Times New Roman"/>
          <w:sz w:val="24"/>
        </w:rPr>
        <w:t>up to</w:t>
      </w:r>
      <w:r w:rsidRPr="004D235F">
        <w:rPr>
          <w:rFonts w:ascii="Times New Roman" w:hAnsi="Times New Roman"/>
          <w:sz w:val="24"/>
        </w:rPr>
        <w:t xml:space="preserve"> a higher standard than an armed group in a NIAC (whether covered by common Article 3 </w:t>
      </w:r>
      <w:r w:rsidR="00A61233">
        <w:rPr>
          <w:rFonts w:ascii="Times New Roman" w:hAnsi="Times New Roman"/>
          <w:sz w:val="24"/>
        </w:rPr>
        <w:t xml:space="preserve">of the </w:t>
      </w:r>
      <w:r w:rsidR="001D7ED3">
        <w:rPr>
          <w:rFonts w:ascii="Times New Roman" w:hAnsi="Times New Roman"/>
          <w:sz w:val="24"/>
        </w:rPr>
        <w:t>Geneva Convention</w:t>
      </w:r>
      <w:r w:rsidRPr="004D235F">
        <w:rPr>
          <w:rFonts w:ascii="Times New Roman" w:hAnsi="Times New Roman"/>
          <w:sz w:val="24"/>
        </w:rPr>
        <w:t xml:space="preserve">s or by the </w:t>
      </w:r>
      <w:r w:rsidR="001D7ED3">
        <w:rPr>
          <w:rFonts w:ascii="Times New Roman" w:hAnsi="Times New Roman"/>
          <w:sz w:val="24"/>
        </w:rPr>
        <w:t>Additional Protocol</w:t>
      </w:r>
      <w:r w:rsidR="00EB2158">
        <w:rPr>
          <w:rFonts w:ascii="Times New Roman" w:hAnsi="Times New Roman"/>
          <w:sz w:val="24"/>
        </w:rPr>
        <w:t xml:space="preserve"> </w:t>
      </w:r>
      <w:r w:rsidRPr="004D235F">
        <w:rPr>
          <w:rFonts w:ascii="Times New Roman" w:hAnsi="Times New Roman"/>
          <w:sz w:val="24"/>
        </w:rPr>
        <w:t xml:space="preserve">II). </w:t>
      </w:r>
      <w:r>
        <w:rPr>
          <w:rFonts w:ascii="Times New Roman" w:hAnsi="Times New Roman"/>
          <w:sz w:val="24"/>
        </w:rPr>
        <w:t xml:space="preserve">It is worth testing this hypothesis. As a rationale for this hypothesis, one </w:t>
      </w:r>
      <w:r w:rsidRPr="004D235F">
        <w:rPr>
          <w:rFonts w:ascii="Times New Roman" w:hAnsi="Times New Roman"/>
          <w:sz w:val="24"/>
        </w:rPr>
        <w:t xml:space="preserve">might argue that the former must brace itself to reinforce its organizational structure sufficiently to ensure that the group as a whole and their members can be </w:t>
      </w:r>
      <w:r w:rsidR="00D60483">
        <w:rPr>
          <w:rFonts w:ascii="Times New Roman" w:hAnsi="Times New Roman"/>
          <w:sz w:val="24"/>
        </w:rPr>
        <w:t>perceived</w:t>
      </w:r>
      <w:r w:rsidRPr="004D235F">
        <w:rPr>
          <w:rFonts w:ascii="Times New Roman" w:hAnsi="Times New Roman"/>
          <w:sz w:val="24"/>
        </w:rPr>
        <w:t xml:space="preserve"> as </w:t>
      </w:r>
      <w:r w:rsidR="00D60483">
        <w:rPr>
          <w:rFonts w:ascii="Times New Roman" w:hAnsi="Times New Roman"/>
          <w:sz w:val="24"/>
        </w:rPr>
        <w:t>conforming</w:t>
      </w:r>
      <w:r w:rsidRPr="004D235F">
        <w:rPr>
          <w:rFonts w:ascii="Times New Roman" w:hAnsi="Times New Roman"/>
          <w:sz w:val="24"/>
        </w:rPr>
        <w:t xml:space="preserve"> to the POW criteria under Article 4A(2) </w:t>
      </w:r>
      <w:r w:rsidR="00EB2158">
        <w:rPr>
          <w:rFonts w:ascii="Times New Roman" w:hAnsi="Times New Roman"/>
          <w:sz w:val="24"/>
        </w:rPr>
        <w:t xml:space="preserve">of the Third </w:t>
      </w:r>
      <w:r w:rsidR="001D7ED3">
        <w:rPr>
          <w:rFonts w:ascii="Times New Roman" w:hAnsi="Times New Roman"/>
          <w:sz w:val="24"/>
        </w:rPr>
        <w:t>Geneva Convention</w:t>
      </w:r>
      <w:r w:rsidRPr="004D235F">
        <w:rPr>
          <w:rFonts w:ascii="Times New Roman" w:hAnsi="Times New Roman"/>
          <w:sz w:val="24"/>
        </w:rPr>
        <w:t xml:space="preserve">. This rationale </w:t>
      </w:r>
      <w:r w:rsidR="00DD3E16">
        <w:rPr>
          <w:rFonts w:ascii="Times New Roman" w:hAnsi="Times New Roman"/>
          <w:sz w:val="24"/>
        </w:rPr>
        <w:t>might</w:t>
      </w:r>
      <w:r w:rsidR="00DD3E16" w:rsidRPr="004D235F">
        <w:rPr>
          <w:rFonts w:ascii="Times New Roman" w:hAnsi="Times New Roman"/>
          <w:sz w:val="24"/>
        </w:rPr>
        <w:t xml:space="preserve"> </w:t>
      </w:r>
      <w:r w:rsidRPr="004D235F">
        <w:rPr>
          <w:rFonts w:ascii="Times New Roman" w:hAnsi="Times New Roman"/>
          <w:sz w:val="24"/>
        </w:rPr>
        <w:t xml:space="preserve">be bolstered when compared with the IHL of NIACs. </w:t>
      </w:r>
      <w:r w:rsidR="0046608D">
        <w:rPr>
          <w:rFonts w:ascii="Times New Roman" w:hAnsi="Times New Roman"/>
          <w:sz w:val="24"/>
        </w:rPr>
        <w:t xml:space="preserve">In the absence of </w:t>
      </w:r>
      <w:r w:rsidRPr="004D235F">
        <w:rPr>
          <w:rFonts w:ascii="Times New Roman" w:hAnsi="Times New Roman"/>
          <w:sz w:val="24"/>
        </w:rPr>
        <w:t>a</w:t>
      </w:r>
      <w:r w:rsidR="00482D2B">
        <w:rPr>
          <w:rFonts w:ascii="Times New Roman" w:hAnsi="Times New Roman"/>
          <w:sz w:val="24"/>
        </w:rPr>
        <w:t>ny</w:t>
      </w:r>
      <w:r w:rsidRPr="004D235F">
        <w:rPr>
          <w:rFonts w:ascii="Times New Roman" w:hAnsi="Times New Roman"/>
          <w:sz w:val="24"/>
        </w:rPr>
        <w:t xml:space="preserve"> special agreement pursuant to Common Article 3(3)</w:t>
      </w:r>
      <w:r>
        <w:rPr>
          <w:rFonts w:ascii="Times New Roman" w:hAnsi="Times New Roman"/>
          <w:sz w:val="24"/>
        </w:rPr>
        <w:t xml:space="preserve"> </w:t>
      </w:r>
      <w:r w:rsidR="00EB2158">
        <w:rPr>
          <w:rFonts w:ascii="Times New Roman" w:hAnsi="Times New Roman"/>
          <w:sz w:val="24"/>
        </w:rPr>
        <w:t xml:space="preserve">of the </w:t>
      </w:r>
      <w:r w:rsidR="001D7ED3">
        <w:rPr>
          <w:rFonts w:ascii="Times New Roman" w:hAnsi="Times New Roman"/>
          <w:sz w:val="24"/>
        </w:rPr>
        <w:t>Geneva Convention</w:t>
      </w:r>
      <w:r>
        <w:rPr>
          <w:rFonts w:ascii="Times New Roman" w:hAnsi="Times New Roman"/>
          <w:sz w:val="24"/>
        </w:rPr>
        <w:t>s</w:t>
      </w:r>
      <w:r w:rsidRPr="004D235F">
        <w:rPr>
          <w:rFonts w:ascii="Times New Roman" w:hAnsi="Times New Roman"/>
          <w:sz w:val="24"/>
        </w:rPr>
        <w:t xml:space="preserve"> or </w:t>
      </w:r>
      <w:r w:rsidR="0046608D">
        <w:rPr>
          <w:rFonts w:ascii="Times New Roman" w:hAnsi="Times New Roman"/>
          <w:sz w:val="24"/>
        </w:rPr>
        <w:t xml:space="preserve">of </w:t>
      </w:r>
      <w:r w:rsidRPr="004D235F">
        <w:rPr>
          <w:rFonts w:ascii="Times New Roman" w:hAnsi="Times New Roman"/>
          <w:sz w:val="24"/>
        </w:rPr>
        <w:t>a</w:t>
      </w:r>
      <w:r w:rsidR="00482D2B">
        <w:rPr>
          <w:rFonts w:ascii="Times New Roman" w:hAnsi="Times New Roman"/>
          <w:sz w:val="24"/>
        </w:rPr>
        <w:t>ny</w:t>
      </w:r>
      <w:r w:rsidRPr="004D235F">
        <w:rPr>
          <w:rFonts w:ascii="Times New Roman" w:hAnsi="Times New Roman"/>
          <w:sz w:val="24"/>
        </w:rPr>
        <w:t xml:space="preserve"> unilateral act of one or more parties to the conflict</w:t>
      </w:r>
      <w:r>
        <w:rPr>
          <w:rFonts w:ascii="Times New Roman" w:hAnsi="Times New Roman"/>
          <w:sz w:val="24"/>
        </w:rPr>
        <w:t>,</w:t>
      </w:r>
      <w:r w:rsidRPr="004D235F">
        <w:rPr>
          <w:rStyle w:val="a5"/>
          <w:rFonts w:ascii="Times New Roman" w:hAnsi="Times New Roman"/>
          <w:sz w:val="24"/>
        </w:rPr>
        <w:footnoteReference w:id="82"/>
      </w:r>
      <w:r w:rsidRPr="004D235F">
        <w:rPr>
          <w:rFonts w:ascii="Times New Roman" w:hAnsi="Times New Roman"/>
          <w:sz w:val="24"/>
        </w:rPr>
        <w:t xml:space="preserve"> </w:t>
      </w:r>
      <w:r>
        <w:rPr>
          <w:rFonts w:ascii="Times New Roman" w:hAnsi="Times New Roman"/>
          <w:sz w:val="24"/>
        </w:rPr>
        <w:t xml:space="preserve">there is no </w:t>
      </w:r>
      <w:r w:rsidRPr="004D235F">
        <w:rPr>
          <w:rFonts w:ascii="Times New Roman" w:hAnsi="Times New Roman"/>
          <w:sz w:val="24"/>
        </w:rPr>
        <w:t>equivalent to POW status</w:t>
      </w:r>
      <w:r>
        <w:rPr>
          <w:rFonts w:ascii="Times New Roman" w:hAnsi="Times New Roman"/>
          <w:sz w:val="24"/>
        </w:rPr>
        <w:t xml:space="preserve"> in the IHL of NIACs.</w:t>
      </w:r>
      <w:r w:rsidRPr="004D235F">
        <w:rPr>
          <w:rStyle w:val="a5"/>
          <w:rFonts w:ascii="Times New Roman" w:hAnsi="Times New Roman"/>
          <w:sz w:val="24"/>
        </w:rPr>
        <w:footnoteReference w:id="83"/>
      </w:r>
      <w:r w:rsidRPr="004D235F">
        <w:rPr>
          <w:rFonts w:ascii="Times New Roman" w:hAnsi="Times New Roman"/>
          <w:sz w:val="24"/>
        </w:rPr>
        <w:t xml:space="preserve"> </w:t>
      </w:r>
    </w:p>
    <w:p w14:paraId="7ED1C65F" w14:textId="77777777" w:rsidR="00FC79AF" w:rsidRPr="004D235F" w:rsidRDefault="00FC79AF" w:rsidP="00FC79AF">
      <w:pPr>
        <w:rPr>
          <w:rFonts w:ascii="Times New Roman" w:hAnsi="Times New Roman"/>
          <w:sz w:val="24"/>
        </w:rPr>
      </w:pPr>
    </w:p>
    <w:p w14:paraId="1F71CE3D" w14:textId="6B3E16F8" w:rsidR="00DD3E16" w:rsidRDefault="00FC79AF" w:rsidP="00FC79AF">
      <w:pPr>
        <w:rPr>
          <w:rFonts w:ascii="Times New Roman" w:hAnsi="Times New Roman"/>
          <w:sz w:val="24"/>
        </w:rPr>
      </w:pPr>
      <w:r>
        <w:rPr>
          <w:rFonts w:ascii="Times New Roman" w:hAnsi="Times New Roman"/>
          <w:sz w:val="24"/>
        </w:rPr>
        <w:t xml:space="preserve">However, </w:t>
      </w:r>
      <w:r w:rsidR="000A0451">
        <w:rPr>
          <w:rFonts w:ascii="Times New Roman" w:hAnsi="Times New Roman"/>
          <w:sz w:val="24"/>
        </w:rPr>
        <w:t xml:space="preserve">the </w:t>
      </w:r>
      <w:r>
        <w:rPr>
          <w:rFonts w:ascii="Times New Roman" w:hAnsi="Times New Roman"/>
          <w:sz w:val="24"/>
        </w:rPr>
        <w:t>cogency of th</w:t>
      </w:r>
      <w:r w:rsidR="0008577C">
        <w:rPr>
          <w:rFonts w:ascii="Times New Roman" w:hAnsi="Times New Roman"/>
          <w:sz w:val="24"/>
        </w:rPr>
        <w:t xml:space="preserve">is </w:t>
      </w:r>
      <w:r>
        <w:rPr>
          <w:rFonts w:ascii="Times New Roman" w:hAnsi="Times New Roman"/>
          <w:sz w:val="24"/>
        </w:rPr>
        <w:t xml:space="preserve">hypothesis is eclipsed by the </w:t>
      </w:r>
      <w:r w:rsidR="0060729B">
        <w:rPr>
          <w:rFonts w:ascii="Times New Roman" w:hAnsi="Times New Roman"/>
          <w:sz w:val="24"/>
        </w:rPr>
        <w:t xml:space="preserve">underlying assumption of </w:t>
      </w:r>
      <w:r>
        <w:rPr>
          <w:rFonts w:ascii="Times New Roman" w:hAnsi="Times New Roman"/>
          <w:sz w:val="24"/>
        </w:rPr>
        <w:t>this requirement</w:t>
      </w:r>
      <w:r w:rsidR="0060729B">
        <w:rPr>
          <w:rFonts w:ascii="Times New Roman" w:hAnsi="Times New Roman"/>
          <w:sz w:val="24"/>
        </w:rPr>
        <w:t xml:space="preserve"> </w:t>
      </w:r>
      <w:r w:rsidR="003B398C">
        <w:rPr>
          <w:rFonts w:ascii="Times New Roman" w:hAnsi="Times New Roman"/>
          <w:sz w:val="24"/>
        </w:rPr>
        <w:t xml:space="preserve">in the context of IACs. This requirement </w:t>
      </w:r>
      <w:r w:rsidR="00DD3E16">
        <w:rPr>
          <w:rFonts w:ascii="Times New Roman" w:hAnsi="Times New Roman"/>
          <w:sz w:val="24"/>
        </w:rPr>
        <w:t xml:space="preserve">is purported to </w:t>
      </w:r>
      <w:r w:rsidR="000A0451">
        <w:rPr>
          <w:rFonts w:ascii="Times New Roman" w:hAnsi="Times New Roman"/>
          <w:sz w:val="24"/>
        </w:rPr>
        <w:t>serve</w:t>
      </w:r>
      <w:r>
        <w:rPr>
          <w:rFonts w:ascii="Times New Roman" w:hAnsi="Times New Roman"/>
          <w:sz w:val="24"/>
        </w:rPr>
        <w:t xml:space="preserve"> as a relatively trouble-free vehicle for steering </w:t>
      </w:r>
      <w:r w:rsidR="00DD3E16">
        <w:rPr>
          <w:rFonts w:ascii="Times New Roman" w:hAnsi="Times New Roman"/>
          <w:sz w:val="24"/>
        </w:rPr>
        <w:t xml:space="preserve">a </w:t>
      </w:r>
      <w:r>
        <w:rPr>
          <w:rFonts w:ascii="Times New Roman" w:hAnsi="Times New Roman"/>
          <w:sz w:val="24"/>
        </w:rPr>
        <w:t>detaining power toward a more substantive assessment of the four classic POW criteria</w:t>
      </w:r>
      <w:r w:rsidR="003B398C">
        <w:rPr>
          <w:rFonts w:ascii="Times New Roman" w:hAnsi="Times New Roman"/>
          <w:sz w:val="24"/>
        </w:rPr>
        <w:t xml:space="preserve"> under Article 4</w:t>
      </w:r>
      <w:proofErr w:type="gramStart"/>
      <w:r w:rsidR="003B398C">
        <w:rPr>
          <w:rFonts w:ascii="Times New Roman" w:hAnsi="Times New Roman"/>
          <w:sz w:val="24"/>
        </w:rPr>
        <w:t>A(</w:t>
      </w:r>
      <w:proofErr w:type="gramEnd"/>
      <w:r w:rsidR="003B398C">
        <w:rPr>
          <w:rFonts w:ascii="Times New Roman" w:hAnsi="Times New Roman"/>
          <w:sz w:val="24"/>
        </w:rPr>
        <w:t>2) of the Third Geneva Convention</w:t>
      </w:r>
      <w:r>
        <w:rPr>
          <w:rFonts w:ascii="Times New Roman" w:hAnsi="Times New Roman"/>
          <w:sz w:val="24"/>
        </w:rPr>
        <w:t xml:space="preserve">. </w:t>
      </w:r>
      <w:r w:rsidR="003B398C">
        <w:rPr>
          <w:rFonts w:ascii="Times New Roman" w:hAnsi="Times New Roman"/>
          <w:sz w:val="24"/>
        </w:rPr>
        <w:t>The</w:t>
      </w:r>
      <w:r w:rsidR="00DD3E16">
        <w:rPr>
          <w:rFonts w:ascii="Times New Roman" w:hAnsi="Times New Roman"/>
          <w:sz w:val="24"/>
        </w:rPr>
        <w:t xml:space="preserve"> evaluation of </w:t>
      </w:r>
      <w:r>
        <w:rPr>
          <w:rFonts w:ascii="Times New Roman" w:hAnsi="Times New Roman"/>
          <w:sz w:val="24"/>
        </w:rPr>
        <w:t xml:space="preserve">the sufficiently organized level of an armed group </w:t>
      </w:r>
      <w:r w:rsidR="00DD3E16">
        <w:rPr>
          <w:rFonts w:ascii="Times New Roman" w:hAnsi="Times New Roman"/>
          <w:sz w:val="24"/>
        </w:rPr>
        <w:t xml:space="preserve">hinges </w:t>
      </w:r>
      <w:r>
        <w:rPr>
          <w:rFonts w:ascii="Times New Roman" w:hAnsi="Times New Roman"/>
          <w:sz w:val="24"/>
        </w:rPr>
        <w:t xml:space="preserve">ultimately upon </w:t>
      </w:r>
      <w:r w:rsidR="009D50DC">
        <w:rPr>
          <w:rFonts w:ascii="Times New Roman" w:hAnsi="Times New Roman"/>
          <w:sz w:val="24"/>
        </w:rPr>
        <w:t xml:space="preserve">its </w:t>
      </w:r>
      <w:r>
        <w:rPr>
          <w:rFonts w:ascii="Times New Roman" w:hAnsi="Times New Roman"/>
          <w:sz w:val="24"/>
        </w:rPr>
        <w:t>compliance with those criteria.</w:t>
      </w:r>
      <w:r>
        <w:rPr>
          <w:rStyle w:val="a5"/>
          <w:rFonts w:ascii="Times New Roman" w:hAnsi="Times New Roman"/>
          <w:sz w:val="24"/>
        </w:rPr>
        <w:footnoteReference w:id="84"/>
      </w:r>
      <w:r>
        <w:rPr>
          <w:rFonts w:ascii="Times New Roman" w:hAnsi="Times New Roman"/>
          <w:sz w:val="24"/>
        </w:rPr>
        <w:t xml:space="preserve"> Such a low-key tone </w:t>
      </w:r>
      <w:r w:rsidR="000A0451">
        <w:rPr>
          <w:rFonts w:ascii="Times New Roman" w:hAnsi="Times New Roman"/>
          <w:sz w:val="24"/>
        </w:rPr>
        <w:t xml:space="preserve">for this requirement </w:t>
      </w:r>
      <w:r>
        <w:rPr>
          <w:rFonts w:ascii="Times New Roman" w:hAnsi="Times New Roman"/>
          <w:sz w:val="24"/>
        </w:rPr>
        <w:t xml:space="preserve">lends </w:t>
      </w:r>
      <w:r>
        <w:rPr>
          <w:rFonts w:ascii="Times New Roman" w:hAnsi="Times New Roman"/>
          <w:sz w:val="24"/>
        </w:rPr>
        <w:lastRenderedPageBreak/>
        <w:t>itself to a suggestion that the organizational level should be tested by a laxer threshold,</w:t>
      </w:r>
      <w:r>
        <w:rPr>
          <w:rStyle w:val="a5"/>
          <w:rFonts w:ascii="Times New Roman" w:hAnsi="Times New Roman"/>
          <w:sz w:val="24"/>
        </w:rPr>
        <w:footnoteReference w:id="85"/>
      </w:r>
      <w:r>
        <w:rPr>
          <w:rFonts w:ascii="Times New Roman" w:hAnsi="Times New Roman"/>
          <w:sz w:val="24"/>
        </w:rPr>
        <w:t xml:space="preserve"> </w:t>
      </w:r>
      <w:r w:rsidR="00482D2B">
        <w:rPr>
          <w:rFonts w:ascii="Times New Roman" w:hAnsi="Times New Roman"/>
          <w:sz w:val="24"/>
        </w:rPr>
        <w:t xml:space="preserve">and </w:t>
      </w:r>
      <w:r w:rsidR="005747B5">
        <w:rPr>
          <w:rFonts w:ascii="Times New Roman" w:hAnsi="Times New Roman"/>
          <w:sz w:val="24"/>
        </w:rPr>
        <w:t xml:space="preserve">that </w:t>
      </w:r>
      <w:r>
        <w:rPr>
          <w:rFonts w:ascii="Times New Roman" w:hAnsi="Times New Roman"/>
          <w:sz w:val="24"/>
        </w:rPr>
        <w:t>this requirement</w:t>
      </w:r>
      <w:r w:rsidR="005747B5">
        <w:rPr>
          <w:rFonts w:ascii="Times New Roman" w:hAnsi="Times New Roman"/>
          <w:sz w:val="24"/>
        </w:rPr>
        <w:t xml:space="preserve"> </w:t>
      </w:r>
      <w:r w:rsidR="00482D2B">
        <w:rPr>
          <w:rFonts w:ascii="Times New Roman" w:hAnsi="Times New Roman"/>
          <w:sz w:val="24"/>
        </w:rPr>
        <w:t xml:space="preserve">be presumed to be </w:t>
      </w:r>
      <w:r w:rsidR="005747B5">
        <w:rPr>
          <w:rFonts w:ascii="Times New Roman" w:hAnsi="Times New Roman"/>
          <w:sz w:val="24"/>
        </w:rPr>
        <w:t>met</w:t>
      </w:r>
      <w:r>
        <w:rPr>
          <w:rFonts w:ascii="Times New Roman" w:hAnsi="Times New Roman"/>
          <w:sz w:val="24"/>
        </w:rPr>
        <w:t xml:space="preserve">. Hence, </w:t>
      </w:r>
      <w:r w:rsidR="00482D2B">
        <w:rPr>
          <w:rFonts w:ascii="Times New Roman" w:hAnsi="Times New Roman"/>
          <w:sz w:val="24"/>
        </w:rPr>
        <w:t xml:space="preserve">it is more persuasive to propose that </w:t>
      </w:r>
      <w:r>
        <w:rPr>
          <w:rFonts w:ascii="Times New Roman" w:hAnsi="Times New Roman"/>
          <w:sz w:val="24"/>
        </w:rPr>
        <w:t>any negative finding of this requirement should not be lightly assumed.</w:t>
      </w:r>
      <w:r>
        <w:rPr>
          <w:rStyle w:val="a5"/>
          <w:rFonts w:ascii="Times New Roman" w:hAnsi="Times New Roman"/>
          <w:sz w:val="24"/>
        </w:rPr>
        <w:footnoteReference w:id="86"/>
      </w:r>
      <w:r>
        <w:rPr>
          <w:rFonts w:ascii="Times New Roman" w:hAnsi="Times New Roman"/>
          <w:sz w:val="24"/>
        </w:rPr>
        <w:t xml:space="preserve"> </w:t>
      </w:r>
      <w:r w:rsidR="003B398C">
        <w:rPr>
          <w:rFonts w:ascii="Times New Roman" w:hAnsi="Times New Roman"/>
          <w:sz w:val="24"/>
        </w:rPr>
        <w:t xml:space="preserve">The </w:t>
      </w:r>
      <w:r w:rsidR="0008577C">
        <w:rPr>
          <w:rFonts w:ascii="Times New Roman" w:hAnsi="Times New Roman"/>
          <w:sz w:val="24"/>
        </w:rPr>
        <w:t>rationale</w:t>
      </w:r>
      <w:r w:rsidR="00482D2B">
        <w:rPr>
          <w:rFonts w:ascii="Times New Roman" w:hAnsi="Times New Roman"/>
          <w:sz w:val="24"/>
        </w:rPr>
        <w:t xml:space="preserve"> </w:t>
      </w:r>
      <w:r w:rsidR="003B398C">
        <w:rPr>
          <w:rFonts w:ascii="Times New Roman" w:hAnsi="Times New Roman"/>
          <w:sz w:val="24"/>
        </w:rPr>
        <w:t xml:space="preserve">of this </w:t>
      </w:r>
      <w:r w:rsidR="00482D2B">
        <w:rPr>
          <w:rFonts w:ascii="Times New Roman" w:hAnsi="Times New Roman"/>
          <w:sz w:val="24"/>
        </w:rPr>
        <w:t>proposition</w:t>
      </w:r>
      <w:r w:rsidR="003B398C">
        <w:rPr>
          <w:rFonts w:ascii="Times New Roman" w:hAnsi="Times New Roman"/>
          <w:sz w:val="24"/>
        </w:rPr>
        <w:t xml:space="preserve"> is that the captured members of a self-professed independent militia </w:t>
      </w:r>
      <w:r w:rsidR="00482D2B">
        <w:rPr>
          <w:rFonts w:ascii="Times New Roman" w:hAnsi="Times New Roman"/>
          <w:sz w:val="24"/>
        </w:rPr>
        <w:t>should be</w:t>
      </w:r>
      <w:r w:rsidR="003B398C">
        <w:rPr>
          <w:rFonts w:ascii="Times New Roman" w:hAnsi="Times New Roman"/>
          <w:sz w:val="24"/>
        </w:rPr>
        <w:t xml:space="preserve"> given a chance to prove their compliance with the four POW criteria.</w:t>
      </w:r>
    </w:p>
    <w:p w14:paraId="288A3AD1" w14:textId="77777777" w:rsidR="00FC79AF" w:rsidRPr="00B40620" w:rsidRDefault="00FC79AF" w:rsidP="00FC79AF">
      <w:pPr>
        <w:rPr>
          <w:rFonts w:ascii="Times New Roman" w:hAnsi="Times New Roman"/>
          <w:sz w:val="24"/>
        </w:rPr>
      </w:pPr>
    </w:p>
    <w:p w14:paraId="59FF25B6" w14:textId="1375873C" w:rsidR="00FC79AF" w:rsidRDefault="00AB25D5" w:rsidP="00FC79AF">
      <w:pPr>
        <w:rPr>
          <w:rFonts w:ascii="Times New Roman" w:hAnsi="Times New Roman"/>
          <w:sz w:val="24"/>
        </w:rPr>
      </w:pPr>
      <w:r>
        <w:rPr>
          <w:rFonts w:ascii="Times New Roman" w:hAnsi="Times New Roman"/>
          <w:sz w:val="24"/>
        </w:rPr>
        <w:t xml:space="preserve">There is another </w:t>
      </w:r>
      <w:r w:rsidR="00DE7851">
        <w:rPr>
          <w:rFonts w:ascii="Times New Roman" w:hAnsi="Times New Roman"/>
          <w:sz w:val="24"/>
        </w:rPr>
        <w:t xml:space="preserve">dimension of argument that </w:t>
      </w:r>
      <w:r>
        <w:rPr>
          <w:rFonts w:ascii="Times New Roman" w:hAnsi="Times New Roman"/>
          <w:sz w:val="24"/>
        </w:rPr>
        <w:t>militat</w:t>
      </w:r>
      <w:r w:rsidR="00DE7851">
        <w:rPr>
          <w:rFonts w:ascii="Times New Roman" w:hAnsi="Times New Roman"/>
          <w:sz w:val="24"/>
        </w:rPr>
        <w:t>es</w:t>
      </w:r>
      <w:r>
        <w:rPr>
          <w:rFonts w:ascii="Times New Roman" w:hAnsi="Times New Roman"/>
          <w:sz w:val="24"/>
        </w:rPr>
        <w:t xml:space="preserve"> against this hypothesis.</w:t>
      </w:r>
      <w:r w:rsidR="00FC79AF" w:rsidRPr="004D235F">
        <w:rPr>
          <w:rFonts w:ascii="Times New Roman" w:hAnsi="Times New Roman"/>
          <w:sz w:val="24"/>
        </w:rPr>
        <w:t xml:space="preserve"> </w:t>
      </w:r>
      <w:r>
        <w:rPr>
          <w:rFonts w:ascii="Times New Roman" w:hAnsi="Times New Roman"/>
          <w:sz w:val="24"/>
        </w:rPr>
        <w:t>T</w:t>
      </w:r>
      <w:r w:rsidR="0062230B" w:rsidRPr="004D235F">
        <w:rPr>
          <w:rFonts w:ascii="Times New Roman" w:hAnsi="Times New Roman"/>
          <w:sz w:val="24"/>
        </w:rPr>
        <w:t xml:space="preserve">he group-based </w:t>
      </w:r>
      <w:r w:rsidR="0062230B">
        <w:rPr>
          <w:rFonts w:ascii="Times New Roman" w:hAnsi="Times New Roman"/>
          <w:sz w:val="24"/>
        </w:rPr>
        <w:t>duty</w:t>
      </w:r>
      <w:r w:rsidR="0062230B" w:rsidRPr="004D235F">
        <w:rPr>
          <w:rFonts w:ascii="Times New Roman" w:hAnsi="Times New Roman"/>
          <w:sz w:val="24"/>
        </w:rPr>
        <w:t xml:space="preserve"> </w:t>
      </w:r>
      <w:r w:rsidR="0062230B">
        <w:rPr>
          <w:rFonts w:ascii="Times New Roman" w:hAnsi="Times New Roman"/>
          <w:sz w:val="24"/>
        </w:rPr>
        <w:t xml:space="preserve">relating to the requirement of organization </w:t>
      </w:r>
      <w:r w:rsidR="00FC79AF" w:rsidRPr="004D235F">
        <w:rPr>
          <w:rFonts w:ascii="Times New Roman" w:hAnsi="Times New Roman"/>
          <w:sz w:val="24"/>
        </w:rPr>
        <w:t>under Article 4</w:t>
      </w:r>
      <w:proofErr w:type="gramStart"/>
      <w:r w:rsidR="00FC79AF" w:rsidRPr="004D235F">
        <w:rPr>
          <w:rFonts w:ascii="Times New Roman" w:hAnsi="Times New Roman"/>
          <w:sz w:val="24"/>
        </w:rPr>
        <w:t>A(</w:t>
      </w:r>
      <w:proofErr w:type="gramEnd"/>
      <w:r w:rsidR="00FC79AF" w:rsidRPr="004D235F">
        <w:rPr>
          <w:rFonts w:ascii="Times New Roman" w:hAnsi="Times New Roman"/>
          <w:sz w:val="24"/>
        </w:rPr>
        <w:t xml:space="preserve">2) </w:t>
      </w:r>
      <w:r w:rsidR="00EB2158">
        <w:rPr>
          <w:rFonts w:ascii="Times New Roman" w:hAnsi="Times New Roman"/>
          <w:sz w:val="24"/>
        </w:rPr>
        <w:t xml:space="preserve">of the </w:t>
      </w:r>
      <w:r w:rsidR="001D7ED3">
        <w:rPr>
          <w:rFonts w:ascii="Times New Roman" w:hAnsi="Times New Roman"/>
          <w:sz w:val="24"/>
        </w:rPr>
        <w:t>Geneva Convention</w:t>
      </w:r>
      <w:r w:rsidR="00FC79AF" w:rsidRPr="004D235F">
        <w:rPr>
          <w:rFonts w:ascii="Times New Roman" w:hAnsi="Times New Roman"/>
          <w:sz w:val="24"/>
        </w:rPr>
        <w:t xml:space="preserve"> III is not so burdensome as it appears. </w:t>
      </w:r>
      <w:r w:rsidR="00FC79AF">
        <w:rPr>
          <w:rFonts w:ascii="Times New Roman" w:hAnsi="Times New Roman"/>
          <w:sz w:val="24"/>
        </w:rPr>
        <w:t>As discussed above, the</w:t>
      </w:r>
      <w:r w:rsidR="00FC79AF" w:rsidRPr="004D235F">
        <w:rPr>
          <w:rFonts w:ascii="Times New Roman" w:hAnsi="Times New Roman"/>
          <w:sz w:val="24"/>
        </w:rPr>
        <w:t xml:space="preserve"> system of responsible command that </w:t>
      </w:r>
      <w:r w:rsidR="00FC79AF">
        <w:rPr>
          <w:rFonts w:ascii="Times New Roman" w:hAnsi="Times New Roman"/>
          <w:sz w:val="24"/>
        </w:rPr>
        <w:t>is supposed to</w:t>
      </w:r>
      <w:r w:rsidR="00FC79AF" w:rsidRPr="004D235F">
        <w:rPr>
          <w:rFonts w:ascii="Times New Roman" w:hAnsi="Times New Roman"/>
          <w:sz w:val="24"/>
        </w:rPr>
        <w:t xml:space="preserve"> secure control over conduct of its members need not be of formal kind. </w:t>
      </w:r>
      <w:r w:rsidR="00FC79AF">
        <w:rPr>
          <w:rFonts w:ascii="Times New Roman" w:hAnsi="Times New Roman"/>
          <w:sz w:val="24"/>
        </w:rPr>
        <w:t xml:space="preserve">To </w:t>
      </w:r>
      <w:r w:rsidR="00FC79AF" w:rsidRPr="004D235F">
        <w:rPr>
          <w:rFonts w:ascii="Times New Roman" w:hAnsi="Times New Roman"/>
          <w:sz w:val="24"/>
        </w:rPr>
        <w:t xml:space="preserve">ensure its members </w:t>
      </w:r>
      <w:r w:rsidR="00FC79AF">
        <w:rPr>
          <w:rFonts w:ascii="Times New Roman" w:hAnsi="Times New Roman"/>
          <w:sz w:val="24"/>
        </w:rPr>
        <w:t xml:space="preserve">to </w:t>
      </w:r>
      <w:r w:rsidR="00FC79AF" w:rsidRPr="004D235F">
        <w:rPr>
          <w:rFonts w:ascii="Times New Roman" w:hAnsi="Times New Roman"/>
          <w:sz w:val="24"/>
        </w:rPr>
        <w:t>distinguish themselves from civilians, the group’s collective duty may be limited to adopting distinctive insignia</w:t>
      </w:r>
      <w:r w:rsidR="006061CF">
        <w:rPr>
          <w:rFonts w:ascii="Times New Roman" w:hAnsi="Times New Roman"/>
          <w:sz w:val="24"/>
        </w:rPr>
        <w:t xml:space="preserve">, </w:t>
      </w:r>
      <w:r w:rsidR="00FC79AF" w:rsidRPr="004D235F">
        <w:rPr>
          <w:rFonts w:ascii="Times New Roman" w:hAnsi="Times New Roman"/>
          <w:sz w:val="24"/>
        </w:rPr>
        <w:t xml:space="preserve">instructing its members to wear </w:t>
      </w:r>
      <w:r w:rsidR="00FC79AF">
        <w:rPr>
          <w:rFonts w:ascii="Times New Roman" w:hAnsi="Times New Roman"/>
          <w:sz w:val="24"/>
        </w:rPr>
        <w:t>them</w:t>
      </w:r>
      <w:r w:rsidR="006061CF">
        <w:rPr>
          <w:rFonts w:ascii="Times New Roman" w:hAnsi="Times New Roman"/>
          <w:sz w:val="24"/>
        </w:rPr>
        <w:t>,</w:t>
      </w:r>
      <w:r w:rsidR="00FC79AF" w:rsidRPr="004D235F">
        <w:rPr>
          <w:rFonts w:ascii="Times New Roman" w:hAnsi="Times New Roman"/>
          <w:sz w:val="24"/>
        </w:rPr>
        <w:t xml:space="preserve"> and to bear weapons openly. As concerns the </w:t>
      </w:r>
      <w:r w:rsidR="00926710">
        <w:rPr>
          <w:rFonts w:ascii="Times New Roman" w:hAnsi="Times New Roman"/>
          <w:sz w:val="24"/>
        </w:rPr>
        <w:t xml:space="preserve">group </w:t>
      </w:r>
      <w:r w:rsidR="00FC79AF" w:rsidRPr="004D235F">
        <w:rPr>
          <w:rFonts w:ascii="Times New Roman" w:hAnsi="Times New Roman"/>
          <w:sz w:val="24"/>
        </w:rPr>
        <w:t xml:space="preserve">duty to honour IHL, </w:t>
      </w:r>
      <w:r w:rsidR="00CC5E4F">
        <w:rPr>
          <w:rFonts w:ascii="Times New Roman" w:hAnsi="Times New Roman"/>
          <w:sz w:val="24"/>
        </w:rPr>
        <w:t xml:space="preserve">it is generally comprehended that </w:t>
      </w:r>
      <w:r w:rsidR="00FC79AF" w:rsidRPr="004D235F">
        <w:rPr>
          <w:rFonts w:ascii="Times New Roman" w:hAnsi="Times New Roman"/>
          <w:sz w:val="24"/>
        </w:rPr>
        <w:t>this signifies ‘operational diligence’,</w:t>
      </w:r>
      <w:r w:rsidR="00FC79AF" w:rsidRPr="004D235F">
        <w:rPr>
          <w:rStyle w:val="a5"/>
          <w:rFonts w:ascii="Times New Roman" w:hAnsi="Times New Roman"/>
          <w:sz w:val="24"/>
        </w:rPr>
        <w:footnoteReference w:id="87"/>
      </w:r>
      <w:r w:rsidR="00FC79AF" w:rsidRPr="004D235F">
        <w:rPr>
          <w:rFonts w:ascii="Times New Roman" w:hAnsi="Times New Roman"/>
          <w:sz w:val="24"/>
        </w:rPr>
        <w:t xml:space="preserve"> the concept akin to an obligation of conduct and means, but not an obligation of result.</w:t>
      </w:r>
      <w:r w:rsidR="00FC79AF" w:rsidRPr="004D235F">
        <w:rPr>
          <w:rStyle w:val="a5"/>
          <w:rFonts w:ascii="Times New Roman" w:hAnsi="Times New Roman"/>
          <w:sz w:val="24"/>
        </w:rPr>
        <w:footnoteReference w:id="88"/>
      </w:r>
      <w:r w:rsidR="00FC79AF" w:rsidRPr="004D235F">
        <w:rPr>
          <w:rFonts w:ascii="Times New Roman" w:hAnsi="Times New Roman"/>
          <w:sz w:val="24"/>
        </w:rPr>
        <w:t xml:space="preserve"> </w:t>
      </w:r>
      <w:r w:rsidR="00CC5E4F">
        <w:rPr>
          <w:rFonts w:ascii="Times New Roman" w:hAnsi="Times New Roman"/>
          <w:sz w:val="24"/>
        </w:rPr>
        <w:t>Further, w</w:t>
      </w:r>
      <w:r w:rsidR="00FC79AF">
        <w:rPr>
          <w:rFonts w:ascii="Times New Roman" w:hAnsi="Times New Roman"/>
          <w:sz w:val="24"/>
        </w:rPr>
        <w:t xml:space="preserve">ith </w:t>
      </w:r>
      <w:r w:rsidR="00FC79AF" w:rsidRPr="004D235F">
        <w:rPr>
          <w:rFonts w:ascii="Times New Roman" w:hAnsi="Times New Roman"/>
          <w:sz w:val="24"/>
        </w:rPr>
        <w:t xml:space="preserve">the </w:t>
      </w:r>
      <w:r w:rsidR="00150B9B">
        <w:rPr>
          <w:rFonts w:ascii="Times New Roman" w:hAnsi="Times New Roman"/>
          <w:sz w:val="24"/>
        </w:rPr>
        <w:t xml:space="preserve">large corpus of the </w:t>
      </w:r>
      <w:r w:rsidR="00FC79AF" w:rsidRPr="004D235F">
        <w:rPr>
          <w:rFonts w:ascii="Times New Roman" w:hAnsi="Times New Roman"/>
          <w:sz w:val="24"/>
        </w:rPr>
        <w:t xml:space="preserve">IHL of NIACs </w:t>
      </w:r>
      <w:r w:rsidR="00FC79AF">
        <w:rPr>
          <w:rFonts w:ascii="Times New Roman" w:hAnsi="Times New Roman"/>
          <w:sz w:val="24"/>
        </w:rPr>
        <w:t xml:space="preserve">becoming progressively harmonized </w:t>
      </w:r>
      <w:r w:rsidR="00FC79AF" w:rsidRPr="004D235F">
        <w:rPr>
          <w:rFonts w:ascii="Times New Roman" w:hAnsi="Times New Roman"/>
          <w:sz w:val="24"/>
        </w:rPr>
        <w:t>with the IHL of IACs</w:t>
      </w:r>
      <w:r w:rsidR="00FC79AF">
        <w:rPr>
          <w:rFonts w:ascii="Times New Roman" w:hAnsi="Times New Roman"/>
          <w:sz w:val="24"/>
        </w:rPr>
        <w:t xml:space="preserve">, </w:t>
      </w:r>
      <w:r w:rsidR="00FC79AF" w:rsidRPr="004D235F">
        <w:rPr>
          <w:rFonts w:ascii="Times New Roman" w:hAnsi="Times New Roman"/>
          <w:sz w:val="24"/>
        </w:rPr>
        <w:t xml:space="preserve">this duty cannot be considered </w:t>
      </w:r>
      <w:r w:rsidR="00FC79AF">
        <w:rPr>
          <w:rFonts w:ascii="Times New Roman" w:hAnsi="Times New Roman"/>
          <w:sz w:val="24"/>
        </w:rPr>
        <w:t>starkly</w:t>
      </w:r>
      <w:r w:rsidR="00FC79AF" w:rsidRPr="004D235F">
        <w:rPr>
          <w:rFonts w:ascii="Times New Roman" w:hAnsi="Times New Roman"/>
          <w:sz w:val="24"/>
        </w:rPr>
        <w:t xml:space="preserve"> more onerous than the </w:t>
      </w:r>
      <w:r w:rsidR="00FC79AF">
        <w:rPr>
          <w:rFonts w:ascii="Times New Roman" w:hAnsi="Times New Roman"/>
          <w:sz w:val="24"/>
        </w:rPr>
        <w:t>equivalent</w:t>
      </w:r>
      <w:r w:rsidR="00FC79AF" w:rsidRPr="004D235F">
        <w:rPr>
          <w:rFonts w:ascii="Times New Roman" w:hAnsi="Times New Roman"/>
          <w:sz w:val="24"/>
        </w:rPr>
        <w:t xml:space="preserve"> duty </w:t>
      </w:r>
      <w:r w:rsidR="00FC79AF">
        <w:rPr>
          <w:rFonts w:ascii="Times New Roman" w:hAnsi="Times New Roman"/>
          <w:sz w:val="24"/>
        </w:rPr>
        <w:t>imposed</w:t>
      </w:r>
      <w:r w:rsidR="00FC79AF" w:rsidRPr="004D235F">
        <w:rPr>
          <w:rFonts w:ascii="Times New Roman" w:hAnsi="Times New Roman"/>
          <w:sz w:val="24"/>
        </w:rPr>
        <w:t xml:space="preserve"> on armed groups in NIACs.</w:t>
      </w:r>
      <w:r w:rsidR="00FC79AF" w:rsidRPr="004D235F">
        <w:rPr>
          <w:rStyle w:val="a5"/>
          <w:rFonts w:ascii="Times New Roman" w:hAnsi="Times New Roman"/>
          <w:sz w:val="24"/>
        </w:rPr>
        <w:footnoteReference w:id="89"/>
      </w:r>
      <w:r w:rsidR="00FC79AF" w:rsidRPr="004D235F">
        <w:rPr>
          <w:rFonts w:ascii="Times New Roman" w:hAnsi="Times New Roman"/>
          <w:sz w:val="24"/>
        </w:rPr>
        <w:t xml:space="preserve"> </w:t>
      </w:r>
    </w:p>
    <w:p w14:paraId="2C56A364" w14:textId="77777777" w:rsidR="00FC79AF" w:rsidRDefault="00FC79AF" w:rsidP="00FC79AF">
      <w:pPr>
        <w:rPr>
          <w:rFonts w:ascii="Times New Roman" w:hAnsi="Times New Roman"/>
          <w:sz w:val="24"/>
        </w:rPr>
      </w:pPr>
    </w:p>
    <w:p w14:paraId="12C6F8DD" w14:textId="7013B0E2" w:rsidR="00FC79AF" w:rsidRPr="004D235F" w:rsidRDefault="00FC79AF" w:rsidP="00FC79AF">
      <w:pPr>
        <w:rPr>
          <w:rFonts w:ascii="Times New Roman" w:hAnsi="Times New Roman"/>
          <w:sz w:val="24"/>
        </w:rPr>
      </w:pPr>
      <w:r>
        <w:rPr>
          <w:rFonts w:ascii="Times New Roman" w:hAnsi="Times New Roman"/>
          <w:sz w:val="24"/>
        </w:rPr>
        <w:t xml:space="preserve">In the light of those considerations, this </w:t>
      </w:r>
      <w:r w:rsidR="003854B3">
        <w:rPr>
          <w:rFonts w:ascii="Times New Roman" w:hAnsi="Times New Roman"/>
          <w:sz w:val="24"/>
        </w:rPr>
        <w:t>paper</w:t>
      </w:r>
      <w:r>
        <w:rPr>
          <w:rFonts w:ascii="Times New Roman" w:hAnsi="Times New Roman"/>
          <w:sz w:val="24"/>
        </w:rPr>
        <w:t xml:space="preserve"> rejects the hypothesis that the standard </w:t>
      </w:r>
      <w:r w:rsidR="00926710">
        <w:rPr>
          <w:rFonts w:ascii="Times New Roman" w:hAnsi="Times New Roman"/>
          <w:sz w:val="24"/>
        </w:rPr>
        <w:t>for</w:t>
      </w:r>
      <w:r>
        <w:rPr>
          <w:rFonts w:ascii="Times New Roman" w:hAnsi="Times New Roman"/>
          <w:sz w:val="24"/>
        </w:rPr>
        <w:t xml:space="preserve"> organization under Article 4</w:t>
      </w:r>
      <w:proofErr w:type="gramStart"/>
      <w:r>
        <w:rPr>
          <w:rFonts w:ascii="Times New Roman" w:hAnsi="Times New Roman"/>
          <w:sz w:val="24"/>
        </w:rPr>
        <w:t>A(</w:t>
      </w:r>
      <w:proofErr w:type="gramEnd"/>
      <w:r>
        <w:rPr>
          <w:rFonts w:ascii="Times New Roman" w:hAnsi="Times New Roman"/>
          <w:sz w:val="24"/>
        </w:rPr>
        <w:t xml:space="preserve">2) </w:t>
      </w:r>
      <w:r w:rsidR="00EB2158">
        <w:rPr>
          <w:rFonts w:ascii="Times New Roman" w:hAnsi="Times New Roman"/>
          <w:sz w:val="24"/>
        </w:rPr>
        <w:t xml:space="preserve">of the Third </w:t>
      </w:r>
      <w:r w:rsidR="001D7ED3">
        <w:rPr>
          <w:rFonts w:ascii="Times New Roman" w:hAnsi="Times New Roman"/>
          <w:sz w:val="24"/>
        </w:rPr>
        <w:t>Geneva Convention</w:t>
      </w:r>
      <w:r w:rsidR="00CC5E4F" w:rsidRPr="00CC5E4F">
        <w:rPr>
          <w:rFonts w:ascii="Times New Roman" w:hAnsi="Times New Roman"/>
          <w:sz w:val="24"/>
        </w:rPr>
        <w:t xml:space="preserve"> </w:t>
      </w:r>
      <w:r w:rsidR="00CC5E4F">
        <w:rPr>
          <w:rFonts w:ascii="Times New Roman" w:hAnsi="Times New Roman"/>
          <w:sz w:val="24"/>
        </w:rPr>
        <w:t>might rise to a high level</w:t>
      </w:r>
      <w:r>
        <w:rPr>
          <w:rFonts w:ascii="Times New Roman" w:hAnsi="Times New Roman"/>
          <w:sz w:val="24"/>
        </w:rPr>
        <w:t>. In the section</w:t>
      </w:r>
      <w:r w:rsidR="0053159F">
        <w:rPr>
          <w:rFonts w:ascii="Times New Roman" w:hAnsi="Times New Roman"/>
          <w:sz w:val="24"/>
        </w:rPr>
        <w:t>s that follow</w:t>
      </w:r>
      <w:r>
        <w:rPr>
          <w:rFonts w:ascii="Times New Roman" w:hAnsi="Times New Roman"/>
          <w:sz w:val="24"/>
        </w:rPr>
        <w:t xml:space="preserve">, the investigations </w:t>
      </w:r>
      <w:r w:rsidR="003854B3">
        <w:rPr>
          <w:rFonts w:ascii="Times New Roman" w:hAnsi="Times New Roman"/>
          <w:sz w:val="24"/>
        </w:rPr>
        <w:t xml:space="preserve">turn to </w:t>
      </w:r>
      <w:r>
        <w:rPr>
          <w:rFonts w:ascii="Times New Roman" w:hAnsi="Times New Roman"/>
          <w:sz w:val="24"/>
        </w:rPr>
        <w:t xml:space="preserve">the </w:t>
      </w:r>
      <w:r w:rsidR="003854B3">
        <w:rPr>
          <w:rFonts w:ascii="Times New Roman" w:hAnsi="Times New Roman"/>
          <w:sz w:val="24"/>
        </w:rPr>
        <w:t xml:space="preserve">contrary </w:t>
      </w:r>
      <w:r>
        <w:rPr>
          <w:rFonts w:ascii="Times New Roman" w:hAnsi="Times New Roman"/>
          <w:sz w:val="24"/>
        </w:rPr>
        <w:t xml:space="preserve">thesis, namely, that the </w:t>
      </w:r>
      <w:r w:rsidR="00926710">
        <w:rPr>
          <w:rFonts w:ascii="Times New Roman" w:hAnsi="Times New Roman"/>
          <w:sz w:val="24"/>
        </w:rPr>
        <w:t>bar</w:t>
      </w:r>
      <w:r>
        <w:rPr>
          <w:rFonts w:ascii="Times New Roman" w:hAnsi="Times New Roman"/>
          <w:sz w:val="24"/>
        </w:rPr>
        <w:t xml:space="preserve"> for assessing this requirement may be pitched higher in ascertaining a NIAC. It </w:t>
      </w:r>
      <w:r w:rsidR="00EF3A69">
        <w:rPr>
          <w:rFonts w:ascii="Times New Roman" w:hAnsi="Times New Roman"/>
          <w:sz w:val="24"/>
        </w:rPr>
        <w:t xml:space="preserve">is </w:t>
      </w:r>
      <w:r>
        <w:rPr>
          <w:rFonts w:ascii="Times New Roman" w:hAnsi="Times New Roman"/>
          <w:sz w:val="24"/>
        </w:rPr>
        <w:t xml:space="preserve">explained that this counter-thesis is generally tenable, yet that there are some special </w:t>
      </w:r>
      <w:r w:rsidR="00150B9B">
        <w:rPr>
          <w:rFonts w:ascii="Times New Roman" w:hAnsi="Times New Roman"/>
          <w:sz w:val="24"/>
        </w:rPr>
        <w:t>situations</w:t>
      </w:r>
      <w:r>
        <w:rPr>
          <w:rFonts w:ascii="Times New Roman" w:hAnsi="Times New Roman"/>
          <w:sz w:val="24"/>
        </w:rPr>
        <w:t xml:space="preserve"> in which a more nuanced assessment is called for.</w:t>
      </w:r>
    </w:p>
    <w:p w14:paraId="0D788986" w14:textId="77777777" w:rsidR="00FC79AF" w:rsidRPr="00FC79AF" w:rsidRDefault="00FC79AF" w:rsidP="00E01082">
      <w:pPr>
        <w:rPr>
          <w:rFonts w:ascii="Times New Roman" w:hAnsi="Times New Roman"/>
          <w:sz w:val="24"/>
        </w:rPr>
      </w:pPr>
    </w:p>
    <w:p w14:paraId="1F9EED7A" w14:textId="6266B5BC" w:rsidR="00A961BA" w:rsidRDefault="00926710" w:rsidP="006347AB">
      <w:pPr>
        <w:pStyle w:val="ad"/>
        <w:numPr>
          <w:ilvl w:val="0"/>
          <w:numId w:val="1"/>
        </w:numPr>
        <w:ind w:leftChars="0"/>
        <w:rPr>
          <w:rFonts w:ascii="Times New Roman" w:hAnsi="Times New Roman"/>
          <w:b/>
          <w:bCs/>
          <w:sz w:val="24"/>
        </w:rPr>
      </w:pPr>
      <w:r>
        <w:rPr>
          <w:rFonts w:ascii="Times New Roman" w:hAnsi="Times New Roman"/>
          <w:b/>
          <w:bCs/>
          <w:sz w:val="24"/>
        </w:rPr>
        <w:lastRenderedPageBreak/>
        <w:t>A</w:t>
      </w:r>
      <w:r w:rsidR="00A961BA" w:rsidRPr="006061CF">
        <w:rPr>
          <w:rFonts w:ascii="Times New Roman" w:hAnsi="Times New Roman"/>
          <w:b/>
          <w:bCs/>
          <w:sz w:val="24"/>
        </w:rPr>
        <w:t xml:space="preserve"> </w:t>
      </w:r>
      <w:r>
        <w:rPr>
          <w:rFonts w:ascii="Times New Roman" w:hAnsi="Times New Roman"/>
          <w:b/>
          <w:bCs/>
          <w:sz w:val="24"/>
        </w:rPr>
        <w:t>Rigorous</w:t>
      </w:r>
      <w:r w:rsidR="00882A26" w:rsidRPr="006061CF">
        <w:rPr>
          <w:rFonts w:ascii="Times New Roman" w:hAnsi="Times New Roman"/>
          <w:b/>
          <w:bCs/>
          <w:sz w:val="24"/>
        </w:rPr>
        <w:t xml:space="preserve"> </w:t>
      </w:r>
      <w:r>
        <w:rPr>
          <w:rFonts w:ascii="Times New Roman" w:hAnsi="Times New Roman"/>
          <w:b/>
          <w:bCs/>
          <w:sz w:val="24"/>
        </w:rPr>
        <w:t>S</w:t>
      </w:r>
      <w:r w:rsidR="00A961BA" w:rsidRPr="006061CF">
        <w:rPr>
          <w:rFonts w:ascii="Times New Roman" w:hAnsi="Times New Roman"/>
          <w:b/>
          <w:bCs/>
          <w:sz w:val="24"/>
        </w:rPr>
        <w:t xml:space="preserve">tandard </w:t>
      </w:r>
      <w:r w:rsidR="00A771C2" w:rsidRPr="006061CF">
        <w:rPr>
          <w:rFonts w:ascii="Times New Roman" w:hAnsi="Times New Roman"/>
          <w:b/>
          <w:bCs/>
          <w:sz w:val="24"/>
        </w:rPr>
        <w:t>for</w:t>
      </w:r>
      <w:r w:rsidR="00A961BA" w:rsidRPr="006061CF">
        <w:rPr>
          <w:rFonts w:ascii="Times New Roman" w:hAnsi="Times New Roman"/>
          <w:b/>
          <w:bCs/>
          <w:sz w:val="24"/>
        </w:rPr>
        <w:t xml:space="preserve"> </w:t>
      </w:r>
      <w:r>
        <w:rPr>
          <w:rFonts w:ascii="Times New Roman" w:hAnsi="Times New Roman"/>
          <w:b/>
          <w:bCs/>
          <w:sz w:val="24"/>
        </w:rPr>
        <w:t>O</w:t>
      </w:r>
      <w:r w:rsidR="00A961BA" w:rsidRPr="006061CF">
        <w:rPr>
          <w:rFonts w:ascii="Times New Roman" w:hAnsi="Times New Roman"/>
          <w:b/>
          <w:bCs/>
          <w:sz w:val="24"/>
        </w:rPr>
        <w:t>rganization</w:t>
      </w:r>
      <w:r w:rsidR="00AC1BF3" w:rsidRPr="006061CF">
        <w:rPr>
          <w:rFonts w:ascii="Times New Roman" w:hAnsi="Times New Roman"/>
          <w:b/>
          <w:bCs/>
          <w:sz w:val="24"/>
        </w:rPr>
        <w:t xml:space="preserve"> in </w:t>
      </w:r>
      <w:r>
        <w:rPr>
          <w:rFonts w:ascii="Times New Roman" w:hAnsi="Times New Roman"/>
          <w:b/>
          <w:bCs/>
          <w:sz w:val="24"/>
        </w:rPr>
        <w:t>R</w:t>
      </w:r>
      <w:r w:rsidR="00AC1BF3" w:rsidRPr="006061CF">
        <w:rPr>
          <w:rFonts w:ascii="Times New Roman" w:hAnsi="Times New Roman"/>
          <w:b/>
          <w:bCs/>
          <w:sz w:val="24"/>
        </w:rPr>
        <w:t>elation to</w:t>
      </w:r>
      <w:r w:rsidR="00BB277C" w:rsidRPr="006061CF">
        <w:rPr>
          <w:rFonts w:ascii="Times New Roman" w:hAnsi="Times New Roman"/>
          <w:b/>
          <w:bCs/>
          <w:sz w:val="24"/>
        </w:rPr>
        <w:t xml:space="preserve"> an </w:t>
      </w:r>
      <w:r>
        <w:rPr>
          <w:rFonts w:ascii="Times New Roman" w:hAnsi="Times New Roman"/>
          <w:b/>
          <w:bCs/>
          <w:sz w:val="24"/>
        </w:rPr>
        <w:t>A</w:t>
      </w:r>
      <w:r w:rsidR="00A961BA" w:rsidRPr="006061CF">
        <w:rPr>
          <w:rFonts w:ascii="Times New Roman" w:hAnsi="Times New Roman"/>
          <w:b/>
          <w:bCs/>
          <w:sz w:val="24"/>
        </w:rPr>
        <w:t xml:space="preserve">rmed </w:t>
      </w:r>
      <w:r>
        <w:rPr>
          <w:rFonts w:ascii="Times New Roman" w:hAnsi="Times New Roman"/>
          <w:b/>
          <w:bCs/>
          <w:sz w:val="24"/>
        </w:rPr>
        <w:t>G</w:t>
      </w:r>
      <w:r w:rsidR="00A961BA" w:rsidRPr="006061CF">
        <w:rPr>
          <w:rFonts w:ascii="Times New Roman" w:hAnsi="Times New Roman"/>
          <w:b/>
          <w:bCs/>
          <w:sz w:val="24"/>
        </w:rPr>
        <w:t>roup</w:t>
      </w:r>
      <w:r w:rsidR="00BB277C" w:rsidRPr="006061CF">
        <w:rPr>
          <w:rFonts w:ascii="Times New Roman" w:hAnsi="Times New Roman"/>
          <w:b/>
          <w:bCs/>
          <w:sz w:val="24"/>
        </w:rPr>
        <w:t xml:space="preserve"> </w:t>
      </w:r>
      <w:r w:rsidR="00147151" w:rsidRPr="006061CF">
        <w:rPr>
          <w:rFonts w:ascii="Times New Roman" w:hAnsi="Times New Roman"/>
          <w:b/>
          <w:bCs/>
          <w:sz w:val="24"/>
        </w:rPr>
        <w:t>in NIACs</w:t>
      </w:r>
      <w:r w:rsidR="00A961BA" w:rsidRPr="006061CF">
        <w:rPr>
          <w:rFonts w:ascii="Times New Roman" w:hAnsi="Times New Roman"/>
          <w:b/>
          <w:bCs/>
          <w:sz w:val="24"/>
        </w:rPr>
        <w:t xml:space="preserve"> </w:t>
      </w:r>
    </w:p>
    <w:p w14:paraId="3D5AF3E9" w14:textId="773024AD" w:rsidR="00454A6C" w:rsidRPr="00454A6C" w:rsidRDefault="00454A6C" w:rsidP="006347AB">
      <w:pPr>
        <w:pStyle w:val="ad"/>
        <w:numPr>
          <w:ilvl w:val="0"/>
          <w:numId w:val="5"/>
        </w:numPr>
        <w:ind w:leftChars="0"/>
        <w:rPr>
          <w:rFonts w:ascii="Times New Roman" w:hAnsi="Times New Roman"/>
          <w:b/>
          <w:bCs/>
          <w:sz w:val="24"/>
        </w:rPr>
      </w:pPr>
      <w:r w:rsidRPr="00454A6C">
        <w:rPr>
          <w:rFonts w:ascii="Times New Roman" w:hAnsi="Times New Roman" w:hint="eastAsia"/>
          <w:b/>
          <w:bCs/>
          <w:sz w:val="24"/>
        </w:rPr>
        <w:t>R</w:t>
      </w:r>
      <w:r w:rsidRPr="00454A6C">
        <w:rPr>
          <w:rFonts w:ascii="Times New Roman" w:hAnsi="Times New Roman"/>
          <w:b/>
          <w:bCs/>
          <w:sz w:val="24"/>
        </w:rPr>
        <w:t xml:space="preserve">hetoric versus the Actual </w:t>
      </w:r>
      <w:r w:rsidR="00912138">
        <w:rPr>
          <w:rFonts w:ascii="Times New Roman" w:hAnsi="Times New Roman"/>
          <w:b/>
          <w:bCs/>
          <w:sz w:val="24"/>
        </w:rPr>
        <w:t>S</w:t>
      </w:r>
      <w:r w:rsidRPr="00454A6C">
        <w:rPr>
          <w:rFonts w:ascii="Times New Roman" w:hAnsi="Times New Roman"/>
          <w:b/>
          <w:bCs/>
          <w:sz w:val="24"/>
        </w:rPr>
        <w:t xml:space="preserve">tandard </w:t>
      </w:r>
    </w:p>
    <w:p w14:paraId="64B844F3" w14:textId="459B58FC" w:rsidR="006D7200" w:rsidRPr="004D235F" w:rsidRDefault="00742E7A" w:rsidP="00E01082">
      <w:pPr>
        <w:rPr>
          <w:rFonts w:ascii="Times New Roman" w:hAnsi="Times New Roman"/>
          <w:sz w:val="24"/>
        </w:rPr>
      </w:pPr>
      <w:r w:rsidRPr="004D235F">
        <w:rPr>
          <w:rFonts w:ascii="Times New Roman" w:hAnsi="Times New Roman"/>
          <w:sz w:val="24"/>
        </w:rPr>
        <w:t xml:space="preserve">At first glance, </w:t>
      </w:r>
      <w:r w:rsidR="00EB3F45">
        <w:rPr>
          <w:rFonts w:ascii="Times New Roman" w:hAnsi="Times New Roman"/>
          <w:sz w:val="24"/>
        </w:rPr>
        <w:t>under customary IHL of NIAC</w:t>
      </w:r>
      <w:r w:rsidR="000F520B">
        <w:rPr>
          <w:rFonts w:ascii="Times New Roman" w:hAnsi="Times New Roman"/>
          <w:sz w:val="24"/>
        </w:rPr>
        <w:t>s</w:t>
      </w:r>
      <w:r w:rsidR="00EB3F45">
        <w:rPr>
          <w:rFonts w:ascii="Times New Roman" w:hAnsi="Times New Roman"/>
          <w:sz w:val="24"/>
        </w:rPr>
        <w:t xml:space="preserve">, </w:t>
      </w:r>
      <w:r w:rsidRPr="004D235F">
        <w:rPr>
          <w:rFonts w:ascii="Times New Roman" w:hAnsi="Times New Roman"/>
          <w:sz w:val="24"/>
        </w:rPr>
        <w:t>the ICTY seems to endorse a</w:t>
      </w:r>
      <w:r w:rsidR="00B05E93">
        <w:rPr>
          <w:rFonts w:ascii="Times New Roman" w:hAnsi="Times New Roman"/>
          <w:sz w:val="24"/>
        </w:rPr>
        <w:t>n ostensibly</w:t>
      </w:r>
      <w:r w:rsidRPr="004D235F">
        <w:rPr>
          <w:rFonts w:ascii="Times New Roman" w:hAnsi="Times New Roman"/>
          <w:sz w:val="24"/>
        </w:rPr>
        <w:t xml:space="preserve"> moderate degree of organization. Its dictum in the relevant case-law </w:t>
      </w:r>
      <w:r w:rsidR="00447718">
        <w:rPr>
          <w:rFonts w:ascii="Times New Roman" w:hAnsi="Times New Roman"/>
          <w:sz w:val="24"/>
        </w:rPr>
        <w:t>is peppered with</w:t>
      </w:r>
      <w:r w:rsidR="00447718" w:rsidRPr="004D235F">
        <w:rPr>
          <w:rFonts w:ascii="Times New Roman" w:hAnsi="Times New Roman"/>
          <w:sz w:val="24"/>
        </w:rPr>
        <w:t xml:space="preserve"> </w:t>
      </w:r>
      <w:r w:rsidRPr="004D235F">
        <w:rPr>
          <w:rFonts w:ascii="Times New Roman" w:hAnsi="Times New Roman"/>
          <w:sz w:val="24"/>
        </w:rPr>
        <w:t xml:space="preserve">such </w:t>
      </w:r>
      <w:r w:rsidR="00447718">
        <w:rPr>
          <w:rFonts w:ascii="Times New Roman" w:hAnsi="Times New Roman"/>
          <w:sz w:val="24"/>
        </w:rPr>
        <w:t xml:space="preserve">an </w:t>
      </w:r>
      <w:r w:rsidRPr="004D235F">
        <w:rPr>
          <w:rFonts w:ascii="Times New Roman" w:hAnsi="Times New Roman"/>
          <w:sz w:val="24"/>
        </w:rPr>
        <w:t>expression as ‘a minimal degree of organization’,</w:t>
      </w:r>
      <w:r w:rsidRPr="004D235F">
        <w:rPr>
          <w:rStyle w:val="a5"/>
          <w:rFonts w:ascii="Times New Roman" w:hAnsi="Times New Roman"/>
          <w:sz w:val="24"/>
        </w:rPr>
        <w:footnoteReference w:id="90"/>
      </w:r>
      <w:r w:rsidRPr="004D235F">
        <w:rPr>
          <w:rFonts w:ascii="Times New Roman" w:hAnsi="Times New Roman"/>
          <w:sz w:val="24"/>
        </w:rPr>
        <w:t xml:space="preserve"> ‘organized to a greater or lesser extent’</w:t>
      </w:r>
      <w:r w:rsidRPr="004D235F">
        <w:rPr>
          <w:rStyle w:val="a5"/>
          <w:rFonts w:ascii="Times New Roman" w:hAnsi="Times New Roman"/>
          <w:sz w:val="24"/>
        </w:rPr>
        <w:footnoteReference w:id="91"/>
      </w:r>
      <w:r w:rsidRPr="004D235F">
        <w:rPr>
          <w:rFonts w:ascii="Times New Roman" w:hAnsi="Times New Roman"/>
          <w:sz w:val="24"/>
        </w:rPr>
        <w:t xml:space="preserve"> or ‘some degree of organization’.</w:t>
      </w:r>
      <w:r w:rsidRPr="004D235F">
        <w:rPr>
          <w:rStyle w:val="a5"/>
          <w:rFonts w:ascii="Times New Roman" w:hAnsi="Times New Roman"/>
          <w:sz w:val="24"/>
        </w:rPr>
        <w:footnoteReference w:id="92"/>
      </w:r>
      <w:r w:rsidRPr="004D235F">
        <w:rPr>
          <w:rFonts w:ascii="Times New Roman" w:hAnsi="Times New Roman"/>
          <w:sz w:val="24"/>
        </w:rPr>
        <w:t xml:space="preserve"> </w:t>
      </w:r>
      <w:r w:rsidR="004F4022" w:rsidRPr="004D235F">
        <w:rPr>
          <w:rFonts w:ascii="Times New Roman" w:hAnsi="Times New Roman"/>
          <w:sz w:val="24"/>
        </w:rPr>
        <w:t xml:space="preserve">In parallel to this, </w:t>
      </w:r>
      <w:r w:rsidR="001958E6">
        <w:rPr>
          <w:rFonts w:ascii="Times New Roman" w:hAnsi="Times New Roman"/>
          <w:sz w:val="24"/>
        </w:rPr>
        <w:t>bo</w:t>
      </w:r>
      <w:r w:rsidR="004F4022" w:rsidRPr="004D235F">
        <w:rPr>
          <w:rFonts w:ascii="Times New Roman" w:hAnsi="Times New Roman"/>
          <w:sz w:val="24"/>
        </w:rPr>
        <w:t>th</w:t>
      </w:r>
      <w:r w:rsidR="001958E6">
        <w:rPr>
          <w:rFonts w:ascii="Times New Roman" w:hAnsi="Times New Roman"/>
          <w:sz w:val="24"/>
        </w:rPr>
        <w:t xml:space="preserve"> th</w:t>
      </w:r>
      <w:r w:rsidR="004F4022" w:rsidRPr="004D235F">
        <w:rPr>
          <w:rFonts w:ascii="Times New Roman" w:hAnsi="Times New Roman"/>
          <w:sz w:val="24"/>
        </w:rPr>
        <w:t>e ICRC</w:t>
      </w:r>
      <w:r w:rsidR="00CE2976">
        <w:rPr>
          <w:rStyle w:val="a5"/>
          <w:rFonts w:ascii="Times New Roman" w:hAnsi="Times New Roman"/>
          <w:sz w:val="24"/>
        </w:rPr>
        <w:footnoteReference w:id="93"/>
      </w:r>
      <w:r w:rsidR="004F4022" w:rsidRPr="004D235F">
        <w:rPr>
          <w:rFonts w:ascii="Times New Roman" w:hAnsi="Times New Roman"/>
          <w:sz w:val="24"/>
        </w:rPr>
        <w:t xml:space="preserve"> and scholars</w:t>
      </w:r>
      <w:r w:rsidR="00CE2976">
        <w:rPr>
          <w:rStyle w:val="a5"/>
          <w:rFonts w:ascii="Times New Roman" w:hAnsi="Times New Roman"/>
          <w:sz w:val="24"/>
        </w:rPr>
        <w:footnoteReference w:id="94"/>
      </w:r>
      <w:r w:rsidR="004F4022" w:rsidRPr="004D235F">
        <w:rPr>
          <w:rFonts w:ascii="Times New Roman" w:hAnsi="Times New Roman"/>
          <w:sz w:val="24"/>
        </w:rPr>
        <w:t xml:space="preserve"> have </w:t>
      </w:r>
      <w:r w:rsidR="00882A26" w:rsidRPr="004D235F">
        <w:rPr>
          <w:rFonts w:ascii="Times New Roman" w:hAnsi="Times New Roman"/>
          <w:sz w:val="24"/>
        </w:rPr>
        <w:t>suggested</w:t>
      </w:r>
      <w:r w:rsidR="004F4022" w:rsidRPr="004D235F">
        <w:rPr>
          <w:rFonts w:ascii="Times New Roman" w:hAnsi="Times New Roman"/>
          <w:sz w:val="24"/>
        </w:rPr>
        <w:t xml:space="preserve"> a minimalist to a modest standard of organization</w:t>
      </w:r>
      <w:r w:rsidR="000A11EA">
        <w:rPr>
          <w:rFonts w:ascii="Times New Roman" w:hAnsi="Times New Roman"/>
          <w:sz w:val="24"/>
        </w:rPr>
        <w:t xml:space="preserve">, indicating </w:t>
      </w:r>
      <w:r w:rsidR="000A11EA" w:rsidRPr="000A11EA">
        <w:rPr>
          <w:rFonts w:ascii="Times New Roman" w:hAnsi="Times New Roman"/>
          <w:i/>
          <w:iCs/>
          <w:sz w:val="24"/>
        </w:rPr>
        <w:t>prima</w:t>
      </w:r>
      <w:r w:rsidR="000A11EA">
        <w:rPr>
          <w:rFonts w:ascii="Times New Roman" w:hAnsi="Times New Roman"/>
          <w:sz w:val="24"/>
        </w:rPr>
        <w:t xml:space="preserve"> </w:t>
      </w:r>
      <w:r w:rsidRPr="004D235F">
        <w:rPr>
          <w:rFonts w:ascii="Times New Roman" w:hAnsi="Times New Roman"/>
          <w:i/>
          <w:iCs/>
          <w:sz w:val="24"/>
        </w:rPr>
        <w:t>facie</w:t>
      </w:r>
      <w:r w:rsidR="000A11EA">
        <w:rPr>
          <w:rFonts w:ascii="Times New Roman" w:hAnsi="Times New Roman"/>
          <w:sz w:val="24"/>
        </w:rPr>
        <w:t xml:space="preserve"> </w:t>
      </w:r>
      <w:r w:rsidR="0092339D">
        <w:rPr>
          <w:rFonts w:ascii="Times New Roman" w:hAnsi="Times New Roman"/>
          <w:sz w:val="24"/>
        </w:rPr>
        <w:t>a lower threshold.</w:t>
      </w:r>
      <w:r w:rsidR="00565033">
        <w:rPr>
          <w:rFonts w:ascii="Times New Roman" w:hAnsi="Times New Roman"/>
          <w:sz w:val="24"/>
        </w:rPr>
        <w:t xml:space="preserve"> </w:t>
      </w:r>
      <w:r w:rsidR="003045BA" w:rsidRPr="004D235F">
        <w:rPr>
          <w:rFonts w:ascii="Times New Roman" w:hAnsi="Times New Roman"/>
          <w:sz w:val="24"/>
        </w:rPr>
        <w:t>However</w:t>
      </w:r>
      <w:r w:rsidR="00AE320C" w:rsidRPr="004D235F">
        <w:rPr>
          <w:rFonts w:ascii="Times New Roman" w:hAnsi="Times New Roman"/>
          <w:sz w:val="24"/>
        </w:rPr>
        <w:t xml:space="preserve">, </w:t>
      </w:r>
      <w:r w:rsidR="00361C94">
        <w:rPr>
          <w:rFonts w:ascii="Times New Roman" w:hAnsi="Times New Roman"/>
          <w:sz w:val="24"/>
        </w:rPr>
        <w:t>peering closely,</w:t>
      </w:r>
      <w:r w:rsidR="00AE320C" w:rsidRPr="004D235F">
        <w:rPr>
          <w:rFonts w:ascii="Times New Roman" w:hAnsi="Times New Roman"/>
          <w:sz w:val="24"/>
        </w:rPr>
        <w:t xml:space="preserve"> </w:t>
      </w:r>
      <w:r w:rsidR="00147151" w:rsidRPr="004D235F">
        <w:rPr>
          <w:rFonts w:ascii="Times New Roman" w:hAnsi="Times New Roman"/>
          <w:sz w:val="24"/>
        </w:rPr>
        <w:t xml:space="preserve">one may </w:t>
      </w:r>
      <w:r w:rsidR="007E7FBC" w:rsidRPr="004D235F">
        <w:rPr>
          <w:rFonts w:ascii="Times New Roman" w:hAnsi="Times New Roman"/>
          <w:sz w:val="24"/>
        </w:rPr>
        <w:t xml:space="preserve">be </w:t>
      </w:r>
      <w:r w:rsidR="00147151" w:rsidRPr="004D235F">
        <w:rPr>
          <w:rFonts w:ascii="Times New Roman" w:hAnsi="Times New Roman"/>
          <w:sz w:val="24"/>
        </w:rPr>
        <w:t xml:space="preserve">struck by the </w:t>
      </w:r>
      <w:r w:rsidR="0092339D">
        <w:rPr>
          <w:rFonts w:ascii="Times New Roman" w:hAnsi="Times New Roman"/>
          <w:sz w:val="24"/>
        </w:rPr>
        <w:t>scrupulous extent</w:t>
      </w:r>
      <w:r w:rsidR="009C5064" w:rsidRPr="004D235F">
        <w:rPr>
          <w:rFonts w:ascii="Times New Roman" w:hAnsi="Times New Roman"/>
          <w:sz w:val="24"/>
        </w:rPr>
        <w:t xml:space="preserve"> with</w:t>
      </w:r>
      <w:r w:rsidR="00AE320C" w:rsidRPr="004D235F">
        <w:rPr>
          <w:rFonts w:ascii="Times New Roman" w:hAnsi="Times New Roman"/>
          <w:sz w:val="24"/>
        </w:rPr>
        <w:t xml:space="preserve"> which </w:t>
      </w:r>
      <w:r w:rsidR="006D7200" w:rsidRPr="004D235F">
        <w:rPr>
          <w:rFonts w:ascii="Times New Roman" w:hAnsi="Times New Roman"/>
          <w:sz w:val="24"/>
        </w:rPr>
        <w:t xml:space="preserve">the international criminal tribunals </w:t>
      </w:r>
      <w:r w:rsidR="00AE320C" w:rsidRPr="004D235F">
        <w:rPr>
          <w:rFonts w:ascii="Times New Roman" w:hAnsi="Times New Roman"/>
          <w:sz w:val="24"/>
        </w:rPr>
        <w:t xml:space="preserve">have ascertained the ‘level of organization’ of </w:t>
      </w:r>
      <w:r w:rsidR="009C5064" w:rsidRPr="004D235F">
        <w:rPr>
          <w:rFonts w:ascii="Times New Roman" w:hAnsi="Times New Roman"/>
          <w:sz w:val="24"/>
        </w:rPr>
        <w:t xml:space="preserve">an </w:t>
      </w:r>
      <w:r w:rsidR="00AE320C" w:rsidRPr="004D235F">
        <w:rPr>
          <w:rFonts w:ascii="Times New Roman" w:hAnsi="Times New Roman"/>
          <w:sz w:val="24"/>
        </w:rPr>
        <w:t>armed group</w:t>
      </w:r>
      <w:r w:rsidRPr="004D235F">
        <w:rPr>
          <w:rFonts w:ascii="Times New Roman" w:hAnsi="Times New Roman"/>
          <w:sz w:val="24"/>
        </w:rPr>
        <w:t xml:space="preserve"> involved in NIACs</w:t>
      </w:r>
      <w:r w:rsidR="00ED5241">
        <w:rPr>
          <w:rFonts w:ascii="Times New Roman" w:hAnsi="Times New Roman"/>
          <w:sz w:val="24"/>
        </w:rPr>
        <w:t>.</w:t>
      </w:r>
      <w:r w:rsidR="00447718" w:rsidRPr="004D235F">
        <w:rPr>
          <w:rStyle w:val="a5"/>
          <w:rFonts w:ascii="Times New Roman" w:hAnsi="Times New Roman"/>
          <w:sz w:val="24"/>
        </w:rPr>
        <w:footnoteReference w:id="95"/>
      </w:r>
      <w:r w:rsidR="00ED5241">
        <w:rPr>
          <w:rFonts w:ascii="Times New Roman" w:hAnsi="Times New Roman"/>
          <w:sz w:val="24"/>
        </w:rPr>
        <w:t xml:space="preserve"> As discussed above, </w:t>
      </w:r>
      <w:r w:rsidR="00BA11E4">
        <w:rPr>
          <w:rFonts w:ascii="Times New Roman" w:hAnsi="Times New Roman"/>
          <w:sz w:val="24"/>
        </w:rPr>
        <w:t xml:space="preserve">this is bolstered by their </w:t>
      </w:r>
      <w:r w:rsidR="00C34D29">
        <w:rPr>
          <w:rFonts w:ascii="Times New Roman" w:hAnsi="Times New Roman"/>
          <w:sz w:val="24"/>
        </w:rPr>
        <w:t>alacrity</w:t>
      </w:r>
      <w:r w:rsidR="00BA11E4">
        <w:rPr>
          <w:rFonts w:ascii="Times New Roman" w:hAnsi="Times New Roman"/>
          <w:sz w:val="24"/>
        </w:rPr>
        <w:t xml:space="preserve"> to supply </w:t>
      </w:r>
      <w:r w:rsidR="00ED5241">
        <w:rPr>
          <w:rFonts w:ascii="Times New Roman" w:hAnsi="Times New Roman"/>
          <w:sz w:val="24"/>
        </w:rPr>
        <w:t xml:space="preserve">the </w:t>
      </w:r>
      <w:r w:rsidR="00BA11E4">
        <w:rPr>
          <w:rFonts w:ascii="Times New Roman" w:hAnsi="Times New Roman"/>
          <w:sz w:val="24"/>
        </w:rPr>
        <w:t>elaborate i</w:t>
      </w:r>
      <w:r w:rsidR="00ED5241">
        <w:rPr>
          <w:rFonts w:ascii="Times New Roman" w:hAnsi="Times New Roman"/>
          <w:sz w:val="24"/>
        </w:rPr>
        <w:t xml:space="preserve">nventory of the </w:t>
      </w:r>
      <w:r w:rsidR="007C58A5" w:rsidRPr="004D235F">
        <w:rPr>
          <w:rFonts w:ascii="Times New Roman" w:hAnsi="Times New Roman"/>
          <w:sz w:val="24"/>
        </w:rPr>
        <w:t xml:space="preserve">indicia for </w:t>
      </w:r>
      <w:r w:rsidR="00361C94">
        <w:rPr>
          <w:rFonts w:ascii="Times New Roman" w:hAnsi="Times New Roman"/>
          <w:sz w:val="24"/>
        </w:rPr>
        <w:t>what is meant by</w:t>
      </w:r>
      <w:r w:rsidR="009C5064" w:rsidRPr="004D235F">
        <w:rPr>
          <w:rFonts w:ascii="Times New Roman" w:hAnsi="Times New Roman"/>
          <w:sz w:val="24"/>
        </w:rPr>
        <w:t xml:space="preserve"> sufficiently organized structure</w:t>
      </w:r>
      <w:r w:rsidR="00587921" w:rsidRPr="004D235F">
        <w:rPr>
          <w:rFonts w:ascii="Times New Roman" w:hAnsi="Times New Roman"/>
          <w:sz w:val="24"/>
        </w:rPr>
        <w:t>.</w:t>
      </w:r>
      <w:r w:rsidR="00AE320C" w:rsidRPr="004D235F">
        <w:rPr>
          <w:rStyle w:val="a5"/>
          <w:rFonts w:ascii="Times New Roman" w:hAnsi="Times New Roman"/>
          <w:sz w:val="24"/>
        </w:rPr>
        <w:footnoteReference w:id="96"/>
      </w:r>
      <w:r w:rsidR="00AE320C" w:rsidRPr="004D235F">
        <w:rPr>
          <w:rFonts w:ascii="Times New Roman" w:hAnsi="Times New Roman"/>
          <w:sz w:val="24"/>
        </w:rPr>
        <w:t xml:space="preserve"> </w:t>
      </w:r>
      <w:r w:rsidR="00565033">
        <w:rPr>
          <w:rFonts w:ascii="Times New Roman" w:hAnsi="Times New Roman"/>
          <w:sz w:val="24"/>
        </w:rPr>
        <w:t>Their meticulous analyses</w:t>
      </w:r>
      <w:r w:rsidR="00587921" w:rsidRPr="004D235F">
        <w:rPr>
          <w:rFonts w:ascii="Times New Roman" w:hAnsi="Times New Roman"/>
          <w:sz w:val="24"/>
        </w:rPr>
        <w:t xml:space="preserve"> </w:t>
      </w:r>
      <w:r w:rsidR="00AE320C" w:rsidRPr="004D235F">
        <w:rPr>
          <w:rFonts w:ascii="Times New Roman" w:hAnsi="Times New Roman"/>
          <w:sz w:val="24"/>
        </w:rPr>
        <w:t>suggests</w:t>
      </w:r>
      <w:r w:rsidR="00565033">
        <w:rPr>
          <w:rFonts w:ascii="Times New Roman" w:hAnsi="Times New Roman"/>
          <w:sz w:val="24"/>
        </w:rPr>
        <w:t xml:space="preserve"> </w:t>
      </w:r>
      <w:r w:rsidR="00AE320C" w:rsidRPr="004D235F">
        <w:rPr>
          <w:rFonts w:ascii="Times New Roman" w:hAnsi="Times New Roman"/>
          <w:sz w:val="24"/>
        </w:rPr>
        <w:t xml:space="preserve">that contrary to the rhetoric, </w:t>
      </w:r>
      <w:r w:rsidR="00AC1BF3">
        <w:rPr>
          <w:rFonts w:ascii="Times New Roman" w:hAnsi="Times New Roman"/>
          <w:sz w:val="24"/>
        </w:rPr>
        <w:t>their actual policy was to apply</w:t>
      </w:r>
      <w:r w:rsidR="00926435">
        <w:rPr>
          <w:rFonts w:ascii="Times New Roman" w:hAnsi="Times New Roman"/>
          <w:sz w:val="24"/>
        </w:rPr>
        <w:t xml:space="preserve"> </w:t>
      </w:r>
      <w:r w:rsidR="00AE320C" w:rsidRPr="004D235F">
        <w:rPr>
          <w:rFonts w:ascii="Times New Roman" w:hAnsi="Times New Roman"/>
          <w:sz w:val="24"/>
        </w:rPr>
        <w:t>a rigorous standard for this requirement</w:t>
      </w:r>
      <w:r w:rsidRPr="004D235F">
        <w:rPr>
          <w:rFonts w:ascii="Times New Roman" w:hAnsi="Times New Roman"/>
          <w:sz w:val="24"/>
        </w:rPr>
        <w:t xml:space="preserve"> in NIACs.</w:t>
      </w:r>
      <w:r w:rsidR="00AE320C" w:rsidRPr="004D235F">
        <w:rPr>
          <w:rFonts w:ascii="Times New Roman" w:hAnsi="Times New Roman"/>
          <w:sz w:val="24"/>
        </w:rPr>
        <w:t xml:space="preserve"> </w:t>
      </w:r>
    </w:p>
    <w:p w14:paraId="7B691D7A" w14:textId="77777777" w:rsidR="006D7200" w:rsidRPr="004D235F" w:rsidRDefault="006D7200" w:rsidP="00E01082">
      <w:pPr>
        <w:rPr>
          <w:rFonts w:ascii="Times New Roman" w:hAnsi="Times New Roman"/>
          <w:b/>
          <w:bCs/>
          <w:sz w:val="24"/>
        </w:rPr>
      </w:pPr>
    </w:p>
    <w:p w14:paraId="26F1B139" w14:textId="4B20FB1A" w:rsidR="009462B5" w:rsidRPr="00912138" w:rsidRDefault="009462B5" w:rsidP="006347AB">
      <w:pPr>
        <w:pStyle w:val="ad"/>
        <w:numPr>
          <w:ilvl w:val="0"/>
          <w:numId w:val="5"/>
        </w:numPr>
        <w:ind w:leftChars="0"/>
        <w:rPr>
          <w:rFonts w:ascii="Times New Roman" w:hAnsi="Times New Roman"/>
          <w:b/>
          <w:bCs/>
          <w:sz w:val="24"/>
        </w:rPr>
      </w:pPr>
      <w:r w:rsidRPr="00912138">
        <w:rPr>
          <w:rFonts w:ascii="Times New Roman" w:hAnsi="Times New Roman"/>
          <w:b/>
          <w:bCs/>
          <w:sz w:val="24"/>
        </w:rPr>
        <w:t xml:space="preserve">The </w:t>
      </w:r>
      <w:r w:rsidR="0053159F">
        <w:rPr>
          <w:rFonts w:ascii="Times New Roman" w:hAnsi="Times New Roman"/>
          <w:b/>
          <w:bCs/>
          <w:sz w:val="24"/>
        </w:rPr>
        <w:t>R</w:t>
      </w:r>
      <w:r w:rsidRPr="00912138">
        <w:rPr>
          <w:rFonts w:ascii="Times New Roman" w:hAnsi="Times New Roman"/>
          <w:b/>
          <w:bCs/>
          <w:sz w:val="24"/>
        </w:rPr>
        <w:t xml:space="preserve">equirement of </w:t>
      </w:r>
      <w:r w:rsidR="0053159F">
        <w:rPr>
          <w:rFonts w:ascii="Times New Roman" w:hAnsi="Times New Roman"/>
          <w:b/>
          <w:bCs/>
          <w:sz w:val="24"/>
        </w:rPr>
        <w:t>O</w:t>
      </w:r>
      <w:r w:rsidRPr="00912138">
        <w:rPr>
          <w:rFonts w:ascii="Times New Roman" w:hAnsi="Times New Roman"/>
          <w:b/>
          <w:bCs/>
          <w:sz w:val="24"/>
        </w:rPr>
        <w:t xml:space="preserve">rganization </w:t>
      </w:r>
      <w:r w:rsidR="0053159F">
        <w:rPr>
          <w:rFonts w:ascii="Times New Roman" w:hAnsi="Times New Roman"/>
          <w:b/>
          <w:bCs/>
          <w:sz w:val="24"/>
        </w:rPr>
        <w:t>G</w:t>
      </w:r>
      <w:r w:rsidR="00587921" w:rsidRPr="00912138">
        <w:rPr>
          <w:rFonts w:ascii="Times New Roman" w:hAnsi="Times New Roman"/>
          <w:b/>
          <w:bCs/>
          <w:sz w:val="24"/>
        </w:rPr>
        <w:t xml:space="preserve">rasped </w:t>
      </w:r>
      <w:r w:rsidRPr="00912138">
        <w:rPr>
          <w:rFonts w:ascii="Times New Roman" w:hAnsi="Times New Roman"/>
          <w:b/>
          <w:bCs/>
          <w:sz w:val="24"/>
        </w:rPr>
        <w:t xml:space="preserve">as </w:t>
      </w:r>
      <w:r w:rsidR="0053159F">
        <w:rPr>
          <w:rFonts w:ascii="Times New Roman" w:hAnsi="Times New Roman"/>
          <w:b/>
          <w:bCs/>
          <w:sz w:val="24"/>
        </w:rPr>
        <w:t>O</w:t>
      </w:r>
      <w:r w:rsidRPr="00912138">
        <w:rPr>
          <w:rFonts w:ascii="Times New Roman" w:hAnsi="Times New Roman"/>
          <w:b/>
          <w:bCs/>
          <w:sz w:val="24"/>
        </w:rPr>
        <w:t xml:space="preserve">ne of the </w:t>
      </w:r>
      <w:r w:rsidR="0053159F">
        <w:rPr>
          <w:rFonts w:ascii="Times New Roman" w:hAnsi="Times New Roman"/>
          <w:b/>
          <w:bCs/>
          <w:sz w:val="24"/>
        </w:rPr>
        <w:t>T</w:t>
      </w:r>
      <w:r w:rsidRPr="00912138">
        <w:rPr>
          <w:rFonts w:ascii="Times New Roman" w:hAnsi="Times New Roman"/>
          <w:b/>
          <w:bCs/>
          <w:sz w:val="24"/>
        </w:rPr>
        <w:t xml:space="preserve">hreshold </w:t>
      </w:r>
      <w:r w:rsidR="0053159F">
        <w:rPr>
          <w:rFonts w:ascii="Times New Roman" w:hAnsi="Times New Roman"/>
          <w:b/>
          <w:bCs/>
          <w:sz w:val="24"/>
        </w:rPr>
        <w:t>C</w:t>
      </w:r>
      <w:r w:rsidRPr="00912138">
        <w:rPr>
          <w:rFonts w:ascii="Times New Roman" w:hAnsi="Times New Roman"/>
          <w:b/>
          <w:bCs/>
          <w:sz w:val="24"/>
        </w:rPr>
        <w:t xml:space="preserve">onditions for </w:t>
      </w:r>
      <w:r w:rsidR="00137067" w:rsidRPr="00912138">
        <w:rPr>
          <w:rFonts w:ascii="Times New Roman" w:hAnsi="Times New Roman"/>
          <w:b/>
          <w:bCs/>
          <w:sz w:val="24"/>
        </w:rPr>
        <w:t xml:space="preserve">a </w:t>
      </w:r>
      <w:r w:rsidRPr="00912138">
        <w:rPr>
          <w:rFonts w:ascii="Times New Roman" w:hAnsi="Times New Roman"/>
          <w:b/>
          <w:bCs/>
          <w:sz w:val="24"/>
        </w:rPr>
        <w:t>NIAC</w:t>
      </w:r>
      <w:r w:rsidR="001D1EDB" w:rsidRPr="00912138">
        <w:rPr>
          <w:rFonts w:ascii="Times New Roman" w:hAnsi="Times New Roman"/>
          <w:b/>
          <w:bCs/>
          <w:sz w:val="24"/>
        </w:rPr>
        <w:t xml:space="preserve"> as a</w:t>
      </w:r>
      <w:r w:rsidR="00BA1C0A" w:rsidRPr="00912138">
        <w:rPr>
          <w:rFonts w:ascii="Times New Roman" w:hAnsi="Times New Roman"/>
          <w:b/>
          <w:bCs/>
          <w:sz w:val="24"/>
        </w:rPr>
        <w:t xml:space="preserve"> </w:t>
      </w:r>
      <w:r w:rsidR="0053159F">
        <w:rPr>
          <w:rFonts w:ascii="Times New Roman" w:hAnsi="Times New Roman"/>
          <w:b/>
          <w:bCs/>
          <w:sz w:val="24"/>
        </w:rPr>
        <w:t>R</w:t>
      </w:r>
      <w:r w:rsidR="00912138">
        <w:rPr>
          <w:rFonts w:ascii="Times New Roman" w:hAnsi="Times New Roman"/>
          <w:b/>
          <w:bCs/>
          <w:sz w:val="24"/>
        </w:rPr>
        <w:t>ationale for</w:t>
      </w:r>
      <w:r w:rsidR="00BA1C0A" w:rsidRPr="00912138">
        <w:rPr>
          <w:rFonts w:ascii="Times New Roman" w:hAnsi="Times New Roman"/>
          <w:b/>
          <w:bCs/>
          <w:sz w:val="24"/>
        </w:rPr>
        <w:t xml:space="preserve"> </w:t>
      </w:r>
      <w:r w:rsidR="00912138">
        <w:rPr>
          <w:rFonts w:ascii="Times New Roman" w:hAnsi="Times New Roman"/>
          <w:b/>
          <w:bCs/>
          <w:sz w:val="24"/>
        </w:rPr>
        <w:t xml:space="preserve">a </w:t>
      </w:r>
      <w:r w:rsidR="0053159F">
        <w:rPr>
          <w:rFonts w:ascii="Times New Roman" w:hAnsi="Times New Roman"/>
          <w:b/>
          <w:bCs/>
          <w:sz w:val="24"/>
        </w:rPr>
        <w:t>H</w:t>
      </w:r>
      <w:r w:rsidR="00912138">
        <w:rPr>
          <w:rFonts w:ascii="Times New Roman" w:hAnsi="Times New Roman"/>
          <w:b/>
          <w:bCs/>
          <w:sz w:val="24"/>
        </w:rPr>
        <w:t xml:space="preserve">igher </w:t>
      </w:r>
      <w:r w:rsidR="0053159F">
        <w:rPr>
          <w:rFonts w:ascii="Times New Roman" w:hAnsi="Times New Roman"/>
          <w:b/>
          <w:bCs/>
          <w:sz w:val="24"/>
        </w:rPr>
        <w:t>St</w:t>
      </w:r>
      <w:r w:rsidR="00587921" w:rsidRPr="00912138">
        <w:rPr>
          <w:rFonts w:ascii="Times New Roman" w:hAnsi="Times New Roman"/>
          <w:b/>
          <w:bCs/>
          <w:sz w:val="24"/>
        </w:rPr>
        <w:t xml:space="preserve">andard </w:t>
      </w:r>
    </w:p>
    <w:p w14:paraId="01BDA35E" w14:textId="751DDF19" w:rsidR="004040B4" w:rsidRPr="003C61FA" w:rsidRDefault="008651EE" w:rsidP="00E01082">
      <w:pPr>
        <w:rPr>
          <w:rFonts w:ascii="Times New Roman" w:hAnsi="Times New Roman"/>
          <w:sz w:val="24"/>
        </w:rPr>
      </w:pPr>
      <w:r>
        <w:rPr>
          <w:rFonts w:ascii="Times New Roman" w:hAnsi="Times New Roman" w:hint="eastAsia"/>
          <w:sz w:val="24"/>
        </w:rPr>
        <w:t>I</w:t>
      </w:r>
      <w:r>
        <w:rPr>
          <w:rFonts w:ascii="Times New Roman" w:hAnsi="Times New Roman"/>
          <w:sz w:val="24"/>
        </w:rPr>
        <w:t>t is submitted that the</w:t>
      </w:r>
      <w:r w:rsidR="00500005">
        <w:rPr>
          <w:rFonts w:ascii="Times New Roman" w:hAnsi="Times New Roman"/>
          <w:sz w:val="24"/>
        </w:rPr>
        <w:t xml:space="preserve"> main</w:t>
      </w:r>
      <w:r w:rsidR="00587921" w:rsidRPr="004D235F">
        <w:rPr>
          <w:rFonts w:ascii="Times New Roman" w:hAnsi="Times New Roman"/>
          <w:sz w:val="24"/>
        </w:rPr>
        <w:t xml:space="preserve"> </w:t>
      </w:r>
      <w:r w:rsidR="00707548">
        <w:rPr>
          <w:rFonts w:ascii="Times New Roman" w:hAnsi="Times New Roman"/>
          <w:sz w:val="24"/>
        </w:rPr>
        <w:t>reason why</w:t>
      </w:r>
      <w:r w:rsidR="00364908" w:rsidRPr="004D235F">
        <w:rPr>
          <w:rFonts w:ascii="Times New Roman" w:hAnsi="Times New Roman"/>
          <w:sz w:val="24"/>
        </w:rPr>
        <w:t xml:space="preserve"> </w:t>
      </w:r>
      <w:r w:rsidR="00565472" w:rsidRPr="004D235F">
        <w:rPr>
          <w:rFonts w:ascii="Times New Roman" w:hAnsi="Times New Roman"/>
          <w:sz w:val="24"/>
        </w:rPr>
        <w:t>a</w:t>
      </w:r>
      <w:r w:rsidR="00587921" w:rsidRPr="004D235F">
        <w:rPr>
          <w:rFonts w:ascii="Times New Roman" w:hAnsi="Times New Roman"/>
          <w:sz w:val="24"/>
        </w:rPr>
        <w:t xml:space="preserve">n </w:t>
      </w:r>
      <w:r w:rsidR="006A57F8" w:rsidRPr="004D235F">
        <w:rPr>
          <w:rFonts w:ascii="Times New Roman" w:hAnsi="Times New Roman"/>
          <w:sz w:val="24"/>
        </w:rPr>
        <w:t xml:space="preserve">onerous standard </w:t>
      </w:r>
      <w:r w:rsidR="0053159F">
        <w:rPr>
          <w:rFonts w:ascii="Times New Roman" w:hAnsi="Times New Roman"/>
          <w:sz w:val="24"/>
        </w:rPr>
        <w:t>for</w:t>
      </w:r>
      <w:r w:rsidR="006A57F8" w:rsidRPr="004D235F">
        <w:rPr>
          <w:rFonts w:ascii="Times New Roman" w:hAnsi="Times New Roman"/>
          <w:sz w:val="24"/>
        </w:rPr>
        <w:t xml:space="preserve"> organization </w:t>
      </w:r>
      <w:r w:rsidR="00707548">
        <w:rPr>
          <w:rFonts w:ascii="Times New Roman" w:hAnsi="Times New Roman"/>
          <w:sz w:val="24"/>
        </w:rPr>
        <w:t xml:space="preserve">is </w:t>
      </w:r>
      <w:r w:rsidR="000079F1">
        <w:rPr>
          <w:rFonts w:ascii="Times New Roman" w:hAnsi="Times New Roman"/>
          <w:sz w:val="24"/>
        </w:rPr>
        <w:t>required of</w:t>
      </w:r>
      <w:r w:rsidR="00984D70" w:rsidRPr="004D235F">
        <w:rPr>
          <w:rFonts w:ascii="Times New Roman" w:hAnsi="Times New Roman"/>
          <w:sz w:val="24"/>
        </w:rPr>
        <w:t xml:space="preserve"> an armed group </w:t>
      </w:r>
      <w:r w:rsidR="006A57F8" w:rsidRPr="004D235F">
        <w:rPr>
          <w:rFonts w:ascii="Times New Roman" w:hAnsi="Times New Roman"/>
          <w:sz w:val="24"/>
        </w:rPr>
        <w:t>in NIAC</w:t>
      </w:r>
      <w:r w:rsidR="000079F1">
        <w:rPr>
          <w:rFonts w:ascii="Times New Roman" w:hAnsi="Times New Roman"/>
          <w:sz w:val="24"/>
        </w:rPr>
        <w:t>s</w:t>
      </w:r>
      <w:r w:rsidR="006A57F8" w:rsidRPr="004D235F">
        <w:rPr>
          <w:rFonts w:ascii="Times New Roman" w:hAnsi="Times New Roman"/>
          <w:sz w:val="24"/>
        </w:rPr>
        <w:t xml:space="preserve"> </w:t>
      </w:r>
      <w:r w:rsidR="00984D70" w:rsidRPr="004D235F">
        <w:rPr>
          <w:rFonts w:ascii="Times New Roman" w:hAnsi="Times New Roman"/>
          <w:sz w:val="24"/>
        </w:rPr>
        <w:t xml:space="preserve">is that </w:t>
      </w:r>
      <w:r w:rsidR="00781E28">
        <w:rPr>
          <w:rFonts w:ascii="Times New Roman" w:hAnsi="Times New Roman"/>
          <w:sz w:val="24"/>
        </w:rPr>
        <w:t xml:space="preserve">this </w:t>
      </w:r>
      <w:r w:rsidR="003A76EC" w:rsidRPr="004D235F">
        <w:rPr>
          <w:rFonts w:ascii="Times New Roman" w:hAnsi="Times New Roman"/>
          <w:sz w:val="24"/>
        </w:rPr>
        <w:t xml:space="preserve">requirement </w:t>
      </w:r>
      <w:r w:rsidR="006D7200" w:rsidRPr="004D235F">
        <w:rPr>
          <w:rFonts w:ascii="Times New Roman" w:hAnsi="Times New Roman"/>
          <w:sz w:val="24"/>
        </w:rPr>
        <w:t xml:space="preserve">is </w:t>
      </w:r>
      <w:r w:rsidR="004C0E43" w:rsidRPr="004D235F">
        <w:rPr>
          <w:rFonts w:ascii="Times New Roman" w:hAnsi="Times New Roman"/>
          <w:sz w:val="24"/>
        </w:rPr>
        <w:t>invoked</w:t>
      </w:r>
      <w:r w:rsidR="0045368F" w:rsidRPr="004D235F">
        <w:rPr>
          <w:rFonts w:ascii="Times New Roman" w:hAnsi="Times New Roman"/>
          <w:sz w:val="24"/>
        </w:rPr>
        <w:t xml:space="preserve">, alongside that of intensity, </w:t>
      </w:r>
      <w:r w:rsidR="006D7200" w:rsidRPr="004D235F">
        <w:rPr>
          <w:rFonts w:ascii="Times New Roman" w:hAnsi="Times New Roman"/>
          <w:sz w:val="24"/>
        </w:rPr>
        <w:t xml:space="preserve">as one of the </w:t>
      </w:r>
      <w:r w:rsidR="0045368F" w:rsidRPr="004D235F">
        <w:rPr>
          <w:rFonts w:ascii="Times New Roman" w:hAnsi="Times New Roman"/>
          <w:sz w:val="24"/>
        </w:rPr>
        <w:t xml:space="preserve">two </w:t>
      </w:r>
      <w:r w:rsidR="006D7200" w:rsidRPr="004D235F">
        <w:rPr>
          <w:rFonts w:ascii="Times New Roman" w:hAnsi="Times New Roman"/>
          <w:sz w:val="24"/>
        </w:rPr>
        <w:t>threshold</w:t>
      </w:r>
      <w:r w:rsidR="0045368F" w:rsidRPr="004D235F">
        <w:rPr>
          <w:rFonts w:ascii="Times New Roman" w:hAnsi="Times New Roman"/>
          <w:sz w:val="24"/>
        </w:rPr>
        <w:t xml:space="preserve"> conditions</w:t>
      </w:r>
      <w:r w:rsidR="006D7200" w:rsidRPr="004D235F">
        <w:rPr>
          <w:rFonts w:ascii="Times New Roman" w:hAnsi="Times New Roman"/>
          <w:sz w:val="24"/>
        </w:rPr>
        <w:t xml:space="preserve"> for determining the </w:t>
      </w:r>
      <w:r w:rsidR="00D15A88">
        <w:rPr>
          <w:rFonts w:ascii="Times New Roman" w:hAnsi="Times New Roman"/>
          <w:sz w:val="24"/>
        </w:rPr>
        <w:t xml:space="preserve">onset </w:t>
      </w:r>
      <w:r w:rsidR="006D7200" w:rsidRPr="004D235F">
        <w:rPr>
          <w:rFonts w:ascii="Times New Roman" w:hAnsi="Times New Roman"/>
          <w:sz w:val="24"/>
        </w:rPr>
        <w:t>of a NIAC</w:t>
      </w:r>
      <w:r w:rsidR="0053159F">
        <w:rPr>
          <w:rFonts w:ascii="Times New Roman" w:hAnsi="Times New Roman"/>
          <w:sz w:val="24"/>
        </w:rPr>
        <w:t>.</w:t>
      </w:r>
      <w:r w:rsidR="006D7200" w:rsidRPr="004D235F">
        <w:rPr>
          <w:rFonts w:ascii="Times New Roman" w:hAnsi="Times New Roman"/>
          <w:sz w:val="24"/>
        </w:rPr>
        <w:t xml:space="preserve"> </w:t>
      </w:r>
      <w:r w:rsidR="00C86C86" w:rsidRPr="004D235F">
        <w:rPr>
          <w:rFonts w:ascii="Times New Roman" w:hAnsi="Times New Roman"/>
          <w:sz w:val="24"/>
        </w:rPr>
        <w:t xml:space="preserve">A finding that this </w:t>
      </w:r>
      <w:r w:rsidR="00455CE3" w:rsidRPr="004D235F">
        <w:rPr>
          <w:rFonts w:ascii="Times New Roman" w:hAnsi="Times New Roman"/>
          <w:sz w:val="24"/>
        </w:rPr>
        <w:t xml:space="preserve">requirement (again, together with that of intensity) </w:t>
      </w:r>
      <w:r w:rsidR="00C86C86" w:rsidRPr="004D235F">
        <w:rPr>
          <w:rFonts w:ascii="Times New Roman" w:hAnsi="Times New Roman"/>
          <w:sz w:val="24"/>
        </w:rPr>
        <w:t xml:space="preserve">is fulfilled signals a change in the </w:t>
      </w:r>
      <w:r w:rsidR="00443CBD">
        <w:rPr>
          <w:rFonts w:ascii="Times New Roman" w:hAnsi="Times New Roman"/>
          <w:sz w:val="24"/>
        </w:rPr>
        <w:t>relevant</w:t>
      </w:r>
      <w:r w:rsidR="00443CBD" w:rsidRPr="004D235F">
        <w:rPr>
          <w:rFonts w:ascii="Times New Roman" w:hAnsi="Times New Roman"/>
          <w:sz w:val="24"/>
        </w:rPr>
        <w:t xml:space="preserve"> </w:t>
      </w:r>
      <w:r w:rsidR="00C86C86" w:rsidRPr="004D235F">
        <w:rPr>
          <w:rFonts w:ascii="Times New Roman" w:hAnsi="Times New Roman"/>
          <w:sz w:val="24"/>
        </w:rPr>
        <w:t>legal regimes</w:t>
      </w:r>
      <w:r w:rsidR="0053159F">
        <w:rPr>
          <w:rFonts w:ascii="Times New Roman" w:hAnsi="Times New Roman"/>
          <w:sz w:val="24"/>
        </w:rPr>
        <w:t>,</w:t>
      </w:r>
      <w:r w:rsidR="0053159F" w:rsidRPr="0053159F">
        <w:rPr>
          <w:rFonts w:ascii="Times New Roman" w:hAnsi="Times New Roman"/>
          <w:sz w:val="24"/>
        </w:rPr>
        <w:t xml:space="preserve"> </w:t>
      </w:r>
      <w:r w:rsidR="0053159F" w:rsidRPr="004D235F">
        <w:rPr>
          <w:rFonts w:ascii="Times New Roman" w:hAnsi="Times New Roman"/>
          <w:sz w:val="24"/>
        </w:rPr>
        <w:t>triggering the application of the IHL of NIAC.</w:t>
      </w:r>
      <w:r w:rsidR="0053159F" w:rsidRPr="004D235F">
        <w:rPr>
          <w:rStyle w:val="a5"/>
          <w:rFonts w:ascii="Times New Roman" w:hAnsi="Times New Roman"/>
          <w:sz w:val="24"/>
        </w:rPr>
        <w:footnoteReference w:id="97"/>
      </w:r>
      <w:r w:rsidR="0045368F" w:rsidRPr="004D235F">
        <w:rPr>
          <w:rFonts w:ascii="Times New Roman" w:hAnsi="Times New Roman"/>
          <w:sz w:val="24"/>
        </w:rPr>
        <w:t xml:space="preserve"> It </w:t>
      </w:r>
      <w:r w:rsidR="00C86C86" w:rsidRPr="004D235F">
        <w:rPr>
          <w:rFonts w:ascii="Times New Roman" w:hAnsi="Times New Roman"/>
          <w:sz w:val="24"/>
        </w:rPr>
        <w:t>mark</w:t>
      </w:r>
      <w:r w:rsidR="0045368F" w:rsidRPr="004D235F">
        <w:rPr>
          <w:rFonts w:ascii="Times New Roman" w:hAnsi="Times New Roman"/>
          <w:sz w:val="24"/>
        </w:rPr>
        <w:t>s</w:t>
      </w:r>
      <w:r w:rsidR="00C86C86" w:rsidRPr="004D235F">
        <w:rPr>
          <w:rFonts w:ascii="Times New Roman" w:hAnsi="Times New Roman"/>
          <w:sz w:val="24"/>
        </w:rPr>
        <w:t xml:space="preserve"> a departure from the mere situation of ‘below-the-threshold’ violence that </w:t>
      </w:r>
      <w:r w:rsidR="00265C1F" w:rsidRPr="004D235F">
        <w:rPr>
          <w:rFonts w:ascii="Times New Roman" w:hAnsi="Times New Roman"/>
          <w:sz w:val="24"/>
        </w:rPr>
        <w:t xml:space="preserve">is </w:t>
      </w:r>
      <w:r w:rsidR="00C86C86" w:rsidRPr="004D235F">
        <w:rPr>
          <w:rFonts w:ascii="Times New Roman" w:hAnsi="Times New Roman"/>
          <w:sz w:val="24"/>
        </w:rPr>
        <w:t xml:space="preserve">governed by domestic law and </w:t>
      </w:r>
      <w:r w:rsidR="00B430B2">
        <w:rPr>
          <w:rFonts w:ascii="Times New Roman" w:hAnsi="Times New Roman"/>
          <w:sz w:val="24"/>
        </w:rPr>
        <w:t>international human rights law (</w:t>
      </w:r>
      <w:r w:rsidR="00C86C86" w:rsidRPr="004D235F">
        <w:rPr>
          <w:rFonts w:ascii="Times New Roman" w:hAnsi="Times New Roman"/>
          <w:sz w:val="24"/>
        </w:rPr>
        <w:t>IHRL</w:t>
      </w:r>
      <w:r w:rsidR="00B430B2">
        <w:rPr>
          <w:rFonts w:ascii="Times New Roman" w:hAnsi="Times New Roman"/>
          <w:sz w:val="24"/>
        </w:rPr>
        <w:t>)</w:t>
      </w:r>
      <w:r w:rsidR="00C86C86" w:rsidRPr="004D235F">
        <w:rPr>
          <w:rFonts w:ascii="Times New Roman" w:hAnsi="Times New Roman"/>
          <w:sz w:val="24"/>
        </w:rPr>
        <w:t>.</w:t>
      </w:r>
      <w:r w:rsidR="00C86C86" w:rsidRPr="004D235F">
        <w:rPr>
          <w:rStyle w:val="a5"/>
          <w:rFonts w:ascii="Times New Roman" w:hAnsi="Times New Roman"/>
          <w:sz w:val="24"/>
        </w:rPr>
        <w:footnoteReference w:id="98"/>
      </w:r>
      <w:r w:rsidR="00C86C86" w:rsidRPr="004D235F">
        <w:rPr>
          <w:rFonts w:ascii="Times New Roman" w:hAnsi="Times New Roman"/>
          <w:sz w:val="24"/>
        </w:rPr>
        <w:t xml:space="preserve"> </w:t>
      </w:r>
      <w:r w:rsidR="0045368F" w:rsidRPr="004D235F">
        <w:rPr>
          <w:rFonts w:ascii="Times New Roman" w:hAnsi="Times New Roman"/>
          <w:sz w:val="24"/>
        </w:rPr>
        <w:t xml:space="preserve">Further, </w:t>
      </w:r>
      <w:r w:rsidR="000079F1">
        <w:rPr>
          <w:rFonts w:ascii="Times New Roman" w:hAnsi="Times New Roman"/>
          <w:sz w:val="24"/>
        </w:rPr>
        <w:t xml:space="preserve">by being one of the </w:t>
      </w:r>
      <w:r w:rsidR="000079F1">
        <w:rPr>
          <w:rFonts w:ascii="Times New Roman" w:hAnsi="Times New Roman"/>
          <w:sz w:val="24"/>
        </w:rPr>
        <w:lastRenderedPageBreak/>
        <w:t xml:space="preserve">preconditions for a NIAC, the requirement of organization serves as the ‘door-opener’ </w:t>
      </w:r>
      <w:r w:rsidR="00C86C86" w:rsidRPr="004D235F">
        <w:rPr>
          <w:rFonts w:ascii="Times New Roman" w:hAnsi="Times New Roman"/>
          <w:sz w:val="24"/>
        </w:rPr>
        <w:t xml:space="preserve">for </w:t>
      </w:r>
      <w:r w:rsidR="000079F1">
        <w:rPr>
          <w:rFonts w:ascii="Times New Roman" w:hAnsi="Times New Roman"/>
          <w:sz w:val="24"/>
        </w:rPr>
        <w:t>the war crimes law</w:t>
      </w:r>
      <w:r w:rsidR="00C86C86" w:rsidRPr="004D235F">
        <w:rPr>
          <w:rFonts w:ascii="Times New Roman" w:hAnsi="Times New Roman"/>
          <w:sz w:val="24"/>
        </w:rPr>
        <w:t>.</w:t>
      </w:r>
      <w:r w:rsidR="00C86C86" w:rsidRPr="004D235F">
        <w:rPr>
          <w:rStyle w:val="a5"/>
          <w:rFonts w:ascii="Times New Roman" w:hAnsi="Times New Roman"/>
          <w:sz w:val="24"/>
        </w:rPr>
        <w:footnoteReference w:id="99"/>
      </w:r>
      <w:r>
        <w:rPr>
          <w:rFonts w:ascii="Times New Roman" w:hAnsi="Times New Roman"/>
          <w:sz w:val="24"/>
        </w:rPr>
        <w:t xml:space="preserve"> </w:t>
      </w:r>
      <w:r w:rsidR="000079F1">
        <w:rPr>
          <w:rFonts w:ascii="Times New Roman" w:hAnsi="Times New Roman"/>
          <w:sz w:val="24"/>
        </w:rPr>
        <w:t>T</w:t>
      </w:r>
      <w:r w:rsidR="00455CE3" w:rsidRPr="004D235F">
        <w:rPr>
          <w:rFonts w:ascii="Times New Roman" w:hAnsi="Times New Roman"/>
          <w:sz w:val="24"/>
        </w:rPr>
        <w:t xml:space="preserve">hose considerations </w:t>
      </w:r>
      <w:r w:rsidR="00D15A88">
        <w:rPr>
          <w:rFonts w:ascii="Times New Roman" w:hAnsi="Times New Roman"/>
          <w:sz w:val="24"/>
        </w:rPr>
        <w:t xml:space="preserve">provide </w:t>
      </w:r>
      <w:r w:rsidR="00BB1F56">
        <w:rPr>
          <w:rFonts w:ascii="Times New Roman" w:hAnsi="Times New Roman"/>
          <w:sz w:val="24"/>
        </w:rPr>
        <w:t xml:space="preserve">the </w:t>
      </w:r>
      <w:r w:rsidR="00D15A88">
        <w:rPr>
          <w:rFonts w:ascii="Times New Roman" w:hAnsi="Times New Roman"/>
          <w:sz w:val="24"/>
        </w:rPr>
        <w:t>sound rationale for</w:t>
      </w:r>
      <w:r w:rsidR="000079F1">
        <w:rPr>
          <w:rFonts w:ascii="Times New Roman" w:hAnsi="Times New Roman"/>
          <w:sz w:val="24"/>
        </w:rPr>
        <w:t xml:space="preserve"> the </w:t>
      </w:r>
      <w:r w:rsidR="00BB1F56">
        <w:rPr>
          <w:rFonts w:ascii="Times New Roman" w:hAnsi="Times New Roman"/>
          <w:sz w:val="24"/>
        </w:rPr>
        <w:t xml:space="preserve">need to engage </w:t>
      </w:r>
      <w:r w:rsidR="000079F1">
        <w:rPr>
          <w:rFonts w:ascii="Times New Roman" w:hAnsi="Times New Roman"/>
          <w:sz w:val="24"/>
        </w:rPr>
        <w:t xml:space="preserve">in </w:t>
      </w:r>
      <w:r w:rsidR="00BB1F56" w:rsidRPr="004D235F">
        <w:rPr>
          <w:rFonts w:ascii="Times New Roman" w:hAnsi="Times New Roman"/>
          <w:sz w:val="24"/>
        </w:rPr>
        <w:t>relatively in-depth analyses of this requirement</w:t>
      </w:r>
      <w:r w:rsidR="001E52D7" w:rsidRPr="004D235F">
        <w:rPr>
          <w:rStyle w:val="a5"/>
          <w:rFonts w:ascii="Times New Roman" w:hAnsi="Times New Roman"/>
          <w:sz w:val="24"/>
        </w:rPr>
        <w:t>.</w:t>
      </w:r>
      <w:r w:rsidR="00BB1F56">
        <w:rPr>
          <w:rFonts w:ascii="Times New Roman" w:hAnsi="Times New Roman"/>
          <w:sz w:val="24"/>
        </w:rPr>
        <w:t>.</w:t>
      </w:r>
      <w:r w:rsidR="00455CE3" w:rsidRPr="004D235F">
        <w:rPr>
          <w:rStyle w:val="a5"/>
          <w:rFonts w:ascii="Times New Roman" w:hAnsi="Times New Roman"/>
          <w:sz w:val="24"/>
        </w:rPr>
        <w:footnoteReference w:id="100"/>
      </w:r>
      <w:r w:rsidR="00A666F0" w:rsidRPr="00A666F0">
        <w:rPr>
          <w:rFonts w:ascii="Times New Roman" w:hAnsi="Times New Roman"/>
          <w:sz w:val="24"/>
        </w:rPr>
        <w:t xml:space="preserve"> </w:t>
      </w:r>
    </w:p>
    <w:p w14:paraId="588CC355" w14:textId="1BB01182" w:rsidR="00FC7A6F" w:rsidRDefault="00FC7A6F" w:rsidP="00E01082">
      <w:pPr>
        <w:rPr>
          <w:rFonts w:ascii="Times New Roman" w:hAnsi="Times New Roman"/>
          <w:sz w:val="24"/>
        </w:rPr>
      </w:pPr>
    </w:p>
    <w:p w14:paraId="693ECE46" w14:textId="134FB38E" w:rsidR="00912138" w:rsidRDefault="00912138" w:rsidP="006347AB">
      <w:pPr>
        <w:pStyle w:val="ad"/>
        <w:numPr>
          <w:ilvl w:val="0"/>
          <w:numId w:val="1"/>
        </w:numPr>
        <w:ind w:leftChars="0"/>
        <w:rPr>
          <w:rFonts w:ascii="Times New Roman" w:hAnsi="Times New Roman"/>
          <w:b/>
          <w:bCs/>
          <w:sz w:val="24"/>
        </w:rPr>
      </w:pPr>
      <w:r>
        <w:rPr>
          <w:rFonts w:ascii="Times New Roman" w:hAnsi="Times New Roman"/>
          <w:b/>
          <w:bCs/>
          <w:sz w:val="24"/>
        </w:rPr>
        <w:t xml:space="preserve">Quest for the Method to Rationalize </w:t>
      </w:r>
      <w:r w:rsidR="00FC7A6F" w:rsidRPr="00912138">
        <w:rPr>
          <w:rFonts w:ascii="Times New Roman" w:hAnsi="Times New Roman"/>
          <w:b/>
          <w:bCs/>
          <w:sz w:val="24"/>
        </w:rPr>
        <w:t xml:space="preserve">the </w:t>
      </w:r>
      <w:r>
        <w:rPr>
          <w:rFonts w:ascii="Times New Roman" w:hAnsi="Times New Roman"/>
          <w:b/>
          <w:bCs/>
          <w:sz w:val="24"/>
        </w:rPr>
        <w:t>L</w:t>
      </w:r>
      <w:r w:rsidR="00FC7A6F" w:rsidRPr="00912138">
        <w:rPr>
          <w:rFonts w:ascii="Times New Roman" w:hAnsi="Times New Roman"/>
          <w:b/>
          <w:bCs/>
          <w:sz w:val="24"/>
        </w:rPr>
        <w:t xml:space="preserve">ower </w:t>
      </w:r>
      <w:r>
        <w:rPr>
          <w:rFonts w:ascii="Times New Roman" w:hAnsi="Times New Roman"/>
          <w:b/>
          <w:bCs/>
          <w:sz w:val="24"/>
        </w:rPr>
        <w:t>S</w:t>
      </w:r>
      <w:r w:rsidR="00FC7A6F" w:rsidRPr="00912138">
        <w:rPr>
          <w:rFonts w:ascii="Times New Roman" w:hAnsi="Times New Roman"/>
          <w:b/>
          <w:bCs/>
          <w:sz w:val="24"/>
        </w:rPr>
        <w:t xml:space="preserve">tandard </w:t>
      </w:r>
      <w:r w:rsidR="005D5536">
        <w:rPr>
          <w:rFonts w:ascii="Times New Roman" w:hAnsi="Times New Roman"/>
          <w:b/>
          <w:bCs/>
          <w:sz w:val="24"/>
        </w:rPr>
        <w:t>for</w:t>
      </w:r>
      <w:r w:rsidR="00FC7A6F" w:rsidRPr="00912138">
        <w:rPr>
          <w:rFonts w:ascii="Times New Roman" w:hAnsi="Times New Roman"/>
          <w:b/>
          <w:bCs/>
          <w:sz w:val="24"/>
        </w:rPr>
        <w:t xml:space="preserve"> </w:t>
      </w:r>
      <w:r>
        <w:rPr>
          <w:rFonts w:ascii="Times New Roman" w:hAnsi="Times New Roman"/>
          <w:b/>
          <w:bCs/>
          <w:sz w:val="24"/>
        </w:rPr>
        <w:t>O</w:t>
      </w:r>
      <w:r w:rsidR="00FC7A6F" w:rsidRPr="00912138">
        <w:rPr>
          <w:rFonts w:ascii="Times New Roman" w:hAnsi="Times New Roman"/>
          <w:b/>
          <w:bCs/>
          <w:sz w:val="24"/>
        </w:rPr>
        <w:t>rganization</w:t>
      </w:r>
    </w:p>
    <w:p w14:paraId="4C9C6717" w14:textId="55CD58AD" w:rsidR="00FC7A6F" w:rsidRPr="00912138" w:rsidRDefault="000A15E9" w:rsidP="006347AB">
      <w:pPr>
        <w:pStyle w:val="ad"/>
        <w:numPr>
          <w:ilvl w:val="0"/>
          <w:numId w:val="6"/>
        </w:numPr>
        <w:ind w:leftChars="0"/>
        <w:rPr>
          <w:rFonts w:ascii="Times New Roman" w:hAnsi="Times New Roman"/>
          <w:b/>
          <w:bCs/>
          <w:sz w:val="24"/>
        </w:rPr>
      </w:pPr>
      <w:r>
        <w:rPr>
          <w:rFonts w:ascii="Times New Roman" w:hAnsi="Times New Roman"/>
          <w:b/>
          <w:bCs/>
          <w:sz w:val="24"/>
        </w:rPr>
        <w:t>The ‘</w:t>
      </w:r>
      <w:r w:rsidR="00912138" w:rsidRPr="00912138">
        <w:rPr>
          <w:rFonts w:ascii="Times New Roman" w:hAnsi="Times New Roman"/>
          <w:b/>
          <w:bCs/>
          <w:sz w:val="24"/>
        </w:rPr>
        <w:t>I</w:t>
      </w:r>
      <w:r w:rsidR="00B14AF4" w:rsidRPr="00912138">
        <w:rPr>
          <w:rFonts w:ascii="Times New Roman" w:hAnsi="Times New Roman"/>
          <w:b/>
          <w:bCs/>
          <w:sz w:val="24"/>
        </w:rPr>
        <w:t xml:space="preserve">nterdependence </w:t>
      </w:r>
      <w:r>
        <w:rPr>
          <w:rFonts w:ascii="Times New Roman" w:hAnsi="Times New Roman"/>
          <w:b/>
          <w:bCs/>
          <w:sz w:val="24"/>
        </w:rPr>
        <w:t>Model’ or the ‘</w:t>
      </w:r>
      <w:r w:rsidR="00912138" w:rsidRPr="00912138">
        <w:rPr>
          <w:rFonts w:ascii="Times New Roman" w:hAnsi="Times New Roman"/>
          <w:b/>
          <w:bCs/>
          <w:sz w:val="24"/>
        </w:rPr>
        <w:t>C</w:t>
      </w:r>
      <w:r w:rsidR="00B14AF4" w:rsidRPr="00912138">
        <w:rPr>
          <w:rFonts w:ascii="Times New Roman" w:hAnsi="Times New Roman"/>
          <w:b/>
          <w:bCs/>
          <w:sz w:val="24"/>
        </w:rPr>
        <w:t>ompensat</w:t>
      </w:r>
      <w:r>
        <w:rPr>
          <w:rFonts w:ascii="Times New Roman" w:hAnsi="Times New Roman"/>
          <w:b/>
          <w:bCs/>
          <w:sz w:val="24"/>
        </w:rPr>
        <w:t>ory Model’</w:t>
      </w:r>
    </w:p>
    <w:p w14:paraId="3B376071" w14:textId="050A6446" w:rsidR="00BB1F56" w:rsidRDefault="005A5342" w:rsidP="00E01082">
      <w:pPr>
        <w:rPr>
          <w:rFonts w:ascii="Times New Roman" w:hAnsi="Times New Roman"/>
          <w:sz w:val="24"/>
        </w:rPr>
      </w:pPr>
      <w:r>
        <w:rPr>
          <w:rFonts w:ascii="Times New Roman" w:hAnsi="Times New Roman"/>
          <w:sz w:val="24"/>
        </w:rPr>
        <w:t xml:space="preserve">Notwithstanding the general tendency that </w:t>
      </w:r>
      <w:r w:rsidR="00BB17DF">
        <w:rPr>
          <w:rFonts w:ascii="Times New Roman" w:hAnsi="Times New Roman"/>
          <w:sz w:val="24"/>
        </w:rPr>
        <w:t xml:space="preserve">a </w:t>
      </w:r>
      <w:r w:rsidR="00926710">
        <w:rPr>
          <w:rFonts w:ascii="Times New Roman" w:hAnsi="Times New Roman"/>
          <w:sz w:val="24"/>
        </w:rPr>
        <w:t>scrupulous</w:t>
      </w:r>
      <w:r w:rsidR="00BB17DF">
        <w:rPr>
          <w:rFonts w:ascii="Times New Roman" w:hAnsi="Times New Roman"/>
          <w:sz w:val="24"/>
        </w:rPr>
        <w:t xml:space="preserve"> standard</w:t>
      </w:r>
      <w:r w:rsidR="00BB17DF" w:rsidRPr="000A3EBC">
        <w:rPr>
          <w:rFonts w:ascii="Times New Roman" w:hAnsi="Times New Roman"/>
          <w:sz w:val="24"/>
        </w:rPr>
        <w:t xml:space="preserve"> </w:t>
      </w:r>
      <w:r>
        <w:rPr>
          <w:rFonts w:ascii="Times New Roman" w:hAnsi="Times New Roman"/>
          <w:sz w:val="24"/>
        </w:rPr>
        <w:t xml:space="preserve">is required </w:t>
      </w:r>
      <w:r w:rsidR="00BB17DF" w:rsidRPr="000A3EBC">
        <w:rPr>
          <w:rFonts w:ascii="Times New Roman" w:hAnsi="Times New Roman"/>
          <w:sz w:val="24"/>
        </w:rPr>
        <w:t xml:space="preserve">for </w:t>
      </w:r>
      <w:r w:rsidR="00926710">
        <w:rPr>
          <w:rFonts w:ascii="Times New Roman" w:hAnsi="Times New Roman"/>
          <w:sz w:val="24"/>
        </w:rPr>
        <w:t xml:space="preserve">assessing </w:t>
      </w:r>
      <w:r w:rsidR="00BB17DF">
        <w:rPr>
          <w:rFonts w:ascii="Times New Roman" w:hAnsi="Times New Roman"/>
          <w:sz w:val="24"/>
        </w:rPr>
        <w:t xml:space="preserve">the </w:t>
      </w:r>
      <w:r w:rsidR="00BB17DF" w:rsidRPr="000A3EBC">
        <w:rPr>
          <w:rFonts w:ascii="Times New Roman" w:hAnsi="Times New Roman"/>
          <w:sz w:val="24"/>
        </w:rPr>
        <w:t>organizational level of armed groups in NIACs</w:t>
      </w:r>
      <w:r w:rsidR="00BB17DF">
        <w:rPr>
          <w:rFonts w:ascii="Times New Roman" w:hAnsi="Times New Roman"/>
          <w:sz w:val="24"/>
        </w:rPr>
        <w:t>, this section explore</w:t>
      </w:r>
      <w:r w:rsidR="002D4F4F">
        <w:rPr>
          <w:rFonts w:ascii="Times New Roman" w:hAnsi="Times New Roman"/>
          <w:sz w:val="24"/>
        </w:rPr>
        <w:t>s</w:t>
      </w:r>
      <w:r w:rsidR="00BB17DF">
        <w:rPr>
          <w:rFonts w:ascii="Times New Roman" w:hAnsi="Times New Roman"/>
          <w:sz w:val="24"/>
        </w:rPr>
        <w:t xml:space="preserve"> if such a standard may </w:t>
      </w:r>
      <w:r w:rsidR="00DD1D98">
        <w:rPr>
          <w:rFonts w:ascii="Times New Roman" w:hAnsi="Times New Roman"/>
          <w:sz w:val="24"/>
        </w:rPr>
        <w:t xml:space="preserve">nonetheless </w:t>
      </w:r>
      <w:r w:rsidR="00BB17DF">
        <w:rPr>
          <w:rFonts w:ascii="Times New Roman" w:hAnsi="Times New Roman"/>
          <w:sz w:val="24"/>
        </w:rPr>
        <w:t xml:space="preserve">be lowered with </w:t>
      </w:r>
      <w:r w:rsidR="00B14CBE">
        <w:rPr>
          <w:rFonts w:ascii="Times New Roman" w:hAnsi="Times New Roman"/>
          <w:sz w:val="24"/>
        </w:rPr>
        <w:t xml:space="preserve">the effect of </w:t>
      </w:r>
      <w:r w:rsidR="0008577C">
        <w:rPr>
          <w:rFonts w:ascii="Times New Roman" w:hAnsi="Times New Roman"/>
          <w:sz w:val="24"/>
        </w:rPr>
        <w:t xml:space="preserve">either triggering or maintaining the application of </w:t>
      </w:r>
      <w:r w:rsidR="00BB17DF">
        <w:rPr>
          <w:rFonts w:ascii="Times New Roman" w:hAnsi="Times New Roman"/>
          <w:sz w:val="24"/>
        </w:rPr>
        <w:t>the IHL of NIACs</w:t>
      </w:r>
      <w:r w:rsidR="00DD1D98">
        <w:rPr>
          <w:rFonts w:ascii="Times New Roman" w:hAnsi="Times New Roman"/>
          <w:sz w:val="24"/>
        </w:rPr>
        <w:t xml:space="preserve">. </w:t>
      </w:r>
      <w:r w:rsidR="00B14CBE">
        <w:rPr>
          <w:rFonts w:ascii="Times New Roman" w:hAnsi="Times New Roman"/>
          <w:sz w:val="24"/>
        </w:rPr>
        <w:t xml:space="preserve">This inquiry is </w:t>
      </w:r>
      <w:r w:rsidR="00844356">
        <w:rPr>
          <w:rFonts w:ascii="Times New Roman" w:hAnsi="Times New Roman"/>
          <w:sz w:val="24"/>
        </w:rPr>
        <w:t>undertaken</w:t>
      </w:r>
      <w:r w:rsidR="00B14CBE">
        <w:rPr>
          <w:rFonts w:ascii="Times New Roman" w:hAnsi="Times New Roman"/>
          <w:sz w:val="24"/>
        </w:rPr>
        <w:t xml:space="preserve"> on the understanding that even assuming IH</w:t>
      </w:r>
      <w:r w:rsidR="00844356">
        <w:rPr>
          <w:rFonts w:ascii="Times New Roman" w:hAnsi="Times New Roman"/>
          <w:sz w:val="24"/>
        </w:rPr>
        <w:t>RL</w:t>
      </w:r>
      <w:r w:rsidR="00B14CBE">
        <w:rPr>
          <w:rFonts w:ascii="Times New Roman" w:hAnsi="Times New Roman"/>
          <w:sz w:val="24"/>
        </w:rPr>
        <w:t xml:space="preserve"> to be the default rule </w:t>
      </w:r>
      <w:r w:rsidR="0050318C">
        <w:rPr>
          <w:rFonts w:ascii="Times New Roman" w:hAnsi="Times New Roman"/>
          <w:sz w:val="24"/>
        </w:rPr>
        <w:t xml:space="preserve">to regulate armed violence </w:t>
      </w:r>
      <w:r w:rsidR="00B14CBE">
        <w:rPr>
          <w:rFonts w:ascii="Times New Roman" w:hAnsi="Times New Roman"/>
          <w:sz w:val="24"/>
        </w:rPr>
        <w:t>as far as possible,</w:t>
      </w:r>
      <w:r w:rsidR="001D1C32">
        <w:rPr>
          <w:rStyle w:val="a5"/>
          <w:rFonts w:ascii="Times New Roman" w:hAnsi="Times New Roman"/>
          <w:sz w:val="24"/>
        </w:rPr>
        <w:footnoteReference w:id="101"/>
      </w:r>
      <w:r w:rsidR="00B14CBE">
        <w:rPr>
          <w:rFonts w:ascii="Times New Roman" w:hAnsi="Times New Roman"/>
          <w:sz w:val="24"/>
        </w:rPr>
        <w:t xml:space="preserve"> there are some transitional phases of armed violence </w:t>
      </w:r>
      <w:r w:rsidR="0050318C">
        <w:rPr>
          <w:rFonts w:ascii="Times New Roman" w:hAnsi="Times New Roman"/>
          <w:sz w:val="24"/>
        </w:rPr>
        <w:t>in which</w:t>
      </w:r>
      <w:r w:rsidR="00B14CBE">
        <w:rPr>
          <w:rFonts w:ascii="Times New Roman" w:hAnsi="Times New Roman"/>
          <w:sz w:val="24"/>
        </w:rPr>
        <w:t xml:space="preserve"> nuanced assessments may be judged reasonable. </w:t>
      </w:r>
      <w:r w:rsidR="00DD1D98">
        <w:rPr>
          <w:rFonts w:ascii="Times New Roman" w:hAnsi="Times New Roman"/>
          <w:sz w:val="24"/>
        </w:rPr>
        <w:t xml:space="preserve">The crux of </w:t>
      </w:r>
      <w:r w:rsidR="00844356">
        <w:rPr>
          <w:rFonts w:ascii="Times New Roman" w:hAnsi="Times New Roman"/>
          <w:sz w:val="24"/>
        </w:rPr>
        <w:t xml:space="preserve">the </w:t>
      </w:r>
      <w:r w:rsidR="00DD1D98">
        <w:rPr>
          <w:rFonts w:ascii="Times New Roman" w:hAnsi="Times New Roman"/>
          <w:sz w:val="24"/>
        </w:rPr>
        <w:t xml:space="preserve">investigation is </w:t>
      </w:r>
      <w:r w:rsidR="00BB1F56">
        <w:rPr>
          <w:rFonts w:ascii="Times New Roman" w:hAnsi="Times New Roman"/>
          <w:sz w:val="24"/>
        </w:rPr>
        <w:t>how</w:t>
      </w:r>
      <w:r w:rsidR="00393680">
        <w:rPr>
          <w:rFonts w:ascii="Times New Roman" w:hAnsi="Times New Roman"/>
          <w:sz w:val="24"/>
        </w:rPr>
        <w:t xml:space="preserve"> to </w:t>
      </w:r>
      <w:r w:rsidR="00393680">
        <w:rPr>
          <w:rFonts w:ascii="Times New Roman" w:hAnsi="Times New Roman" w:hint="eastAsia"/>
          <w:sz w:val="24"/>
        </w:rPr>
        <w:t xml:space="preserve">rationalize </w:t>
      </w:r>
      <w:r w:rsidR="00BB1F56">
        <w:rPr>
          <w:rFonts w:ascii="Times New Roman" w:hAnsi="Times New Roman"/>
          <w:sz w:val="24"/>
        </w:rPr>
        <w:t xml:space="preserve">such </w:t>
      </w:r>
      <w:r w:rsidR="00B14AF4">
        <w:rPr>
          <w:rFonts w:ascii="Times New Roman" w:hAnsi="Times New Roman"/>
          <w:sz w:val="24"/>
        </w:rPr>
        <w:t>a laxer</w:t>
      </w:r>
      <w:r w:rsidR="00BB1F56">
        <w:rPr>
          <w:rFonts w:ascii="Times New Roman" w:hAnsi="Times New Roman"/>
          <w:sz w:val="24"/>
        </w:rPr>
        <w:t xml:space="preserve"> standard for this requirement</w:t>
      </w:r>
      <w:r w:rsidR="008906B9">
        <w:rPr>
          <w:rFonts w:ascii="Times New Roman" w:hAnsi="Times New Roman"/>
          <w:sz w:val="24"/>
        </w:rPr>
        <w:t xml:space="preserve">, </w:t>
      </w:r>
      <w:r w:rsidR="00B14CBE">
        <w:rPr>
          <w:rFonts w:ascii="Times New Roman" w:hAnsi="Times New Roman"/>
          <w:sz w:val="24"/>
        </w:rPr>
        <w:t xml:space="preserve">which would </w:t>
      </w:r>
      <w:r w:rsidR="008906B9">
        <w:rPr>
          <w:rFonts w:ascii="Times New Roman" w:hAnsi="Times New Roman"/>
          <w:sz w:val="24"/>
        </w:rPr>
        <w:t>dispens</w:t>
      </w:r>
      <w:r w:rsidR="00B14CBE">
        <w:rPr>
          <w:rFonts w:ascii="Times New Roman" w:hAnsi="Times New Roman"/>
          <w:sz w:val="24"/>
        </w:rPr>
        <w:t>e</w:t>
      </w:r>
      <w:r w:rsidR="008906B9">
        <w:rPr>
          <w:rFonts w:ascii="Times New Roman" w:hAnsi="Times New Roman"/>
          <w:sz w:val="24"/>
        </w:rPr>
        <w:t xml:space="preserve"> with any meticulous assessment of the question of compliance with it</w:t>
      </w:r>
      <w:r w:rsidR="00BB1F56">
        <w:rPr>
          <w:rFonts w:ascii="Times New Roman" w:hAnsi="Times New Roman"/>
          <w:sz w:val="24"/>
        </w:rPr>
        <w:t>.</w:t>
      </w:r>
      <w:r w:rsidR="00BB17DF">
        <w:rPr>
          <w:rFonts w:ascii="Times New Roman" w:hAnsi="Times New Roman"/>
          <w:sz w:val="24"/>
        </w:rPr>
        <w:t xml:space="preserve"> </w:t>
      </w:r>
      <w:r w:rsidR="008906B9">
        <w:rPr>
          <w:rFonts w:ascii="Times New Roman" w:hAnsi="Times New Roman"/>
          <w:sz w:val="24"/>
        </w:rPr>
        <w:t xml:space="preserve">For such a purpose, this </w:t>
      </w:r>
      <w:r w:rsidR="00BB17DF">
        <w:rPr>
          <w:rFonts w:ascii="Times New Roman" w:hAnsi="Times New Roman"/>
          <w:sz w:val="24"/>
        </w:rPr>
        <w:t xml:space="preserve">section </w:t>
      </w:r>
      <w:r w:rsidR="008906B9">
        <w:rPr>
          <w:rFonts w:ascii="Times New Roman" w:hAnsi="Times New Roman"/>
          <w:sz w:val="24"/>
        </w:rPr>
        <w:t>proposes</w:t>
      </w:r>
      <w:r w:rsidR="003B398C">
        <w:rPr>
          <w:rFonts w:ascii="Times New Roman" w:hAnsi="Times New Roman"/>
          <w:sz w:val="24"/>
        </w:rPr>
        <w:t xml:space="preserve"> </w:t>
      </w:r>
      <w:r w:rsidR="00BB1F56">
        <w:rPr>
          <w:rFonts w:ascii="Times New Roman" w:hAnsi="Times New Roman"/>
          <w:sz w:val="24"/>
        </w:rPr>
        <w:t xml:space="preserve">two </w:t>
      </w:r>
      <w:r w:rsidR="00845A66">
        <w:rPr>
          <w:rFonts w:ascii="Times New Roman" w:hAnsi="Times New Roman"/>
          <w:sz w:val="24"/>
        </w:rPr>
        <w:t xml:space="preserve">possible </w:t>
      </w:r>
      <w:r w:rsidR="007F5FEE">
        <w:rPr>
          <w:rFonts w:ascii="Times New Roman" w:hAnsi="Times New Roman"/>
          <w:sz w:val="24"/>
        </w:rPr>
        <w:t>modes of thought</w:t>
      </w:r>
      <w:r w:rsidR="00845A66">
        <w:rPr>
          <w:rFonts w:ascii="Times New Roman" w:hAnsi="Times New Roman"/>
          <w:sz w:val="24"/>
        </w:rPr>
        <w:t xml:space="preserve"> </w:t>
      </w:r>
      <w:r w:rsidR="008975A3">
        <w:rPr>
          <w:rFonts w:ascii="Times New Roman" w:hAnsi="Times New Roman"/>
          <w:sz w:val="24"/>
        </w:rPr>
        <w:t>(</w:t>
      </w:r>
      <w:r w:rsidR="00880BBE">
        <w:rPr>
          <w:rFonts w:ascii="Times New Roman" w:hAnsi="Times New Roman"/>
          <w:sz w:val="24"/>
        </w:rPr>
        <w:t>or ‘models’)</w:t>
      </w:r>
      <w:r w:rsidR="00BB1F56">
        <w:rPr>
          <w:rFonts w:ascii="Times New Roman" w:hAnsi="Times New Roman"/>
          <w:sz w:val="24"/>
        </w:rPr>
        <w:t xml:space="preserve">. </w:t>
      </w:r>
    </w:p>
    <w:p w14:paraId="608C8A30" w14:textId="77777777" w:rsidR="00BB1F56" w:rsidRPr="00845A66" w:rsidRDefault="00BB1F56" w:rsidP="00E01082">
      <w:pPr>
        <w:rPr>
          <w:rFonts w:ascii="Times New Roman" w:hAnsi="Times New Roman"/>
          <w:sz w:val="24"/>
        </w:rPr>
      </w:pPr>
    </w:p>
    <w:p w14:paraId="3E331929" w14:textId="7B7E994B" w:rsidR="00E25D6B" w:rsidRDefault="00BB17DF" w:rsidP="00065E04">
      <w:pPr>
        <w:rPr>
          <w:rFonts w:ascii="Times New Roman" w:hAnsi="Times New Roman"/>
          <w:sz w:val="24"/>
        </w:rPr>
      </w:pPr>
      <w:r w:rsidRPr="00A76BEC">
        <w:rPr>
          <w:rFonts w:ascii="Times New Roman" w:hAnsi="Times New Roman"/>
          <w:sz w:val="24"/>
        </w:rPr>
        <w:t xml:space="preserve">The first </w:t>
      </w:r>
      <w:r w:rsidR="00C85BED" w:rsidRPr="00A76BEC">
        <w:rPr>
          <w:rFonts w:ascii="Times New Roman" w:hAnsi="Times New Roman"/>
          <w:sz w:val="24"/>
        </w:rPr>
        <w:t xml:space="preserve">way to </w:t>
      </w:r>
      <w:r w:rsidR="005076CF" w:rsidRPr="00A76BEC">
        <w:rPr>
          <w:rFonts w:ascii="Times New Roman" w:hAnsi="Times New Roman"/>
          <w:sz w:val="24"/>
        </w:rPr>
        <w:t>defend</w:t>
      </w:r>
      <w:r w:rsidR="00C85BED" w:rsidRPr="00A76BEC">
        <w:rPr>
          <w:rFonts w:ascii="Times New Roman" w:hAnsi="Times New Roman"/>
          <w:sz w:val="24"/>
        </w:rPr>
        <w:t xml:space="preserve"> </w:t>
      </w:r>
      <w:r w:rsidR="008975A3" w:rsidRPr="00A76BEC">
        <w:rPr>
          <w:rFonts w:ascii="Times New Roman" w:hAnsi="Times New Roman"/>
          <w:sz w:val="24"/>
        </w:rPr>
        <w:t xml:space="preserve">a lower </w:t>
      </w:r>
      <w:r w:rsidR="00C85BED" w:rsidRPr="00A76BEC">
        <w:rPr>
          <w:rFonts w:ascii="Times New Roman" w:hAnsi="Times New Roman"/>
          <w:sz w:val="24"/>
        </w:rPr>
        <w:t xml:space="preserve">standard of organization is to </w:t>
      </w:r>
      <w:r w:rsidR="008521C8">
        <w:rPr>
          <w:rFonts w:ascii="Times New Roman" w:hAnsi="Times New Roman"/>
          <w:sz w:val="24"/>
        </w:rPr>
        <w:t xml:space="preserve">start with the </w:t>
      </w:r>
      <w:r w:rsidR="00202743">
        <w:rPr>
          <w:rFonts w:ascii="Times New Roman" w:hAnsi="Times New Roman"/>
          <w:sz w:val="24"/>
        </w:rPr>
        <w:t xml:space="preserve">bottom-line </w:t>
      </w:r>
      <w:r w:rsidR="00844356">
        <w:rPr>
          <w:rFonts w:ascii="Times New Roman" w:hAnsi="Times New Roman"/>
          <w:sz w:val="24"/>
        </w:rPr>
        <w:t>premise</w:t>
      </w:r>
      <w:r w:rsidR="00E25D6B">
        <w:rPr>
          <w:rFonts w:ascii="Times New Roman" w:hAnsi="Times New Roman"/>
          <w:sz w:val="24"/>
        </w:rPr>
        <w:t xml:space="preserve"> </w:t>
      </w:r>
      <w:r w:rsidRPr="00A76BEC">
        <w:rPr>
          <w:rFonts w:ascii="Times New Roman" w:hAnsi="Times New Roman"/>
          <w:sz w:val="24"/>
        </w:rPr>
        <w:t xml:space="preserve">that the two threshold conditions for the NIACs (intensity and organization) </w:t>
      </w:r>
      <w:r w:rsidR="008521C8">
        <w:rPr>
          <w:rFonts w:ascii="Times New Roman" w:hAnsi="Times New Roman"/>
          <w:sz w:val="24"/>
        </w:rPr>
        <w:t xml:space="preserve">are </w:t>
      </w:r>
      <w:r w:rsidR="00C54EC6" w:rsidRPr="00A76BEC">
        <w:rPr>
          <w:rFonts w:ascii="Times New Roman" w:hAnsi="Times New Roman"/>
          <w:sz w:val="24"/>
        </w:rPr>
        <w:t xml:space="preserve">closely </w:t>
      </w:r>
      <w:r w:rsidR="00492BBD" w:rsidRPr="00A76BEC">
        <w:rPr>
          <w:rFonts w:ascii="Times New Roman" w:hAnsi="Times New Roman"/>
          <w:sz w:val="24"/>
        </w:rPr>
        <w:t>interconnected with each other.</w:t>
      </w:r>
      <w:r w:rsidR="00492BBD" w:rsidRPr="00A76BEC">
        <w:rPr>
          <w:rStyle w:val="a5"/>
          <w:rFonts w:ascii="Times New Roman" w:hAnsi="Times New Roman"/>
          <w:sz w:val="24"/>
        </w:rPr>
        <w:footnoteReference w:id="102"/>
      </w:r>
      <w:r w:rsidR="00492BBD" w:rsidRPr="00A76BEC">
        <w:rPr>
          <w:rFonts w:ascii="Times New Roman" w:hAnsi="Times New Roman"/>
          <w:sz w:val="24"/>
        </w:rPr>
        <w:t xml:space="preserve"> </w:t>
      </w:r>
      <w:r w:rsidR="00202743">
        <w:rPr>
          <w:rFonts w:ascii="Times New Roman" w:hAnsi="Times New Roman"/>
          <w:sz w:val="24"/>
        </w:rPr>
        <w:t xml:space="preserve">This </w:t>
      </w:r>
      <w:r w:rsidR="00844356">
        <w:rPr>
          <w:rFonts w:ascii="Times New Roman" w:hAnsi="Times New Roman"/>
          <w:sz w:val="24"/>
        </w:rPr>
        <w:t>premise</w:t>
      </w:r>
      <w:r w:rsidR="00202743">
        <w:rPr>
          <w:rFonts w:ascii="Times New Roman" w:hAnsi="Times New Roman"/>
          <w:sz w:val="24"/>
        </w:rPr>
        <w:t xml:space="preserve"> </w:t>
      </w:r>
      <w:r w:rsidR="009D50DC">
        <w:rPr>
          <w:rFonts w:ascii="Times New Roman" w:hAnsi="Times New Roman"/>
          <w:sz w:val="24"/>
        </w:rPr>
        <w:t>was</w:t>
      </w:r>
      <w:r w:rsidR="00202743">
        <w:rPr>
          <w:rFonts w:ascii="Times New Roman" w:hAnsi="Times New Roman"/>
          <w:sz w:val="24"/>
        </w:rPr>
        <w:t xml:space="preserve"> </w:t>
      </w:r>
      <w:r w:rsidR="009D50DC">
        <w:rPr>
          <w:rFonts w:ascii="Times New Roman" w:hAnsi="Times New Roman"/>
          <w:sz w:val="24"/>
        </w:rPr>
        <w:t>observable</w:t>
      </w:r>
      <w:r w:rsidR="00202743">
        <w:rPr>
          <w:rFonts w:ascii="Times New Roman" w:hAnsi="Times New Roman"/>
          <w:sz w:val="24"/>
        </w:rPr>
        <w:t xml:space="preserve"> in</w:t>
      </w:r>
      <w:r w:rsidR="000E3AF7">
        <w:rPr>
          <w:rFonts w:ascii="Times New Roman" w:hAnsi="Times New Roman"/>
          <w:sz w:val="24"/>
        </w:rPr>
        <w:t xml:space="preserve"> the nascent case-law of the ICC. In</w:t>
      </w:r>
      <w:r w:rsidR="00202743">
        <w:rPr>
          <w:rFonts w:ascii="Times New Roman" w:hAnsi="Times New Roman"/>
          <w:sz w:val="24"/>
        </w:rPr>
        <w:t xml:space="preserve"> </w:t>
      </w:r>
      <w:r w:rsidR="00B11649" w:rsidRPr="00A76BEC">
        <w:rPr>
          <w:rFonts w:ascii="Times New Roman" w:hAnsi="Times New Roman"/>
          <w:i/>
          <w:iCs/>
          <w:sz w:val="24"/>
        </w:rPr>
        <w:t>Lubanga</w:t>
      </w:r>
      <w:r w:rsidR="000E3AF7">
        <w:rPr>
          <w:rFonts w:ascii="Times New Roman" w:hAnsi="Times New Roman"/>
          <w:sz w:val="24"/>
        </w:rPr>
        <w:t xml:space="preserve">, </w:t>
      </w:r>
      <w:r w:rsidR="00B11649" w:rsidRPr="00A76BEC">
        <w:rPr>
          <w:rFonts w:ascii="Times New Roman" w:hAnsi="Times New Roman"/>
          <w:sz w:val="24"/>
        </w:rPr>
        <w:t xml:space="preserve">the ICC Pre-Trial Chamber </w:t>
      </w:r>
      <w:r w:rsidR="000E3AF7">
        <w:rPr>
          <w:rFonts w:ascii="Times New Roman" w:hAnsi="Times New Roman"/>
          <w:sz w:val="24"/>
        </w:rPr>
        <w:t>suggested that</w:t>
      </w:r>
      <w:r w:rsidR="00B11649" w:rsidRPr="00A76BEC">
        <w:rPr>
          <w:rFonts w:ascii="Times New Roman" w:hAnsi="Times New Roman"/>
          <w:sz w:val="24"/>
        </w:rPr>
        <w:t xml:space="preserve"> the </w:t>
      </w:r>
      <w:r w:rsidR="00B11649">
        <w:rPr>
          <w:rFonts w:ascii="Times New Roman" w:hAnsi="Times New Roman"/>
          <w:sz w:val="24"/>
        </w:rPr>
        <w:t>requirement</w:t>
      </w:r>
      <w:r w:rsidR="00B11649" w:rsidRPr="00A76BEC">
        <w:rPr>
          <w:rFonts w:ascii="Times New Roman" w:hAnsi="Times New Roman"/>
          <w:sz w:val="24"/>
        </w:rPr>
        <w:t xml:space="preserve"> of organization </w:t>
      </w:r>
      <w:r w:rsidR="000E3AF7">
        <w:rPr>
          <w:rFonts w:ascii="Times New Roman" w:hAnsi="Times New Roman"/>
          <w:sz w:val="24"/>
        </w:rPr>
        <w:t xml:space="preserve">had an unarticulated but </w:t>
      </w:r>
      <w:r w:rsidR="00844356">
        <w:rPr>
          <w:rFonts w:ascii="Times New Roman" w:hAnsi="Times New Roman"/>
          <w:sz w:val="24"/>
        </w:rPr>
        <w:t>close</w:t>
      </w:r>
      <w:r w:rsidR="00B11649" w:rsidRPr="00A76BEC">
        <w:rPr>
          <w:rFonts w:ascii="Times New Roman" w:hAnsi="Times New Roman"/>
          <w:sz w:val="24"/>
        </w:rPr>
        <w:t xml:space="preserve"> link to </w:t>
      </w:r>
      <w:r w:rsidR="00B11649">
        <w:rPr>
          <w:rFonts w:ascii="Times New Roman" w:hAnsi="Times New Roman"/>
          <w:sz w:val="24"/>
        </w:rPr>
        <w:t>t</w:t>
      </w:r>
      <w:r w:rsidR="00B11649" w:rsidRPr="00A76BEC">
        <w:rPr>
          <w:rFonts w:ascii="Times New Roman" w:hAnsi="Times New Roman"/>
          <w:sz w:val="24"/>
        </w:rPr>
        <w:t>he capacity to carry out ‘large-scale military operations for a prolonged period of time’.</w:t>
      </w:r>
      <w:r w:rsidR="00B11649">
        <w:rPr>
          <w:rStyle w:val="a5"/>
          <w:rFonts w:ascii="Times New Roman" w:hAnsi="Times New Roman"/>
          <w:sz w:val="24"/>
        </w:rPr>
        <w:footnoteReference w:id="103"/>
      </w:r>
      <w:r w:rsidR="00B11649">
        <w:rPr>
          <w:rFonts w:ascii="Times New Roman" w:hAnsi="Times New Roman"/>
          <w:sz w:val="24"/>
        </w:rPr>
        <w:t xml:space="preserve"> </w:t>
      </w:r>
      <w:r w:rsidR="00492BBD" w:rsidRPr="00A76BEC">
        <w:rPr>
          <w:rFonts w:ascii="Times New Roman" w:hAnsi="Times New Roman"/>
          <w:sz w:val="24"/>
        </w:rPr>
        <w:t xml:space="preserve">From </w:t>
      </w:r>
      <w:r w:rsidR="008521C8">
        <w:rPr>
          <w:rFonts w:ascii="Times New Roman" w:hAnsi="Times New Roman"/>
          <w:sz w:val="24"/>
        </w:rPr>
        <w:t xml:space="preserve">such </w:t>
      </w:r>
      <w:r w:rsidR="009D50DC">
        <w:rPr>
          <w:rFonts w:ascii="Times New Roman" w:hAnsi="Times New Roman"/>
          <w:sz w:val="24"/>
        </w:rPr>
        <w:t>a premise</w:t>
      </w:r>
      <w:r w:rsidR="008521C8">
        <w:rPr>
          <w:rFonts w:ascii="Times New Roman" w:hAnsi="Times New Roman"/>
          <w:sz w:val="24"/>
        </w:rPr>
        <w:t>, the first approach</w:t>
      </w:r>
      <w:r w:rsidR="008521C8" w:rsidRPr="00A76BEC">
        <w:rPr>
          <w:rFonts w:ascii="Times New Roman" w:hAnsi="Times New Roman"/>
          <w:sz w:val="24"/>
        </w:rPr>
        <w:t xml:space="preserve"> </w:t>
      </w:r>
      <w:r w:rsidR="008521C8">
        <w:rPr>
          <w:rFonts w:ascii="Times New Roman" w:hAnsi="Times New Roman"/>
          <w:sz w:val="24"/>
        </w:rPr>
        <w:t>proposes</w:t>
      </w:r>
      <w:r w:rsidR="00E25D6B" w:rsidRPr="00A76BEC">
        <w:rPr>
          <w:rFonts w:ascii="Times New Roman" w:hAnsi="Times New Roman"/>
          <w:sz w:val="24"/>
        </w:rPr>
        <w:t xml:space="preserve"> </w:t>
      </w:r>
      <w:r w:rsidRPr="00A76BEC">
        <w:rPr>
          <w:rFonts w:ascii="Times New Roman" w:hAnsi="Times New Roman"/>
          <w:sz w:val="24"/>
        </w:rPr>
        <w:t xml:space="preserve">that the </w:t>
      </w:r>
      <w:r w:rsidR="00BB1F56" w:rsidRPr="00A76BEC">
        <w:rPr>
          <w:rFonts w:ascii="Times New Roman" w:hAnsi="Times New Roman"/>
          <w:sz w:val="24"/>
        </w:rPr>
        <w:t xml:space="preserve">strong indicia </w:t>
      </w:r>
      <w:r w:rsidRPr="00A76BEC">
        <w:rPr>
          <w:rFonts w:ascii="Times New Roman" w:hAnsi="Times New Roman"/>
          <w:sz w:val="24"/>
        </w:rPr>
        <w:t xml:space="preserve">for intensity </w:t>
      </w:r>
      <w:r w:rsidR="00492BBD" w:rsidRPr="00A76BEC">
        <w:rPr>
          <w:rFonts w:ascii="Times New Roman" w:hAnsi="Times New Roman"/>
          <w:sz w:val="24"/>
        </w:rPr>
        <w:t xml:space="preserve">be taken </w:t>
      </w:r>
      <w:r w:rsidR="00844356">
        <w:rPr>
          <w:rFonts w:ascii="Times New Roman" w:hAnsi="Times New Roman"/>
          <w:sz w:val="24"/>
        </w:rPr>
        <w:t>as</w:t>
      </w:r>
      <w:r w:rsidR="00844356" w:rsidRPr="00A76BEC">
        <w:rPr>
          <w:rFonts w:ascii="Times New Roman" w:hAnsi="Times New Roman"/>
          <w:sz w:val="24"/>
        </w:rPr>
        <w:t xml:space="preserve"> </w:t>
      </w:r>
      <w:r w:rsidR="00433E24">
        <w:rPr>
          <w:rFonts w:ascii="Times New Roman" w:hAnsi="Times New Roman"/>
          <w:sz w:val="24"/>
        </w:rPr>
        <w:t xml:space="preserve">presuming (rebuttably) </w:t>
      </w:r>
      <w:r w:rsidR="00253BDD">
        <w:rPr>
          <w:rFonts w:ascii="Times New Roman" w:hAnsi="Times New Roman"/>
          <w:sz w:val="24"/>
        </w:rPr>
        <w:t>that</w:t>
      </w:r>
      <w:r w:rsidR="00253BDD" w:rsidRPr="00A76BEC">
        <w:rPr>
          <w:rFonts w:ascii="Times New Roman" w:hAnsi="Times New Roman"/>
          <w:sz w:val="24"/>
        </w:rPr>
        <w:t xml:space="preserve"> </w:t>
      </w:r>
      <w:r w:rsidRPr="00A76BEC">
        <w:rPr>
          <w:rFonts w:ascii="Times New Roman" w:hAnsi="Times New Roman"/>
          <w:sz w:val="24"/>
        </w:rPr>
        <w:t>the minimum organizational level</w:t>
      </w:r>
      <w:r w:rsidR="00253BDD">
        <w:rPr>
          <w:rFonts w:ascii="Times New Roman" w:hAnsi="Times New Roman"/>
          <w:sz w:val="24"/>
        </w:rPr>
        <w:t xml:space="preserve"> </w:t>
      </w:r>
      <w:r w:rsidR="00202743">
        <w:rPr>
          <w:rFonts w:ascii="Times New Roman" w:hAnsi="Times New Roman"/>
          <w:sz w:val="24"/>
        </w:rPr>
        <w:t>must be</w:t>
      </w:r>
      <w:r w:rsidR="00253BDD">
        <w:rPr>
          <w:rFonts w:ascii="Times New Roman" w:hAnsi="Times New Roman"/>
          <w:sz w:val="24"/>
        </w:rPr>
        <w:t xml:space="preserve"> attained</w:t>
      </w:r>
      <w:r w:rsidR="00784200" w:rsidRPr="00A76BEC">
        <w:rPr>
          <w:rFonts w:ascii="Times New Roman" w:hAnsi="Times New Roman"/>
          <w:sz w:val="24"/>
        </w:rPr>
        <w:t>.</w:t>
      </w:r>
      <w:r w:rsidRPr="00A76BEC">
        <w:rPr>
          <w:rFonts w:ascii="Times New Roman" w:hAnsi="Times New Roman"/>
          <w:sz w:val="24"/>
        </w:rPr>
        <w:t xml:space="preserve"> </w:t>
      </w:r>
      <w:r w:rsidR="009216D3" w:rsidRPr="00A76BEC">
        <w:rPr>
          <w:rFonts w:ascii="Times New Roman" w:hAnsi="Times New Roman"/>
          <w:sz w:val="24"/>
        </w:rPr>
        <w:t>The</w:t>
      </w:r>
      <w:r w:rsidR="00FC7A6F" w:rsidRPr="00A76BEC">
        <w:rPr>
          <w:rFonts w:ascii="Times New Roman" w:hAnsi="Times New Roman"/>
          <w:sz w:val="24"/>
        </w:rPr>
        <w:t xml:space="preserve"> thrust </w:t>
      </w:r>
      <w:r w:rsidR="009216D3" w:rsidRPr="00A76BEC">
        <w:rPr>
          <w:rFonts w:ascii="Times New Roman" w:hAnsi="Times New Roman"/>
          <w:sz w:val="24"/>
        </w:rPr>
        <w:t xml:space="preserve">of this </w:t>
      </w:r>
      <w:r w:rsidR="00793C7E">
        <w:rPr>
          <w:rFonts w:ascii="Times New Roman" w:hAnsi="Times New Roman"/>
          <w:sz w:val="24"/>
        </w:rPr>
        <w:t>approach</w:t>
      </w:r>
      <w:r w:rsidR="00793C7E" w:rsidRPr="00A76BEC">
        <w:rPr>
          <w:rFonts w:ascii="Times New Roman" w:hAnsi="Times New Roman"/>
          <w:sz w:val="24"/>
        </w:rPr>
        <w:t xml:space="preserve"> </w:t>
      </w:r>
      <w:r w:rsidR="009216D3" w:rsidRPr="00A76BEC">
        <w:rPr>
          <w:rFonts w:ascii="Times New Roman" w:hAnsi="Times New Roman"/>
          <w:sz w:val="24"/>
        </w:rPr>
        <w:t xml:space="preserve">(‘interdependence model’) </w:t>
      </w:r>
      <w:r w:rsidR="00FC7A6F" w:rsidRPr="00A76BEC">
        <w:rPr>
          <w:rFonts w:ascii="Times New Roman" w:hAnsi="Times New Roman"/>
          <w:sz w:val="24"/>
        </w:rPr>
        <w:t xml:space="preserve">is that </w:t>
      </w:r>
      <w:r w:rsidR="00C54EC6" w:rsidRPr="00A76BEC">
        <w:rPr>
          <w:rFonts w:ascii="Times New Roman" w:hAnsi="Times New Roman"/>
          <w:sz w:val="24"/>
        </w:rPr>
        <w:t>the armed group’s</w:t>
      </w:r>
      <w:r w:rsidR="00FC7A6F" w:rsidRPr="00A76BEC">
        <w:rPr>
          <w:rFonts w:ascii="Times New Roman" w:hAnsi="Times New Roman"/>
          <w:sz w:val="24"/>
        </w:rPr>
        <w:t xml:space="preserve"> capacity to pursue violence of intensive nature is </w:t>
      </w:r>
      <w:r w:rsidR="00793C7E">
        <w:rPr>
          <w:rFonts w:ascii="Times New Roman" w:hAnsi="Times New Roman"/>
          <w:sz w:val="24"/>
        </w:rPr>
        <w:t>read</w:t>
      </w:r>
      <w:r w:rsidR="00793C7E" w:rsidRPr="00A76BEC">
        <w:rPr>
          <w:rFonts w:ascii="Times New Roman" w:hAnsi="Times New Roman"/>
          <w:sz w:val="24"/>
        </w:rPr>
        <w:t xml:space="preserve"> </w:t>
      </w:r>
      <w:r w:rsidR="00FC7A6F" w:rsidRPr="00A76BEC">
        <w:rPr>
          <w:rFonts w:ascii="Times New Roman" w:hAnsi="Times New Roman"/>
          <w:sz w:val="24"/>
        </w:rPr>
        <w:t xml:space="preserve">as </w:t>
      </w:r>
      <w:r w:rsidR="00BB1F56" w:rsidRPr="00A76BEC">
        <w:rPr>
          <w:rFonts w:ascii="Times New Roman" w:hAnsi="Times New Roman"/>
          <w:sz w:val="24"/>
        </w:rPr>
        <w:t>the</w:t>
      </w:r>
      <w:r w:rsidR="00FC7A6F" w:rsidRPr="00A76BEC">
        <w:rPr>
          <w:rFonts w:ascii="Times New Roman" w:hAnsi="Times New Roman"/>
          <w:sz w:val="24"/>
        </w:rPr>
        <w:t xml:space="preserve"> sufficient</w:t>
      </w:r>
      <w:r w:rsidR="00BB1F56" w:rsidRPr="00A76BEC">
        <w:rPr>
          <w:rFonts w:ascii="Times New Roman" w:hAnsi="Times New Roman"/>
          <w:sz w:val="24"/>
        </w:rPr>
        <w:t xml:space="preserve"> </w:t>
      </w:r>
      <w:r w:rsidR="00921127" w:rsidRPr="00A76BEC">
        <w:rPr>
          <w:rFonts w:ascii="Times New Roman" w:hAnsi="Times New Roman"/>
          <w:sz w:val="24"/>
        </w:rPr>
        <w:t>basis for inferring</w:t>
      </w:r>
      <w:r w:rsidR="00BB1F56" w:rsidRPr="00A76BEC">
        <w:rPr>
          <w:rFonts w:ascii="Times New Roman" w:hAnsi="Times New Roman"/>
          <w:sz w:val="24"/>
        </w:rPr>
        <w:t xml:space="preserve"> </w:t>
      </w:r>
      <w:r w:rsidR="00921127" w:rsidRPr="00A76BEC">
        <w:rPr>
          <w:rFonts w:ascii="Times New Roman" w:hAnsi="Times New Roman"/>
          <w:sz w:val="24"/>
        </w:rPr>
        <w:t>its</w:t>
      </w:r>
      <w:r w:rsidR="00BB1F56" w:rsidRPr="00A76BEC">
        <w:rPr>
          <w:rFonts w:ascii="Times New Roman" w:hAnsi="Times New Roman"/>
          <w:sz w:val="24"/>
        </w:rPr>
        <w:t xml:space="preserve"> </w:t>
      </w:r>
      <w:r w:rsidR="00926710" w:rsidRPr="00A76BEC">
        <w:rPr>
          <w:rFonts w:ascii="Times New Roman" w:hAnsi="Times New Roman"/>
          <w:sz w:val="24"/>
        </w:rPr>
        <w:t xml:space="preserve">minimally </w:t>
      </w:r>
      <w:r w:rsidR="00FC7A6F" w:rsidRPr="00A76BEC">
        <w:rPr>
          <w:rFonts w:ascii="Times New Roman" w:hAnsi="Times New Roman"/>
          <w:sz w:val="24"/>
        </w:rPr>
        <w:t>organized character</w:t>
      </w:r>
      <w:r w:rsidR="00921127" w:rsidRPr="00A76BEC">
        <w:rPr>
          <w:rFonts w:ascii="Times New Roman" w:hAnsi="Times New Roman"/>
          <w:sz w:val="24"/>
        </w:rPr>
        <w:t xml:space="preserve"> and forgoing any in-depth inquiry (if any) into this question</w:t>
      </w:r>
      <w:r w:rsidR="00FC7A6F" w:rsidRPr="00A76BEC">
        <w:rPr>
          <w:rFonts w:ascii="Times New Roman" w:hAnsi="Times New Roman"/>
          <w:sz w:val="24"/>
        </w:rPr>
        <w:t xml:space="preserve">. </w:t>
      </w:r>
    </w:p>
    <w:p w14:paraId="241CE869" w14:textId="77777777" w:rsidR="00481A46" w:rsidRPr="00A76BEC" w:rsidRDefault="00481A46" w:rsidP="00065E04">
      <w:pPr>
        <w:rPr>
          <w:rFonts w:ascii="Times New Roman" w:hAnsi="Times New Roman"/>
          <w:sz w:val="24"/>
        </w:rPr>
      </w:pPr>
    </w:p>
    <w:p w14:paraId="4A84CF26" w14:textId="71C63725" w:rsidR="008906B9" w:rsidRDefault="00065E04" w:rsidP="00065E04">
      <w:pPr>
        <w:rPr>
          <w:rFonts w:ascii="Times New Roman" w:hAnsi="Times New Roman"/>
          <w:sz w:val="24"/>
        </w:rPr>
      </w:pPr>
      <w:r w:rsidRPr="00FC7A6F">
        <w:rPr>
          <w:rFonts w:ascii="Times New Roman" w:hAnsi="Times New Roman"/>
          <w:sz w:val="24"/>
        </w:rPr>
        <w:t xml:space="preserve">The second </w:t>
      </w:r>
      <w:r w:rsidR="00880BBE">
        <w:rPr>
          <w:rFonts w:ascii="Times New Roman" w:hAnsi="Times New Roman"/>
          <w:sz w:val="24"/>
        </w:rPr>
        <w:t>model</w:t>
      </w:r>
      <w:r w:rsidRPr="00FC7A6F">
        <w:rPr>
          <w:rFonts w:ascii="Times New Roman" w:hAnsi="Times New Roman"/>
          <w:sz w:val="24"/>
        </w:rPr>
        <w:t xml:space="preserve"> is</w:t>
      </w:r>
      <w:r w:rsidRPr="008F62C8">
        <w:rPr>
          <w:rFonts w:ascii="Times New Roman" w:hAnsi="Times New Roman"/>
          <w:sz w:val="24"/>
        </w:rPr>
        <w:t xml:space="preserve"> </w:t>
      </w:r>
      <w:r w:rsidRPr="00FC7A6F">
        <w:rPr>
          <w:rFonts w:ascii="Times New Roman" w:hAnsi="Times New Roman"/>
          <w:sz w:val="24"/>
        </w:rPr>
        <w:t xml:space="preserve">to </w:t>
      </w:r>
      <w:r w:rsidR="007F5FEE">
        <w:rPr>
          <w:rFonts w:ascii="Times New Roman" w:hAnsi="Times New Roman"/>
          <w:sz w:val="24"/>
        </w:rPr>
        <w:t>propose</w:t>
      </w:r>
      <w:r w:rsidRPr="00FC7A6F">
        <w:rPr>
          <w:rFonts w:ascii="Times New Roman" w:hAnsi="Times New Roman"/>
          <w:sz w:val="24"/>
        </w:rPr>
        <w:t xml:space="preserve"> that any insufficiency in the organized structure of an </w:t>
      </w:r>
      <w:r w:rsidRPr="00FC7A6F">
        <w:rPr>
          <w:rFonts w:ascii="Times New Roman" w:hAnsi="Times New Roman"/>
          <w:sz w:val="24"/>
        </w:rPr>
        <w:lastRenderedPageBreak/>
        <w:t>armed group may be ‘compensated for’ by the prevalence in the intensity</w:t>
      </w:r>
      <w:r w:rsidR="003B398C">
        <w:rPr>
          <w:rFonts w:ascii="Times New Roman" w:hAnsi="Times New Roman"/>
          <w:sz w:val="24"/>
        </w:rPr>
        <w:t xml:space="preserve"> </w:t>
      </w:r>
      <w:r w:rsidRPr="00FC7A6F">
        <w:rPr>
          <w:rFonts w:ascii="Times New Roman" w:hAnsi="Times New Roman"/>
          <w:sz w:val="24"/>
        </w:rPr>
        <w:t>of violence.</w:t>
      </w:r>
      <w:r>
        <w:rPr>
          <w:rFonts w:ascii="Times New Roman" w:hAnsi="Times New Roman"/>
          <w:sz w:val="24"/>
        </w:rPr>
        <w:t xml:space="preserve"> </w:t>
      </w:r>
      <w:r w:rsidR="00772F72">
        <w:rPr>
          <w:rFonts w:ascii="Times New Roman" w:hAnsi="Times New Roman"/>
          <w:sz w:val="24"/>
        </w:rPr>
        <w:t>On this model</w:t>
      </w:r>
      <w:r w:rsidR="009216D3">
        <w:rPr>
          <w:rFonts w:ascii="Times New Roman" w:hAnsi="Times New Roman"/>
          <w:sz w:val="24"/>
        </w:rPr>
        <w:t xml:space="preserve"> (‘compensatory model’)</w:t>
      </w:r>
      <w:r>
        <w:rPr>
          <w:rFonts w:ascii="Times New Roman" w:hAnsi="Times New Roman"/>
          <w:sz w:val="24"/>
        </w:rPr>
        <w:t xml:space="preserve">, </w:t>
      </w:r>
      <w:r w:rsidRPr="00FC7A6F">
        <w:rPr>
          <w:rFonts w:ascii="Times New Roman" w:hAnsi="Times New Roman"/>
          <w:sz w:val="24"/>
        </w:rPr>
        <w:t>a lower threshold</w:t>
      </w:r>
      <w:r w:rsidR="009216D3">
        <w:rPr>
          <w:rFonts w:ascii="Times New Roman" w:hAnsi="Times New Roman"/>
          <w:sz w:val="24"/>
        </w:rPr>
        <w:t xml:space="preserve"> for organization</w:t>
      </w:r>
      <w:r w:rsidRPr="00FC7A6F">
        <w:rPr>
          <w:rFonts w:ascii="Times New Roman" w:hAnsi="Times New Roman"/>
          <w:sz w:val="24"/>
        </w:rPr>
        <w:t xml:space="preserve"> </w:t>
      </w:r>
      <w:r w:rsidR="009216D3">
        <w:rPr>
          <w:rFonts w:ascii="Times New Roman" w:hAnsi="Times New Roman"/>
          <w:sz w:val="24"/>
        </w:rPr>
        <w:t xml:space="preserve">can be </w:t>
      </w:r>
      <w:r w:rsidR="006D6609">
        <w:rPr>
          <w:rFonts w:ascii="Times New Roman" w:hAnsi="Times New Roman"/>
          <w:sz w:val="24"/>
        </w:rPr>
        <w:t xml:space="preserve">exceptionally </w:t>
      </w:r>
      <w:r w:rsidR="009216D3">
        <w:rPr>
          <w:rFonts w:ascii="Times New Roman" w:hAnsi="Times New Roman"/>
          <w:sz w:val="24"/>
        </w:rPr>
        <w:t>recognized, on the proviso</w:t>
      </w:r>
      <w:r w:rsidRPr="00FC7A6F">
        <w:rPr>
          <w:rFonts w:ascii="Times New Roman" w:hAnsi="Times New Roman"/>
          <w:sz w:val="24"/>
        </w:rPr>
        <w:t xml:space="preserve"> that </w:t>
      </w:r>
      <w:r w:rsidR="00571F89">
        <w:rPr>
          <w:rFonts w:ascii="Times New Roman" w:hAnsi="Times New Roman"/>
          <w:sz w:val="24"/>
        </w:rPr>
        <w:t>th</w:t>
      </w:r>
      <w:r w:rsidR="00926710">
        <w:rPr>
          <w:rFonts w:ascii="Times New Roman" w:hAnsi="Times New Roman"/>
          <w:sz w:val="24"/>
        </w:rPr>
        <w:t>ere is an indication that the</w:t>
      </w:r>
      <w:r w:rsidR="00571F89">
        <w:rPr>
          <w:rFonts w:ascii="Times New Roman" w:hAnsi="Times New Roman"/>
          <w:sz w:val="24"/>
        </w:rPr>
        <w:t xml:space="preserve"> violence at hand </w:t>
      </w:r>
      <w:r w:rsidR="00926710">
        <w:rPr>
          <w:rFonts w:ascii="Times New Roman" w:hAnsi="Times New Roman"/>
          <w:sz w:val="24"/>
        </w:rPr>
        <w:t xml:space="preserve">is of </w:t>
      </w:r>
      <w:r w:rsidR="00571F89">
        <w:rPr>
          <w:rFonts w:ascii="Times New Roman" w:hAnsi="Times New Roman"/>
          <w:sz w:val="24"/>
        </w:rPr>
        <w:t xml:space="preserve">considerable intensity </w:t>
      </w:r>
      <w:r w:rsidR="00D05886">
        <w:rPr>
          <w:rFonts w:ascii="Times New Roman" w:hAnsi="Times New Roman"/>
          <w:sz w:val="24"/>
        </w:rPr>
        <w:t xml:space="preserve">in terms of </w:t>
      </w:r>
      <w:r w:rsidR="00571F89">
        <w:rPr>
          <w:rFonts w:ascii="Times New Roman" w:hAnsi="Times New Roman"/>
          <w:sz w:val="24"/>
        </w:rPr>
        <w:t xml:space="preserve">destruction, casualties, scale, temporal length, </w:t>
      </w:r>
      <w:r w:rsidR="00D05886">
        <w:rPr>
          <w:rFonts w:ascii="Times New Roman" w:hAnsi="Times New Roman"/>
          <w:sz w:val="24"/>
        </w:rPr>
        <w:t xml:space="preserve">and other factors. </w:t>
      </w:r>
    </w:p>
    <w:p w14:paraId="110E47B9" w14:textId="235B7BD4" w:rsidR="008906B9" w:rsidRDefault="008906B9" w:rsidP="00415799">
      <w:pPr>
        <w:rPr>
          <w:rFonts w:ascii="Times New Roman" w:hAnsi="Times New Roman"/>
          <w:sz w:val="24"/>
        </w:rPr>
      </w:pPr>
    </w:p>
    <w:p w14:paraId="269FD41A" w14:textId="3E9ACD15" w:rsidR="00963C23" w:rsidRPr="000E6A00" w:rsidRDefault="00963C23" w:rsidP="00963C23">
      <w:pPr>
        <w:rPr>
          <w:rFonts w:ascii="Times New Roman" w:hAnsi="Times New Roman"/>
          <w:sz w:val="24"/>
        </w:rPr>
      </w:pPr>
      <w:r>
        <w:rPr>
          <w:rFonts w:ascii="Times New Roman" w:hAnsi="Times New Roman"/>
          <w:sz w:val="24"/>
        </w:rPr>
        <w:t>The two proposed models are united in allowing the lower threshold for organization to be rationalized. Ther</w:t>
      </w:r>
      <w:r w:rsidR="0008577C">
        <w:rPr>
          <w:rFonts w:ascii="Times New Roman" w:hAnsi="Times New Roman"/>
          <w:sz w:val="24"/>
        </w:rPr>
        <w:t>e</w:t>
      </w:r>
      <w:r w:rsidRPr="000E6A00">
        <w:rPr>
          <w:rFonts w:ascii="Times New Roman" w:hAnsi="Times New Roman"/>
          <w:sz w:val="24"/>
        </w:rPr>
        <w:t xml:space="preserve"> is</w:t>
      </w:r>
      <w:r>
        <w:rPr>
          <w:rFonts w:ascii="Times New Roman" w:hAnsi="Times New Roman"/>
          <w:sz w:val="24"/>
        </w:rPr>
        <w:t xml:space="preserve">, however, </w:t>
      </w:r>
      <w:r w:rsidRPr="000E6A00">
        <w:rPr>
          <w:rFonts w:ascii="Times New Roman" w:hAnsi="Times New Roman"/>
          <w:sz w:val="24"/>
        </w:rPr>
        <w:t xml:space="preserve">a limit to either of </w:t>
      </w:r>
      <w:r>
        <w:rPr>
          <w:rFonts w:ascii="Times New Roman" w:hAnsi="Times New Roman"/>
          <w:sz w:val="24"/>
        </w:rPr>
        <w:t xml:space="preserve">them </w:t>
      </w:r>
      <w:r w:rsidRPr="000E6A00">
        <w:rPr>
          <w:rFonts w:ascii="Times New Roman" w:hAnsi="Times New Roman"/>
          <w:sz w:val="24"/>
        </w:rPr>
        <w:t>resolv</w:t>
      </w:r>
      <w:r>
        <w:rPr>
          <w:rFonts w:ascii="Times New Roman" w:hAnsi="Times New Roman"/>
          <w:sz w:val="24"/>
        </w:rPr>
        <w:t>ing</w:t>
      </w:r>
      <w:r w:rsidRPr="000E6A00">
        <w:rPr>
          <w:rFonts w:ascii="Times New Roman" w:hAnsi="Times New Roman"/>
          <w:sz w:val="24"/>
        </w:rPr>
        <w:t xml:space="preserve"> the dilemma over the question of applicability of IHL to violence generated by a loosely coordinated group. The three elements of organization that this author has proposed above set the minimum threshold. They serve as the bulwark against any overzealous application of IHL in a situation of violence orchestrated by a leader-less ‘horizontalized’ armed unit.</w:t>
      </w:r>
    </w:p>
    <w:p w14:paraId="07AA2D7D" w14:textId="77777777" w:rsidR="00963C23" w:rsidRDefault="00963C23" w:rsidP="00415799">
      <w:pPr>
        <w:rPr>
          <w:rFonts w:ascii="Times New Roman" w:hAnsi="Times New Roman"/>
          <w:sz w:val="24"/>
        </w:rPr>
      </w:pPr>
    </w:p>
    <w:p w14:paraId="2B08834A" w14:textId="012E8C45" w:rsidR="00415799" w:rsidRDefault="00963C23" w:rsidP="00415799">
      <w:pPr>
        <w:rPr>
          <w:rFonts w:ascii="Times New Roman" w:hAnsi="Times New Roman"/>
          <w:sz w:val="24"/>
        </w:rPr>
      </w:pPr>
      <w:r>
        <w:rPr>
          <w:rFonts w:ascii="Times New Roman" w:hAnsi="Times New Roman"/>
          <w:sz w:val="24"/>
        </w:rPr>
        <w:t xml:space="preserve">The </w:t>
      </w:r>
      <w:r w:rsidR="00B674A7" w:rsidRPr="00066403">
        <w:rPr>
          <w:rFonts w:ascii="Times New Roman" w:hAnsi="Times New Roman"/>
          <w:i/>
          <w:iCs/>
          <w:sz w:val="24"/>
        </w:rPr>
        <w:t xml:space="preserve">ICRC’s revised Commentary </w:t>
      </w:r>
      <w:r w:rsidR="00B674A7">
        <w:rPr>
          <w:rFonts w:ascii="Times New Roman" w:hAnsi="Times New Roman"/>
          <w:sz w:val="24"/>
        </w:rPr>
        <w:t xml:space="preserve">to common Article 3 Geneva Conventions </w:t>
      </w:r>
      <w:r w:rsidR="008906B9">
        <w:rPr>
          <w:rFonts w:ascii="Times New Roman" w:hAnsi="Times New Roman"/>
          <w:sz w:val="24"/>
        </w:rPr>
        <w:t>can be read as</w:t>
      </w:r>
      <w:r w:rsidR="00E0192E">
        <w:rPr>
          <w:rFonts w:ascii="Times New Roman" w:hAnsi="Times New Roman"/>
          <w:sz w:val="24"/>
        </w:rPr>
        <w:t xml:space="preserve"> </w:t>
      </w:r>
      <w:r w:rsidR="00526D33">
        <w:rPr>
          <w:rFonts w:ascii="Times New Roman" w:hAnsi="Times New Roman"/>
          <w:sz w:val="24"/>
        </w:rPr>
        <w:t xml:space="preserve">endorsing </w:t>
      </w:r>
      <w:r w:rsidR="008906B9">
        <w:rPr>
          <w:rFonts w:ascii="Times New Roman" w:hAnsi="Times New Roman"/>
          <w:sz w:val="24"/>
        </w:rPr>
        <w:t>either the ‘interdep</w:t>
      </w:r>
      <w:r w:rsidR="00765BB2">
        <w:rPr>
          <w:rFonts w:ascii="Times New Roman" w:hAnsi="Times New Roman"/>
          <w:sz w:val="24"/>
        </w:rPr>
        <w:t>e</w:t>
      </w:r>
      <w:r w:rsidR="008906B9">
        <w:rPr>
          <w:rFonts w:ascii="Times New Roman" w:hAnsi="Times New Roman"/>
          <w:sz w:val="24"/>
        </w:rPr>
        <w:t xml:space="preserve">ndence model’ or </w:t>
      </w:r>
      <w:r w:rsidR="00526D33">
        <w:rPr>
          <w:rFonts w:ascii="Times New Roman" w:hAnsi="Times New Roman"/>
          <w:sz w:val="24"/>
        </w:rPr>
        <w:t>the</w:t>
      </w:r>
      <w:r w:rsidR="00415799">
        <w:rPr>
          <w:rFonts w:ascii="Times New Roman" w:hAnsi="Times New Roman"/>
          <w:sz w:val="24"/>
        </w:rPr>
        <w:t xml:space="preserve"> </w:t>
      </w:r>
      <w:r w:rsidR="00526D33">
        <w:rPr>
          <w:rFonts w:ascii="Times New Roman" w:hAnsi="Times New Roman"/>
          <w:sz w:val="24"/>
        </w:rPr>
        <w:t xml:space="preserve">‘compensatory model’. </w:t>
      </w:r>
      <w:r w:rsidR="006F286D">
        <w:rPr>
          <w:rFonts w:ascii="Times New Roman" w:hAnsi="Times New Roman" w:hint="eastAsia"/>
          <w:sz w:val="24"/>
        </w:rPr>
        <w:t xml:space="preserve">The </w:t>
      </w:r>
      <w:r w:rsidR="006F286D" w:rsidRPr="00066403">
        <w:rPr>
          <w:rFonts w:ascii="Times New Roman" w:hAnsi="Times New Roman"/>
          <w:i/>
          <w:iCs/>
          <w:sz w:val="24"/>
        </w:rPr>
        <w:t xml:space="preserve">Commentary </w:t>
      </w:r>
      <w:r w:rsidR="006F286D">
        <w:rPr>
          <w:rFonts w:ascii="Times New Roman" w:hAnsi="Times New Roman"/>
          <w:sz w:val="24"/>
        </w:rPr>
        <w:t xml:space="preserve">starts with </w:t>
      </w:r>
      <w:r w:rsidR="006909CC">
        <w:rPr>
          <w:rFonts w:ascii="Times New Roman" w:hAnsi="Times New Roman"/>
          <w:sz w:val="24"/>
        </w:rPr>
        <w:t xml:space="preserve">observing </w:t>
      </w:r>
      <w:r w:rsidR="00B674A7">
        <w:rPr>
          <w:rFonts w:ascii="Times New Roman" w:hAnsi="Times New Roman"/>
          <w:sz w:val="24"/>
        </w:rPr>
        <w:t>that</w:t>
      </w:r>
      <w:r w:rsidR="00E0192E">
        <w:rPr>
          <w:rFonts w:ascii="Times New Roman" w:hAnsi="Times New Roman"/>
          <w:sz w:val="24"/>
        </w:rPr>
        <w:t xml:space="preserve"> ‘</w:t>
      </w:r>
      <w:r w:rsidR="00B674A7">
        <w:rPr>
          <w:rFonts w:ascii="Times New Roman" w:hAnsi="Times New Roman"/>
          <w:sz w:val="24"/>
        </w:rPr>
        <w:t>…the criteria of intensity and organization must be present cumulatively in order for a situation of violence to reach the threshold of a non-international armed conflict</w:t>
      </w:r>
      <w:r w:rsidR="00E0192E">
        <w:rPr>
          <w:rFonts w:ascii="Times New Roman" w:hAnsi="Times New Roman"/>
          <w:sz w:val="24"/>
        </w:rPr>
        <w:t>’</w:t>
      </w:r>
      <w:r w:rsidR="006F286D">
        <w:rPr>
          <w:rFonts w:ascii="Times New Roman" w:hAnsi="Times New Roman"/>
          <w:sz w:val="24"/>
        </w:rPr>
        <w:t>.</w:t>
      </w:r>
      <w:r w:rsidR="00E0192E">
        <w:rPr>
          <w:rStyle w:val="a5"/>
          <w:rFonts w:ascii="Times New Roman" w:hAnsi="Times New Roman"/>
          <w:sz w:val="24"/>
        </w:rPr>
        <w:footnoteReference w:id="104"/>
      </w:r>
      <w:r w:rsidR="00E0192E">
        <w:rPr>
          <w:rFonts w:ascii="Times New Roman" w:hAnsi="Times New Roman"/>
          <w:sz w:val="24"/>
        </w:rPr>
        <w:t xml:space="preserve"> </w:t>
      </w:r>
      <w:r w:rsidR="006F286D">
        <w:rPr>
          <w:rFonts w:ascii="Times New Roman" w:hAnsi="Times New Roman"/>
          <w:sz w:val="24"/>
        </w:rPr>
        <w:t xml:space="preserve">Yet, </w:t>
      </w:r>
      <w:r w:rsidR="00E0192E">
        <w:rPr>
          <w:rFonts w:ascii="Times New Roman" w:hAnsi="Times New Roman"/>
          <w:sz w:val="24"/>
        </w:rPr>
        <w:t>it swiftly qualifies such a cumulative approach</w:t>
      </w:r>
      <w:r w:rsidR="00352C72">
        <w:rPr>
          <w:rFonts w:ascii="Times New Roman" w:hAnsi="Times New Roman"/>
          <w:sz w:val="24"/>
        </w:rPr>
        <w:t xml:space="preserve"> and allows </w:t>
      </w:r>
      <w:r w:rsidR="00E0192E">
        <w:rPr>
          <w:rFonts w:ascii="Times New Roman" w:hAnsi="Times New Roman"/>
          <w:sz w:val="24"/>
        </w:rPr>
        <w:t xml:space="preserve">for an exception based on a compensatory interaction of </w:t>
      </w:r>
      <w:r w:rsidR="00A348D4">
        <w:rPr>
          <w:rFonts w:ascii="Times New Roman" w:hAnsi="Times New Roman"/>
          <w:sz w:val="24"/>
        </w:rPr>
        <w:t>those</w:t>
      </w:r>
      <w:r w:rsidR="00E0192E">
        <w:rPr>
          <w:rFonts w:ascii="Times New Roman" w:hAnsi="Times New Roman"/>
          <w:sz w:val="24"/>
        </w:rPr>
        <w:t xml:space="preserve"> two criteria. It states that ‘</w:t>
      </w:r>
      <w:r w:rsidR="00A348D4">
        <w:rPr>
          <w:rFonts w:ascii="Times New Roman" w:hAnsi="Times New Roman"/>
          <w:sz w:val="24"/>
        </w:rPr>
        <w:t>[d]</w:t>
      </w:r>
      <w:proofErr w:type="spellStart"/>
      <w:r w:rsidR="00B674A7">
        <w:rPr>
          <w:rFonts w:ascii="Times New Roman" w:hAnsi="Times New Roman"/>
          <w:sz w:val="24"/>
        </w:rPr>
        <w:t>epending</w:t>
      </w:r>
      <w:proofErr w:type="spellEnd"/>
      <w:r w:rsidR="00B674A7">
        <w:rPr>
          <w:rFonts w:ascii="Times New Roman" w:hAnsi="Times New Roman"/>
          <w:sz w:val="24"/>
        </w:rPr>
        <w:t xml:space="preserve"> on the circumstances, however, it may be possible to draw some conclusions from one criterion for the other</w:t>
      </w:r>
      <w:r w:rsidR="00E0192E">
        <w:rPr>
          <w:rFonts w:ascii="Times New Roman" w:hAnsi="Times New Roman"/>
          <w:sz w:val="24"/>
        </w:rPr>
        <w:t>’</w:t>
      </w:r>
      <w:r w:rsidR="00B674A7">
        <w:rPr>
          <w:rFonts w:ascii="Times New Roman" w:hAnsi="Times New Roman"/>
          <w:sz w:val="24"/>
        </w:rPr>
        <w:t>.</w:t>
      </w:r>
      <w:r w:rsidR="00E0192E" w:rsidRPr="00E0192E">
        <w:rPr>
          <w:rStyle w:val="a5"/>
          <w:rFonts w:ascii="Times New Roman" w:hAnsi="Times New Roman"/>
          <w:sz w:val="24"/>
        </w:rPr>
        <w:t xml:space="preserve"> </w:t>
      </w:r>
      <w:r w:rsidR="00E0192E">
        <w:rPr>
          <w:rStyle w:val="a5"/>
          <w:rFonts w:ascii="Times New Roman" w:hAnsi="Times New Roman"/>
          <w:sz w:val="24"/>
        </w:rPr>
        <w:footnoteReference w:id="105"/>
      </w:r>
      <w:r w:rsidR="00B674A7">
        <w:rPr>
          <w:rFonts w:ascii="Times New Roman" w:hAnsi="Times New Roman"/>
          <w:sz w:val="24"/>
        </w:rPr>
        <w:t xml:space="preserve"> </w:t>
      </w:r>
      <w:r w:rsidR="00E23F75">
        <w:rPr>
          <w:rFonts w:ascii="Times New Roman" w:hAnsi="Times New Roman"/>
          <w:sz w:val="24"/>
        </w:rPr>
        <w:t xml:space="preserve">It should be noted that for </w:t>
      </w:r>
      <w:r w:rsidR="00415799">
        <w:rPr>
          <w:rFonts w:ascii="Times New Roman" w:hAnsi="Times New Roman"/>
          <w:sz w:val="24"/>
        </w:rPr>
        <w:t>such a</w:t>
      </w:r>
      <w:r w:rsidR="008906B9">
        <w:rPr>
          <w:rFonts w:ascii="Times New Roman" w:hAnsi="Times New Roman"/>
          <w:sz w:val="24"/>
        </w:rPr>
        <w:t>n interaction or a</w:t>
      </w:r>
      <w:r w:rsidR="00415799">
        <w:rPr>
          <w:rFonts w:ascii="Times New Roman" w:hAnsi="Times New Roman"/>
          <w:sz w:val="24"/>
        </w:rPr>
        <w:t xml:space="preserve"> compensatory effect</w:t>
      </w:r>
      <w:r w:rsidR="00E0192E">
        <w:rPr>
          <w:rFonts w:ascii="Times New Roman" w:hAnsi="Times New Roman"/>
          <w:sz w:val="24"/>
        </w:rPr>
        <w:t xml:space="preserve"> to kick</w:t>
      </w:r>
      <w:r w:rsidR="006909CC">
        <w:rPr>
          <w:rFonts w:ascii="Times New Roman" w:hAnsi="Times New Roman"/>
          <w:sz w:val="24"/>
        </w:rPr>
        <w:t xml:space="preserve"> </w:t>
      </w:r>
      <w:r w:rsidR="00E0192E">
        <w:rPr>
          <w:rFonts w:ascii="Times New Roman" w:hAnsi="Times New Roman"/>
          <w:sz w:val="24"/>
        </w:rPr>
        <w:t xml:space="preserve">in, </w:t>
      </w:r>
      <w:r w:rsidR="006F286D">
        <w:rPr>
          <w:rFonts w:ascii="Times New Roman" w:hAnsi="Times New Roman"/>
          <w:sz w:val="24"/>
        </w:rPr>
        <w:t xml:space="preserve">it is </w:t>
      </w:r>
      <w:r w:rsidR="00526D33">
        <w:rPr>
          <w:rFonts w:ascii="Times New Roman" w:hAnsi="Times New Roman"/>
          <w:sz w:val="24"/>
        </w:rPr>
        <w:t xml:space="preserve">immaterial whether the opposing side of an armed group is a State armed force or another armed opposition group. </w:t>
      </w:r>
      <w:r w:rsidR="00415799">
        <w:rPr>
          <w:rFonts w:ascii="Times New Roman" w:hAnsi="Times New Roman"/>
          <w:sz w:val="24"/>
        </w:rPr>
        <w:t xml:space="preserve">The only proviso </w:t>
      </w:r>
      <w:r w:rsidR="00623412">
        <w:rPr>
          <w:rFonts w:ascii="Times New Roman" w:hAnsi="Times New Roman"/>
          <w:sz w:val="24"/>
        </w:rPr>
        <w:t xml:space="preserve">given by the </w:t>
      </w:r>
      <w:r w:rsidR="00623412" w:rsidRPr="00121C08">
        <w:rPr>
          <w:rFonts w:ascii="Times New Roman" w:hAnsi="Times New Roman"/>
          <w:i/>
          <w:iCs/>
          <w:sz w:val="24"/>
        </w:rPr>
        <w:t xml:space="preserve">Commentary </w:t>
      </w:r>
      <w:r w:rsidR="00415799">
        <w:rPr>
          <w:rFonts w:ascii="Times New Roman" w:hAnsi="Times New Roman"/>
          <w:sz w:val="24"/>
        </w:rPr>
        <w:t xml:space="preserve">is that </w:t>
      </w:r>
      <w:r w:rsidR="00623412">
        <w:rPr>
          <w:rFonts w:ascii="Times New Roman" w:hAnsi="Times New Roman"/>
          <w:sz w:val="24"/>
        </w:rPr>
        <w:t xml:space="preserve">hostile acts be the result of ‘armed </w:t>
      </w:r>
      <w:r w:rsidR="00623412" w:rsidRPr="00066403">
        <w:rPr>
          <w:rFonts w:ascii="Times New Roman" w:hAnsi="Times New Roman"/>
          <w:i/>
          <w:iCs/>
          <w:sz w:val="24"/>
        </w:rPr>
        <w:t>confrontations’</w:t>
      </w:r>
      <w:r w:rsidR="00E21936">
        <w:rPr>
          <w:rFonts w:ascii="Times New Roman" w:hAnsi="Times New Roman"/>
          <w:sz w:val="24"/>
        </w:rPr>
        <w:t>.</w:t>
      </w:r>
      <w:r w:rsidR="00623412">
        <w:rPr>
          <w:rStyle w:val="a5"/>
          <w:rFonts w:ascii="Times New Roman" w:hAnsi="Times New Roman"/>
          <w:sz w:val="24"/>
        </w:rPr>
        <w:footnoteReference w:id="106"/>
      </w:r>
      <w:r w:rsidR="00623412">
        <w:rPr>
          <w:rFonts w:ascii="Times New Roman" w:hAnsi="Times New Roman"/>
          <w:sz w:val="24"/>
        </w:rPr>
        <w:t xml:space="preserve"> </w:t>
      </w:r>
      <w:r w:rsidR="00E21936">
        <w:rPr>
          <w:rFonts w:ascii="Times New Roman" w:hAnsi="Times New Roman"/>
          <w:sz w:val="24"/>
        </w:rPr>
        <w:t xml:space="preserve">This excludes </w:t>
      </w:r>
      <w:r w:rsidR="00526D33">
        <w:rPr>
          <w:rFonts w:ascii="Times New Roman" w:hAnsi="Times New Roman"/>
          <w:sz w:val="24"/>
        </w:rPr>
        <w:t>unilateral violence</w:t>
      </w:r>
      <w:r w:rsidR="00A348D4">
        <w:rPr>
          <w:rFonts w:ascii="Times New Roman" w:hAnsi="Times New Roman"/>
          <w:sz w:val="24"/>
        </w:rPr>
        <w:t xml:space="preserve">, however intense and destructive </w:t>
      </w:r>
      <w:r w:rsidR="00054562">
        <w:rPr>
          <w:rFonts w:ascii="Times New Roman" w:hAnsi="Times New Roman"/>
          <w:sz w:val="24"/>
        </w:rPr>
        <w:t>this</w:t>
      </w:r>
      <w:r w:rsidR="00A348D4">
        <w:rPr>
          <w:rFonts w:ascii="Times New Roman" w:hAnsi="Times New Roman"/>
          <w:sz w:val="24"/>
        </w:rPr>
        <w:t xml:space="preserve"> may be.</w:t>
      </w:r>
      <w:r w:rsidR="00BD1D41">
        <w:rPr>
          <w:rStyle w:val="a5"/>
          <w:rFonts w:ascii="Times New Roman" w:hAnsi="Times New Roman"/>
          <w:sz w:val="24"/>
        </w:rPr>
        <w:footnoteReference w:id="107"/>
      </w:r>
      <w:r w:rsidR="00415799">
        <w:rPr>
          <w:rFonts w:ascii="Times New Roman" w:hAnsi="Times New Roman" w:hint="eastAsia"/>
          <w:sz w:val="24"/>
        </w:rPr>
        <w:t xml:space="preserve"> </w:t>
      </w:r>
      <w:r w:rsidR="00352C72">
        <w:rPr>
          <w:rFonts w:ascii="Times New Roman" w:hAnsi="Times New Roman"/>
          <w:sz w:val="24"/>
        </w:rPr>
        <w:t>Still, the</w:t>
      </w:r>
      <w:r w:rsidR="007432E7">
        <w:rPr>
          <w:rFonts w:ascii="Times New Roman" w:hAnsi="Times New Roman"/>
          <w:sz w:val="24"/>
        </w:rPr>
        <w:t xml:space="preserve"> </w:t>
      </w:r>
      <w:r w:rsidR="00054562">
        <w:rPr>
          <w:rFonts w:ascii="Times New Roman" w:hAnsi="Times New Roman"/>
          <w:sz w:val="24"/>
        </w:rPr>
        <w:t xml:space="preserve">approach of </w:t>
      </w:r>
      <w:r w:rsidR="007432E7">
        <w:rPr>
          <w:rFonts w:ascii="Times New Roman" w:hAnsi="Times New Roman"/>
          <w:sz w:val="24"/>
        </w:rPr>
        <w:t xml:space="preserve">the </w:t>
      </w:r>
      <w:r w:rsidR="007432E7" w:rsidRPr="00066403">
        <w:rPr>
          <w:rFonts w:ascii="Times New Roman" w:hAnsi="Times New Roman"/>
          <w:i/>
          <w:iCs/>
          <w:sz w:val="24"/>
        </w:rPr>
        <w:t xml:space="preserve">ICRC’s </w:t>
      </w:r>
      <w:r w:rsidR="00E83E8B" w:rsidRPr="00066403">
        <w:rPr>
          <w:rFonts w:ascii="Times New Roman" w:hAnsi="Times New Roman"/>
          <w:i/>
          <w:iCs/>
          <w:sz w:val="24"/>
        </w:rPr>
        <w:t xml:space="preserve">revised Commentary </w:t>
      </w:r>
      <w:r w:rsidR="00054562">
        <w:rPr>
          <w:rFonts w:ascii="Times New Roman" w:hAnsi="Times New Roman"/>
          <w:sz w:val="24"/>
        </w:rPr>
        <w:t xml:space="preserve">that recognizes </w:t>
      </w:r>
      <w:r w:rsidR="00415799">
        <w:rPr>
          <w:rFonts w:ascii="Times New Roman" w:hAnsi="Times New Roman"/>
          <w:sz w:val="24"/>
        </w:rPr>
        <w:t xml:space="preserve">such </w:t>
      </w:r>
      <w:r w:rsidR="00415799" w:rsidRPr="00066403">
        <w:rPr>
          <w:rFonts w:ascii="Times New Roman" w:hAnsi="Times New Roman"/>
          <w:i/>
          <w:iCs/>
          <w:sz w:val="24"/>
        </w:rPr>
        <w:t>mutual</w:t>
      </w:r>
      <w:r w:rsidR="00415799">
        <w:rPr>
          <w:rFonts w:ascii="Times New Roman" w:hAnsi="Times New Roman"/>
          <w:sz w:val="24"/>
        </w:rPr>
        <w:t xml:space="preserve"> </w:t>
      </w:r>
      <w:r w:rsidR="008906B9">
        <w:rPr>
          <w:rFonts w:ascii="Times New Roman" w:hAnsi="Times New Roman"/>
          <w:sz w:val="24"/>
        </w:rPr>
        <w:t>(</w:t>
      </w:r>
      <w:r w:rsidR="00415799">
        <w:rPr>
          <w:rFonts w:ascii="Times New Roman" w:hAnsi="Times New Roman"/>
          <w:sz w:val="24"/>
        </w:rPr>
        <w:t>compensatory</w:t>
      </w:r>
      <w:r w:rsidR="008906B9">
        <w:rPr>
          <w:rFonts w:ascii="Times New Roman" w:hAnsi="Times New Roman"/>
          <w:sz w:val="24"/>
        </w:rPr>
        <w:t>)</w:t>
      </w:r>
      <w:r w:rsidR="00415799">
        <w:rPr>
          <w:rFonts w:ascii="Times New Roman" w:hAnsi="Times New Roman"/>
          <w:sz w:val="24"/>
        </w:rPr>
        <w:t xml:space="preserve"> interaction between the two requirements </w:t>
      </w:r>
      <w:r w:rsidR="00352C72">
        <w:rPr>
          <w:rFonts w:ascii="Times New Roman" w:hAnsi="Times New Roman"/>
          <w:sz w:val="24"/>
        </w:rPr>
        <w:t xml:space="preserve">exceptionally </w:t>
      </w:r>
      <w:r w:rsidR="00054562">
        <w:rPr>
          <w:rFonts w:ascii="Times New Roman" w:hAnsi="Times New Roman"/>
          <w:sz w:val="24"/>
        </w:rPr>
        <w:t xml:space="preserve">marks a contrast </w:t>
      </w:r>
      <w:r w:rsidR="00E83E8B">
        <w:rPr>
          <w:rFonts w:ascii="Times New Roman" w:hAnsi="Times New Roman"/>
          <w:sz w:val="24"/>
        </w:rPr>
        <w:t xml:space="preserve">to </w:t>
      </w:r>
      <w:r w:rsidR="00415799">
        <w:rPr>
          <w:rFonts w:ascii="Times New Roman" w:hAnsi="Times New Roman"/>
          <w:sz w:val="24"/>
        </w:rPr>
        <w:t>the ICRC’s actual practice</w:t>
      </w:r>
      <w:r w:rsidR="007432E7">
        <w:rPr>
          <w:rFonts w:ascii="Times New Roman" w:hAnsi="Times New Roman"/>
          <w:sz w:val="24"/>
        </w:rPr>
        <w:t>.</w:t>
      </w:r>
      <w:r w:rsidR="009A754E">
        <w:rPr>
          <w:rStyle w:val="a5"/>
          <w:rFonts w:ascii="Times New Roman" w:hAnsi="Times New Roman"/>
          <w:sz w:val="24"/>
        </w:rPr>
        <w:footnoteReference w:id="108"/>
      </w:r>
      <w:r w:rsidR="007432E7">
        <w:rPr>
          <w:rFonts w:ascii="Times New Roman" w:hAnsi="Times New Roman"/>
          <w:sz w:val="24"/>
        </w:rPr>
        <w:t xml:space="preserve"> Interestingly, the ICRC</w:t>
      </w:r>
      <w:r w:rsidR="008906B9">
        <w:rPr>
          <w:rFonts w:ascii="Times New Roman" w:hAnsi="Times New Roman"/>
          <w:sz w:val="24"/>
        </w:rPr>
        <w:t>’s policy</w:t>
      </w:r>
      <w:r w:rsidR="00E83E8B">
        <w:rPr>
          <w:rFonts w:ascii="Times New Roman" w:hAnsi="Times New Roman"/>
          <w:sz w:val="24"/>
        </w:rPr>
        <w:t xml:space="preserve"> </w:t>
      </w:r>
      <w:r w:rsidR="00415799">
        <w:rPr>
          <w:rFonts w:ascii="Times New Roman" w:hAnsi="Times New Roman"/>
          <w:sz w:val="24"/>
        </w:rPr>
        <w:t>has</w:t>
      </w:r>
      <w:r w:rsidR="00352C72">
        <w:rPr>
          <w:rFonts w:ascii="Times New Roman" w:hAnsi="Times New Roman"/>
          <w:sz w:val="24"/>
        </w:rPr>
        <w:t xml:space="preserve"> lean</w:t>
      </w:r>
      <w:r w:rsidR="00E21936">
        <w:rPr>
          <w:rFonts w:ascii="Times New Roman" w:hAnsi="Times New Roman"/>
          <w:sz w:val="24"/>
        </w:rPr>
        <w:t>ed</w:t>
      </w:r>
      <w:r w:rsidR="00352C72">
        <w:rPr>
          <w:rFonts w:ascii="Times New Roman" w:hAnsi="Times New Roman"/>
          <w:sz w:val="24"/>
        </w:rPr>
        <w:t xml:space="preserve"> toward </w:t>
      </w:r>
      <w:r w:rsidR="00E21936">
        <w:rPr>
          <w:rFonts w:ascii="Times New Roman" w:hAnsi="Times New Roman"/>
          <w:sz w:val="24"/>
        </w:rPr>
        <w:t xml:space="preserve">a </w:t>
      </w:r>
      <w:r w:rsidR="00415799">
        <w:rPr>
          <w:rFonts w:ascii="Times New Roman" w:hAnsi="Times New Roman"/>
          <w:sz w:val="24"/>
        </w:rPr>
        <w:t>pains</w:t>
      </w:r>
      <w:r w:rsidR="00352C72">
        <w:rPr>
          <w:rFonts w:ascii="Times New Roman" w:hAnsi="Times New Roman"/>
          <w:sz w:val="24"/>
        </w:rPr>
        <w:t xml:space="preserve">taking verification of </w:t>
      </w:r>
      <w:r w:rsidR="00E21936">
        <w:rPr>
          <w:rFonts w:ascii="Times New Roman" w:hAnsi="Times New Roman"/>
          <w:sz w:val="24"/>
        </w:rPr>
        <w:t>the</w:t>
      </w:r>
      <w:r w:rsidR="00415799">
        <w:rPr>
          <w:rFonts w:ascii="Times New Roman" w:hAnsi="Times New Roman"/>
          <w:sz w:val="24"/>
        </w:rPr>
        <w:t xml:space="preserve"> minimum organizational level of an armed group</w:t>
      </w:r>
      <w:r w:rsidR="00E21936">
        <w:rPr>
          <w:rFonts w:ascii="Times New Roman" w:hAnsi="Times New Roman"/>
          <w:sz w:val="24"/>
        </w:rPr>
        <w:t>, even when it is</w:t>
      </w:r>
      <w:r w:rsidR="00415799">
        <w:rPr>
          <w:rFonts w:ascii="Times New Roman" w:hAnsi="Times New Roman"/>
          <w:sz w:val="24"/>
        </w:rPr>
        <w:t xml:space="preserve"> engaged in high-intensity armed violence.</w:t>
      </w:r>
      <w:r w:rsidR="00415799">
        <w:rPr>
          <w:rStyle w:val="a5"/>
          <w:rFonts w:ascii="Times New Roman" w:hAnsi="Times New Roman"/>
          <w:sz w:val="24"/>
        </w:rPr>
        <w:footnoteReference w:id="109"/>
      </w:r>
      <w:r w:rsidR="00415799">
        <w:rPr>
          <w:rFonts w:ascii="Times New Roman" w:hAnsi="Times New Roman"/>
          <w:sz w:val="24"/>
        </w:rPr>
        <w:t xml:space="preserve">  </w:t>
      </w:r>
    </w:p>
    <w:p w14:paraId="5FDA41EB" w14:textId="7B7B46BD" w:rsidR="00706930" w:rsidRPr="00526D33" w:rsidRDefault="00706930" w:rsidP="009A3EDC">
      <w:pPr>
        <w:rPr>
          <w:rFonts w:ascii="Times New Roman" w:hAnsi="Times New Roman"/>
          <w:sz w:val="24"/>
        </w:rPr>
      </w:pPr>
    </w:p>
    <w:p w14:paraId="03C000BE" w14:textId="63EE8EA3" w:rsidR="00C765A5" w:rsidRDefault="007068CF" w:rsidP="006347AB">
      <w:pPr>
        <w:pStyle w:val="ad"/>
        <w:numPr>
          <w:ilvl w:val="0"/>
          <w:numId w:val="6"/>
        </w:numPr>
        <w:ind w:leftChars="0"/>
        <w:rPr>
          <w:rFonts w:ascii="Times New Roman" w:hAnsi="Times New Roman"/>
          <w:b/>
          <w:bCs/>
          <w:sz w:val="24"/>
        </w:rPr>
      </w:pPr>
      <w:r w:rsidRPr="000A15E9">
        <w:rPr>
          <w:rFonts w:ascii="Times New Roman" w:hAnsi="Times New Roman"/>
          <w:b/>
          <w:bCs/>
          <w:sz w:val="24"/>
        </w:rPr>
        <w:t xml:space="preserve">Intensity as the Fulcrum of Evaluations - </w:t>
      </w:r>
      <w:r w:rsidR="00C2027F" w:rsidRPr="000A15E9">
        <w:rPr>
          <w:rFonts w:ascii="Times New Roman" w:hAnsi="Times New Roman" w:hint="eastAsia"/>
          <w:b/>
          <w:bCs/>
          <w:sz w:val="24"/>
        </w:rPr>
        <w:t>I</w:t>
      </w:r>
      <w:r w:rsidR="00C2027F" w:rsidRPr="000A15E9">
        <w:rPr>
          <w:rFonts w:ascii="Times New Roman" w:hAnsi="Times New Roman"/>
          <w:b/>
          <w:bCs/>
          <w:sz w:val="24"/>
        </w:rPr>
        <w:t xml:space="preserve">nverse Ratio Operating </w:t>
      </w:r>
      <w:r w:rsidR="00490789">
        <w:rPr>
          <w:rFonts w:ascii="Times New Roman" w:hAnsi="Times New Roman"/>
          <w:b/>
          <w:bCs/>
          <w:sz w:val="24"/>
        </w:rPr>
        <w:t xml:space="preserve">Mostly in a </w:t>
      </w:r>
      <w:r w:rsidR="00C2027F" w:rsidRPr="000A15E9">
        <w:rPr>
          <w:rFonts w:ascii="Times New Roman" w:hAnsi="Times New Roman"/>
          <w:b/>
          <w:bCs/>
          <w:sz w:val="24"/>
        </w:rPr>
        <w:t>Unidirectional</w:t>
      </w:r>
      <w:r w:rsidR="00490789">
        <w:rPr>
          <w:rFonts w:ascii="Times New Roman" w:hAnsi="Times New Roman"/>
          <w:b/>
          <w:bCs/>
          <w:sz w:val="24"/>
        </w:rPr>
        <w:t xml:space="preserve"> Manner</w:t>
      </w:r>
    </w:p>
    <w:p w14:paraId="47069251" w14:textId="010E2447" w:rsidR="008069F3" w:rsidRDefault="00F653CC" w:rsidP="0058416C">
      <w:pPr>
        <w:rPr>
          <w:rFonts w:ascii="Times New Roman" w:hAnsi="Times New Roman"/>
          <w:sz w:val="24"/>
        </w:rPr>
      </w:pPr>
      <w:r w:rsidRPr="00F653CC">
        <w:rPr>
          <w:rFonts w:ascii="Times New Roman" w:hAnsi="Times New Roman"/>
          <w:sz w:val="24"/>
        </w:rPr>
        <w:t xml:space="preserve">It should be appreciated that both models make the supposition of the minimum organizational level conditional upon the </w:t>
      </w:r>
      <w:r w:rsidR="0054391A">
        <w:rPr>
          <w:rFonts w:ascii="Times New Roman" w:hAnsi="Times New Roman"/>
          <w:sz w:val="24"/>
        </w:rPr>
        <w:t>index of</w:t>
      </w:r>
      <w:r w:rsidRPr="00F653CC">
        <w:rPr>
          <w:rFonts w:ascii="Times New Roman" w:hAnsi="Times New Roman"/>
          <w:sz w:val="24"/>
        </w:rPr>
        <w:t xml:space="preserve"> intensity. Neither of them assumes that the two preconditions for a NIAC (intensity; and organization) hold equal leverage for activating the IHL of NIACs. Instead, they are built on the premise that the fulcrum should rest </w:t>
      </w:r>
      <w:r w:rsidR="00235014">
        <w:rPr>
          <w:rFonts w:ascii="Times New Roman" w:hAnsi="Times New Roman"/>
          <w:sz w:val="24"/>
        </w:rPr>
        <w:t xml:space="preserve">chiefly </w:t>
      </w:r>
      <w:r w:rsidRPr="00F653CC">
        <w:rPr>
          <w:rFonts w:ascii="Times New Roman" w:hAnsi="Times New Roman"/>
          <w:sz w:val="24"/>
        </w:rPr>
        <w:t xml:space="preserve">on the requirement of intensity. </w:t>
      </w:r>
      <w:r w:rsidR="005D5536">
        <w:rPr>
          <w:rFonts w:ascii="Times New Roman" w:hAnsi="Times New Roman"/>
          <w:sz w:val="24"/>
        </w:rPr>
        <w:t xml:space="preserve">As </w:t>
      </w:r>
      <w:r w:rsidRPr="00F653CC">
        <w:rPr>
          <w:rFonts w:ascii="Times New Roman" w:hAnsi="Times New Roman"/>
          <w:sz w:val="24"/>
        </w:rPr>
        <w:t>bolstered by the ICC</w:t>
      </w:r>
      <w:r w:rsidR="00D1579F">
        <w:rPr>
          <w:rFonts w:ascii="Times New Roman" w:hAnsi="Times New Roman"/>
          <w:sz w:val="24"/>
        </w:rPr>
        <w:t>’s reasoning</w:t>
      </w:r>
      <w:r w:rsidR="005D5536">
        <w:rPr>
          <w:rFonts w:ascii="Times New Roman" w:hAnsi="Times New Roman"/>
          <w:sz w:val="24"/>
        </w:rPr>
        <w:t>,</w:t>
      </w:r>
      <w:r w:rsidRPr="004D235F">
        <w:rPr>
          <w:rStyle w:val="a5"/>
          <w:rFonts w:ascii="Times New Roman" w:hAnsi="Times New Roman"/>
          <w:sz w:val="24"/>
        </w:rPr>
        <w:footnoteReference w:id="110"/>
      </w:r>
      <w:r w:rsidRPr="00F653CC">
        <w:rPr>
          <w:rFonts w:ascii="Times New Roman" w:hAnsi="Times New Roman"/>
          <w:sz w:val="24"/>
        </w:rPr>
        <w:t xml:space="preserve"> the requirement of organization is of relatively diminished importance as compared with that of intensity of violence.</w:t>
      </w:r>
      <w:r w:rsidRPr="004D235F">
        <w:rPr>
          <w:rStyle w:val="a5"/>
          <w:rFonts w:ascii="Times New Roman" w:hAnsi="Times New Roman"/>
          <w:sz w:val="24"/>
        </w:rPr>
        <w:footnoteReference w:id="111"/>
      </w:r>
      <w:r w:rsidR="0058416C" w:rsidRPr="0058416C">
        <w:rPr>
          <w:rFonts w:ascii="Times New Roman" w:hAnsi="Times New Roman"/>
          <w:sz w:val="24"/>
        </w:rPr>
        <w:t xml:space="preserve"> </w:t>
      </w:r>
    </w:p>
    <w:p w14:paraId="70F48B42" w14:textId="77777777" w:rsidR="00235014" w:rsidRDefault="00235014" w:rsidP="0058416C">
      <w:pPr>
        <w:rPr>
          <w:rFonts w:ascii="Times New Roman" w:hAnsi="Times New Roman"/>
          <w:sz w:val="24"/>
        </w:rPr>
      </w:pPr>
    </w:p>
    <w:p w14:paraId="1E23C799" w14:textId="23B4CECE" w:rsidR="00765BB2" w:rsidRDefault="00235014" w:rsidP="0058416C">
      <w:pPr>
        <w:rPr>
          <w:rFonts w:ascii="Times New Roman" w:hAnsi="Times New Roman"/>
          <w:sz w:val="24"/>
        </w:rPr>
      </w:pPr>
      <w:r>
        <w:rPr>
          <w:rFonts w:ascii="Times New Roman" w:hAnsi="Times New Roman"/>
          <w:sz w:val="24"/>
        </w:rPr>
        <w:t xml:space="preserve">Both </w:t>
      </w:r>
      <w:r w:rsidRPr="00087145">
        <w:rPr>
          <w:rFonts w:ascii="Times New Roman" w:hAnsi="Times New Roman"/>
          <w:sz w:val="24"/>
        </w:rPr>
        <w:t xml:space="preserve">the interdependence and compensatory models </w:t>
      </w:r>
      <w:r w:rsidR="00765BB2">
        <w:rPr>
          <w:rFonts w:ascii="Times New Roman" w:hAnsi="Times New Roman"/>
          <w:sz w:val="24"/>
        </w:rPr>
        <w:t>propose</w:t>
      </w:r>
      <w:r>
        <w:rPr>
          <w:rFonts w:ascii="Times New Roman" w:hAnsi="Times New Roman"/>
          <w:sz w:val="24"/>
        </w:rPr>
        <w:t xml:space="preserve"> </w:t>
      </w:r>
      <w:r w:rsidRPr="00087145">
        <w:rPr>
          <w:rFonts w:ascii="Times New Roman" w:hAnsi="Times New Roman"/>
          <w:sz w:val="24"/>
        </w:rPr>
        <w:t>that the minimum organization</w:t>
      </w:r>
      <w:r>
        <w:rPr>
          <w:rFonts w:ascii="Times New Roman" w:hAnsi="Times New Roman"/>
          <w:sz w:val="24"/>
        </w:rPr>
        <w:t xml:space="preserve"> </w:t>
      </w:r>
      <w:r w:rsidRPr="00087145">
        <w:rPr>
          <w:rFonts w:ascii="Times New Roman" w:hAnsi="Times New Roman"/>
          <w:sz w:val="24"/>
        </w:rPr>
        <w:t xml:space="preserve">of an armed group may be </w:t>
      </w:r>
      <w:r>
        <w:rPr>
          <w:rFonts w:ascii="Times New Roman" w:hAnsi="Times New Roman"/>
          <w:sz w:val="24"/>
        </w:rPr>
        <w:t xml:space="preserve">extrapolated from </w:t>
      </w:r>
      <w:r w:rsidRPr="00087145">
        <w:rPr>
          <w:rFonts w:ascii="Times New Roman" w:hAnsi="Times New Roman"/>
          <w:sz w:val="24"/>
        </w:rPr>
        <w:t>violence of considerable intensity</w:t>
      </w:r>
      <w:r>
        <w:rPr>
          <w:rFonts w:ascii="Times New Roman" w:hAnsi="Times New Roman"/>
          <w:sz w:val="24"/>
        </w:rPr>
        <w:t xml:space="preserve"> that is mounted by that group</w:t>
      </w:r>
      <w:r w:rsidRPr="00087145">
        <w:rPr>
          <w:rFonts w:ascii="Times New Roman" w:hAnsi="Times New Roman"/>
          <w:sz w:val="24"/>
        </w:rPr>
        <w:t xml:space="preserve">. </w:t>
      </w:r>
      <w:r w:rsidR="0008577C">
        <w:rPr>
          <w:rFonts w:ascii="Times New Roman" w:hAnsi="Times New Roman"/>
          <w:sz w:val="24"/>
        </w:rPr>
        <w:t>For sure, such</w:t>
      </w:r>
      <w:r>
        <w:rPr>
          <w:rFonts w:ascii="Times New Roman" w:hAnsi="Times New Roman"/>
          <w:sz w:val="24"/>
        </w:rPr>
        <w:t xml:space="preserve"> </w:t>
      </w:r>
      <w:r w:rsidR="0008577C">
        <w:rPr>
          <w:rFonts w:ascii="Times New Roman" w:hAnsi="Times New Roman"/>
          <w:sz w:val="24"/>
        </w:rPr>
        <w:t>proposition may be overturned. Yet it can be said that such inference is likely to</w:t>
      </w:r>
      <w:r>
        <w:rPr>
          <w:rFonts w:ascii="Times New Roman" w:hAnsi="Times New Roman"/>
          <w:sz w:val="24"/>
        </w:rPr>
        <w:t xml:space="preserve"> be upheld in the situation where the level of violence becomes of such high intensity that the law enforcement paradigm predicated on IHRL is hard-pressed</w:t>
      </w:r>
      <w:r w:rsidRPr="00087145" w:rsidDel="00F37739">
        <w:rPr>
          <w:rFonts w:ascii="Times New Roman" w:hAnsi="Times New Roman"/>
          <w:sz w:val="24"/>
        </w:rPr>
        <w:t xml:space="preserve"> </w:t>
      </w:r>
      <w:r>
        <w:rPr>
          <w:rFonts w:ascii="Times New Roman" w:hAnsi="Times New Roman"/>
          <w:sz w:val="24"/>
        </w:rPr>
        <w:t>to cope with it</w:t>
      </w:r>
      <w:r w:rsidR="003B398C">
        <w:rPr>
          <w:rFonts w:ascii="Times New Roman" w:hAnsi="Times New Roman"/>
          <w:sz w:val="24"/>
        </w:rPr>
        <w:t>. This is the case</w:t>
      </w:r>
      <w:r>
        <w:rPr>
          <w:rFonts w:ascii="Times New Roman" w:hAnsi="Times New Roman"/>
          <w:sz w:val="24"/>
        </w:rPr>
        <w:t xml:space="preserve"> even though </w:t>
      </w:r>
      <w:r w:rsidRPr="00087145">
        <w:rPr>
          <w:rFonts w:ascii="Times New Roman" w:hAnsi="Times New Roman"/>
          <w:sz w:val="24"/>
        </w:rPr>
        <w:t xml:space="preserve">there is yet to be </w:t>
      </w:r>
      <w:r>
        <w:rPr>
          <w:rFonts w:ascii="Times New Roman" w:hAnsi="Times New Roman"/>
          <w:sz w:val="24"/>
        </w:rPr>
        <w:t>shown conclusively all the</w:t>
      </w:r>
      <w:r w:rsidRPr="00087145">
        <w:rPr>
          <w:rFonts w:ascii="Times New Roman" w:hAnsi="Times New Roman"/>
          <w:sz w:val="24"/>
        </w:rPr>
        <w:t xml:space="preserve"> </w:t>
      </w:r>
      <w:r w:rsidR="003B398C">
        <w:rPr>
          <w:rFonts w:ascii="Times New Roman" w:hAnsi="Times New Roman"/>
          <w:sz w:val="24"/>
        </w:rPr>
        <w:t xml:space="preserve">three </w:t>
      </w:r>
      <w:r w:rsidRPr="00087145">
        <w:rPr>
          <w:rFonts w:ascii="Times New Roman" w:hAnsi="Times New Roman"/>
          <w:sz w:val="24"/>
        </w:rPr>
        <w:t>core minimum elements of organization</w:t>
      </w:r>
      <w:r>
        <w:rPr>
          <w:rFonts w:ascii="Times New Roman" w:hAnsi="Times New Roman"/>
          <w:sz w:val="24"/>
        </w:rPr>
        <w:t xml:space="preserve"> proposed above</w:t>
      </w:r>
      <w:r w:rsidRPr="00087145">
        <w:rPr>
          <w:rFonts w:ascii="Times New Roman" w:hAnsi="Times New Roman"/>
          <w:sz w:val="24"/>
        </w:rPr>
        <w:t xml:space="preserve">. </w:t>
      </w:r>
    </w:p>
    <w:p w14:paraId="1E7B2D71" w14:textId="1EC75584" w:rsidR="00F653CC" w:rsidRDefault="00F653CC" w:rsidP="00F653CC">
      <w:pPr>
        <w:rPr>
          <w:rFonts w:ascii="Times New Roman" w:hAnsi="Times New Roman"/>
          <w:sz w:val="24"/>
        </w:rPr>
      </w:pPr>
    </w:p>
    <w:p w14:paraId="40E747E6" w14:textId="12B0C44E" w:rsidR="00765BB2" w:rsidRPr="00A45B0C" w:rsidRDefault="00B10D6F" w:rsidP="00765BB2">
      <w:pPr>
        <w:rPr>
          <w:rFonts w:ascii="Times New Roman" w:hAnsi="Times New Roman"/>
          <w:sz w:val="24"/>
        </w:rPr>
      </w:pPr>
      <w:r>
        <w:rPr>
          <w:rFonts w:ascii="Times New Roman" w:hAnsi="Times New Roman"/>
          <w:sz w:val="24"/>
        </w:rPr>
        <w:t xml:space="preserve">Given the paramount importance of intensity for both models, it is </w:t>
      </w:r>
      <w:r w:rsidRPr="00F653CC">
        <w:rPr>
          <w:rFonts w:ascii="Times New Roman" w:hAnsi="Times New Roman"/>
          <w:sz w:val="24"/>
        </w:rPr>
        <w:t xml:space="preserve">essential </w:t>
      </w:r>
      <w:r>
        <w:rPr>
          <w:rFonts w:ascii="Times New Roman" w:hAnsi="Times New Roman"/>
          <w:sz w:val="24"/>
        </w:rPr>
        <w:t>to establish that</w:t>
      </w:r>
      <w:r w:rsidRPr="00F653CC">
        <w:rPr>
          <w:rFonts w:ascii="Times New Roman" w:hAnsi="Times New Roman"/>
          <w:sz w:val="24"/>
        </w:rPr>
        <w:t xml:space="preserve"> the armed violence at hand </w:t>
      </w:r>
      <w:r>
        <w:rPr>
          <w:rFonts w:ascii="Times New Roman" w:hAnsi="Times New Roman"/>
          <w:sz w:val="24"/>
        </w:rPr>
        <w:t>is</w:t>
      </w:r>
      <w:r w:rsidRPr="00F653CC">
        <w:rPr>
          <w:rFonts w:ascii="Times New Roman" w:hAnsi="Times New Roman"/>
          <w:sz w:val="24"/>
        </w:rPr>
        <w:t xml:space="preserve"> more than an isolated or one-off incident. </w:t>
      </w:r>
      <w:r w:rsidR="00E8009F">
        <w:rPr>
          <w:rFonts w:ascii="Times New Roman" w:hAnsi="Times New Roman"/>
          <w:sz w:val="24"/>
        </w:rPr>
        <w:t>Examinations should focus on the</w:t>
      </w:r>
      <w:r w:rsidRPr="008E007F">
        <w:rPr>
          <w:rFonts w:ascii="Times New Roman" w:hAnsi="Times New Roman"/>
          <w:sz w:val="24"/>
        </w:rPr>
        <w:t xml:space="preserve"> </w:t>
      </w:r>
      <w:r w:rsidRPr="00F653CC">
        <w:rPr>
          <w:rFonts w:ascii="Times New Roman" w:hAnsi="Times New Roman"/>
          <w:sz w:val="24"/>
        </w:rPr>
        <w:t xml:space="preserve">geographically widespread manner in which </w:t>
      </w:r>
      <w:r w:rsidR="00E8009F">
        <w:rPr>
          <w:rFonts w:ascii="Times New Roman" w:hAnsi="Times New Roman"/>
          <w:sz w:val="24"/>
        </w:rPr>
        <w:t>the violence</w:t>
      </w:r>
      <w:r w:rsidRPr="00F653CC">
        <w:rPr>
          <w:rFonts w:ascii="Times New Roman" w:hAnsi="Times New Roman"/>
          <w:sz w:val="24"/>
        </w:rPr>
        <w:t xml:space="preserve"> is laid out </w:t>
      </w:r>
      <w:r>
        <w:rPr>
          <w:rFonts w:ascii="Times New Roman" w:hAnsi="Times New Roman"/>
          <w:sz w:val="24"/>
        </w:rPr>
        <w:t xml:space="preserve">and the </w:t>
      </w:r>
      <w:r w:rsidRPr="00F653CC">
        <w:rPr>
          <w:rFonts w:ascii="Times New Roman" w:hAnsi="Times New Roman"/>
          <w:sz w:val="24"/>
        </w:rPr>
        <w:t xml:space="preserve">temporal length with which </w:t>
      </w:r>
      <w:r>
        <w:rPr>
          <w:rFonts w:ascii="Times New Roman" w:hAnsi="Times New Roman"/>
          <w:sz w:val="24"/>
        </w:rPr>
        <w:t xml:space="preserve">it </w:t>
      </w:r>
      <w:r w:rsidRPr="00F653CC">
        <w:rPr>
          <w:rFonts w:ascii="Times New Roman" w:hAnsi="Times New Roman"/>
          <w:sz w:val="24"/>
        </w:rPr>
        <w:t>endures</w:t>
      </w:r>
      <w:r>
        <w:rPr>
          <w:rFonts w:ascii="Times New Roman" w:hAnsi="Times New Roman"/>
          <w:sz w:val="24"/>
        </w:rPr>
        <w:t>.</w:t>
      </w:r>
      <w:r>
        <w:rPr>
          <w:rStyle w:val="a5"/>
          <w:rFonts w:ascii="Times New Roman" w:hAnsi="Times New Roman"/>
          <w:sz w:val="24"/>
        </w:rPr>
        <w:footnoteReference w:id="112"/>
      </w:r>
      <w:r>
        <w:rPr>
          <w:rFonts w:ascii="Times New Roman" w:hAnsi="Times New Roman"/>
          <w:sz w:val="24"/>
        </w:rPr>
        <w:t xml:space="preserve"> With special regard to the temporal </w:t>
      </w:r>
      <w:r>
        <w:rPr>
          <w:rFonts w:ascii="Times New Roman" w:hAnsi="Times New Roman"/>
          <w:sz w:val="24"/>
        </w:rPr>
        <w:lastRenderedPageBreak/>
        <w:t>element,</w:t>
      </w:r>
      <w:r w:rsidR="001A19AD">
        <w:rPr>
          <w:rFonts w:ascii="Times New Roman" w:hAnsi="Times New Roman"/>
          <w:sz w:val="24"/>
        </w:rPr>
        <w:t xml:space="preserve"> </w:t>
      </w:r>
      <w:r w:rsidR="00E8009F">
        <w:rPr>
          <w:rFonts w:ascii="Times New Roman" w:hAnsi="Times New Roman"/>
          <w:sz w:val="24"/>
        </w:rPr>
        <w:t xml:space="preserve">it is a staple of </w:t>
      </w:r>
      <w:r w:rsidR="00C954D2">
        <w:rPr>
          <w:rFonts w:ascii="Times New Roman" w:hAnsi="Times New Roman"/>
          <w:sz w:val="24"/>
        </w:rPr>
        <w:t>judicial</w:t>
      </w:r>
      <w:r w:rsidR="00C954D2">
        <w:rPr>
          <w:rStyle w:val="a5"/>
          <w:rFonts w:ascii="Times New Roman" w:hAnsi="Times New Roman"/>
          <w:sz w:val="24"/>
        </w:rPr>
        <w:footnoteReference w:id="113"/>
      </w:r>
      <w:r w:rsidR="00C954D2">
        <w:rPr>
          <w:rFonts w:ascii="Times New Roman" w:hAnsi="Times New Roman"/>
          <w:sz w:val="24"/>
        </w:rPr>
        <w:t xml:space="preserve"> and doctrinal </w:t>
      </w:r>
      <w:r w:rsidR="001A19AD">
        <w:rPr>
          <w:rFonts w:ascii="Times New Roman" w:hAnsi="Times New Roman"/>
          <w:sz w:val="24"/>
        </w:rPr>
        <w:t>dispute</w:t>
      </w:r>
      <w:r w:rsidR="00E8009F">
        <w:rPr>
          <w:rFonts w:ascii="Times New Roman" w:hAnsi="Times New Roman"/>
          <w:sz w:val="24"/>
        </w:rPr>
        <w:t>s</w:t>
      </w:r>
      <w:r w:rsidR="001A19AD">
        <w:rPr>
          <w:rFonts w:ascii="Times New Roman" w:hAnsi="Times New Roman"/>
          <w:sz w:val="24"/>
        </w:rPr>
        <w:t xml:space="preserve"> whether or not the term </w:t>
      </w:r>
      <w:r w:rsidR="001A19AD" w:rsidRPr="00104CF2">
        <w:rPr>
          <w:rFonts w:ascii="Times New Roman" w:hAnsi="Times New Roman"/>
          <w:sz w:val="24"/>
        </w:rPr>
        <w:t>‘protracted armed violence’</w:t>
      </w:r>
      <w:r w:rsidR="001A19AD">
        <w:rPr>
          <w:rStyle w:val="a5"/>
          <w:rFonts w:ascii="Times New Roman" w:hAnsi="Times New Roman"/>
          <w:sz w:val="24"/>
        </w:rPr>
        <w:footnoteReference w:id="114"/>
      </w:r>
      <w:r>
        <w:rPr>
          <w:rFonts w:ascii="Times New Roman" w:hAnsi="Times New Roman"/>
          <w:sz w:val="24"/>
        </w:rPr>
        <w:t xml:space="preserve"> </w:t>
      </w:r>
      <w:r w:rsidR="001A19AD">
        <w:rPr>
          <w:rFonts w:ascii="Times New Roman" w:hAnsi="Times New Roman"/>
          <w:sz w:val="24"/>
        </w:rPr>
        <w:t>or ‘protracted armed conflict’</w:t>
      </w:r>
      <w:r w:rsidR="00025FDA">
        <w:rPr>
          <w:rStyle w:val="a5"/>
          <w:rFonts w:ascii="Times New Roman" w:hAnsi="Times New Roman"/>
          <w:sz w:val="24"/>
        </w:rPr>
        <w:footnoteReference w:id="115"/>
      </w:r>
      <w:r w:rsidR="001A19AD">
        <w:rPr>
          <w:rFonts w:ascii="Times New Roman" w:hAnsi="Times New Roman"/>
          <w:sz w:val="24"/>
        </w:rPr>
        <w:t xml:space="preserve"> </w:t>
      </w:r>
      <w:r w:rsidR="003474F6">
        <w:rPr>
          <w:rFonts w:ascii="Times New Roman" w:hAnsi="Times New Roman"/>
          <w:sz w:val="24"/>
        </w:rPr>
        <w:t>forms</w:t>
      </w:r>
      <w:r w:rsidR="001A19AD">
        <w:rPr>
          <w:rFonts w:ascii="Times New Roman" w:hAnsi="Times New Roman"/>
          <w:sz w:val="24"/>
        </w:rPr>
        <w:t xml:space="preserve"> part of the requirement of intensity</w:t>
      </w:r>
      <w:r w:rsidR="003474F6">
        <w:rPr>
          <w:rStyle w:val="a5"/>
          <w:rFonts w:ascii="Times New Roman" w:hAnsi="Times New Roman"/>
          <w:sz w:val="24"/>
        </w:rPr>
        <w:footnoteReference w:id="116"/>
      </w:r>
      <w:r w:rsidR="003474F6">
        <w:rPr>
          <w:rFonts w:ascii="Times New Roman" w:hAnsi="Times New Roman"/>
          <w:sz w:val="24"/>
        </w:rPr>
        <w:t xml:space="preserve"> or a separate and third criterion for a NIAC</w:t>
      </w:r>
      <w:r w:rsidR="00E8009F">
        <w:rPr>
          <w:rFonts w:ascii="Times New Roman" w:hAnsi="Times New Roman"/>
          <w:sz w:val="24"/>
        </w:rPr>
        <w:t>.</w:t>
      </w:r>
      <w:r w:rsidR="00AC3502">
        <w:rPr>
          <w:rStyle w:val="a5"/>
          <w:rFonts w:ascii="Times New Roman" w:hAnsi="Times New Roman"/>
          <w:sz w:val="24"/>
        </w:rPr>
        <w:footnoteReference w:id="117"/>
      </w:r>
      <w:r w:rsidR="001A19AD">
        <w:rPr>
          <w:rFonts w:ascii="Times New Roman" w:hAnsi="Times New Roman"/>
          <w:sz w:val="24"/>
        </w:rPr>
        <w:t xml:space="preserve"> </w:t>
      </w:r>
      <w:r w:rsidR="00E8009F">
        <w:rPr>
          <w:rFonts w:ascii="Times New Roman" w:hAnsi="Times New Roman"/>
          <w:sz w:val="24"/>
        </w:rPr>
        <w:t>Irrespective of this, it</w:t>
      </w:r>
      <w:r>
        <w:rPr>
          <w:rFonts w:ascii="Times New Roman" w:hAnsi="Times New Roman"/>
          <w:sz w:val="24"/>
        </w:rPr>
        <w:t xml:space="preserve"> is reasonable that </w:t>
      </w:r>
      <w:r w:rsidR="00765BB2">
        <w:rPr>
          <w:rFonts w:ascii="Times New Roman" w:hAnsi="Times New Roman"/>
          <w:sz w:val="24"/>
        </w:rPr>
        <w:t xml:space="preserve">for the ‘interdependence model’, </w:t>
      </w:r>
      <w:r>
        <w:rPr>
          <w:rFonts w:ascii="Times New Roman" w:hAnsi="Times New Roman"/>
          <w:sz w:val="24"/>
        </w:rPr>
        <w:t xml:space="preserve">any armed group that has demonstrated </w:t>
      </w:r>
      <w:r w:rsidR="00765BB2">
        <w:rPr>
          <w:rFonts w:ascii="Times New Roman" w:hAnsi="Times New Roman"/>
          <w:sz w:val="24"/>
        </w:rPr>
        <w:t>a</w:t>
      </w:r>
      <w:r w:rsidR="006F286D">
        <w:rPr>
          <w:rFonts w:ascii="Times New Roman" w:hAnsi="Times New Roman"/>
          <w:sz w:val="24"/>
        </w:rPr>
        <w:t xml:space="preserve">n ability </w:t>
      </w:r>
      <w:r>
        <w:rPr>
          <w:rFonts w:ascii="Times New Roman" w:hAnsi="Times New Roman"/>
          <w:sz w:val="24"/>
        </w:rPr>
        <w:t xml:space="preserve">to carry out sustained attacks </w:t>
      </w:r>
      <w:r w:rsidR="00E8009F" w:rsidRPr="00F653CC">
        <w:rPr>
          <w:rFonts w:ascii="Times New Roman" w:hAnsi="Times New Roman"/>
          <w:sz w:val="24"/>
        </w:rPr>
        <w:t xml:space="preserve">provides a robust indicator for </w:t>
      </w:r>
      <w:r w:rsidR="00902F0A">
        <w:rPr>
          <w:rFonts w:ascii="Times New Roman" w:hAnsi="Times New Roman"/>
          <w:sz w:val="24"/>
        </w:rPr>
        <w:t>its</w:t>
      </w:r>
      <w:r w:rsidR="00E8009F" w:rsidRPr="00F653CC">
        <w:rPr>
          <w:rFonts w:ascii="Times New Roman" w:hAnsi="Times New Roman"/>
          <w:sz w:val="24"/>
        </w:rPr>
        <w:t xml:space="preserve"> minimum organizational </w:t>
      </w:r>
      <w:r w:rsidR="00E8009F">
        <w:rPr>
          <w:rFonts w:ascii="Times New Roman" w:hAnsi="Times New Roman"/>
          <w:sz w:val="24"/>
        </w:rPr>
        <w:t>degree</w:t>
      </w:r>
      <w:r>
        <w:rPr>
          <w:rFonts w:ascii="Times New Roman" w:hAnsi="Times New Roman"/>
          <w:sz w:val="24"/>
        </w:rPr>
        <w:t xml:space="preserve">. </w:t>
      </w:r>
      <w:r w:rsidR="00765BB2">
        <w:rPr>
          <w:rFonts w:ascii="Times New Roman" w:hAnsi="Times New Roman"/>
          <w:sz w:val="24"/>
        </w:rPr>
        <w:t xml:space="preserve">For the compensatory model, </w:t>
      </w:r>
      <w:r w:rsidR="00765BB2" w:rsidRPr="004D235F">
        <w:rPr>
          <w:rFonts w:ascii="Times New Roman" w:hAnsi="Times New Roman"/>
          <w:sz w:val="24"/>
        </w:rPr>
        <w:t xml:space="preserve">the intensity of attacks </w:t>
      </w:r>
      <w:r w:rsidR="00765BB2">
        <w:rPr>
          <w:rFonts w:ascii="Times New Roman" w:hAnsi="Times New Roman"/>
          <w:sz w:val="24"/>
        </w:rPr>
        <w:t xml:space="preserve">is seen as ascending in inverse ratio to </w:t>
      </w:r>
      <w:r w:rsidR="00765BB2" w:rsidRPr="004D235F">
        <w:rPr>
          <w:rFonts w:ascii="Times New Roman" w:hAnsi="Times New Roman"/>
          <w:sz w:val="24"/>
        </w:rPr>
        <w:t xml:space="preserve">the organizational level </w:t>
      </w:r>
      <w:r w:rsidR="00765BB2">
        <w:rPr>
          <w:rFonts w:ascii="Times New Roman" w:hAnsi="Times New Roman"/>
          <w:sz w:val="24"/>
        </w:rPr>
        <w:t>of an armed group</w:t>
      </w:r>
      <w:r w:rsidR="00765BB2" w:rsidRPr="004D235F">
        <w:rPr>
          <w:rFonts w:ascii="Times New Roman" w:hAnsi="Times New Roman"/>
          <w:sz w:val="24"/>
        </w:rPr>
        <w:t xml:space="preserve">. </w:t>
      </w:r>
    </w:p>
    <w:p w14:paraId="4A06929F" w14:textId="77777777" w:rsidR="00A16599" w:rsidRPr="00623B41" w:rsidRDefault="00A16599" w:rsidP="00E01082">
      <w:pPr>
        <w:rPr>
          <w:rFonts w:ascii="Times New Roman" w:hAnsi="Times New Roman"/>
          <w:sz w:val="24"/>
        </w:rPr>
      </w:pPr>
    </w:p>
    <w:p w14:paraId="3542EE3D" w14:textId="0307298F" w:rsidR="00752A61" w:rsidRPr="00066403" w:rsidRDefault="00087145" w:rsidP="00066403">
      <w:pPr>
        <w:pStyle w:val="ad"/>
        <w:numPr>
          <w:ilvl w:val="0"/>
          <w:numId w:val="6"/>
        </w:numPr>
        <w:ind w:leftChars="0"/>
        <w:rPr>
          <w:rFonts w:ascii="Times New Roman" w:hAnsi="Times New Roman"/>
          <w:sz w:val="24"/>
        </w:rPr>
      </w:pPr>
      <w:r w:rsidRPr="00087145">
        <w:rPr>
          <w:rFonts w:ascii="Times New Roman" w:hAnsi="Times New Roman" w:hint="eastAsia"/>
          <w:b/>
          <w:bCs/>
          <w:sz w:val="24"/>
        </w:rPr>
        <w:t>E</w:t>
      </w:r>
      <w:r w:rsidRPr="00087145">
        <w:rPr>
          <w:rFonts w:ascii="Times New Roman" w:hAnsi="Times New Roman"/>
          <w:b/>
          <w:bCs/>
          <w:sz w:val="24"/>
        </w:rPr>
        <w:t xml:space="preserve">valuations of the </w:t>
      </w:r>
      <w:r w:rsidR="0054391A">
        <w:rPr>
          <w:rFonts w:ascii="Times New Roman" w:hAnsi="Times New Roman"/>
          <w:b/>
          <w:bCs/>
          <w:sz w:val="24"/>
        </w:rPr>
        <w:t>T</w:t>
      </w:r>
      <w:r w:rsidRPr="00087145">
        <w:rPr>
          <w:rFonts w:ascii="Times New Roman" w:hAnsi="Times New Roman"/>
          <w:b/>
          <w:bCs/>
          <w:sz w:val="24"/>
        </w:rPr>
        <w:t xml:space="preserve">wo </w:t>
      </w:r>
      <w:r w:rsidR="0054391A">
        <w:rPr>
          <w:rFonts w:ascii="Times New Roman" w:hAnsi="Times New Roman"/>
          <w:b/>
          <w:bCs/>
          <w:sz w:val="24"/>
        </w:rPr>
        <w:t>Proposed M</w:t>
      </w:r>
      <w:r w:rsidRPr="00087145">
        <w:rPr>
          <w:rFonts w:ascii="Times New Roman" w:hAnsi="Times New Roman"/>
          <w:b/>
          <w:bCs/>
          <w:sz w:val="24"/>
        </w:rPr>
        <w:t>odels</w:t>
      </w:r>
    </w:p>
    <w:p w14:paraId="433C00CF" w14:textId="4E9085F4" w:rsidR="00FF1BD2" w:rsidRPr="00752A61" w:rsidRDefault="00E35525" w:rsidP="00FF1BD2">
      <w:pPr>
        <w:rPr>
          <w:rFonts w:ascii="Times New Roman" w:hAnsi="Times New Roman"/>
          <w:sz w:val="24"/>
        </w:rPr>
      </w:pPr>
      <w:r>
        <w:rPr>
          <w:rFonts w:ascii="Times New Roman" w:hAnsi="Times New Roman"/>
          <w:sz w:val="24"/>
        </w:rPr>
        <w:t xml:space="preserve">Turning to the </w:t>
      </w:r>
      <w:r w:rsidR="00F34D94">
        <w:rPr>
          <w:rFonts w:ascii="Times New Roman" w:hAnsi="Times New Roman"/>
          <w:sz w:val="24"/>
        </w:rPr>
        <w:t>relative advantage</w:t>
      </w:r>
      <w:r>
        <w:rPr>
          <w:rFonts w:ascii="Times New Roman" w:hAnsi="Times New Roman"/>
          <w:sz w:val="24"/>
        </w:rPr>
        <w:t xml:space="preserve"> of </w:t>
      </w:r>
      <w:r w:rsidR="00F34D94">
        <w:rPr>
          <w:rFonts w:ascii="Times New Roman" w:hAnsi="Times New Roman"/>
          <w:sz w:val="24"/>
        </w:rPr>
        <w:t xml:space="preserve">each </w:t>
      </w:r>
      <w:r>
        <w:rPr>
          <w:rFonts w:ascii="Times New Roman" w:hAnsi="Times New Roman"/>
          <w:sz w:val="24"/>
        </w:rPr>
        <w:t xml:space="preserve">model, it is important to dwell upon the </w:t>
      </w:r>
      <w:r>
        <w:rPr>
          <w:rFonts w:ascii="Times New Roman" w:hAnsi="Times New Roman"/>
          <w:sz w:val="24"/>
        </w:rPr>
        <w:lastRenderedPageBreak/>
        <w:t xml:space="preserve">implication of the </w:t>
      </w:r>
      <w:r w:rsidR="002F655C">
        <w:rPr>
          <w:rFonts w:ascii="Times New Roman" w:hAnsi="Times New Roman"/>
          <w:sz w:val="24"/>
        </w:rPr>
        <w:t>overriding importance of the requirement of intensity as compared with that of organization for ascertaining the existen</w:t>
      </w:r>
      <w:r>
        <w:rPr>
          <w:rFonts w:ascii="Times New Roman" w:hAnsi="Times New Roman"/>
          <w:sz w:val="24"/>
        </w:rPr>
        <w:t>c</w:t>
      </w:r>
      <w:r w:rsidR="002F655C">
        <w:rPr>
          <w:rFonts w:ascii="Times New Roman" w:hAnsi="Times New Roman"/>
          <w:sz w:val="24"/>
        </w:rPr>
        <w:t xml:space="preserve">e of a NIAC. </w:t>
      </w:r>
      <w:r w:rsidR="00A45B0C" w:rsidRPr="004D235F">
        <w:rPr>
          <w:rFonts w:ascii="Times New Roman" w:hAnsi="Times New Roman"/>
          <w:sz w:val="24"/>
        </w:rPr>
        <w:t xml:space="preserve">In view of </w:t>
      </w:r>
      <w:r w:rsidR="00F34D94">
        <w:rPr>
          <w:rFonts w:ascii="Times New Roman" w:hAnsi="Times New Roman"/>
          <w:sz w:val="24"/>
        </w:rPr>
        <w:t>such</w:t>
      </w:r>
      <w:r w:rsidR="00A45B0C">
        <w:rPr>
          <w:rFonts w:ascii="Times New Roman" w:hAnsi="Times New Roman"/>
          <w:sz w:val="24"/>
        </w:rPr>
        <w:t xml:space="preserve"> an </w:t>
      </w:r>
      <w:r w:rsidR="00A45B0C" w:rsidRPr="00707548">
        <w:rPr>
          <w:rFonts w:ascii="Times New Roman" w:hAnsi="Times New Roman"/>
          <w:i/>
          <w:iCs/>
          <w:sz w:val="24"/>
        </w:rPr>
        <w:t>a priori</w:t>
      </w:r>
      <w:r w:rsidR="00A45B0C">
        <w:rPr>
          <w:rFonts w:ascii="Times New Roman" w:hAnsi="Times New Roman"/>
          <w:sz w:val="24"/>
        </w:rPr>
        <w:t xml:space="preserve"> skewed assumption in favour of the precondition of intensity, it </w:t>
      </w:r>
      <w:r w:rsidR="00752A61">
        <w:rPr>
          <w:rFonts w:ascii="Times New Roman" w:hAnsi="Times New Roman"/>
          <w:sz w:val="24"/>
        </w:rPr>
        <w:t xml:space="preserve">is </w:t>
      </w:r>
      <w:r w:rsidR="00A45B0C">
        <w:rPr>
          <w:rFonts w:ascii="Times New Roman" w:hAnsi="Times New Roman"/>
          <w:sz w:val="24"/>
        </w:rPr>
        <w:t xml:space="preserve">misleading to use the denomination </w:t>
      </w:r>
      <w:r w:rsidR="00A45B0C" w:rsidRPr="00F653CC">
        <w:rPr>
          <w:rFonts w:ascii="Times New Roman" w:hAnsi="Times New Roman"/>
          <w:sz w:val="24"/>
        </w:rPr>
        <w:t>‘interdependence’</w:t>
      </w:r>
      <w:r w:rsidR="002F655C">
        <w:rPr>
          <w:rFonts w:ascii="Times New Roman" w:hAnsi="Times New Roman"/>
          <w:sz w:val="24"/>
        </w:rPr>
        <w:t xml:space="preserve"> lest this implies interaction of </w:t>
      </w:r>
      <w:proofErr w:type="gramStart"/>
      <w:r w:rsidR="00F34D94">
        <w:rPr>
          <w:rFonts w:ascii="Times New Roman" w:hAnsi="Times New Roman"/>
          <w:sz w:val="24"/>
        </w:rPr>
        <w:t>more or less</w:t>
      </w:r>
      <w:r w:rsidR="002F655C">
        <w:rPr>
          <w:rFonts w:ascii="Times New Roman" w:hAnsi="Times New Roman"/>
          <w:sz w:val="24"/>
        </w:rPr>
        <w:t xml:space="preserve"> equal</w:t>
      </w:r>
      <w:proofErr w:type="gramEnd"/>
      <w:r w:rsidR="002F655C">
        <w:rPr>
          <w:rFonts w:ascii="Times New Roman" w:hAnsi="Times New Roman"/>
          <w:sz w:val="24"/>
        </w:rPr>
        <w:t xml:space="preserve"> degree</w:t>
      </w:r>
      <w:r w:rsidR="00A45B0C">
        <w:rPr>
          <w:rFonts w:ascii="Times New Roman" w:hAnsi="Times New Roman"/>
          <w:sz w:val="24"/>
        </w:rPr>
        <w:t>.</w:t>
      </w:r>
      <w:r w:rsidR="00A45B0C" w:rsidRPr="008069F3">
        <w:rPr>
          <w:rFonts w:ascii="Times New Roman" w:hAnsi="Times New Roman"/>
          <w:sz w:val="24"/>
        </w:rPr>
        <w:t xml:space="preserve"> </w:t>
      </w:r>
      <w:r w:rsidR="00F34D94">
        <w:rPr>
          <w:rFonts w:ascii="Times New Roman" w:hAnsi="Times New Roman"/>
          <w:sz w:val="24"/>
        </w:rPr>
        <w:t xml:space="preserve">As examined above, in most situations, it is the prevalence in the intensity of violence brought about by an armed group that </w:t>
      </w:r>
      <w:r w:rsidR="009A1C12">
        <w:rPr>
          <w:rFonts w:ascii="Times New Roman" w:hAnsi="Times New Roman"/>
          <w:sz w:val="24"/>
        </w:rPr>
        <w:t>can be taken as filling</w:t>
      </w:r>
      <w:r w:rsidR="00F34D94">
        <w:rPr>
          <w:rFonts w:ascii="Times New Roman" w:hAnsi="Times New Roman"/>
          <w:sz w:val="24"/>
        </w:rPr>
        <w:t xml:space="preserve"> any deficiency in the organizational level of that group.</w:t>
      </w:r>
      <w:r w:rsidR="00F34D94">
        <w:rPr>
          <w:rFonts w:ascii="Times New Roman" w:hAnsi="Times New Roman" w:hint="eastAsia"/>
          <w:sz w:val="24"/>
        </w:rPr>
        <w:t xml:space="preserve"> </w:t>
      </w:r>
      <w:r w:rsidR="009A1C12">
        <w:rPr>
          <w:rFonts w:ascii="Times New Roman" w:hAnsi="Times New Roman"/>
          <w:sz w:val="24"/>
        </w:rPr>
        <w:t xml:space="preserve">Hence, </w:t>
      </w:r>
      <w:r w:rsidR="00E21936">
        <w:rPr>
          <w:rFonts w:ascii="Times New Roman" w:hAnsi="Times New Roman"/>
          <w:sz w:val="24"/>
        </w:rPr>
        <w:t xml:space="preserve">there is no suggesting </w:t>
      </w:r>
      <w:r w:rsidR="009A1C12">
        <w:rPr>
          <w:rFonts w:ascii="Times New Roman" w:hAnsi="Times New Roman"/>
          <w:sz w:val="24"/>
        </w:rPr>
        <w:t xml:space="preserve">that there is a </w:t>
      </w:r>
      <w:r w:rsidR="00F34D94">
        <w:rPr>
          <w:rFonts w:ascii="Times New Roman" w:hAnsi="Times New Roman"/>
          <w:sz w:val="24"/>
        </w:rPr>
        <w:t>mutual interaction of the two variables. This is where the two proposed models can be considered to part company.</w:t>
      </w:r>
      <w:r w:rsidR="00F34D94">
        <w:rPr>
          <w:rFonts w:ascii="Times New Roman" w:hAnsi="Times New Roman" w:hint="eastAsia"/>
          <w:sz w:val="24"/>
        </w:rPr>
        <w:t xml:space="preserve"> </w:t>
      </w:r>
      <w:r w:rsidR="00F34D94">
        <w:rPr>
          <w:rFonts w:ascii="Times New Roman" w:hAnsi="Times New Roman"/>
          <w:sz w:val="24"/>
        </w:rPr>
        <w:t>Suppose that</w:t>
      </w:r>
      <w:r w:rsidR="00087145" w:rsidRPr="00087145">
        <w:rPr>
          <w:rFonts w:ascii="Times New Roman" w:hAnsi="Times New Roman"/>
          <w:sz w:val="24"/>
        </w:rPr>
        <w:t xml:space="preserve"> </w:t>
      </w:r>
      <w:r w:rsidR="00F34D94">
        <w:rPr>
          <w:rFonts w:ascii="Times New Roman" w:hAnsi="Times New Roman"/>
          <w:sz w:val="24"/>
        </w:rPr>
        <w:t>despite</w:t>
      </w:r>
      <w:r w:rsidR="00F34D94" w:rsidRPr="00087145">
        <w:rPr>
          <w:rFonts w:ascii="Times New Roman" w:hAnsi="Times New Roman"/>
          <w:sz w:val="24"/>
        </w:rPr>
        <w:t xml:space="preserve"> </w:t>
      </w:r>
      <w:r w:rsidR="00087145" w:rsidRPr="00087145">
        <w:rPr>
          <w:rFonts w:ascii="Times New Roman" w:hAnsi="Times New Roman"/>
          <w:sz w:val="24"/>
        </w:rPr>
        <w:t>the scale or duration of violence unleashed by an armed group, its sufficient</w:t>
      </w:r>
      <w:r w:rsidR="009A1C12">
        <w:rPr>
          <w:rFonts w:ascii="Times New Roman" w:hAnsi="Times New Roman"/>
          <w:sz w:val="24"/>
        </w:rPr>
        <w:t>ly</w:t>
      </w:r>
      <w:r w:rsidR="00087145" w:rsidRPr="00087145">
        <w:rPr>
          <w:rFonts w:ascii="Times New Roman" w:hAnsi="Times New Roman"/>
          <w:sz w:val="24"/>
        </w:rPr>
        <w:t xml:space="preserve"> organized level </w:t>
      </w:r>
      <w:r w:rsidR="00752A61">
        <w:rPr>
          <w:rFonts w:ascii="Times New Roman" w:hAnsi="Times New Roman"/>
          <w:sz w:val="24"/>
        </w:rPr>
        <w:t>appears</w:t>
      </w:r>
      <w:r w:rsidR="00226897">
        <w:rPr>
          <w:rFonts w:ascii="Times New Roman" w:hAnsi="Times New Roman"/>
          <w:sz w:val="24"/>
        </w:rPr>
        <w:t xml:space="preserve"> not only uncertain but </w:t>
      </w:r>
      <w:r w:rsidR="00952ADF">
        <w:rPr>
          <w:rFonts w:ascii="Times New Roman" w:hAnsi="Times New Roman"/>
          <w:sz w:val="24"/>
        </w:rPr>
        <w:t xml:space="preserve">even </w:t>
      </w:r>
      <w:r w:rsidR="00087145" w:rsidRPr="00087145">
        <w:rPr>
          <w:rFonts w:ascii="Times New Roman" w:hAnsi="Times New Roman"/>
          <w:sz w:val="24"/>
        </w:rPr>
        <w:t>questionable</w:t>
      </w:r>
      <w:r w:rsidR="00F34D94">
        <w:rPr>
          <w:rFonts w:ascii="Times New Roman" w:hAnsi="Times New Roman"/>
          <w:sz w:val="24"/>
        </w:rPr>
        <w:t xml:space="preserve"> for the purpose of identifying a NIAC</w:t>
      </w:r>
      <w:r w:rsidR="00087145" w:rsidRPr="00087145">
        <w:rPr>
          <w:rFonts w:ascii="Times New Roman" w:hAnsi="Times New Roman"/>
          <w:sz w:val="24"/>
        </w:rPr>
        <w:t xml:space="preserve">. The </w:t>
      </w:r>
      <w:r w:rsidR="009A1C12">
        <w:rPr>
          <w:rFonts w:ascii="Times New Roman" w:hAnsi="Times New Roman"/>
          <w:sz w:val="24"/>
        </w:rPr>
        <w:t>notion ‘</w:t>
      </w:r>
      <w:r w:rsidR="00087145" w:rsidRPr="00087145">
        <w:rPr>
          <w:rFonts w:ascii="Times New Roman" w:hAnsi="Times New Roman"/>
          <w:sz w:val="24"/>
        </w:rPr>
        <w:t>interdependence</w:t>
      </w:r>
      <w:r w:rsidR="009A1C12">
        <w:rPr>
          <w:rFonts w:ascii="Times New Roman" w:hAnsi="Times New Roman"/>
          <w:sz w:val="24"/>
        </w:rPr>
        <w:t>’</w:t>
      </w:r>
      <w:r w:rsidR="00087145" w:rsidRPr="00087145">
        <w:rPr>
          <w:rFonts w:ascii="Times New Roman" w:hAnsi="Times New Roman"/>
          <w:sz w:val="24"/>
        </w:rPr>
        <w:t xml:space="preserve"> would be stretched too far </w:t>
      </w:r>
      <w:r w:rsidR="009A1C12">
        <w:rPr>
          <w:rFonts w:ascii="Times New Roman" w:hAnsi="Times New Roman"/>
          <w:sz w:val="24"/>
        </w:rPr>
        <w:t>to encompass</w:t>
      </w:r>
      <w:r w:rsidR="009A1C12" w:rsidRPr="00087145">
        <w:rPr>
          <w:rFonts w:ascii="Times New Roman" w:hAnsi="Times New Roman"/>
          <w:sz w:val="24"/>
        </w:rPr>
        <w:t xml:space="preserve"> </w:t>
      </w:r>
      <w:r w:rsidR="00087145" w:rsidRPr="00087145">
        <w:rPr>
          <w:rFonts w:ascii="Times New Roman" w:hAnsi="Times New Roman"/>
          <w:sz w:val="24"/>
        </w:rPr>
        <w:t xml:space="preserve">such a situation. In contrast, the </w:t>
      </w:r>
      <w:r w:rsidR="009A1C12" w:rsidRPr="00087145">
        <w:rPr>
          <w:rFonts w:ascii="Times New Roman" w:hAnsi="Times New Roman"/>
          <w:sz w:val="24"/>
        </w:rPr>
        <w:t xml:space="preserve">rationale underpinning </w:t>
      </w:r>
      <w:r>
        <w:rPr>
          <w:rFonts w:ascii="Times New Roman" w:hAnsi="Times New Roman"/>
          <w:sz w:val="24"/>
        </w:rPr>
        <w:t xml:space="preserve">of the </w:t>
      </w:r>
      <w:r w:rsidR="00087145" w:rsidRPr="00087145">
        <w:rPr>
          <w:rFonts w:ascii="Times New Roman" w:hAnsi="Times New Roman"/>
          <w:sz w:val="24"/>
        </w:rPr>
        <w:t xml:space="preserve">‘compensatory model’ </w:t>
      </w:r>
      <w:r>
        <w:rPr>
          <w:rFonts w:ascii="Times New Roman" w:hAnsi="Times New Roman"/>
          <w:sz w:val="24"/>
        </w:rPr>
        <w:t>should</w:t>
      </w:r>
      <w:r w:rsidRPr="00087145">
        <w:rPr>
          <w:rFonts w:ascii="Times New Roman" w:hAnsi="Times New Roman"/>
          <w:sz w:val="24"/>
        </w:rPr>
        <w:t xml:space="preserve"> </w:t>
      </w:r>
      <w:r w:rsidR="00087145" w:rsidRPr="00087145">
        <w:rPr>
          <w:rFonts w:ascii="Times New Roman" w:hAnsi="Times New Roman"/>
          <w:sz w:val="24"/>
        </w:rPr>
        <w:t xml:space="preserve">be wide enough to capture </w:t>
      </w:r>
      <w:r w:rsidR="009D5CA4">
        <w:rPr>
          <w:rFonts w:ascii="Times New Roman" w:hAnsi="Times New Roman"/>
          <w:sz w:val="24"/>
        </w:rPr>
        <w:t xml:space="preserve">that </w:t>
      </w:r>
      <w:r w:rsidR="00087145" w:rsidRPr="00087145">
        <w:rPr>
          <w:rFonts w:ascii="Times New Roman" w:hAnsi="Times New Roman"/>
          <w:sz w:val="24"/>
        </w:rPr>
        <w:t xml:space="preserve">situation. </w:t>
      </w:r>
      <w:r w:rsidR="00623B41">
        <w:rPr>
          <w:rFonts w:ascii="Times New Roman" w:hAnsi="Times New Roman"/>
          <w:sz w:val="24"/>
        </w:rPr>
        <w:t xml:space="preserve">This </w:t>
      </w:r>
      <w:r w:rsidR="00087145" w:rsidRPr="00087145">
        <w:rPr>
          <w:rFonts w:ascii="Times New Roman" w:hAnsi="Times New Roman"/>
          <w:sz w:val="24"/>
        </w:rPr>
        <w:t xml:space="preserve">model </w:t>
      </w:r>
      <w:r w:rsidR="005D5536">
        <w:rPr>
          <w:rFonts w:ascii="Times New Roman" w:hAnsi="Times New Roman"/>
          <w:sz w:val="24"/>
        </w:rPr>
        <w:t xml:space="preserve">is </w:t>
      </w:r>
      <w:r w:rsidR="0096703E">
        <w:rPr>
          <w:rFonts w:ascii="Times New Roman" w:hAnsi="Times New Roman"/>
          <w:sz w:val="24"/>
        </w:rPr>
        <w:t xml:space="preserve">open to the </w:t>
      </w:r>
      <w:r w:rsidR="00E170EC">
        <w:rPr>
          <w:rFonts w:ascii="Times New Roman" w:hAnsi="Times New Roman"/>
          <w:sz w:val="24"/>
        </w:rPr>
        <w:t>proposition</w:t>
      </w:r>
      <w:r w:rsidR="00087145" w:rsidRPr="00087145">
        <w:rPr>
          <w:rFonts w:ascii="Times New Roman" w:hAnsi="Times New Roman"/>
          <w:sz w:val="24"/>
        </w:rPr>
        <w:t xml:space="preserve"> </w:t>
      </w:r>
      <w:r w:rsidR="00FD43E7">
        <w:rPr>
          <w:rFonts w:ascii="Times New Roman" w:hAnsi="Times New Roman"/>
          <w:sz w:val="24"/>
        </w:rPr>
        <w:t xml:space="preserve">that </w:t>
      </w:r>
      <w:r w:rsidR="00FD43E7" w:rsidRPr="00087145">
        <w:rPr>
          <w:rFonts w:ascii="Times New Roman" w:hAnsi="Times New Roman"/>
          <w:sz w:val="24"/>
        </w:rPr>
        <w:t xml:space="preserve">even where an armed group is </w:t>
      </w:r>
      <w:r w:rsidR="00FD43E7" w:rsidRPr="00087145">
        <w:rPr>
          <w:rFonts w:ascii="Times New Roman" w:hAnsi="Times New Roman"/>
          <w:i/>
          <w:iCs/>
          <w:sz w:val="24"/>
        </w:rPr>
        <w:t>ostensibly</w:t>
      </w:r>
      <w:r w:rsidR="00FD43E7" w:rsidRPr="00087145">
        <w:rPr>
          <w:rFonts w:ascii="Times New Roman" w:hAnsi="Times New Roman"/>
          <w:sz w:val="24"/>
        </w:rPr>
        <w:t xml:space="preserve"> short of meeting the requisite </w:t>
      </w:r>
      <w:r w:rsidR="00E21936">
        <w:rPr>
          <w:rFonts w:ascii="Times New Roman" w:hAnsi="Times New Roman"/>
          <w:sz w:val="24"/>
        </w:rPr>
        <w:t>level</w:t>
      </w:r>
      <w:r w:rsidR="00E21936" w:rsidRPr="00087145">
        <w:rPr>
          <w:rFonts w:ascii="Times New Roman" w:hAnsi="Times New Roman"/>
          <w:sz w:val="24"/>
        </w:rPr>
        <w:t xml:space="preserve"> </w:t>
      </w:r>
      <w:r w:rsidR="00FD43E7" w:rsidRPr="00087145">
        <w:rPr>
          <w:rFonts w:ascii="Times New Roman" w:hAnsi="Times New Roman"/>
          <w:sz w:val="24"/>
        </w:rPr>
        <w:t>of organization</w:t>
      </w:r>
      <w:r w:rsidR="00FD43E7">
        <w:rPr>
          <w:rFonts w:ascii="Times New Roman" w:hAnsi="Times New Roman"/>
          <w:sz w:val="24"/>
        </w:rPr>
        <w:t>,</w:t>
      </w:r>
      <w:r>
        <w:rPr>
          <w:rFonts w:ascii="Times New Roman" w:hAnsi="Times New Roman"/>
          <w:sz w:val="24"/>
        </w:rPr>
        <w:t xml:space="preserve"> </w:t>
      </w:r>
      <w:r w:rsidR="00871570">
        <w:rPr>
          <w:rFonts w:ascii="Times New Roman" w:hAnsi="Times New Roman"/>
          <w:sz w:val="24"/>
        </w:rPr>
        <w:t xml:space="preserve">such deficiency should be offset by </w:t>
      </w:r>
      <w:r>
        <w:rPr>
          <w:rFonts w:ascii="Times New Roman" w:hAnsi="Times New Roman"/>
          <w:sz w:val="24"/>
        </w:rPr>
        <w:t>the preponderance in the other variable</w:t>
      </w:r>
      <w:r w:rsidR="00FD43E7">
        <w:rPr>
          <w:rFonts w:ascii="Times New Roman" w:hAnsi="Times New Roman"/>
          <w:sz w:val="24"/>
        </w:rPr>
        <w:t xml:space="preserve"> </w:t>
      </w:r>
      <w:r>
        <w:rPr>
          <w:rFonts w:ascii="Times New Roman" w:hAnsi="Times New Roman"/>
          <w:sz w:val="24"/>
        </w:rPr>
        <w:t>(namely, the high-intensity nature of violence)</w:t>
      </w:r>
      <w:r w:rsidR="00871570">
        <w:rPr>
          <w:rFonts w:ascii="Times New Roman" w:hAnsi="Times New Roman"/>
          <w:sz w:val="24"/>
        </w:rPr>
        <w:t xml:space="preserve">, which serves </w:t>
      </w:r>
      <w:r>
        <w:rPr>
          <w:rFonts w:ascii="Times New Roman" w:hAnsi="Times New Roman"/>
          <w:sz w:val="24"/>
        </w:rPr>
        <w:t>as a ‘gap-fille</w:t>
      </w:r>
      <w:r w:rsidR="00871570">
        <w:rPr>
          <w:rFonts w:ascii="Times New Roman" w:hAnsi="Times New Roman"/>
          <w:sz w:val="24"/>
        </w:rPr>
        <w:t xml:space="preserve">r’. Hence, </w:t>
      </w:r>
      <w:r w:rsidR="00087145" w:rsidRPr="00087145">
        <w:rPr>
          <w:rFonts w:ascii="Times New Roman" w:hAnsi="Times New Roman"/>
          <w:sz w:val="24"/>
        </w:rPr>
        <w:t>the IHL of NIACs</w:t>
      </w:r>
      <w:r w:rsidR="002E1BF6">
        <w:rPr>
          <w:rFonts w:ascii="Times New Roman" w:hAnsi="Times New Roman"/>
          <w:bCs/>
          <w:sz w:val="24"/>
        </w:rPr>
        <w:t xml:space="preserve"> </w:t>
      </w:r>
      <w:r w:rsidR="00406B08">
        <w:rPr>
          <w:rFonts w:ascii="Times New Roman" w:hAnsi="Times New Roman"/>
          <w:bCs/>
          <w:sz w:val="24"/>
        </w:rPr>
        <w:t xml:space="preserve">could be activated, </w:t>
      </w:r>
      <w:r w:rsidR="00361021">
        <w:rPr>
          <w:rFonts w:ascii="Times New Roman" w:hAnsi="Times New Roman"/>
          <w:bCs/>
          <w:sz w:val="24"/>
        </w:rPr>
        <w:t>triggering</w:t>
      </w:r>
      <w:r w:rsidR="002E1BF6">
        <w:rPr>
          <w:rFonts w:ascii="Times New Roman" w:hAnsi="Times New Roman"/>
          <w:bCs/>
          <w:sz w:val="24"/>
        </w:rPr>
        <w:t xml:space="preserve"> the </w:t>
      </w:r>
      <w:r w:rsidR="00DC1AA7">
        <w:rPr>
          <w:rFonts w:ascii="Times New Roman" w:hAnsi="Times New Roman"/>
          <w:bCs/>
          <w:sz w:val="24"/>
        </w:rPr>
        <w:t xml:space="preserve">application of the </w:t>
      </w:r>
      <w:r w:rsidR="002E1BF6">
        <w:rPr>
          <w:rFonts w:ascii="Times New Roman" w:hAnsi="Times New Roman"/>
          <w:bCs/>
          <w:sz w:val="24"/>
        </w:rPr>
        <w:t xml:space="preserve">war crimes law </w:t>
      </w:r>
      <w:r w:rsidR="00DC1AA7">
        <w:rPr>
          <w:rFonts w:ascii="Times New Roman" w:hAnsi="Times New Roman"/>
          <w:bCs/>
          <w:sz w:val="24"/>
        </w:rPr>
        <w:t xml:space="preserve">of </w:t>
      </w:r>
      <w:r w:rsidR="002E1BF6">
        <w:rPr>
          <w:rFonts w:ascii="Times New Roman" w:hAnsi="Times New Roman"/>
          <w:bCs/>
          <w:sz w:val="24"/>
        </w:rPr>
        <w:t>NIACs</w:t>
      </w:r>
      <w:r w:rsidR="00DC1AA7">
        <w:rPr>
          <w:rFonts w:ascii="Times New Roman" w:hAnsi="Times New Roman"/>
          <w:bCs/>
          <w:sz w:val="24"/>
        </w:rPr>
        <w:t>.</w:t>
      </w:r>
      <w:r w:rsidR="00087145" w:rsidRPr="004D235F">
        <w:rPr>
          <w:rStyle w:val="a5"/>
          <w:rFonts w:ascii="Times New Roman" w:hAnsi="Times New Roman"/>
          <w:bCs/>
          <w:sz w:val="24"/>
        </w:rPr>
        <w:footnoteReference w:id="118"/>
      </w:r>
      <w:r w:rsidR="00087145" w:rsidRPr="00087145">
        <w:rPr>
          <w:rFonts w:ascii="Times New Roman" w:hAnsi="Times New Roman"/>
          <w:bCs/>
          <w:sz w:val="24"/>
        </w:rPr>
        <w:t xml:space="preserve"> </w:t>
      </w:r>
    </w:p>
    <w:p w14:paraId="1029575B" w14:textId="77777777" w:rsidR="00FF1BD2" w:rsidRDefault="00FF1BD2" w:rsidP="00FF1BD2">
      <w:pPr>
        <w:rPr>
          <w:rFonts w:ascii="Times New Roman" w:hAnsi="Times New Roman"/>
          <w:bCs/>
          <w:sz w:val="24"/>
        </w:rPr>
      </w:pPr>
    </w:p>
    <w:p w14:paraId="3B51747A" w14:textId="70BB6844" w:rsidR="00FF1BD2" w:rsidRDefault="00FF1BD2" w:rsidP="00FF1BD2">
      <w:pPr>
        <w:rPr>
          <w:rFonts w:ascii="Times New Roman" w:hAnsi="Times New Roman"/>
          <w:sz w:val="24"/>
        </w:rPr>
      </w:pPr>
      <w:r w:rsidRPr="00087145">
        <w:rPr>
          <w:rFonts w:ascii="Times New Roman" w:hAnsi="Times New Roman"/>
          <w:sz w:val="24"/>
        </w:rPr>
        <w:t xml:space="preserve">In the light of the broader </w:t>
      </w:r>
      <w:r w:rsidR="00752A61">
        <w:rPr>
          <w:rFonts w:ascii="Times New Roman" w:hAnsi="Times New Roman"/>
          <w:sz w:val="24"/>
        </w:rPr>
        <w:t>coverage contemplated by</w:t>
      </w:r>
      <w:r w:rsidRPr="00087145">
        <w:rPr>
          <w:rFonts w:ascii="Times New Roman" w:hAnsi="Times New Roman"/>
          <w:sz w:val="24"/>
        </w:rPr>
        <w:t xml:space="preserve"> </w:t>
      </w:r>
      <w:r>
        <w:rPr>
          <w:rFonts w:ascii="Times New Roman" w:hAnsi="Times New Roman"/>
          <w:sz w:val="24"/>
        </w:rPr>
        <w:t>the</w:t>
      </w:r>
      <w:r w:rsidRPr="001C010F">
        <w:rPr>
          <w:rFonts w:ascii="Times New Roman" w:hAnsi="Times New Roman"/>
          <w:sz w:val="24"/>
        </w:rPr>
        <w:t xml:space="preserve"> </w:t>
      </w:r>
      <w:r w:rsidRPr="00087145">
        <w:rPr>
          <w:rFonts w:ascii="Times New Roman" w:hAnsi="Times New Roman"/>
          <w:sz w:val="24"/>
        </w:rPr>
        <w:t>compensatory mode</w:t>
      </w:r>
      <w:r>
        <w:rPr>
          <w:rFonts w:ascii="Times New Roman" w:hAnsi="Times New Roman"/>
          <w:sz w:val="24"/>
        </w:rPr>
        <w:t>l</w:t>
      </w:r>
      <w:r w:rsidRPr="00087145">
        <w:rPr>
          <w:rFonts w:ascii="Times New Roman" w:hAnsi="Times New Roman"/>
          <w:sz w:val="24"/>
        </w:rPr>
        <w:t>, th</w:t>
      </w:r>
      <w:r>
        <w:rPr>
          <w:rFonts w:ascii="Times New Roman" w:hAnsi="Times New Roman"/>
          <w:sz w:val="24"/>
        </w:rPr>
        <w:t>is paper proposes that the</w:t>
      </w:r>
      <w:r w:rsidRPr="00087145">
        <w:rPr>
          <w:rFonts w:ascii="Times New Roman" w:hAnsi="Times New Roman"/>
          <w:sz w:val="24"/>
        </w:rPr>
        <w:t xml:space="preserve"> </w:t>
      </w:r>
      <w:r>
        <w:rPr>
          <w:rFonts w:ascii="Times New Roman" w:hAnsi="Times New Roman"/>
          <w:sz w:val="24"/>
        </w:rPr>
        <w:t>whole issues relative to the methods to ease the standard for organization should be repackaged and examined with focus on</w:t>
      </w:r>
      <w:r w:rsidRPr="00087145">
        <w:rPr>
          <w:rFonts w:ascii="Times New Roman" w:hAnsi="Times New Roman"/>
          <w:sz w:val="24"/>
        </w:rPr>
        <w:t xml:space="preserve"> </w:t>
      </w:r>
      <w:r>
        <w:rPr>
          <w:rFonts w:ascii="Times New Roman" w:hAnsi="Times New Roman"/>
          <w:sz w:val="24"/>
        </w:rPr>
        <w:t>this model.</w:t>
      </w:r>
      <w:r w:rsidRPr="00087145">
        <w:rPr>
          <w:rFonts w:ascii="Times New Roman" w:hAnsi="Times New Roman"/>
          <w:sz w:val="24"/>
        </w:rPr>
        <w:t xml:space="preserve"> </w:t>
      </w:r>
      <w:r w:rsidR="0065293D">
        <w:rPr>
          <w:rFonts w:ascii="Times New Roman" w:hAnsi="Times New Roman"/>
          <w:sz w:val="24"/>
        </w:rPr>
        <w:t xml:space="preserve">It </w:t>
      </w:r>
      <w:r>
        <w:rPr>
          <w:rFonts w:ascii="Times New Roman" w:hAnsi="Times New Roman"/>
          <w:sz w:val="24"/>
        </w:rPr>
        <w:t>is essential to explore how this model can</w:t>
      </w:r>
      <w:r w:rsidRPr="00087145">
        <w:rPr>
          <w:rFonts w:ascii="Times New Roman" w:hAnsi="Times New Roman"/>
          <w:sz w:val="24"/>
        </w:rPr>
        <w:t xml:space="preserve"> be operationalized as a vehicle for </w:t>
      </w:r>
      <w:r>
        <w:rPr>
          <w:rFonts w:ascii="Times New Roman" w:hAnsi="Times New Roman"/>
          <w:sz w:val="24"/>
        </w:rPr>
        <w:t>lowering</w:t>
      </w:r>
      <w:r w:rsidRPr="00087145">
        <w:rPr>
          <w:rFonts w:ascii="Times New Roman" w:hAnsi="Times New Roman"/>
          <w:sz w:val="24"/>
        </w:rPr>
        <w:t xml:space="preserve"> the threshold for the requirement of organization</w:t>
      </w:r>
      <w:r w:rsidR="0065293D">
        <w:rPr>
          <w:rFonts w:ascii="Times New Roman" w:hAnsi="Times New Roman"/>
          <w:sz w:val="24"/>
        </w:rPr>
        <w:t xml:space="preserve"> in different phase of an ongoing armed conflict.</w:t>
      </w:r>
    </w:p>
    <w:p w14:paraId="739AC1D2" w14:textId="2CF70F04" w:rsidR="007F1C71" w:rsidRDefault="007F1C71" w:rsidP="00087145">
      <w:pPr>
        <w:rPr>
          <w:rFonts w:ascii="Times New Roman" w:hAnsi="Times New Roman"/>
          <w:bCs/>
          <w:sz w:val="24"/>
        </w:rPr>
      </w:pPr>
    </w:p>
    <w:p w14:paraId="1D07C5DA" w14:textId="14B4C76F" w:rsidR="00952ADF" w:rsidRPr="00066403" w:rsidRDefault="0065293D" w:rsidP="00066403">
      <w:pPr>
        <w:pStyle w:val="ad"/>
        <w:numPr>
          <w:ilvl w:val="0"/>
          <w:numId w:val="6"/>
        </w:numPr>
        <w:ind w:leftChars="0"/>
        <w:rPr>
          <w:rFonts w:ascii="Times New Roman" w:hAnsi="Times New Roman"/>
          <w:b/>
          <w:sz w:val="24"/>
        </w:rPr>
      </w:pPr>
      <w:r>
        <w:rPr>
          <w:rFonts w:ascii="Times New Roman" w:hAnsi="Times New Roman"/>
          <w:b/>
          <w:sz w:val="24"/>
        </w:rPr>
        <w:t xml:space="preserve">The </w:t>
      </w:r>
      <w:r w:rsidR="00F341DB" w:rsidRPr="00066403">
        <w:rPr>
          <w:rFonts w:ascii="Times New Roman" w:hAnsi="Times New Roman"/>
          <w:b/>
          <w:sz w:val="24"/>
        </w:rPr>
        <w:t xml:space="preserve">Need for </w:t>
      </w:r>
      <w:r w:rsidR="00952ADF" w:rsidRPr="00066403">
        <w:rPr>
          <w:rFonts w:ascii="Times New Roman" w:hAnsi="Times New Roman"/>
          <w:b/>
          <w:sz w:val="24"/>
        </w:rPr>
        <w:t xml:space="preserve">Caution </w:t>
      </w:r>
      <w:r w:rsidR="00F341DB" w:rsidRPr="00066403">
        <w:rPr>
          <w:rFonts w:ascii="Times New Roman" w:hAnsi="Times New Roman"/>
          <w:b/>
          <w:sz w:val="24"/>
        </w:rPr>
        <w:t>When</w:t>
      </w:r>
      <w:r w:rsidR="00952ADF" w:rsidRPr="00066403">
        <w:rPr>
          <w:rFonts w:ascii="Times New Roman" w:hAnsi="Times New Roman"/>
          <w:b/>
          <w:sz w:val="24"/>
        </w:rPr>
        <w:t xml:space="preserve"> the Compensatory Model </w:t>
      </w:r>
      <w:r w:rsidR="00F341DB" w:rsidRPr="00066403">
        <w:rPr>
          <w:rFonts w:ascii="Times New Roman" w:hAnsi="Times New Roman"/>
          <w:b/>
          <w:sz w:val="24"/>
        </w:rPr>
        <w:t xml:space="preserve">is Invoked </w:t>
      </w:r>
      <w:r w:rsidR="00952ADF" w:rsidRPr="00066403">
        <w:rPr>
          <w:rFonts w:ascii="Times New Roman" w:hAnsi="Times New Roman"/>
          <w:b/>
          <w:sz w:val="24"/>
        </w:rPr>
        <w:t>Either to Trigger or to Maintain the Application of the IHL of NIACs</w:t>
      </w:r>
    </w:p>
    <w:p w14:paraId="577E81C6" w14:textId="609BFB74" w:rsidR="00E37C91" w:rsidRDefault="009C51C2" w:rsidP="00087145">
      <w:pPr>
        <w:rPr>
          <w:rFonts w:ascii="Times New Roman" w:hAnsi="Times New Roman"/>
          <w:sz w:val="24"/>
        </w:rPr>
      </w:pPr>
      <w:r>
        <w:rPr>
          <w:rFonts w:ascii="Times New Roman" w:hAnsi="Times New Roman"/>
          <w:bCs/>
          <w:sz w:val="24"/>
        </w:rPr>
        <w:t>For sure</w:t>
      </w:r>
      <w:r w:rsidR="007324EC">
        <w:rPr>
          <w:rFonts w:ascii="Times New Roman" w:hAnsi="Times New Roman"/>
          <w:bCs/>
          <w:sz w:val="24"/>
        </w:rPr>
        <w:t xml:space="preserve">, </w:t>
      </w:r>
      <w:r w:rsidR="00FF1BD2">
        <w:rPr>
          <w:rFonts w:ascii="Times New Roman" w:hAnsi="Times New Roman"/>
          <w:sz w:val="24"/>
        </w:rPr>
        <w:t>the compensatory model</w:t>
      </w:r>
      <w:r w:rsidR="007324EC" w:rsidRPr="00087145">
        <w:rPr>
          <w:rFonts w:ascii="Times New Roman" w:hAnsi="Times New Roman"/>
          <w:sz w:val="24"/>
        </w:rPr>
        <w:t xml:space="preserve"> </w:t>
      </w:r>
      <w:r w:rsidR="00184D08">
        <w:rPr>
          <w:rFonts w:ascii="Times New Roman" w:hAnsi="Times New Roman"/>
          <w:sz w:val="24"/>
        </w:rPr>
        <w:t xml:space="preserve">that </w:t>
      </w:r>
      <w:r w:rsidR="009B3144">
        <w:rPr>
          <w:rFonts w:ascii="Times New Roman" w:hAnsi="Times New Roman"/>
          <w:sz w:val="24"/>
        </w:rPr>
        <w:t xml:space="preserve">has an effect of </w:t>
      </w:r>
      <w:r w:rsidR="00184D08">
        <w:rPr>
          <w:rFonts w:ascii="Times New Roman" w:hAnsi="Times New Roman"/>
          <w:sz w:val="24"/>
        </w:rPr>
        <w:t>facilitat</w:t>
      </w:r>
      <w:r w:rsidR="009B3144">
        <w:rPr>
          <w:rFonts w:ascii="Times New Roman" w:hAnsi="Times New Roman"/>
          <w:sz w:val="24"/>
        </w:rPr>
        <w:t>ing</w:t>
      </w:r>
      <w:r w:rsidR="007324EC" w:rsidRPr="00087145">
        <w:rPr>
          <w:rFonts w:ascii="Times New Roman" w:hAnsi="Times New Roman"/>
          <w:sz w:val="24"/>
        </w:rPr>
        <w:t xml:space="preserve"> the application of IHL</w:t>
      </w:r>
      <w:r w:rsidR="007977CC">
        <w:rPr>
          <w:rFonts w:ascii="Times New Roman" w:hAnsi="Times New Roman"/>
          <w:sz w:val="24"/>
        </w:rPr>
        <w:t xml:space="preserve"> </w:t>
      </w:r>
      <w:r w:rsidR="00184D08">
        <w:rPr>
          <w:rFonts w:ascii="Times New Roman" w:hAnsi="Times New Roman"/>
          <w:sz w:val="24"/>
        </w:rPr>
        <w:t xml:space="preserve">ought to be taken cautiously </w:t>
      </w:r>
      <w:r w:rsidR="001E0950">
        <w:rPr>
          <w:rFonts w:ascii="Times New Roman" w:hAnsi="Times New Roman"/>
          <w:sz w:val="24"/>
        </w:rPr>
        <w:t>and</w:t>
      </w:r>
      <w:r w:rsidR="00E856E3">
        <w:rPr>
          <w:rFonts w:ascii="Times New Roman" w:hAnsi="Times New Roman"/>
          <w:sz w:val="24"/>
        </w:rPr>
        <w:t xml:space="preserve"> subject to review and even rebuttal. If violence can be neutralized and sufficient protection from violence secured in the realm of law enforcement in unison with the (intra- and extra-territorial) application of IHRL, the </w:t>
      </w:r>
      <w:r w:rsidR="009B3144">
        <w:rPr>
          <w:rFonts w:ascii="Times New Roman" w:hAnsi="Times New Roman"/>
          <w:sz w:val="24"/>
        </w:rPr>
        <w:t xml:space="preserve">activation </w:t>
      </w:r>
      <w:r w:rsidR="00E856E3">
        <w:rPr>
          <w:rFonts w:ascii="Times New Roman" w:hAnsi="Times New Roman"/>
          <w:sz w:val="24"/>
        </w:rPr>
        <w:t>of IHL is neither advisable nor justifiable.</w:t>
      </w:r>
      <w:r w:rsidR="00E37C91">
        <w:rPr>
          <w:rStyle w:val="a5"/>
          <w:rFonts w:ascii="Times New Roman" w:hAnsi="Times New Roman"/>
          <w:sz w:val="24"/>
        </w:rPr>
        <w:footnoteReference w:id="119"/>
      </w:r>
      <w:r w:rsidR="00E856E3">
        <w:rPr>
          <w:rFonts w:ascii="Times New Roman" w:hAnsi="Times New Roman"/>
          <w:sz w:val="24"/>
        </w:rPr>
        <w:t xml:space="preserve"> </w:t>
      </w:r>
      <w:r w:rsidR="00C13B32">
        <w:rPr>
          <w:rFonts w:ascii="Times New Roman" w:hAnsi="Times New Roman"/>
          <w:sz w:val="24"/>
        </w:rPr>
        <w:t>This paper agrees with</w:t>
      </w:r>
      <w:r w:rsidR="009D5CA4">
        <w:rPr>
          <w:rFonts w:ascii="Times New Roman" w:hAnsi="Times New Roman"/>
          <w:sz w:val="24"/>
        </w:rPr>
        <w:t xml:space="preserve"> </w:t>
      </w:r>
      <w:r w:rsidR="00E21936">
        <w:rPr>
          <w:rFonts w:ascii="Times New Roman" w:hAnsi="Times New Roman"/>
          <w:sz w:val="24"/>
        </w:rPr>
        <w:t>the</w:t>
      </w:r>
      <w:r w:rsidR="009D5CA4">
        <w:rPr>
          <w:rFonts w:ascii="Times New Roman" w:hAnsi="Times New Roman"/>
          <w:sz w:val="24"/>
        </w:rPr>
        <w:t xml:space="preserve"> presumption</w:t>
      </w:r>
      <w:r w:rsidR="00E21936">
        <w:rPr>
          <w:rFonts w:ascii="Times New Roman" w:hAnsi="Times New Roman"/>
          <w:sz w:val="24"/>
        </w:rPr>
        <w:t xml:space="preserve"> briefly mentioned above:  </w:t>
      </w:r>
      <w:r w:rsidR="009D5CA4">
        <w:rPr>
          <w:rFonts w:ascii="Times New Roman" w:hAnsi="Times New Roman"/>
          <w:sz w:val="24"/>
        </w:rPr>
        <w:t>that</w:t>
      </w:r>
      <w:bookmarkStart w:id="2" w:name="_Hlk56782078"/>
      <w:r w:rsidR="009D5CA4">
        <w:rPr>
          <w:rFonts w:ascii="Times New Roman" w:hAnsi="Times New Roman"/>
          <w:sz w:val="24"/>
        </w:rPr>
        <w:t xml:space="preserve"> the law-enforcement paradigm should be the </w:t>
      </w:r>
      <w:r w:rsidR="009D5CA4">
        <w:rPr>
          <w:rFonts w:ascii="Times New Roman" w:hAnsi="Times New Roman"/>
          <w:sz w:val="24"/>
        </w:rPr>
        <w:lastRenderedPageBreak/>
        <w:t>default position in order not to trigger too readily the application of the IHL paradigm on conduct of hostility</w:t>
      </w:r>
      <w:bookmarkEnd w:id="2"/>
      <w:r w:rsidR="00752A61">
        <w:rPr>
          <w:rFonts w:ascii="Times New Roman" w:hAnsi="Times New Roman"/>
          <w:sz w:val="24"/>
        </w:rPr>
        <w:t>.</w:t>
      </w:r>
      <w:r w:rsidR="00E33B15">
        <w:rPr>
          <w:rStyle w:val="a5"/>
          <w:rFonts w:ascii="Times New Roman" w:hAnsi="Times New Roman"/>
          <w:sz w:val="24"/>
        </w:rPr>
        <w:footnoteReference w:id="120"/>
      </w:r>
      <w:r w:rsidR="00752A61">
        <w:rPr>
          <w:rFonts w:ascii="Times New Roman" w:hAnsi="Times New Roman"/>
          <w:sz w:val="24"/>
        </w:rPr>
        <w:t xml:space="preserve"> This is especially the case in the beginning phase where the volume of violence is about to be characterized </w:t>
      </w:r>
      <w:r w:rsidR="008743E5">
        <w:rPr>
          <w:rFonts w:ascii="Times New Roman" w:hAnsi="Times New Roman"/>
          <w:sz w:val="24"/>
        </w:rPr>
        <w:t xml:space="preserve">as </w:t>
      </w:r>
      <w:r w:rsidR="00752A61">
        <w:rPr>
          <w:rFonts w:ascii="Times New Roman" w:hAnsi="Times New Roman"/>
          <w:sz w:val="24"/>
        </w:rPr>
        <w:t xml:space="preserve">a </w:t>
      </w:r>
      <w:r w:rsidR="00E33B15">
        <w:rPr>
          <w:rFonts w:ascii="Times New Roman" w:hAnsi="Times New Roman"/>
          <w:sz w:val="24"/>
        </w:rPr>
        <w:t>NIAC</w:t>
      </w:r>
      <w:r w:rsidR="009D5CA4">
        <w:rPr>
          <w:rFonts w:ascii="Times New Roman" w:hAnsi="Times New Roman"/>
          <w:sz w:val="24"/>
        </w:rPr>
        <w:t xml:space="preserve">. </w:t>
      </w:r>
      <w:r w:rsidR="00E856E3">
        <w:rPr>
          <w:rFonts w:ascii="Times New Roman" w:hAnsi="Times New Roman"/>
          <w:sz w:val="24"/>
        </w:rPr>
        <w:t>In</w:t>
      </w:r>
      <w:r w:rsidR="00433976">
        <w:rPr>
          <w:rFonts w:ascii="Times New Roman" w:hAnsi="Times New Roman"/>
          <w:sz w:val="24"/>
        </w:rPr>
        <w:t xml:space="preserve"> </w:t>
      </w:r>
      <w:r w:rsidR="00530A3F">
        <w:rPr>
          <w:rFonts w:ascii="Times New Roman" w:hAnsi="Times New Roman"/>
          <w:sz w:val="24"/>
        </w:rPr>
        <w:t xml:space="preserve">a </w:t>
      </w:r>
      <w:r w:rsidR="00433976">
        <w:rPr>
          <w:rFonts w:ascii="Times New Roman" w:hAnsi="Times New Roman"/>
          <w:sz w:val="24"/>
        </w:rPr>
        <w:t>situation</w:t>
      </w:r>
      <w:r w:rsidR="00184D08">
        <w:rPr>
          <w:rFonts w:ascii="Times New Roman" w:hAnsi="Times New Roman"/>
          <w:sz w:val="24"/>
        </w:rPr>
        <w:t xml:space="preserve"> of liminality</w:t>
      </w:r>
      <w:r w:rsidR="00433976">
        <w:rPr>
          <w:rFonts w:ascii="Times New Roman" w:hAnsi="Times New Roman"/>
          <w:sz w:val="24"/>
        </w:rPr>
        <w:t xml:space="preserve"> where there is uncertainty about </w:t>
      </w:r>
      <w:r w:rsidR="00530A3F">
        <w:rPr>
          <w:rFonts w:ascii="Times New Roman" w:hAnsi="Times New Roman"/>
          <w:sz w:val="24"/>
        </w:rPr>
        <w:t xml:space="preserve">how to </w:t>
      </w:r>
      <w:r w:rsidR="008743E5">
        <w:rPr>
          <w:rFonts w:ascii="Times New Roman" w:hAnsi="Times New Roman"/>
          <w:sz w:val="24"/>
        </w:rPr>
        <w:t>categorize</w:t>
      </w:r>
      <w:r w:rsidR="00530A3F">
        <w:rPr>
          <w:rFonts w:ascii="Times New Roman" w:hAnsi="Times New Roman"/>
          <w:sz w:val="24"/>
        </w:rPr>
        <w:t xml:space="preserve"> legally a series of</w:t>
      </w:r>
      <w:r w:rsidR="007977CC">
        <w:rPr>
          <w:rFonts w:ascii="Times New Roman" w:hAnsi="Times New Roman"/>
          <w:sz w:val="24"/>
        </w:rPr>
        <w:t xml:space="preserve"> violent acts </w:t>
      </w:r>
      <w:r w:rsidR="00E33B15">
        <w:rPr>
          <w:rFonts w:ascii="Times New Roman" w:hAnsi="Times New Roman"/>
          <w:sz w:val="24"/>
        </w:rPr>
        <w:t xml:space="preserve">that are </w:t>
      </w:r>
      <w:r w:rsidR="007977CC">
        <w:rPr>
          <w:rFonts w:ascii="Times New Roman" w:hAnsi="Times New Roman"/>
          <w:sz w:val="24"/>
        </w:rPr>
        <w:t xml:space="preserve">of </w:t>
      </w:r>
      <w:r w:rsidR="00433976">
        <w:rPr>
          <w:rFonts w:ascii="Times New Roman" w:hAnsi="Times New Roman"/>
          <w:sz w:val="24"/>
        </w:rPr>
        <w:t>oscillating</w:t>
      </w:r>
      <w:r w:rsidR="007977CC">
        <w:rPr>
          <w:rFonts w:ascii="Times New Roman" w:hAnsi="Times New Roman"/>
          <w:sz w:val="24"/>
        </w:rPr>
        <w:t xml:space="preserve"> l</w:t>
      </w:r>
      <w:r w:rsidR="00433976">
        <w:rPr>
          <w:rFonts w:ascii="Times New Roman" w:hAnsi="Times New Roman"/>
          <w:sz w:val="24"/>
        </w:rPr>
        <w:t xml:space="preserve">evel </w:t>
      </w:r>
      <w:r w:rsidR="00E33B15">
        <w:rPr>
          <w:rFonts w:ascii="Times New Roman" w:hAnsi="Times New Roman"/>
          <w:sz w:val="24"/>
        </w:rPr>
        <w:t xml:space="preserve">and </w:t>
      </w:r>
      <w:r w:rsidR="00433976">
        <w:rPr>
          <w:rFonts w:ascii="Times New Roman" w:hAnsi="Times New Roman"/>
          <w:sz w:val="24"/>
        </w:rPr>
        <w:t xml:space="preserve">attributable to a crudely organized group, </w:t>
      </w:r>
      <w:r w:rsidR="007977CC">
        <w:rPr>
          <w:rFonts w:ascii="Times New Roman" w:hAnsi="Times New Roman"/>
          <w:sz w:val="24"/>
        </w:rPr>
        <w:t xml:space="preserve">one should </w:t>
      </w:r>
      <w:r w:rsidR="00E856E3">
        <w:rPr>
          <w:rFonts w:ascii="Times New Roman" w:hAnsi="Times New Roman"/>
          <w:sz w:val="24"/>
        </w:rPr>
        <w:t xml:space="preserve">be circumspect in </w:t>
      </w:r>
      <w:r w:rsidR="008743E5">
        <w:rPr>
          <w:rFonts w:ascii="Times New Roman" w:hAnsi="Times New Roman"/>
          <w:sz w:val="24"/>
        </w:rPr>
        <w:t>trumping</w:t>
      </w:r>
      <w:r w:rsidR="009D5CA4">
        <w:rPr>
          <w:rFonts w:ascii="Times New Roman" w:hAnsi="Times New Roman"/>
          <w:sz w:val="24"/>
        </w:rPr>
        <w:t xml:space="preserve"> that presumption</w:t>
      </w:r>
      <w:r w:rsidR="00433976">
        <w:rPr>
          <w:rFonts w:ascii="Times New Roman" w:hAnsi="Times New Roman"/>
          <w:sz w:val="24"/>
        </w:rPr>
        <w:t>.</w:t>
      </w:r>
      <w:r w:rsidR="00A828E5">
        <w:rPr>
          <w:rFonts w:ascii="Times New Roman" w:hAnsi="Times New Roman"/>
          <w:sz w:val="24"/>
        </w:rPr>
        <w:t xml:space="preserve"> </w:t>
      </w:r>
    </w:p>
    <w:p w14:paraId="1F04FB96" w14:textId="77777777" w:rsidR="00E37C91" w:rsidRDefault="00E37C91" w:rsidP="00087145">
      <w:pPr>
        <w:rPr>
          <w:rFonts w:ascii="Times New Roman" w:hAnsi="Times New Roman"/>
          <w:sz w:val="24"/>
        </w:rPr>
      </w:pPr>
    </w:p>
    <w:p w14:paraId="240618F3" w14:textId="27005EE1" w:rsidR="00087145" w:rsidRPr="00087145" w:rsidRDefault="00E37C91" w:rsidP="00087145">
      <w:pPr>
        <w:rPr>
          <w:rFonts w:ascii="Times New Roman" w:hAnsi="Times New Roman"/>
          <w:sz w:val="24"/>
        </w:rPr>
      </w:pPr>
      <w:r>
        <w:rPr>
          <w:rFonts w:ascii="Times New Roman" w:hAnsi="Times New Roman"/>
          <w:sz w:val="24"/>
        </w:rPr>
        <w:t>Nevertheless</w:t>
      </w:r>
      <w:r w:rsidR="00052A08">
        <w:rPr>
          <w:rFonts w:ascii="Times New Roman" w:hAnsi="Times New Roman"/>
          <w:sz w:val="24"/>
        </w:rPr>
        <w:t xml:space="preserve">, </w:t>
      </w:r>
      <w:r w:rsidR="00E33B15">
        <w:rPr>
          <w:rFonts w:ascii="Times New Roman" w:hAnsi="Times New Roman"/>
          <w:sz w:val="24"/>
        </w:rPr>
        <w:t>when it comes to</w:t>
      </w:r>
      <w:r w:rsidR="005952B9">
        <w:rPr>
          <w:rFonts w:ascii="Times New Roman" w:hAnsi="Times New Roman"/>
          <w:sz w:val="24"/>
        </w:rPr>
        <w:t xml:space="preserve"> </w:t>
      </w:r>
      <w:r w:rsidR="00052A08">
        <w:rPr>
          <w:rFonts w:ascii="Times New Roman" w:hAnsi="Times New Roman"/>
          <w:sz w:val="24"/>
        </w:rPr>
        <w:t xml:space="preserve">sporadic </w:t>
      </w:r>
      <w:r w:rsidR="00324D51">
        <w:rPr>
          <w:rFonts w:ascii="Times New Roman" w:hAnsi="Times New Roman"/>
          <w:sz w:val="24"/>
        </w:rPr>
        <w:t xml:space="preserve">but </w:t>
      </w:r>
      <w:r w:rsidR="00052A08">
        <w:rPr>
          <w:rFonts w:ascii="Times New Roman" w:hAnsi="Times New Roman"/>
          <w:sz w:val="24"/>
        </w:rPr>
        <w:t xml:space="preserve">high-intensity </w:t>
      </w:r>
      <w:r w:rsidR="00324D51">
        <w:rPr>
          <w:rFonts w:ascii="Times New Roman" w:hAnsi="Times New Roman"/>
          <w:sz w:val="24"/>
        </w:rPr>
        <w:t xml:space="preserve">acts of </w:t>
      </w:r>
      <w:r w:rsidR="00052A08">
        <w:rPr>
          <w:rFonts w:ascii="Times New Roman" w:hAnsi="Times New Roman"/>
          <w:sz w:val="24"/>
        </w:rPr>
        <w:t>violence</w:t>
      </w:r>
      <w:r w:rsidR="005952B9">
        <w:rPr>
          <w:rFonts w:ascii="Times New Roman" w:hAnsi="Times New Roman"/>
          <w:sz w:val="24"/>
        </w:rPr>
        <w:t xml:space="preserve"> as continua of the ongoing violence</w:t>
      </w:r>
      <w:r w:rsidR="009A1C12">
        <w:rPr>
          <w:rFonts w:ascii="Times New Roman" w:hAnsi="Times New Roman"/>
          <w:sz w:val="24"/>
        </w:rPr>
        <w:t xml:space="preserve">, </w:t>
      </w:r>
      <w:r w:rsidR="00E33B15">
        <w:rPr>
          <w:rFonts w:ascii="Times New Roman" w:hAnsi="Times New Roman"/>
          <w:sz w:val="24"/>
        </w:rPr>
        <w:t>this paper argues that some fine-tuning</w:t>
      </w:r>
      <w:r w:rsidR="008743E5">
        <w:rPr>
          <w:rFonts w:ascii="Times New Roman" w:hAnsi="Times New Roman"/>
          <w:sz w:val="24"/>
        </w:rPr>
        <w:t xml:space="preserve"> to </w:t>
      </w:r>
      <w:r w:rsidR="009A1C12">
        <w:rPr>
          <w:rFonts w:ascii="Times New Roman" w:hAnsi="Times New Roman"/>
          <w:sz w:val="24"/>
        </w:rPr>
        <w:t xml:space="preserve">the </w:t>
      </w:r>
      <w:proofErr w:type="gramStart"/>
      <w:r w:rsidR="009A1C12">
        <w:rPr>
          <w:rFonts w:ascii="Times New Roman" w:hAnsi="Times New Roman"/>
          <w:sz w:val="24"/>
        </w:rPr>
        <w:t>aforementioned</w:t>
      </w:r>
      <w:r w:rsidR="008743E5">
        <w:rPr>
          <w:rFonts w:ascii="Times New Roman" w:hAnsi="Times New Roman"/>
          <w:sz w:val="24"/>
        </w:rPr>
        <w:t xml:space="preserve"> general</w:t>
      </w:r>
      <w:proofErr w:type="gramEnd"/>
      <w:r w:rsidR="008743E5">
        <w:rPr>
          <w:rFonts w:ascii="Times New Roman" w:hAnsi="Times New Roman"/>
          <w:sz w:val="24"/>
        </w:rPr>
        <w:t xml:space="preserve"> default stance</w:t>
      </w:r>
      <w:r w:rsidR="00E33B15">
        <w:rPr>
          <w:rFonts w:ascii="Times New Roman" w:hAnsi="Times New Roman"/>
          <w:sz w:val="24"/>
        </w:rPr>
        <w:t xml:space="preserve"> </w:t>
      </w:r>
      <w:r w:rsidR="007F3103">
        <w:rPr>
          <w:rFonts w:ascii="Times New Roman" w:hAnsi="Times New Roman"/>
          <w:sz w:val="24"/>
        </w:rPr>
        <w:t>may be</w:t>
      </w:r>
      <w:r w:rsidR="00E33B15">
        <w:rPr>
          <w:rFonts w:ascii="Times New Roman" w:hAnsi="Times New Roman"/>
          <w:sz w:val="24"/>
        </w:rPr>
        <w:t xml:space="preserve"> defen</w:t>
      </w:r>
      <w:r w:rsidR="007F3103">
        <w:rPr>
          <w:rFonts w:ascii="Times New Roman" w:hAnsi="Times New Roman"/>
          <w:sz w:val="24"/>
        </w:rPr>
        <w:t>ded</w:t>
      </w:r>
      <w:r w:rsidR="00E33B15">
        <w:rPr>
          <w:rFonts w:ascii="Times New Roman" w:hAnsi="Times New Roman"/>
          <w:sz w:val="24"/>
        </w:rPr>
        <w:t>.</w:t>
      </w:r>
      <w:r w:rsidR="005952B9">
        <w:rPr>
          <w:rFonts w:ascii="Times New Roman" w:hAnsi="Times New Roman"/>
          <w:sz w:val="24"/>
        </w:rPr>
        <w:t xml:space="preserve"> </w:t>
      </w:r>
      <w:r w:rsidR="007955A1">
        <w:rPr>
          <w:rFonts w:ascii="Times New Roman" w:hAnsi="Times New Roman"/>
          <w:sz w:val="24"/>
        </w:rPr>
        <w:t xml:space="preserve">This </w:t>
      </w:r>
      <w:r w:rsidR="004316E2">
        <w:rPr>
          <w:rFonts w:ascii="Times New Roman" w:hAnsi="Times New Roman"/>
          <w:sz w:val="24"/>
        </w:rPr>
        <w:t>is the case</w:t>
      </w:r>
      <w:r w:rsidR="007955A1">
        <w:rPr>
          <w:rFonts w:ascii="Times New Roman" w:hAnsi="Times New Roman"/>
          <w:sz w:val="24"/>
        </w:rPr>
        <w:t xml:space="preserve">, insofar as </w:t>
      </w:r>
      <w:r w:rsidR="004316E2">
        <w:rPr>
          <w:rFonts w:ascii="Times New Roman" w:hAnsi="Times New Roman"/>
          <w:sz w:val="24"/>
        </w:rPr>
        <w:t xml:space="preserve">the earlier phase of such </w:t>
      </w:r>
      <w:r w:rsidR="007F3103">
        <w:rPr>
          <w:rFonts w:ascii="Times New Roman" w:hAnsi="Times New Roman"/>
          <w:sz w:val="24"/>
        </w:rPr>
        <w:t xml:space="preserve">continuing </w:t>
      </w:r>
      <w:r w:rsidR="004316E2">
        <w:rPr>
          <w:rFonts w:ascii="Times New Roman" w:hAnsi="Times New Roman"/>
          <w:sz w:val="24"/>
        </w:rPr>
        <w:t>violence</w:t>
      </w:r>
      <w:r w:rsidR="007955A1">
        <w:rPr>
          <w:rFonts w:ascii="Times New Roman" w:hAnsi="Times New Roman"/>
          <w:sz w:val="24"/>
        </w:rPr>
        <w:t xml:space="preserve"> </w:t>
      </w:r>
      <w:r w:rsidR="004316E2">
        <w:rPr>
          <w:rFonts w:ascii="Times New Roman" w:hAnsi="Times New Roman"/>
          <w:sz w:val="24"/>
        </w:rPr>
        <w:t xml:space="preserve">has </w:t>
      </w:r>
      <w:r w:rsidR="007F3103">
        <w:rPr>
          <w:rFonts w:ascii="Times New Roman" w:hAnsi="Times New Roman"/>
          <w:sz w:val="24"/>
        </w:rPr>
        <w:t>been judged to meet the threshold of a</w:t>
      </w:r>
      <w:r w:rsidR="00F0748E">
        <w:rPr>
          <w:rFonts w:ascii="Times New Roman" w:hAnsi="Times New Roman"/>
          <w:sz w:val="24"/>
        </w:rPr>
        <w:t xml:space="preserve"> NIA</w:t>
      </w:r>
      <w:r w:rsidR="00E21936">
        <w:rPr>
          <w:rFonts w:ascii="Times New Roman" w:hAnsi="Times New Roman"/>
          <w:sz w:val="24"/>
        </w:rPr>
        <w:t>C</w:t>
      </w:r>
      <w:r w:rsidR="007955A1">
        <w:rPr>
          <w:rFonts w:ascii="Times New Roman" w:hAnsi="Times New Roman"/>
          <w:sz w:val="24"/>
        </w:rPr>
        <w:t xml:space="preserve">. </w:t>
      </w:r>
      <w:r w:rsidR="009A1C12">
        <w:rPr>
          <w:rFonts w:ascii="Times New Roman" w:hAnsi="Times New Roman"/>
          <w:sz w:val="24"/>
        </w:rPr>
        <w:t xml:space="preserve">Such calibrating </w:t>
      </w:r>
      <w:r w:rsidR="00E21936">
        <w:rPr>
          <w:rFonts w:ascii="Times New Roman" w:hAnsi="Times New Roman"/>
          <w:sz w:val="24"/>
        </w:rPr>
        <w:t xml:space="preserve">form of assessment </w:t>
      </w:r>
      <w:r w:rsidR="009A1C12">
        <w:rPr>
          <w:rFonts w:ascii="Times New Roman" w:hAnsi="Times New Roman"/>
          <w:sz w:val="24"/>
        </w:rPr>
        <w:t xml:space="preserve">may be </w:t>
      </w:r>
      <w:r w:rsidR="00E403C8">
        <w:rPr>
          <w:rFonts w:ascii="Times New Roman" w:hAnsi="Times New Roman"/>
          <w:sz w:val="24"/>
        </w:rPr>
        <w:t>vindicated</w:t>
      </w:r>
      <w:r w:rsidR="009A1C12">
        <w:rPr>
          <w:rFonts w:ascii="Times New Roman" w:hAnsi="Times New Roman"/>
          <w:sz w:val="24"/>
        </w:rPr>
        <w:t xml:space="preserve"> by </w:t>
      </w:r>
      <w:r w:rsidR="00E403C8">
        <w:rPr>
          <w:rFonts w:ascii="Times New Roman" w:hAnsi="Times New Roman"/>
          <w:sz w:val="24"/>
        </w:rPr>
        <w:t xml:space="preserve">the </w:t>
      </w:r>
      <w:r w:rsidR="009A1C12">
        <w:rPr>
          <w:rFonts w:ascii="Times New Roman" w:hAnsi="Times New Roman"/>
          <w:sz w:val="24"/>
        </w:rPr>
        <w:t>consider</w:t>
      </w:r>
      <w:r w:rsidR="00E403C8">
        <w:rPr>
          <w:rFonts w:ascii="Times New Roman" w:hAnsi="Times New Roman"/>
          <w:sz w:val="24"/>
        </w:rPr>
        <w:t xml:space="preserve">ation of </w:t>
      </w:r>
      <w:r w:rsidR="009A1C12">
        <w:rPr>
          <w:rFonts w:ascii="Times New Roman" w:hAnsi="Times New Roman"/>
          <w:sz w:val="24"/>
        </w:rPr>
        <w:t>ramification</w:t>
      </w:r>
      <w:r w:rsidR="00E403C8">
        <w:rPr>
          <w:rFonts w:ascii="Times New Roman" w:hAnsi="Times New Roman"/>
          <w:sz w:val="24"/>
        </w:rPr>
        <w:t>s</w:t>
      </w:r>
      <w:r w:rsidR="009A1C12">
        <w:rPr>
          <w:rFonts w:ascii="Times New Roman" w:hAnsi="Times New Roman"/>
          <w:sz w:val="24"/>
        </w:rPr>
        <w:t xml:space="preserve"> of international criminal law. </w:t>
      </w:r>
      <w:r w:rsidR="00323FE5">
        <w:rPr>
          <w:rFonts w:ascii="Times New Roman" w:hAnsi="Times New Roman"/>
          <w:sz w:val="24"/>
        </w:rPr>
        <w:t xml:space="preserve">Those </w:t>
      </w:r>
      <w:r w:rsidR="00E403C8">
        <w:rPr>
          <w:rFonts w:ascii="Times New Roman" w:hAnsi="Times New Roman"/>
          <w:sz w:val="24"/>
        </w:rPr>
        <w:t xml:space="preserve">isolated, unsystematic but </w:t>
      </w:r>
      <w:r w:rsidR="007955A1">
        <w:rPr>
          <w:rFonts w:ascii="Times New Roman" w:hAnsi="Times New Roman"/>
          <w:sz w:val="24"/>
        </w:rPr>
        <w:t>fierce</w:t>
      </w:r>
      <w:r w:rsidR="00E403C8">
        <w:rPr>
          <w:rFonts w:ascii="Times New Roman" w:hAnsi="Times New Roman"/>
          <w:sz w:val="24"/>
        </w:rPr>
        <w:t xml:space="preserve"> acts of violence perpetrated by members of a</w:t>
      </w:r>
      <w:r w:rsidR="007955A1">
        <w:rPr>
          <w:rFonts w:ascii="Times New Roman" w:hAnsi="Times New Roman"/>
          <w:sz w:val="24"/>
        </w:rPr>
        <w:t xml:space="preserve"> loosely coordinated</w:t>
      </w:r>
      <w:r w:rsidR="00E403C8">
        <w:rPr>
          <w:rFonts w:ascii="Times New Roman" w:hAnsi="Times New Roman"/>
          <w:sz w:val="24"/>
        </w:rPr>
        <w:t xml:space="preserve"> armed group</w:t>
      </w:r>
      <w:r w:rsidR="00323FE5">
        <w:rPr>
          <w:rFonts w:ascii="Times New Roman" w:hAnsi="Times New Roman"/>
          <w:sz w:val="24"/>
        </w:rPr>
        <w:t xml:space="preserve"> may be relegated to the heading of common law offences. Yet, the option of </w:t>
      </w:r>
      <w:r w:rsidR="007955A1">
        <w:rPr>
          <w:rFonts w:ascii="Times New Roman" w:hAnsi="Times New Roman"/>
          <w:sz w:val="24"/>
        </w:rPr>
        <w:t xml:space="preserve">describing them </w:t>
      </w:r>
      <w:r w:rsidR="009D5CA4">
        <w:rPr>
          <w:rFonts w:ascii="Times New Roman" w:hAnsi="Times New Roman"/>
          <w:sz w:val="24"/>
        </w:rPr>
        <w:t>as</w:t>
      </w:r>
      <w:r w:rsidR="00052A08">
        <w:rPr>
          <w:rFonts w:ascii="Times New Roman" w:hAnsi="Times New Roman"/>
          <w:sz w:val="24"/>
        </w:rPr>
        <w:t xml:space="preserve"> war </w:t>
      </w:r>
      <w:r w:rsidR="00C42C48">
        <w:rPr>
          <w:rFonts w:ascii="Times New Roman" w:hAnsi="Times New Roman"/>
          <w:sz w:val="24"/>
        </w:rPr>
        <w:t>c</w:t>
      </w:r>
      <w:r w:rsidR="00052A08">
        <w:rPr>
          <w:rFonts w:ascii="Times New Roman" w:hAnsi="Times New Roman"/>
          <w:sz w:val="24"/>
        </w:rPr>
        <w:t>rime</w:t>
      </w:r>
      <w:r w:rsidR="009D5CA4">
        <w:rPr>
          <w:rFonts w:ascii="Times New Roman" w:hAnsi="Times New Roman"/>
          <w:sz w:val="24"/>
        </w:rPr>
        <w:t>s</w:t>
      </w:r>
      <w:r w:rsidR="007955A1">
        <w:rPr>
          <w:rFonts w:ascii="Times New Roman" w:hAnsi="Times New Roman"/>
          <w:sz w:val="24"/>
        </w:rPr>
        <w:t xml:space="preserve"> based on a lower standard of organization</w:t>
      </w:r>
      <w:r w:rsidR="00323FE5">
        <w:rPr>
          <w:rFonts w:ascii="Times New Roman" w:hAnsi="Times New Roman"/>
          <w:sz w:val="24"/>
        </w:rPr>
        <w:t xml:space="preserve"> </w:t>
      </w:r>
      <w:r w:rsidR="007955A1">
        <w:rPr>
          <w:rFonts w:ascii="Times New Roman" w:hAnsi="Times New Roman"/>
          <w:sz w:val="24"/>
        </w:rPr>
        <w:t>does not seem unreasonable.</w:t>
      </w:r>
      <w:r w:rsidR="00323FE5">
        <w:rPr>
          <w:rStyle w:val="a5"/>
          <w:rFonts w:ascii="Times New Roman" w:hAnsi="Times New Roman"/>
          <w:sz w:val="24"/>
        </w:rPr>
        <w:footnoteReference w:id="121"/>
      </w:r>
      <w:r w:rsidR="00323FE5">
        <w:rPr>
          <w:rFonts w:ascii="Times New Roman" w:hAnsi="Times New Roman"/>
          <w:sz w:val="24"/>
        </w:rPr>
        <w:t xml:space="preserve"> </w:t>
      </w:r>
    </w:p>
    <w:p w14:paraId="212CD0D8" w14:textId="4F54AEAF" w:rsidR="00952ADF" w:rsidRDefault="00952ADF" w:rsidP="00087145">
      <w:pPr>
        <w:rPr>
          <w:rFonts w:ascii="Times New Roman" w:hAnsi="Times New Roman"/>
          <w:sz w:val="24"/>
        </w:rPr>
      </w:pPr>
    </w:p>
    <w:p w14:paraId="3FA6C7DE" w14:textId="71CA97AC" w:rsidR="00952ADF" w:rsidRPr="00066403" w:rsidRDefault="00952ADF" w:rsidP="00066403">
      <w:pPr>
        <w:pStyle w:val="ad"/>
        <w:numPr>
          <w:ilvl w:val="0"/>
          <w:numId w:val="6"/>
        </w:numPr>
        <w:ind w:leftChars="0"/>
        <w:rPr>
          <w:rFonts w:ascii="Times New Roman" w:hAnsi="Times New Roman"/>
          <w:sz w:val="24"/>
        </w:rPr>
      </w:pPr>
      <w:r w:rsidRPr="00066403">
        <w:rPr>
          <w:rFonts w:ascii="Times New Roman" w:hAnsi="Times New Roman"/>
          <w:b/>
          <w:bCs/>
          <w:sz w:val="24"/>
        </w:rPr>
        <w:t>The Compensatory Mode</w:t>
      </w:r>
      <w:r w:rsidR="001D6141">
        <w:rPr>
          <w:rFonts w:ascii="Times New Roman" w:hAnsi="Times New Roman"/>
          <w:b/>
          <w:bCs/>
          <w:sz w:val="24"/>
        </w:rPr>
        <w:t>l</w:t>
      </w:r>
      <w:r w:rsidRPr="00066403">
        <w:rPr>
          <w:rFonts w:ascii="Times New Roman" w:hAnsi="Times New Roman"/>
          <w:b/>
          <w:bCs/>
          <w:sz w:val="24"/>
        </w:rPr>
        <w:t xml:space="preserve"> and the Requirement of Organization </w:t>
      </w:r>
      <w:r w:rsidR="001D6141">
        <w:rPr>
          <w:rFonts w:ascii="Times New Roman" w:hAnsi="Times New Roman"/>
          <w:b/>
          <w:bCs/>
          <w:sz w:val="24"/>
        </w:rPr>
        <w:t>as its Central Vehicle?</w:t>
      </w:r>
    </w:p>
    <w:p w14:paraId="68796356" w14:textId="11FC6F29" w:rsidR="00952ADF" w:rsidRDefault="00952ADF" w:rsidP="00952ADF">
      <w:pPr>
        <w:rPr>
          <w:rFonts w:ascii="Times New Roman" w:hAnsi="Times New Roman"/>
          <w:sz w:val="24"/>
        </w:rPr>
      </w:pPr>
      <w:r w:rsidRPr="004D235F">
        <w:rPr>
          <w:rFonts w:ascii="Times New Roman" w:hAnsi="Times New Roman"/>
          <w:sz w:val="24"/>
        </w:rPr>
        <w:t>It seem</w:t>
      </w:r>
      <w:r>
        <w:rPr>
          <w:rFonts w:ascii="Times New Roman" w:hAnsi="Times New Roman"/>
          <w:sz w:val="24"/>
        </w:rPr>
        <w:t>s</w:t>
      </w:r>
      <w:r w:rsidRPr="004D235F">
        <w:rPr>
          <w:rFonts w:ascii="Times New Roman" w:hAnsi="Times New Roman"/>
          <w:sz w:val="24"/>
        </w:rPr>
        <w:t xml:space="preserve"> counter-intuitive to propose that violence which remains sporadic, low and lasting only for short duration</w:t>
      </w:r>
      <w:r>
        <w:rPr>
          <w:rFonts w:ascii="Times New Roman" w:hAnsi="Times New Roman"/>
          <w:sz w:val="24"/>
        </w:rPr>
        <w:t xml:space="preserve"> </w:t>
      </w:r>
      <w:r w:rsidRPr="004D235F">
        <w:rPr>
          <w:rFonts w:ascii="Times New Roman" w:hAnsi="Times New Roman"/>
          <w:sz w:val="24"/>
        </w:rPr>
        <w:t xml:space="preserve">should be identified as a NIAC, on the </w:t>
      </w:r>
      <w:r>
        <w:rPr>
          <w:rFonts w:ascii="Times New Roman" w:hAnsi="Times New Roman"/>
          <w:sz w:val="24"/>
        </w:rPr>
        <w:t xml:space="preserve">putative ground </w:t>
      </w:r>
      <w:r w:rsidRPr="004D235F">
        <w:rPr>
          <w:rFonts w:ascii="Times New Roman" w:hAnsi="Times New Roman"/>
          <w:sz w:val="24"/>
        </w:rPr>
        <w:t xml:space="preserve">that this </w:t>
      </w:r>
      <w:r>
        <w:rPr>
          <w:rFonts w:ascii="Times New Roman" w:hAnsi="Times New Roman"/>
          <w:sz w:val="24"/>
        </w:rPr>
        <w:t>may</w:t>
      </w:r>
      <w:r w:rsidRPr="004D235F">
        <w:rPr>
          <w:rFonts w:ascii="Times New Roman" w:hAnsi="Times New Roman"/>
          <w:sz w:val="24"/>
        </w:rPr>
        <w:t xml:space="preserve"> be ‘balanced out’ by the skilfully organized nature of armed group(s).</w:t>
      </w:r>
      <w:r>
        <w:rPr>
          <w:rStyle w:val="a5"/>
          <w:rFonts w:ascii="Times New Roman" w:hAnsi="Times New Roman"/>
          <w:sz w:val="24"/>
        </w:rPr>
        <w:footnoteReference w:id="122"/>
      </w:r>
      <w:r>
        <w:rPr>
          <w:rFonts w:ascii="Times New Roman" w:hAnsi="Times New Roman" w:hint="eastAsia"/>
          <w:sz w:val="24"/>
        </w:rPr>
        <w:t xml:space="preserve"> </w:t>
      </w:r>
      <w:r>
        <w:rPr>
          <w:rFonts w:ascii="Times New Roman" w:hAnsi="Times New Roman"/>
          <w:sz w:val="24"/>
        </w:rPr>
        <w:t xml:space="preserve">Nevertheless, it is worth examining if the compensatory model can </w:t>
      </w:r>
      <w:r w:rsidR="007511DC">
        <w:rPr>
          <w:rFonts w:ascii="Times New Roman" w:hAnsi="Times New Roman"/>
          <w:sz w:val="24"/>
        </w:rPr>
        <w:t xml:space="preserve">exceptionally </w:t>
      </w:r>
      <w:r>
        <w:rPr>
          <w:rFonts w:ascii="Times New Roman" w:hAnsi="Times New Roman"/>
          <w:sz w:val="24"/>
        </w:rPr>
        <w:t xml:space="preserve">be applied </w:t>
      </w:r>
      <w:r w:rsidRPr="004D235F">
        <w:rPr>
          <w:rFonts w:ascii="Times New Roman" w:hAnsi="Times New Roman"/>
          <w:sz w:val="24"/>
        </w:rPr>
        <w:t xml:space="preserve">in a situation where the proportion </w:t>
      </w:r>
      <w:r>
        <w:rPr>
          <w:rFonts w:ascii="Times New Roman" w:hAnsi="Times New Roman"/>
          <w:sz w:val="24"/>
        </w:rPr>
        <w:t xml:space="preserve">of the two variables goes </w:t>
      </w:r>
      <w:r w:rsidRPr="004D235F">
        <w:rPr>
          <w:rFonts w:ascii="Times New Roman" w:hAnsi="Times New Roman"/>
          <w:sz w:val="24"/>
        </w:rPr>
        <w:t xml:space="preserve">the other way. </w:t>
      </w:r>
    </w:p>
    <w:p w14:paraId="13E4D08F" w14:textId="77777777" w:rsidR="00952ADF" w:rsidRDefault="00952ADF" w:rsidP="00952ADF">
      <w:pPr>
        <w:rPr>
          <w:rFonts w:ascii="Times New Roman" w:hAnsi="Times New Roman"/>
          <w:sz w:val="24"/>
        </w:rPr>
      </w:pPr>
    </w:p>
    <w:p w14:paraId="7EBE3C99" w14:textId="3BA246E6" w:rsidR="00952ADF" w:rsidRPr="00184D08" w:rsidRDefault="00952ADF" w:rsidP="00952ADF">
      <w:pPr>
        <w:rPr>
          <w:rFonts w:ascii="Times New Roman" w:hAnsi="Times New Roman"/>
          <w:sz w:val="24"/>
        </w:rPr>
      </w:pPr>
      <w:r>
        <w:rPr>
          <w:rFonts w:ascii="Times New Roman" w:hAnsi="Times New Roman"/>
          <w:sz w:val="24"/>
        </w:rPr>
        <w:t xml:space="preserve">Intriguingly, the </w:t>
      </w:r>
      <w:r w:rsidRPr="00DB6610">
        <w:rPr>
          <w:rFonts w:ascii="Times New Roman" w:hAnsi="Times New Roman"/>
          <w:i/>
          <w:iCs/>
          <w:sz w:val="24"/>
        </w:rPr>
        <w:t>ICRC’s revised Commentary</w:t>
      </w:r>
      <w:r>
        <w:rPr>
          <w:rFonts w:ascii="Times New Roman" w:hAnsi="Times New Roman"/>
          <w:sz w:val="24"/>
        </w:rPr>
        <w:t xml:space="preserve">, in respect of Article 3 </w:t>
      </w:r>
      <w:r w:rsidR="007511DC">
        <w:rPr>
          <w:rFonts w:ascii="Times New Roman" w:hAnsi="Times New Roman"/>
          <w:sz w:val="24"/>
        </w:rPr>
        <w:t xml:space="preserve">common to the </w:t>
      </w:r>
      <w:r>
        <w:rPr>
          <w:rFonts w:ascii="Times New Roman" w:hAnsi="Times New Roman"/>
          <w:sz w:val="24"/>
        </w:rPr>
        <w:t>Geneva Conventions, suggests the</w:t>
      </w:r>
      <w:r w:rsidR="00F0748E">
        <w:rPr>
          <w:rFonts w:ascii="Times New Roman" w:hAnsi="Times New Roman"/>
          <w:sz w:val="24"/>
        </w:rPr>
        <w:t xml:space="preserve"> possibility of the</w:t>
      </w:r>
      <w:r>
        <w:rPr>
          <w:rFonts w:ascii="Times New Roman" w:hAnsi="Times New Roman"/>
          <w:sz w:val="24"/>
        </w:rPr>
        <w:t xml:space="preserve"> ‘compensatory effect’ in both directions. As discussed above, the </w:t>
      </w:r>
      <w:r w:rsidRPr="00DB6610">
        <w:rPr>
          <w:rFonts w:ascii="Times New Roman" w:hAnsi="Times New Roman"/>
          <w:i/>
          <w:iCs/>
          <w:sz w:val="24"/>
        </w:rPr>
        <w:t>Commentary</w:t>
      </w:r>
      <w:r>
        <w:rPr>
          <w:rFonts w:ascii="Times New Roman" w:hAnsi="Times New Roman"/>
          <w:sz w:val="24"/>
        </w:rPr>
        <w:t xml:space="preserve"> admits of </w:t>
      </w:r>
      <w:r w:rsidR="002E5667">
        <w:rPr>
          <w:rFonts w:ascii="Times New Roman" w:hAnsi="Times New Roman"/>
          <w:sz w:val="24"/>
        </w:rPr>
        <w:t xml:space="preserve">the </w:t>
      </w:r>
      <w:r w:rsidR="00161F31">
        <w:rPr>
          <w:rFonts w:ascii="Times New Roman" w:hAnsi="Times New Roman"/>
          <w:sz w:val="24"/>
        </w:rPr>
        <w:t xml:space="preserve">exception </w:t>
      </w:r>
      <w:r w:rsidR="002E5667">
        <w:rPr>
          <w:rFonts w:ascii="Times New Roman" w:hAnsi="Times New Roman"/>
          <w:sz w:val="24"/>
        </w:rPr>
        <w:t xml:space="preserve">of the </w:t>
      </w:r>
      <w:r w:rsidRPr="00DB6610">
        <w:rPr>
          <w:rFonts w:ascii="Times New Roman" w:hAnsi="Times New Roman"/>
          <w:i/>
          <w:iCs/>
          <w:sz w:val="24"/>
        </w:rPr>
        <w:t>mutually</w:t>
      </w:r>
      <w:r>
        <w:rPr>
          <w:rFonts w:ascii="Times New Roman" w:hAnsi="Times New Roman"/>
          <w:sz w:val="24"/>
        </w:rPr>
        <w:t xml:space="preserve"> compensatory interaction when stating that a NIAC may be recognized on the basis of ‘draw[</w:t>
      </w:r>
      <w:proofErr w:type="spellStart"/>
      <w:r>
        <w:rPr>
          <w:rFonts w:ascii="Times New Roman" w:hAnsi="Times New Roman"/>
          <w:sz w:val="24"/>
        </w:rPr>
        <w:t>ing</w:t>
      </w:r>
      <w:proofErr w:type="spellEnd"/>
      <w:r>
        <w:rPr>
          <w:rFonts w:ascii="Times New Roman" w:hAnsi="Times New Roman"/>
          <w:sz w:val="24"/>
        </w:rPr>
        <w:t>] some conclusions from one criterion for the other’.</w:t>
      </w:r>
      <w:r>
        <w:rPr>
          <w:rStyle w:val="a5"/>
          <w:rFonts w:ascii="Times New Roman" w:hAnsi="Times New Roman"/>
          <w:sz w:val="24"/>
        </w:rPr>
        <w:footnoteReference w:id="123"/>
      </w:r>
      <w:r>
        <w:rPr>
          <w:rFonts w:ascii="Times New Roman" w:hAnsi="Times New Roman"/>
          <w:sz w:val="24"/>
        </w:rPr>
        <w:t xml:space="preserve"> Yet, the instance that it </w:t>
      </w:r>
      <w:r>
        <w:rPr>
          <w:rFonts w:ascii="Times New Roman" w:hAnsi="Times New Roman"/>
          <w:sz w:val="24"/>
        </w:rPr>
        <w:lastRenderedPageBreak/>
        <w:t xml:space="preserve">provides is limited to the case where high-intensity violence </w:t>
      </w:r>
      <w:r w:rsidR="00161F31">
        <w:rPr>
          <w:rFonts w:ascii="Times New Roman" w:hAnsi="Times New Roman"/>
          <w:sz w:val="24"/>
        </w:rPr>
        <w:t>can be</w:t>
      </w:r>
      <w:r>
        <w:rPr>
          <w:rFonts w:ascii="Times New Roman" w:hAnsi="Times New Roman"/>
          <w:sz w:val="24"/>
        </w:rPr>
        <w:t xml:space="preserve"> read as evidence for the sufficient level of organization. It furnishes no example of the case where the adequacy in organization alone may be adduced as a trade-off to insufficiency in intensity.</w:t>
      </w:r>
      <w:r w:rsidRPr="004D6D91">
        <w:rPr>
          <w:rFonts w:ascii="Times New Roman" w:hAnsi="Times New Roman"/>
          <w:sz w:val="24"/>
        </w:rPr>
        <w:t xml:space="preserve"> </w:t>
      </w:r>
      <w:r>
        <w:rPr>
          <w:rFonts w:ascii="Times New Roman" w:hAnsi="Times New Roman"/>
          <w:sz w:val="24"/>
        </w:rPr>
        <w:t xml:space="preserve">Even so, as will be explored in Section 8D, it is not excluded that the requirement of organization may be </w:t>
      </w:r>
      <w:r w:rsidR="00EE598C">
        <w:rPr>
          <w:rFonts w:ascii="Times New Roman" w:hAnsi="Times New Roman"/>
          <w:sz w:val="24"/>
        </w:rPr>
        <w:t xml:space="preserve">exceptionally </w:t>
      </w:r>
      <w:r>
        <w:rPr>
          <w:rFonts w:ascii="Times New Roman" w:hAnsi="Times New Roman"/>
          <w:sz w:val="24"/>
        </w:rPr>
        <w:t>deployed as a central vehicle in the end phase of NIAC.</w:t>
      </w:r>
      <w:r>
        <w:rPr>
          <w:rStyle w:val="a5"/>
          <w:rFonts w:ascii="Times New Roman" w:hAnsi="Times New Roman"/>
          <w:sz w:val="24"/>
        </w:rPr>
        <w:footnoteReference w:id="124"/>
      </w:r>
    </w:p>
    <w:p w14:paraId="68527AA8" w14:textId="2784CE9C" w:rsidR="00087145" w:rsidRPr="00087145" w:rsidRDefault="00952ADF" w:rsidP="00066403">
      <w:pPr>
        <w:tabs>
          <w:tab w:val="left" w:pos="5385"/>
        </w:tabs>
      </w:pPr>
      <w:r>
        <w:tab/>
      </w:r>
    </w:p>
    <w:p w14:paraId="005C2679" w14:textId="3C149D82" w:rsidR="005528F4" w:rsidRPr="001E08A8" w:rsidRDefault="00432988" w:rsidP="006347AB">
      <w:pPr>
        <w:pStyle w:val="ad"/>
        <w:numPr>
          <w:ilvl w:val="0"/>
          <w:numId w:val="6"/>
        </w:numPr>
        <w:ind w:leftChars="0"/>
        <w:rPr>
          <w:rFonts w:ascii="Times New Roman" w:hAnsi="Times New Roman"/>
          <w:b/>
          <w:bCs/>
          <w:sz w:val="24"/>
        </w:rPr>
      </w:pPr>
      <w:r w:rsidRPr="001E08A8">
        <w:rPr>
          <w:rFonts w:ascii="Times New Roman" w:hAnsi="Times New Roman"/>
          <w:b/>
          <w:bCs/>
          <w:sz w:val="24"/>
        </w:rPr>
        <w:t xml:space="preserve">Reading the </w:t>
      </w:r>
      <w:r w:rsidR="00623B41">
        <w:rPr>
          <w:rFonts w:ascii="Times New Roman" w:hAnsi="Times New Roman"/>
          <w:b/>
          <w:bCs/>
          <w:sz w:val="24"/>
        </w:rPr>
        <w:t>D</w:t>
      </w:r>
      <w:r w:rsidRPr="001E08A8">
        <w:rPr>
          <w:rFonts w:ascii="Times New Roman" w:hAnsi="Times New Roman"/>
          <w:b/>
          <w:bCs/>
          <w:sz w:val="24"/>
        </w:rPr>
        <w:t xml:space="preserve">ecision of the </w:t>
      </w:r>
      <w:r w:rsidR="006F7B09" w:rsidRPr="001E08A8">
        <w:rPr>
          <w:rFonts w:ascii="Times New Roman" w:hAnsi="Times New Roman"/>
          <w:b/>
          <w:bCs/>
          <w:sz w:val="24"/>
        </w:rPr>
        <w:t xml:space="preserve">Inter-American Commission of Human Rights in </w:t>
      </w:r>
      <w:proofErr w:type="spellStart"/>
      <w:r w:rsidR="005528F4" w:rsidRPr="001E08A8">
        <w:rPr>
          <w:rFonts w:ascii="Times New Roman" w:hAnsi="Times New Roman"/>
          <w:b/>
          <w:bCs/>
          <w:i/>
          <w:iCs/>
          <w:sz w:val="24"/>
        </w:rPr>
        <w:t>Abella</w:t>
      </w:r>
      <w:proofErr w:type="spellEnd"/>
      <w:r w:rsidR="005528F4" w:rsidRPr="001E08A8">
        <w:rPr>
          <w:rFonts w:ascii="Times New Roman" w:hAnsi="Times New Roman"/>
          <w:b/>
          <w:bCs/>
          <w:sz w:val="24"/>
        </w:rPr>
        <w:t xml:space="preserve"> </w:t>
      </w:r>
      <w:r w:rsidR="00794B24" w:rsidRPr="001E08A8">
        <w:rPr>
          <w:rFonts w:ascii="Times New Roman" w:hAnsi="Times New Roman"/>
          <w:b/>
          <w:bCs/>
          <w:sz w:val="24"/>
        </w:rPr>
        <w:t xml:space="preserve">as </w:t>
      </w:r>
      <w:r w:rsidR="00623B41">
        <w:rPr>
          <w:rFonts w:ascii="Times New Roman" w:hAnsi="Times New Roman"/>
          <w:b/>
          <w:bCs/>
          <w:sz w:val="24"/>
        </w:rPr>
        <w:t>I</w:t>
      </w:r>
      <w:r w:rsidR="00F45EFF" w:rsidRPr="001E08A8">
        <w:rPr>
          <w:rFonts w:ascii="Times New Roman" w:hAnsi="Times New Roman"/>
          <w:b/>
          <w:bCs/>
          <w:sz w:val="24"/>
        </w:rPr>
        <w:t xml:space="preserve">mplicitly </w:t>
      </w:r>
      <w:r w:rsidR="00623B41">
        <w:rPr>
          <w:rFonts w:ascii="Times New Roman" w:hAnsi="Times New Roman"/>
          <w:b/>
          <w:bCs/>
          <w:sz w:val="24"/>
        </w:rPr>
        <w:t>I</w:t>
      </w:r>
      <w:r w:rsidR="00F45EFF" w:rsidRPr="001E08A8">
        <w:rPr>
          <w:rFonts w:ascii="Times New Roman" w:hAnsi="Times New Roman"/>
          <w:b/>
          <w:bCs/>
          <w:sz w:val="24"/>
        </w:rPr>
        <w:t xml:space="preserve">nforming </w:t>
      </w:r>
      <w:r w:rsidR="005528F4" w:rsidRPr="001E08A8">
        <w:rPr>
          <w:rFonts w:ascii="Times New Roman" w:hAnsi="Times New Roman"/>
          <w:b/>
          <w:bCs/>
          <w:sz w:val="24"/>
        </w:rPr>
        <w:t>the ‘</w:t>
      </w:r>
      <w:r w:rsidR="00623B41">
        <w:rPr>
          <w:rFonts w:ascii="Times New Roman" w:hAnsi="Times New Roman"/>
          <w:b/>
          <w:bCs/>
          <w:sz w:val="24"/>
        </w:rPr>
        <w:t>C</w:t>
      </w:r>
      <w:r w:rsidR="005528F4" w:rsidRPr="001E08A8">
        <w:rPr>
          <w:rFonts w:ascii="Times New Roman" w:hAnsi="Times New Roman"/>
          <w:b/>
          <w:bCs/>
          <w:sz w:val="24"/>
        </w:rPr>
        <w:t xml:space="preserve">ompensatory </w:t>
      </w:r>
      <w:r w:rsidR="00623B41">
        <w:rPr>
          <w:rFonts w:ascii="Times New Roman" w:hAnsi="Times New Roman"/>
          <w:b/>
          <w:bCs/>
          <w:sz w:val="24"/>
        </w:rPr>
        <w:t>M</w:t>
      </w:r>
      <w:r w:rsidR="00815336" w:rsidRPr="001E08A8">
        <w:rPr>
          <w:rFonts w:ascii="Times New Roman" w:hAnsi="Times New Roman"/>
          <w:b/>
          <w:bCs/>
          <w:sz w:val="24"/>
        </w:rPr>
        <w:t>odel’</w:t>
      </w:r>
    </w:p>
    <w:p w14:paraId="1AD31A31" w14:textId="54FCE611" w:rsidR="00E54BC0" w:rsidRPr="004D235F" w:rsidRDefault="004E6071" w:rsidP="00E01082">
      <w:pPr>
        <w:rPr>
          <w:rFonts w:ascii="Times New Roman" w:hAnsi="Times New Roman"/>
          <w:sz w:val="24"/>
        </w:rPr>
      </w:pPr>
      <w:r w:rsidRPr="004D235F">
        <w:rPr>
          <w:rFonts w:ascii="Times New Roman" w:hAnsi="Times New Roman"/>
          <w:sz w:val="24"/>
        </w:rPr>
        <w:t xml:space="preserve">In this author’s view, </w:t>
      </w:r>
      <w:r w:rsidR="00E54BC0" w:rsidRPr="004D235F">
        <w:rPr>
          <w:rFonts w:ascii="Times New Roman" w:hAnsi="Times New Roman"/>
          <w:sz w:val="24"/>
        </w:rPr>
        <w:t xml:space="preserve">the approach followed </w:t>
      </w:r>
      <w:r w:rsidR="00150E6E" w:rsidRPr="004D235F">
        <w:rPr>
          <w:rFonts w:ascii="Times New Roman" w:hAnsi="Times New Roman"/>
          <w:sz w:val="24"/>
        </w:rPr>
        <w:t xml:space="preserve">by the Inter-American Commission of Human Rights </w:t>
      </w:r>
      <w:r w:rsidR="00E54BC0" w:rsidRPr="004D235F">
        <w:rPr>
          <w:rFonts w:ascii="Times New Roman" w:hAnsi="Times New Roman"/>
          <w:sz w:val="24"/>
        </w:rPr>
        <w:t xml:space="preserve">in the </w:t>
      </w:r>
      <w:proofErr w:type="spellStart"/>
      <w:r w:rsidR="00E54BC0" w:rsidRPr="004D235F">
        <w:rPr>
          <w:rFonts w:ascii="Times New Roman" w:hAnsi="Times New Roman"/>
          <w:i/>
          <w:iCs/>
          <w:sz w:val="24"/>
        </w:rPr>
        <w:t>Abella</w:t>
      </w:r>
      <w:proofErr w:type="spellEnd"/>
      <w:r w:rsidR="00E54BC0" w:rsidRPr="004D235F">
        <w:rPr>
          <w:rFonts w:ascii="Times New Roman" w:hAnsi="Times New Roman"/>
          <w:sz w:val="24"/>
        </w:rPr>
        <w:t xml:space="preserve"> (or </w:t>
      </w:r>
      <w:r w:rsidR="00E54BC0" w:rsidRPr="004D235F">
        <w:rPr>
          <w:rFonts w:ascii="Times New Roman" w:hAnsi="Times New Roman"/>
          <w:i/>
          <w:iCs/>
          <w:sz w:val="24"/>
        </w:rPr>
        <w:t xml:space="preserve">La </w:t>
      </w:r>
      <w:proofErr w:type="spellStart"/>
      <w:r w:rsidR="00E54BC0" w:rsidRPr="004D235F">
        <w:rPr>
          <w:rFonts w:ascii="Times New Roman" w:hAnsi="Times New Roman"/>
          <w:i/>
          <w:iCs/>
          <w:sz w:val="24"/>
        </w:rPr>
        <w:t>Tablada</w:t>
      </w:r>
      <w:proofErr w:type="spellEnd"/>
      <w:r w:rsidR="00E54BC0" w:rsidRPr="004D235F">
        <w:rPr>
          <w:rFonts w:ascii="Times New Roman" w:hAnsi="Times New Roman"/>
          <w:sz w:val="24"/>
        </w:rPr>
        <w:t>) case</w:t>
      </w:r>
      <w:r w:rsidR="00E54BC0" w:rsidRPr="004D235F">
        <w:rPr>
          <w:rStyle w:val="a5"/>
          <w:rFonts w:ascii="Times New Roman" w:hAnsi="Times New Roman"/>
          <w:sz w:val="24"/>
        </w:rPr>
        <w:footnoteReference w:id="125"/>
      </w:r>
      <w:r w:rsidR="00E54BC0" w:rsidRPr="004D235F">
        <w:rPr>
          <w:rFonts w:ascii="Times New Roman" w:hAnsi="Times New Roman"/>
          <w:sz w:val="24"/>
        </w:rPr>
        <w:t xml:space="preserve"> </w:t>
      </w:r>
      <w:r w:rsidR="00623B41">
        <w:rPr>
          <w:rFonts w:ascii="Times New Roman" w:hAnsi="Times New Roman"/>
          <w:sz w:val="24"/>
        </w:rPr>
        <w:t>may</w:t>
      </w:r>
      <w:r w:rsidRPr="004D235F">
        <w:rPr>
          <w:rFonts w:ascii="Times New Roman" w:hAnsi="Times New Roman"/>
          <w:sz w:val="24"/>
        </w:rPr>
        <w:t xml:space="preserve"> be read as </w:t>
      </w:r>
      <w:r w:rsidR="00677399" w:rsidRPr="004D235F">
        <w:rPr>
          <w:rFonts w:ascii="Times New Roman" w:hAnsi="Times New Roman"/>
          <w:sz w:val="24"/>
        </w:rPr>
        <w:t>implicitly corroborating the</w:t>
      </w:r>
      <w:r w:rsidRPr="004D235F">
        <w:rPr>
          <w:rFonts w:ascii="Times New Roman" w:hAnsi="Times New Roman"/>
          <w:sz w:val="24"/>
        </w:rPr>
        <w:t xml:space="preserve"> proposed </w:t>
      </w:r>
      <w:r w:rsidR="00677399" w:rsidRPr="004D235F">
        <w:rPr>
          <w:rFonts w:ascii="Times New Roman" w:hAnsi="Times New Roman"/>
          <w:sz w:val="24"/>
        </w:rPr>
        <w:t xml:space="preserve">compensatory </w:t>
      </w:r>
      <w:r w:rsidRPr="004D235F">
        <w:rPr>
          <w:rFonts w:ascii="Times New Roman" w:hAnsi="Times New Roman"/>
          <w:sz w:val="24"/>
        </w:rPr>
        <w:t xml:space="preserve">model. </w:t>
      </w:r>
      <w:r w:rsidR="00E54BC0" w:rsidRPr="004D235F">
        <w:rPr>
          <w:rFonts w:ascii="Times New Roman" w:hAnsi="Times New Roman"/>
          <w:sz w:val="24"/>
        </w:rPr>
        <w:t xml:space="preserve">This </w:t>
      </w:r>
      <w:r w:rsidR="000A11EA">
        <w:rPr>
          <w:rFonts w:ascii="Times New Roman" w:hAnsi="Times New Roman"/>
          <w:sz w:val="24"/>
        </w:rPr>
        <w:t xml:space="preserve">well-known </w:t>
      </w:r>
      <w:r w:rsidR="00E54BC0" w:rsidRPr="004D235F">
        <w:rPr>
          <w:rFonts w:ascii="Times New Roman" w:hAnsi="Times New Roman"/>
          <w:sz w:val="24"/>
        </w:rPr>
        <w:t xml:space="preserve">case </w:t>
      </w:r>
      <w:r w:rsidR="0017679D" w:rsidRPr="004D235F">
        <w:rPr>
          <w:rFonts w:ascii="Times New Roman" w:hAnsi="Times New Roman"/>
          <w:sz w:val="24"/>
        </w:rPr>
        <w:t>pertains</w:t>
      </w:r>
      <w:r w:rsidR="00E54BC0" w:rsidRPr="004D235F">
        <w:rPr>
          <w:rFonts w:ascii="Times New Roman" w:hAnsi="Times New Roman"/>
          <w:sz w:val="24"/>
        </w:rPr>
        <w:t xml:space="preserve"> to the attack by 42 armed men on the </w:t>
      </w:r>
      <w:proofErr w:type="spellStart"/>
      <w:r w:rsidR="00E54BC0" w:rsidRPr="004D235F">
        <w:rPr>
          <w:rFonts w:ascii="Times New Roman" w:hAnsi="Times New Roman"/>
          <w:i/>
          <w:iCs/>
          <w:sz w:val="24"/>
        </w:rPr>
        <w:t>Tablada</w:t>
      </w:r>
      <w:proofErr w:type="spellEnd"/>
      <w:r w:rsidR="00E54BC0" w:rsidRPr="004D235F">
        <w:rPr>
          <w:rFonts w:ascii="Times New Roman" w:hAnsi="Times New Roman"/>
          <w:sz w:val="24"/>
        </w:rPr>
        <w:t xml:space="preserve"> military barracks and the subsequent fierce fighting between those attackers and the Argentinian armed forces which lasted for 30 hours. The Inter-American Commission of Human Rights </w:t>
      </w:r>
      <w:r w:rsidR="00EA3351" w:rsidRPr="004D235F">
        <w:rPr>
          <w:rFonts w:ascii="Times New Roman" w:hAnsi="Times New Roman"/>
          <w:sz w:val="24"/>
        </w:rPr>
        <w:t>(</w:t>
      </w:r>
      <w:proofErr w:type="spellStart"/>
      <w:r w:rsidR="00EA3351" w:rsidRPr="004D235F">
        <w:rPr>
          <w:rFonts w:ascii="Times New Roman" w:hAnsi="Times New Roman"/>
          <w:sz w:val="24"/>
        </w:rPr>
        <w:t>IACmHR</w:t>
      </w:r>
      <w:proofErr w:type="spellEnd"/>
      <w:r w:rsidR="00EA3351" w:rsidRPr="004D235F">
        <w:rPr>
          <w:rFonts w:ascii="Times New Roman" w:hAnsi="Times New Roman"/>
          <w:sz w:val="24"/>
        </w:rPr>
        <w:t xml:space="preserve">) </w:t>
      </w:r>
      <w:r w:rsidR="00E54BC0" w:rsidRPr="004D235F">
        <w:rPr>
          <w:rFonts w:ascii="Times New Roman" w:hAnsi="Times New Roman"/>
          <w:sz w:val="24"/>
        </w:rPr>
        <w:t xml:space="preserve">applied common Article 3 </w:t>
      </w:r>
      <w:r w:rsidR="00A61233">
        <w:rPr>
          <w:rFonts w:ascii="Times New Roman" w:hAnsi="Times New Roman"/>
          <w:sz w:val="24"/>
        </w:rPr>
        <w:t xml:space="preserve">of the </w:t>
      </w:r>
      <w:r w:rsidR="001D7ED3">
        <w:rPr>
          <w:rFonts w:ascii="Times New Roman" w:hAnsi="Times New Roman"/>
          <w:sz w:val="24"/>
        </w:rPr>
        <w:t>Geneva Convention</w:t>
      </w:r>
      <w:r w:rsidR="00E54BC0" w:rsidRPr="004D235F">
        <w:rPr>
          <w:rFonts w:ascii="Times New Roman" w:hAnsi="Times New Roman"/>
          <w:sz w:val="24"/>
        </w:rPr>
        <w:t xml:space="preserve">s to </w:t>
      </w:r>
      <w:r w:rsidR="009B5FA4" w:rsidRPr="004D235F">
        <w:rPr>
          <w:rFonts w:ascii="Times New Roman" w:hAnsi="Times New Roman"/>
          <w:sz w:val="24"/>
        </w:rPr>
        <w:t xml:space="preserve">the </w:t>
      </w:r>
      <w:proofErr w:type="spellStart"/>
      <w:r w:rsidR="009B5FA4" w:rsidRPr="004D235F">
        <w:rPr>
          <w:rFonts w:ascii="Times New Roman" w:hAnsi="Times New Roman"/>
          <w:i/>
          <w:iCs/>
          <w:sz w:val="24"/>
        </w:rPr>
        <w:t>Abella</w:t>
      </w:r>
      <w:proofErr w:type="spellEnd"/>
      <w:r w:rsidR="009B5FA4" w:rsidRPr="004D235F">
        <w:rPr>
          <w:rFonts w:ascii="Times New Roman" w:hAnsi="Times New Roman"/>
          <w:sz w:val="24"/>
        </w:rPr>
        <w:t xml:space="preserve"> incident</w:t>
      </w:r>
      <w:r w:rsidRPr="004D235F">
        <w:rPr>
          <w:rFonts w:ascii="Times New Roman" w:hAnsi="Times New Roman"/>
          <w:sz w:val="24"/>
        </w:rPr>
        <w:t>, describing it</w:t>
      </w:r>
      <w:r w:rsidR="009B5FA4" w:rsidRPr="004D235F">
        <w:rPr>
          <w:rFonts w:ascii="Times New Roman" w:hAnsi="Times New Roman"/>
          <w:sz w:val="24"/>
        </w:rPr>
        <w:t xml:space="preserve"> as a NIAC, holding that it could not ‘be properly characterized as a situation of internal disturbances’</w:t>
      </w:r>
      <w:r w:rsidR="00E54BC0" w:rsidRPr="004D235F">
        <w:rPr>
          <w:rFonts w:ascii="Times New Roman" w:hAnsi="Times New Roman"/>
          <w:sz w:val="24"/>
        </w:rPr>
        <w:t>.</w:t>
      </w:r>
      <w:r w:rsidR="00461CEB" w:rsidRPr="004D235F">
        <w:rPr>
          <w:rStyle w:val="a5"/>
          <w:rFonts w:ascii="Times New Roman" w:hAnsi="Times New Roman"/>
          <w:sz w:val="24"/>
        </w:rPr>
        <w:footnoteReference w:id="126"/>
      </w:r>
      <w:r w:rsidR="00E54BC0" w:rsidRPr="004D235F">
        <w:rPr>
          <w:rFonts w:ascii="Times New Roman" w:hAnsi="Times New Roman"/>
          <w:sz w:val="24"/>
        </w:rPr>
        <w:t xml:space="preserve"> The </w:t>
      </w:r>
      <w:r w:rsidR="000A7EA6" w:rsidRPr="004D235F">
        <w:rPr>
          <w:rFonts w:ascii="Times New Roman" w:hAnsi="Times New Roman"/>
          <w:sz w:val="24"/>
        </w:rPr>
        <w:t>gist</w:t>
      </w:r>
      <w:r w:rsidR="00E54BC0" w:rsidRPr="004D235F">
        <w:rPr>
          <w:rFonts w:ascii="Times New Roman" w:hAnsi="Times New Roman"/>
          <w:sz w:val="24"/>
        </w:rPr>
        <w:t xml:space="preserve"> of its rationale can be gleaned from the following:</w:t>
      </w:r>
    </w:p>
    <w:p w14:paraId="2FA08B97" w14:textId="77777777" w:rsidR="00E54BC0" w:rsidRPr="004D235F" w:rsidRDefault="00E54BC0" w:rsidP="00E01082">
      <w:pPr>
        <w:rPr>
          <w:rFonts w:ascii="Times New Roman" w:hAnsi="Times New Roman"/>
          <w:sz w:val="24"/>
        </w:rPr>
      </w:pPr>
    </w:p>
    <w:p w14:paraId="3D17E5C4" w14:textId="77777777" w:rsidR="00E54BC0" w:rsidRPr="004D235F" w:rsidRDefault="00E54BC0" w:rsidP="00E01082">
      <w:pPr>
        <w:ind w:leftChars="67" w:left="141"/>
        <w:rPr>
          <w:rFonts w:ascii="Times New Roman" w:hAnsi="Times New Roman"/>
          <w:sz w:val="24"/>
        </w:rPr>
      </w:pPr>
      <w:r w:rsidRPr="004D235F">
        <w:rPr>
          <w:rFonts w:ascii="Times New Roman" w:eastAsia="メイリオ" w:hAnsi="Times New Roman"/>
          <w:sz w:val="24"/>
          <w:shd w:val="clear" w:color="auto" w:fill="FFFFFF"/>
        </w:rPr>
        <w:t xml:space="preserve">What differentiates the events at the La </w:t>
      </w:r>
      <w:proofErr w:type="spellStart"/>
      <w:r w:rsidRPr="004D235F">
        <w:rPr>
          <w:rFonts w:ascii="Times New Roman" w:eastAsia="メイリオ" w:hAnsi="Times New Roman"/>
          <w:sz w:val="24"/>
          <w:shd w:val="clear" w:color="auto" w:fill="FFFFFF"/>
        </w:rPr>
        <w:t>Tablada</w:t>
      </w:r>
      <w:proofErr w:type="spellEnd"/>
      <w:r w:rsidRPr="004D235F">
        <w:rPr>
          <w:rFonts w:ascii="Times New Roman" w:eastAsia="メイリオ" w:hAnsi="Times New Roman"/>
          <w:sz w:val="24"/>
          <w:shd w:val="clear" w:color="auto" w:fill="FFFFFF"/>
        </w:rPr>
        <w:t xml:space="preserve"> base from these situations are the concerted nature of the hostile acts undertaken by the attackers, the direct involvement of governmental armed forces, and the nature and level of the violence attending the events in question. More particularly, the attackers involved carefully planned, </w:t>
      </w:r>
      <w:proofErr w:type="gramStart"/>
      <w:r w:rsidRPr="004D235F">
        <w:rPr>
          <w:rFonts w:ascii="Times New Roman" w:eastAsia="メイリオ" w:hAnsi="Times New Roman"/>
          <w:sz w:val="24"/>
          <w:shd w:val="clear" w:color="auto" w:fill="FFFFFF"/>
        </w:rPr>
        <w:t>coordinated</w:t>
      </w:r>
      <w:proofErr w:type="gramEnd"/>
      <w:r w:rsidRPr="004D235F">
        <w:rPr>
          <w:rFonts w:ascii="Times New Roman" w:eastAsia="メイリオ" w:hAnsi="Times New Roman"/>
          <w:sz w:val="24"/>
          <w:shd w:val="clear" w:color="auto" w:fill="FFFFFF"/>
        </w:rPr>
        <w:t xml:space="preserve"> and executed an armed attack, i.e., a military operation, against a quintessential military objective - a military base</w:t>
      </w:r>
      <w:r w:rsidRPr="004D235F">
        <w:rPr>
          <w:rFonts w:ascii="Times New Roman" w:hAnsi="Times New Roman"/>
          <w:sz w:val="24"/>
        </w:rPr>
        <w:t>.</w:t>
      </w:r>
      <w:r w:rsidRPr="004D235F">
        <w:rPr>
          <w:rStyle w:val="a5"/>
          <w:rFonts w:ascii="Times New Roman" w:hAnsi="Times New Roman"/>
          <w:sz w:val="24"/>
        </w:rPr>
        <w:footnoteReference w:id="127"/>
      </w:r>
      <w:r w:rsidRPr="004D235F">
        <w:rPr>
          <w:rFonts w:ascii="Times New Roman" w:hAnsi="Times New Roman"/>
          <w:sz w:val="24"/>
        </w:rPr>
        <w:t xml:space="preserve"> </w:t>
      </w:r>
    </w:p>
    <w:p w14:paraId="58D655BC" w14:textId="77777777" w:rsidR="00E54BC0" w:rsidRPr="004D235F" w:rsidRDefault="00E54BC0" w:rsidP="00E01082">
      <w:pPr>
        <w:rPr>
          <w:rFonts w:ascii="Times New Roman" w:hAnsi="Times New Roman"/>
          <w:sz w:val="24"/>
        </w:rPr>
      </w:pPr>
    </w:p>
    <w:p w14:paraId="486E62E9" w14:textId="742EC75E" w:rsidR="00BB2DD2" w:rsidRDefault="00642CC2" w:rsidP="00E01082">
      <w:pPr>
        <w:rPr>
          <w:rFonts w:ascii="Times New Roman" w:hAnsi="Times New Roman"/>
          <w:sz w:val="24"/>
        </w:rPr>
      </w:pPr>
      <w:r w:rsidRPr="004D235F">
        <w:rPr>
          <w:rFonts w:ascii="Times New Roman" w:hAnsi="Times New Roman"/>
          <w:sz w:val="24"/>
        </w:rPr>
        <w:t>The incident</w:t>
      </w:r>
      <w:r w:rsidR="001A752C">
        <w:rPr>
          <w:rFonts w:ascii="Times New Roman" w:hAnsi="Times New Roman"/>
          <w:sz w:val="24"/>
        </w:rPr>
        <w:t xml:space="preserve"> at issue</w:t>
      </w:r>
      <w:r w:rsidRPr="004D235F">
        <w:rPr>
          <w:rFonts w:ascii="Times New Roman" w:hAnsi="Times New Roman"/>
          <w:sz w:val="24"/>
        </w:rPr>
        <w:t xml:space="preserve">, while certainly intense, hardly manifested violence of protracted </w:t>
      </w:r>
      <w:r w:rsidRPr="004D235F">
        <w:rPr>
          <w:rFonts w:ascii="Times New Roman" w:hAnsi="Times New Roman"/>
          <w:sz w:val="24"/>
        </w:rPr>
        <w:lastRenderedPageBreak/>
        <w:t xml:space="preserve">nature. </w:t>
      </w:r>
      <w:r w:rsidR="00B87198">
        <w:rPr>
          <w:rFonts w:ascii="Times New Roman" w:hAnsi="Times New Roman"/>
          <w:sz w:val="24"/>
        </w:rPr>
        <w:t>Albeit</w:t>
      </w:r>
      <w:r w:rsidR="006F6B85">
        <w:rPr>
          <w:rFonts w:ascii="Times New Roman" w:hAnsi="Times New Roman"/>
          <w:sz w:val="24"/>
        </w:rPr>
        <w:t xml:space="preserve"> referring to the </w:t>
      </w:r>
      <w:r w:rsidR="00B87198">
        <w:rPr>
          <w:rFonts w:ascii="Times New Roman" w:hAnsi="Times New Roman"/>
          <w:sz w:val="24"/>
        </w:rPr>
        <w:t>‘brief</w:t>
      </w:r>
      <w:r w:rsidR="006F6B85">
        <w:rPr>
          <w:rFonts w:ascii="Times New Roman" w:hAnsi="Times New Roman"/>
          <w:sz w:val="24"/>
        </w:rPr>
        <w:t xml:space="preserve"> duration</w:t>
      </w:r>
      <w:r w:rsidR="00B87198">
        <w:rPr>
          <w:rFonts w:ascii="Times New Roman" w:hAnsi="Times New Roman"/>
          <w:sz w:val="24"/>
        </w:rPr>
        <w:t>’</w:t>
      </w:r>
      <w:r w:rsidR="006F6B85">
        <w:rPr>
          <w:rFonts w:ascii="Times New Roman" w:hAnsi="Times New Roman"/>
          <w:sz w:val="24"/>
        </w:rPr>
        <w:t xml:space="preserve"> of the </w:t>
      </w:r>
      <w:r w:rsidR="00B87198">
        <w:rPr>
          <w:rFonts w:ascii="Times New Roman" w:hAnsi="Times New Roman"/>
          <w:sz w:val="24"/>
        </w:rPr>
        <w:t>clash</w:t>
      </w:r>
      <w:r w:rsidR="006F6B85">
        <w:rPr>
          <w:rFonts w:ascii="Times New Roman" w:hAnsi="Times New Roman"/>
          <w:sz w:val="24"/>
        </w:rPr>
        <w:t>, the Inter-American Commission</w:t>
      </w:r>
      <w:r w:rsidR="002F7D8E">
        <w:rPr>
          <w:rFonts w:ascii="Times New Roman" w:hAnsi="Times New Roman"/>
          <w:sz w:val="24"/>
        </w:rPr>
        <w:t xml:space="preserve"> </w:t>
      </w:r>
      <w:r w:rsidR="002F7D8E" w:rsidRPr="004D235F">
        <w:rPr>
          <w:rFonts w:ascii="Times New Roman" w:hAnsi="Times New Roman"/>
          <w:sz w:val="24"/>
        </w:rPr>
        <w:t>downplay</w:t>
      </w:r>
      <w:r w:rsidR="006F6B85">
        <w:rPr>
          <w:rFonts w:ascii="Times New Roman" w:hAnsi="Times New Roman"/>
          <w:sz w:val="24"/>
        </w:rPr>
        <w:t>ed</w:t>
      </w:r>
      <w:r w:rsidR="002F7D8E" w:rsidRPr="004D235F">
        <w:rPr>
          <w:rFonts w:ascii="Times New Roman" w:hAnsi="Times New Roman"/>
          <w:sz w:val="24"/>
        </w:rPr>
        <w:t xml:space="preserve"> the significance </w:t>
      </w:r>
      <w:r w:rsidR="006F6B85">
        <w:rPr>
          <w:rFonts w:ascii="Times New Roman" w:hAnsi="Times New Roman"/>
          <w:sz w:val="24"/>
        </w:rPr>
        <w:t xml:space="preserve">(if not the pertinence) </w:t>
      </w:r>
      <w:r w:rsidR="002F7D8E" w:rsidRPr="004D235F">
        <w:rPr>
          <w:rFonts w:ascii="Times New Roman" w:hAnsi="Times New Roman"/>
          <w:sz w:val="24"/>
        </w:rPr>
        <w:t>of</w:t>
      </w:r>
      <w:r w:rsidR="00432988" w:rsidRPr="00432988">
        <w:rPr>
          <w:rFonts w:ascii="Times New Roman" w:hAnsi="Times New Roman"/>
          <w:sz w:val="24"/>
        </w:rPr>
        <w:t xml:space="preserve"> </w:t>
      </w:r>
      <w:r w:rsidR="00432988">
        <w:rPr>
          <w:rFonts w:ascii="Times New Roman" w:hAnsi="Times New Roman"/>
          <w:sz w:val="24"/>
        </w:rPr>
        <w:t xml:space="preserve">the </w:t>
      </w:r>
      <w:r w:rsidR="008440C9">
        <w:rPr>
          <w:rFonts w:ascii="Times New Roman" w:hAnsi="Times New Roman"/>
          <w:sz w:val="24"/>
        </w:rPr>
        <w:t>element</w:t>
      </w:r>
      <w:r w:rsidR="002F7D8E" w:rsidRPr="004D235F">
        <w:rPr>
          <w:rFonts w:ascii="Times New Roman" w:hAnsi="Times New Roman"/>
          <w:sz w:val="24"/>
        </w:rPr>
        <w:t xml:space="preserve"> </w:t>
      </w:r>
      <w:r w:rsidR="00432988">
        <w:rPr>
          <w:rFonts w:ascii="Times New Roman" w:hAnsi="Times New Roman"/>
          <w:sz w:val="24"/>
        </w:rPr>
        <w:t xml:space="preserve">of </w:t>
      </w:r>
      <w:r w:rsidR="002F7D8E" w:rsidRPr="004D235F">
        <w:rPr>
          <w:rFonts w:ascii="Times New Roman" w:hAnsi="Times New Roman"/>
          <w:sz w:val="24"/>
        </w:rPr>
        <w:t>temporally protracted nature of violence</w:t>
      </w:r>
      <w:r w:rsidR="006F6B85">
        <w:rPr>
          <w:rFonts w:ascii="Times New Roman" w:hAnsi="Times New Roman"/>
          <w:sz w:val="24"/>
        </w:rPr>
        <w:t>, whether this is a separate criterion or part of the ‘intensity’ standard.</w:t>
      </w:r>
      <w:r w:rsidR="006F6B85">
        <w:rPr>
          <w:rStyle w:val="a5"/>
          <w:rFonts w:ascii="Times New Roman" w:hAnsi="Times New Roman"/>
          <w:sz w:val="24"/>
        </w:rPr>
        <w:footnoteReference w:id="128"/>
      </w:r>
      <w:r w:rsidR="006F6B85">
        <w:rPr>
          <w:rFonts w:ascii="Times New Roman" w:hAnsi="Times New Roman"/>
          <w:sz w:val="24"/>
        </w:rPr>
        <w:t xml:space="preserve"> This </w:t>
      </w:r>
      <w:r w:rsidR="009A3ACE">
        <w:rPr>
          <w:rFonts w:ascii="Times New Roman" w:hAnsi="Times New Roman"/>
          <w:sz w:val="24"/>
        </w:rPr>
        <w:t>is critici</w:t>
      </w:r>
      <w:r w:rsidR="00A4154A">
        <w:rPr>
          <w:rFonts w:ascii="Times New Roman" w:hAnsi="Times New Roman"/>
          <w:sz w:val="24"/>
        </w:rPr>
        <w:t>z</w:t>
      </w:r>
      <w:r w:rsidR="009A3ACE">
        <w:rPr>
          <w:rFonts w:ascii="Times New Roman" w:hAnsi="Times New Roman"/>
          <w:sz w:val="24"/>
        </w:rPr>
        <w:t>ed for enabling</w:t>
      </w:r>
      <w:r w:rsidR="00432988">
        <w:rPr>
          <w:rFonts w:ascii="Times New Roman" w:hAnsi="Times New Roman"/>
          <w:sz w:val="24"/>
        </w:rPr>
        <w:t xml:space="preserve"> </w:t>
      </w:r>
      <w:r w:rsidR="002F7D8E">
        <w:rPr>
          <w:rFonts w:ascii="Times New Roman" w:hAnsi="Times New Roman"/>
          <w:sz w:val="24"/>
        </w:rPr>
        <w:t xml:space="preserve">common Article 3 </w:t>
      </w:r>
      <w:r w:rsidR="00A61233">
        <w:rPr>
          <w:rFonts w:ascii="Times New Roman" w:hAnsi="Times New Roman"/>
          <w:sz w:val="24"/>
        </w:rPr>
        <w:t xml:space="preserve">of the </w:t>
      </w:r>
      <w:r w:rsidR="001D7ED3">
        <w:rPr>
          <w:rFonts w:ascii="Times New Roman" w:hAnsi="Times New Roman"/>
          <w:sz w:val="24"/>
        </w:rPr>
        <w:t>Geneva Convention</w:t>
      </w:r>
      <w:r w:rsidR="002F7D8E">
        <w:rPr>
          <w:rFonts w:ascii="Times New Roman" w:hAnsi="Times New Roman"/>
          <w:sz w:val="24"/>
        </w:rPr>
        <w:t>s</w:t>
      </w:r>
      <w:r w:rsidR="002F7D8E" w:rsidRPr="004D235F">
        <w:rPr>
          <w:rFonts w:ascii="Times New Roman" w:hAnsi="Times New Roman"/>
          <w:sz w:val="24"/>
        </w:rPr>
        <w:t xml:space="preserve"> to</w:t>
      </w:r>
      <w:r w:rsidR="0049692E">
        <w:rPr>
          <w:rFonts w:ascii="Times New Roman" w:hAnsi="Times New Roman"/>
          <w:sz w:val="24"/>
        </w:rPr>
        <w:t xml:space="preserve"> apply to </w:t>
      </w:r>
      <w:r w:rsidR="002F7D8E" w:rsidRPr="004D235F">
        <w:rPr>
          <w:rFonts w:ascii="Times New Roman" w:hAnsi="Times New Roman"/>
          <w:sz w:val="24"/>
        </w:rPr>
        <w:t>‘evanescent violence by mutinous troops’</w:t>
      </w:r>
      <w:r w:rsidR="009A3ACE">
        <w:rPr>
          <w:rFonts w:ascii="Times New Roman" w:hAnsi="Times New Roman"/>
          <w:sz w:val="24"/>
        </w:rPr>
        <w:t xml:space="preserve"> and</w:t>
      </w:r>
      <w:r w:rsidR="001A752C" w:rsidRPr="004D235F">
        <w:rPr>
          <w:rFonts w:ascii="Times New Roman" w:hAnsi="Times New Roman"/>
          <w:sz w:val="24"/>
        </w:rPr>
        <w:t xml:space="preserve"> </w:t>
      </w:r>
      <w:r w:rsidR="000A11EA" w:rsidRPr="004D235F">
        <w:rPr>
          <w:rFonts w:ascii="Times New Roman" w:hAnsi="Times New Roman"/>
          <w:sz w:val="24"/>
        </w:rPr>
        <w:t>lowering the threshold for the ‘Common Article 3 NIACs’</w:t>
      </w:r>
      <w:r w:rsidR="002F7D8E">
        <w:rPr>
          <w:rFonts w:ascii="Times New Roman" w:hAnsi="Times New Roman"/>
          <w:sz w:val="24"/>
        </w:rPr>
        <w:t>.</w:t>
      </w:r>
      <w:r w:rsidR="001A752C" w:rsidRPr="004D235F">
        <w:rPr>
          <w:rStyle w:val="a5"/>
          <w:rFonts w:ascii="Times New Roman" w:hAnsi="Times New Roman"/>
          <w:sz w:val="24"/>
        </w:rPr>
        <w:footnoteReference w:id="129"/>
      </w:r>
      <w:r w:rsidR="001A752C" w:rsidRPr="004D235F">
        <w:rPr>
          <w:rFonts w:ascii="Times New Roman" w:hAnsi="Times New Roman"/>
          <w:sz w:val="24"/>
        </w:rPr>
        <w:t xml:space="preserve"> </w:t>
      </w:r>
      <w:r w:rsidR="001C5EE3">
        <w:rPr>
          <w:rFonts w:ascii="Times New Roman" w:hAnsi="Times New Roman"/>
          <w:sz w:val="24"/>
        </w:rPr>
        <w:t xml:space="preserve">For the proponent for the view that </w:t>
      </w:r>
      <w:proofErr w:type="spellStart"/>
      <w:r w:rsidR="001C5EE3" w:rsidRPr="001C5EE3">
        <w:rPr>
          <w:rFonts w:ascii="Times New Roman" w:hAnsi="Times New Roman"/>
          <w:i/>
          <w:iCs/>
          <w:sz w:val="24"/>
        </w:rPr>
        <w:t>Abella</w:t>
      </w:r>
      <w:proofErr w:type="spellEnd"/>
      <w:r w:rsidR="001C5EE3">
        <w:rPr>
          <w:rFonts w:ascii="Times New Roman" w:hAnsi="Times New Roman"/>
          <w:sz w:val="24"/>
        </w:rPr>
        <w:t xml:space="preserve">-like situation can constitute an NIAC, it may be explained </w:t>
      </w:r>
      <w:r w:rsidR="006A0E49">
        <w:rPr>
          <w:rFonts w:ascii="Times New Roman" w:hAnsi="Times New Roman"/>
          <w:sz w:val="24"/>
        </w:rPr>
        <w:t xml:space="preserve">that the Inter-American Commission </w:t>
      </w:r>
      <w:r w:rsidR="00A54C24">
        <w:rPr>
          <w:rFonts w:ascii="Times New Roman" w:hAnsi="Times New Roman"/>
          <w:sz w:val="24"/>
        </w:rPr>
        <w:t>eased the</w:t>
      </w:r>
      <w:r w:rsidR="00024737">
        <w:rPr>
          <w:rFonts w:ascii="Times New Roman" w:hAnsi="Times New Roman"/>
          <w:sz w:val="24"/>
        </w:rPr>
        <w:t xml:space="preserve"> standard for </w:t>
      </w:r>
      <w:r w:rsidR="002C4BAE">
        <w:rPr>
          <w:rFonts w:ascii="Times New Roman" w:hAnsi="Times New Roman"/>
          <w:sz w:val="24"/>
        </w:rPr>
        <w:t>protracted nature of violence</w:t>
      </w:r>
      <w:r w:rsidR="001B65D3" w:rsidRPr="004D235F">
        <w:rPr>
          <w:rFonts w:ascii="Times New Roman" w:hAnsi="Times New Roman"/>
          <w:sz w:val="24"/>
        </w:rPr>
        <w:t xml:space="preserve"> in inverse proportion to </w:t>
      </w:r>
      <w:r w:rsidR="002C4BAE">
        <w:rPr>
          <w:rFonts w:ascii="Times New Roman" w:hAnsi="Times New Roman"/>
          <w:sz w:val="24"/>
        </w:rPr>
        <w:t>its</w:t>
      </w:r>
      <w:r w:rsidR="001B65D3" w:rsidRPr="004D235F">
        <w:rPr>
          <w:rFonts w:ascii="Times New Roman" w:hAnsi="Times New Roman"/>
          <w:sz w:val="24"/>
        </w:rPr>
        <w:t xml:space="preserve"> scale</w:t>
      </w:r>
      <w:r w:rsidR="00963F5E">
        <w:rPr>
          <w:rFonts w:ascii="Times New Roman" w:hAnsi="Times New Roman"/>
          <w:sz w:val="24"/>
        </w:rPr>
        <w:t>.</w:t>
      </w:r>
      <w:r w:rsidR="001B65D3" w:rsidRPr="004D235F">
        <w:rPr>
          <w:rStyle w:val="a5"/>
          <w:rFonts w:ascii="Times New Roman" w:hAnsi="Times New Roman"/>
          <w:sz w:val="24"/>
        </w:rPr>
        <w:footnoteReference w:id="130"/>
      </w:r>
      <w:r w:rsidR="001B65D3" w:rsidRPr="004D235F">
        <w:rPr>
          <w:rFonts w:ascii="Times New Roman" w:hAnsi="Times New Roman"/>
          <w:sz w:val="24"/>
        </w:rPr>
        <w:t xml:space="preserve"> </w:t>
      </w:r>
      <w:r w:rsidR="003243DE">
        <w:rPr>
          <w:rFonts w:ascii="Times New Roman" w:hAnsi="Times New Roman"/>
          <w:sz w:val="24"/>
        </w:rPr>
        <w:t xml:space="preserve">While </w:t>
      </w:r>
      <w:r w:rsidR="00432988">
        <w:rPr>
          <w:rFonts w:ascii="Times New Roman" w:hAnsi="Times New Roman"/>
          <w:sz w:val="24"/>
        </w:rPr>
        <w:t>such an</w:t>
      </w:r>
      <w:r w:rsidR="003243DE">
        <w:rPr>
          <w:rFonts w:ascii="Times New Roman" w:hAnsi="Times New Roman"/>
          <w:sz w:val="24"/>
        </w:rPr>
        <w:t xml:space="preserve"> explanation is </w:t>
      </w:r>
      <w:r w:rsidR="00432988">
        <w:rPr>
          <w:rFonts w:ascii="Times New Roman" w:hAnsi="Times New Roman"/>
          <w:sz w:val="24"/>
        </w:rPr>
        <w:t xml:space="preserve">certainly </w:t>
      </w:r>
      <w:r w:rsidR="003243DE">
        <w:rPr>
          <w:rFonts w:ascii="Times New Roman" w:hAnsi="Times New Roman"/>
          <w:sz w:val="24"/>
        </w:rPr>
        <w:t xml:space="preserve">cogent, </w:t>
      </w:r>
      <w:r w:rsidR="006A0E49" w:rsidRPr="004D235F">
        <w:rPr>
          <w:rFonts w:ascii="Times New Roman" w:hAnsi="Times New Roman"/>
          <w:sz w:val="24"/>
        </w:rPr>
        <w:t xml:space="preserve">this </w:t>
      </w:r>
      <w:r w:rsidR="001E3422">
        <w:rPr>
          <w:rFonts w:ascii="Times New Roman" w:hAnsi="Times New Roman"/>
          <w:sz w:val="24"/>
        </w:rPr>
        <w:t>paper</w:t>
      </w:r>
      <w:r w:rsidR="00406B54">
        <w:rPr>
          <w:rFonts w:ascii="Times New Roman" w:hAnsi="Times New Roman"/>
          <w:sz w:val="24"/>
        </w:rPr>
        <w:t xml:space="preserve"> </w:t>
      </w:r>
      <w:r w:rsidR="00024737">
        <w:rPr>
          <w:rFonts w:ascii="Times New Roman" w:hAnsi="Times New Roman"/>
          <w:sz w:val="24"/>
        </w:rPr>
        <w:t>proposes</w:t>
      </w:r>
      <w:r w:rsidR="00406B54">
        <w:rPr>
          <w:rFonts w:ascii="Times New Roman" w:hAnsi="Times New Roman"/>
          <w:sz w:val="24"/>
        </w:rPr>
        <w:t xml:space="preserve"> </w:t>
      </w:r>
      <w:r w:rsidR="008B2776">
        <w:rPr>
          <w:rFonts w:ascii="Times New Roman" w:hAnsi="Times New Roman"/>
          <w:sz w:val="24"/>
        </w:rPr>
        <w:t xml:space="preserve">another </w:t>
      </w:r>
      <w:r w:rsidR="006A0E49">
        <w:rPr>
          <w:rFonts w:ascii="Times New Roman" w:hAnsi="Times New Roman"/>
          <w:sz w:val="24"/>
        </w:rPr>
        <w:t xml:space="preserve">possible </w:t>
      </w:r>
      <w:r w:rsidR="008B2776">
        <w:rPr>
          <w:rFonts w:ascii="Times New Roman" w:hAnsi="Times New Roman"/>
          <w:sz w:val="24"/>
        </w:rPr>
        <w:t>way of reading th</w:t>
      </w:r>
      <w:r w:rsidR="0049692E">
        <w:rPr>
          <w:rFonts w:ascii="Times New Roman" w:hAnsi="Times New Roman"/>
          <w:sz w:val="24"/>
        </w:rPr>
        <w:t xml:space="preserve">is </w:t>
      </w:r>
      <w:r w:rsidR="008B2776">
        <w:rPr>
          <w:rFonts w:ascii="Times New Roman" w:hAnsi="Times New Roman"/>
          <w:sz w:val="24"/>
        </w:rPr>
        <w:t>decisio</w:t>
      </w:r>
      <w:r w:rsidR="006A0E49">
        <w:rPr>
          <w:rFonts w:ascii="Times New Roman" w:hAnsi="Times New Roman"/>
          <w:sz w:val="24"/>
        </w:rPr>
        <w:t>n</w:t>
      </w:r>
      <w:r w:rsidR="008B2776">
        <w:rPr>
          <w:rFonts w:ascii="Times New Roman" w:hAnsi="Times New Roman"/>
          <w:sz w:val="24"/>
        </w:rPr>
        <w:t xml:space="preserve">. </w:t>
      </w:r>
    </w:p>
    <w:p w14:paraId="0ECA1EE2" w14:textId="77777777" w:rsidR="00BB2DD2" w:rsidRDefault="00BB2DD2" w:rsidP="00E01082">
      <w:pPr>
        <w:rPr>
          <w:rFonts w:ascii="Times New Roman" w:hAnsi="Times New Roman"/>
          <w:sz w:val="24"/>
        </w:rPr>
      </w:pPr>
    </w:p>
    <w:p w14:paraId="19EDEB00" w14:textId="41A35BA8" w:rsidR="000A4F8E" w:rsidRDefault="000A4F8E" w:rsidP="00E01082">
      <w:pPr>
        <w:rPr>
          <w:rFonts w:ascii="Times New Roman" w:hAnsi="Times New Roman"/>
          <w:sz w:val="24"/>
        </w:rPr>
      </w:pPr>
      <w:r>
        <w:rPr>
          <w:rFonts w:ascii="Times New Roman" w:hAnsi="Times New Roman"/>
          <w:sz w:val="24"/>
        </w:rPr>
        <w:t xml:space="preserve">The deployment of the Argentinian forces was a factor of special pertinence. Still, it is hard to </w:t>
      </w:r>
      <w:r w:rsidR="005C67E8">
        <w:rPr>
          <w:rFonts w:ascii="Times New Roman" w:hAnsi="Times New Roman"/>
          <w:sz w:val="24"/>
        </w:rPr>
        <w:t>say</w:t>
      </w:r>
      <w:r>
        <w:rPr>
          <w:rFonts w:ascii="Times New Roman" w:hAnsi="Times New Roman"/>
          <w:sz w:val="24"/>
        </w:rPr>
        <w:t xml:space="preserve"> that the well-organized nature of one party (that is, the Argentinian governmental forces) alone justifies the </w:t>
      </w:r>
      <w:r w:rsidR="005C67E8">
        <w:rPr>
          <w:rFonts w:ascii="Times New Roman" w:hAnsi="Times New Roman"/>
          <w:sz w:val="24"/>
        </w:rPr>
        <w:t>elimination of</w:t>
      </w:r>
      <w:r>
        <w:rPr>
          <w:rFonts w:ascii="Times New Roman" w:hAnsi="Times New Roman"/>
          <w:sz w:val="24"/>
        </w:rPr>
        <w:t xml:space="preserve"> the assessment of the organizational structure of the opponent that precipitated the attacks. There is no escaping the impression that the Inter-American Commission made the </w:t>
      </w:r>
      <w:r w:rsidR="00E25B00">
        <w:rPr>
          <w:rFonts w:ascii="Times New Roman" w:hAnsi="Times New Roman"/>
          <w:sz w:val="24"/>
        </w:rPr>
        <w:t xml:space="preserve">hasty </w:t>
      </w:r>
      <w:r>
        <w:rPr>
          <w:rFonts w:ascii="Times New Roman" w:hAnsi="Times New Roman"/>
          <w:sz w:val="24"/>
        </w:rPr>
        <w:t xml:space="preserve">qualification of the violence as a NIAC without adequately weighing up the question if the impugned ‘group’ was sufficiently organized. </w:t>
      </w:r>
      <w:r w:rsidR="00F620F3">
        <w:rPr>
          <w:rFonts w:ascii="Times New Roman" w:hAnsi="Times New Roman"/>
          <w:sz w:val="24"/>
        </w:rPr>
        <w:t xml:space="preserve">The </w:t>
      </w:r>
      <w:r>
        <w:rPr>
          <w:rFonts w:ascii="Times New Roman" w:hAnsi="Times New Roman"/>
          <w:sz w:val="24"/>
        </w:rPr>
        <w:t xml:space="preserve">hostile acts, apart from their concerted nature, were seen by the Inter-American Commission as </w:t>
      </w:r>
      <w:r w:rsidR="001E3422">
        <w:rPr>
          <w:rFonts w:ascii="Times New Roman" w:hAnsi="Times New Roman"/>
          <w:sz w:val="24"/>
        </w:rPr>
        <w:t>sufficiently destructive</w:t>
      </w:r>
      <w:r>
        <w:rPr>
          <w:rFonts w:ascii="Times New Roman" w:hAnsi="Times New Roman"/>
          <w:sz w:val="24"/>
        </w:rPr>
        <w:t xml:space="preserve"> in terms of their magnitude. This was, it may be argued, decisive for </w:t>
      </w:r>
      <w:r w:rsidR="0014490F">
        <w:rPr>
          <w:rFonts w:ascii="Times New Roman" w:hAnsi="Times New Roman"/>
          <w:sz w:val="24"/>
        </w:rPr>
        <w:t xml:space="preserve">warranting the view that </w:t>
      </w:r>
      <w:r>
        <w:rPr>
          <w:rFonts w:ascii="Times New Roman" w:hAnsi="Times New Roman"/>
          <w:sz w:val="24"/>
        </w:rPr>
        <w:t xml:space="preserve">the weight of the requirement of organization </w:t>
      </w:r>
      <w:r w:rsidR="001C5EE3">
        <w:rPr>
          <w:rFonts w:ascii="Times New Roman" w:hAnsi="Times New Roman"/>
          <w:sz w:val="24"/>
        </w:rPr>
        <w:t xml:space="preserve">in determining </w:t>
      </w:r>
      <w:r>
        <w:rPr>
          <w:rFonts w:ascii="Times New Roman" w:hAnsi="Times New Roman"/>
          <w:sz w:val="24"/>
        </w:rPr>
        <w:t>the threshold for a NIAC</w:t>
      </w:r>
      <w:r w:rsidR="0014490F">
        <w:rPr>
          <w:rFonts w:ascii="Times New Roman" w:hAnsi="Times New Roman"/>
          <w:sz w:val="24"/>
        </w:rPr>
        <w:t xml:space="preserve"> should be depreciated</w:t>
      </w:r>
      <w:r>
        <w:rPr>
          <w:rFonts w:ascii="Times New Roman" w:hAnsi="Times New Roman"/>
          <w:sz w:val="24"/>
        </w:rPr>
        <w:t>.</w:t>
      </w:r>
      <w:r>
        <w:rPr>
          <w:rStyle w:val="a5"/>
          <w:rFonts w:ascii="Times New Roman" w:hAnsi="Times New Roman"/>
          <w:sz w:val="24"/>
        </w:rPr>
        <w:footnoteReference w:id="131"/>
      </w:r>
      <w:r>
        <w:rPr>
          <w:rFonts w:ascii="Times New Roman" w:hAnsi="Times New Roman"/>
          <w:sz w:val="24"/>
        </w:rPr>
        <w:t xml:space="preserve"> </w:t>
      </w:r>
    </w:p>
    <w:p w14:paraId="38126A6C" w14:textId="77777777" w:rsidR="00432988" w:rsidRPr="000A4F8E" w:rsidRDefault="00432988" w:rsidP="00E01082">
      <w:pPr>
        <w:rPr>
          <w:rFonts w:ascii="Times New Roman" w:hAnsi="Times New Roman"/>
          <w:sz w:val="24"/>
        </w:rPr>
      </w:pPr>
    </w:p>
    <w:p w14:paraId="69438D62" w14:textId="7F4D6C19" w:rsidR="001F46A1" w:rsidRPr="00E503D5" w:rsidRDefault="0020576D" w:rsidP="001F46A1">
      <w:pPr>
        <w:rPr>
          <w:rFonts w:ascii="Times New Roman" w:hAnsi="Times New Roman"/>
          <w:sz w:val="24"/>
        </w:rPr>
      </w:pPr>
      <w:r w:rsidRPr="0025446A">
        <w:rPr>
          <w:rFonts w:ascii="Times New Roman" w:hAnsi="Times New Roman"/>
          <w:sz w:val="24"/>
        </w:rPr>
        <w:t xml:space="preserve">To explain how such an implicit reasoning may be read as </w:t>
      </w:r>
      <w:r w:rsidR="007D7186" w:rsidRPr="0025446A">
        <w:rPr>
          <w:rFonts w:ascii="Times New Roman" w:hAnsi="Times New Roman"/>
          <w:sz w:val="24"/>
        </w:rPr>
        <w:t xml:space="preserve">verging on </w:t>
      </w:r>
      <w:r w:rsidRPr="0025446A">
        <w:rPr>
          <w:rFonts w:ascii="Times New Roman" w:hAnsi="Times New Roman"/>
          <w:sz w:val="24"/>
        </w:rPr>
        <w:t>the proposed ‘compensatory model’, the</w:t>
      </w:r>
      <w:r w:rsidR="00A01967" w:rsidRPr="0025446A">
        <w:rPr>
          <w:rFonts w:ascii="Times New Roman" w:hAnsi="Times New Roman"/>
          <w:sz w:val="24"/>
        </w:rPr>
        <w:t xml:space="preserve"> relevant</w:t>
      </w:r>
      <w:r w:rsidRPr="0025446A">
        <w:rPr>
          <w:rFonts w:ascii="Times New Roman" w:hAnsi="Times New Roman"/>
          <w:sz w:val="24"/>
        </w:rPr>
        <w:t xml:space="preserve"> </w:t>
      </w:r>
      <w:r w:rsidR="00DD2A34" w:rsidRPr="0025446A">
        <w:rPr>
          <w:rFonts w:ascii="Times New Roman" w:hAnsi="Times New Roman"/>
          <w:sz w:val="24"/>
        </w:rPr>
        <w:t xml:space="preserve">facts of the case </w:t>
      </w:r>
      <w:r w:rsidR="00A01967" w:rsidRPr="0025446A">
        <w:rPr>
          <w:rFonts w:ascii="Times New Roman" w:hAnsi="Times New Roman"/>
          <w:sz w:val="24"/>
        </w:rPr>
        <w:t xml:space="preserve">need to be </w:t>
      </w:r>
      <w:r w:rsidR="009C4ED0" w:rsidRPr="0025446A">
        <w:rPr>
          <w:rFonts w:ascii="Times New Roman" w:hAnsi="Times New Roman"/>
          <w:sz w:val="24"/>
        </w:rPr>
        <w:t>set in order</w:t>
      </w:r>
      <w:r w:rsidRPr="0025446A">
        <w:rPr>
          <w:rFonts w:ascii="Times New Roman" w:hAnsi="Times New Roman"/>
          <w:sz w:val="24"/>
        </w:rPr>
        <w:t xml:space="preserve">. </w:t>
      </w:r>
      <w:r w:rsidR="00A01967" w:rsidRPr="0025446A">
        <w:rPr>
          <w:rFonts w:ascii="Times New Roman" w:hAnsi="Times New Roman"/>
          <w:sz w:val="24"/>
        </w:rPr>
        <w:t>One can accept</w:t>
      </w:r>
      <w:r w:rsidR="00B44561" w:rsidRPr="0025446A">
        <w:rPr>
          <w:rFonts w:ascii="Times New Roman" w:hAnsi="Times New Roman"/>
          <w:sz w:val="24"/>
        </w:rPr>
        <w:t xml:space="preserve"> </w:t>
      </w:r>
      <w:r w:rsidR="00AD2A34" w:rsidRPr="0025446A">
        <w:rPr>
          <w:rFonts w:ascii="Times New Roman" w:hAnsi="Times New Roman"/>
          <w:sz w:val="24"/>
        </w:rPr>
        <w:t xml:space="preserve">that those protagonists possessed the </w:t>
      </w:r>
      <w:r w:rsidR="00902F0A">
        <w:rPr>
          <w:rFonts w:ascii="Times New Roman" w:hAnsi="Times New Roman"/>
          <w:sz w:val="24"/>
        </w:rPr>
        <w:t>basic</w:t>
      </w:r>
      <w:r w:rsidR="00902F0A" w:rsidRPr="0025446A">
        <w:rPr>
          <w:rFonts w:ascii="Times New Roman" w:hAnsi="Times New Roman"/>
          <w:sz w:val="24"/>
        </w:rPr>
        <w:t xml:space="preserve"> </w:t>
      </w:r>
      <w:r w:rsidR="00AD2A34" w:rsidRPr="0025446A">
        <w:rPr>
          <w:rFonts w:ascii="Times New Roman" w:hAnsi="Times New Roman"/>
          <w:sz w:val="24"/>
        </w:rPr>
        <w:t xml:space="preserve">organizational elements such as the military capability to carry out heavy attacks in a coordinated manner. </w:t>
      </w:r>
      <w:r w:rsidR="00F574C7" w:rsidRPr="0025446A">
        <w:rPr>
          <w:rFonts w:ascii="Times New Roman" w:hAnsi="Times New Roman"/>
          <w:sz w:val="24"/>
        </w:rPr>
        <w:t xml:space="preserve">It is also reasonable to </w:t>
      </w:r>
      <w:r w:rsidR="00B44561" w:rsidRPr="0025446A">
        <w:rPr>
          <w:rFonts w:ascii="Times New Roman" w:hAnsi="Times New Roman"/>
          <w:sz w:val="24"/>
        </w:rPr>
        <w:t xml:space="preserve">judge, as the Inter-American Commission did, </w:t>
      </w:r>
      <w:r w:rsidR="00F574C7" w:rsidRPr="0025446A">
        <w:rPr>
          <w:rFonts w:ascii="Times New Roman" w:hAnsi="Times New Roman"/>
          <w:sz w:val="24"/>
        </w:rPr>
        <w:t xml:space="preserve">that albeit of short length, attacks concerned were </w:t>
      </w:r>
      <w:r w:rsidR="00EB0BE4" w:rsidRPr="0025446A">
        <w:rPr>
          <w:rFonts w:ascii="Times New Roman" w:hAnsi="Times New Roman"/>
          <w:sz w:val="24"/>
        </w:rPr>
        <w:t xml:space="preserve">of </w:t>
      </w:r>
      <w:r w:rsidR="00F574C7" w:rsidRPr="0025446A">
        <w:rPr>
          <w:rFonts w:ascii="Times New Roman" w:hAnsi="Times New Roman"/>
          <w:sz w:val="24"/>
        </w:rPr>
        <w:t>intens</w:t>
      </w:r>
      <w:r w:rsidR="00EB0BE4" w:rsidRPr="0025446A">
        <w:rPr>
          <w:rFonts w:ascii="Times New Roman" w:hAnsi="Times New Roman"/>
          <w:sz w:val="24"/>
        </w:rPr>
        <w:t>ive nature</w:t>
      </w:r>
      <w:r w:rsidR="00F574C7" w:rsidRPr="0025446A">
        <w:rPr>
          <w:rFonts w:ascii="Times New Roman" w:hAnsi="Times New Roman"/>
          <w:sz w:val="24"/>
        </w:rPr>
        <w:t>.</w:t>
      </w:r>
      <w:r w:rsidR="00D83400" w:rsidRPr="0025446A">
        <w:rPr>
          <w:rFonts w:ascii="Times New Roman" w:hAnsi="Times New Roman"/>
          <w:sz w:val="24"/>
        </w:rPr>
        <w:t xml:space="preserve"> </w:t>
      </w:r>
      <w:r w:rsidR="00B44561" w:rsidRPr="0025446A">
        <w:rPr>
          <w:rFonts w:ascii="Times New Roman" w:hAnsi="Times New Roman"/>
          <w:sz w:val="24"/>
        </w:rPr>
        <w:t>Nevertheless</w:t>
      </w:r>
      <w:r w:rsidR="00533976" w:rsidRPr="0025446A">
        <w:rPr>
          <w:rFonts w:ascii="Times New Roman" w:hAnsi="Times New Roman"/>
          <w:sz w:val="24"/>
        </w:rPr>
        <w:t xml:space="preserve">, </w:t>
      </w:r>
      <w:r w:rsidR="000121F7" w:rsidRPr="0025446A">
        <w:rPr>
          <w:rFonts w:ascii="Times New Roman" w:hAnsi="Times New Roman"/>
          <w:sz w:val="24"/>
        </w:rPr>
        <w:t xml:space="preserve">it is doubtful that </w:t>
      </w:r>
      <w:r w:rsidR="00533976" w:rsidRPr="0025446A">
        <w:rPr>
          <w:rFonts w:ascii="Times New Roman" w:hAnsi="Times New Roman"/>
          <w:sz w:val="24"/>
        </w:rPr>
        <w:t xml:space="preserve">the group </w:t>
      </w:r>
      <w:r w:rsidR="000121F7" w:rsidRPr="0025446A">
        <w:rPr>
          <w:rFonts w:ascii="Times New Roman" w:hAnsi="Times New Roman"/>
          <w:sz w:val="24"/>
        </w:rPr>
        <w:t xml:space="preserve">was </w:t>
      </w:r>
      <w:r w:rsidR="00533976" w:rsidRPr="0025446A">
        <w:rPr>
          <w:rFonts w:ascii="Times New Roman" w:hAnsi="Times New Roman"/>
          <w:sz w:val="24"/>
        </w:rPr>
        <w:t xml:space="preserve">invested with a command structure and internal disciplines even of informal kind. </w:t>
      </w:r>
      <w:r w:rsidR="009B20E3" w:rsidRPr="0025446A">
        <w:rPr>
          <w:rFonts w:ascii="Times New Roman" w:hAnsi="Times New Roman"/>
          <w:sz w:val="24"/>
        </w:rPr>
        <w:t xml:space="preserve">If measured against the benchmark suggested by the ICTY, a group of armed individuals </w:t>
      </w:r>
      <w:r w:rsidR="00FF56AC" w:rsidRPr="0025446A">
        <w:rPr>
          <w:rFonts w:ascii="Times New Roman" w:hAnsi="Times New Roman"/>
          <w:sz w:val="24"/>
        </w:rPr>
        <w:t xml:space="preserve">involved </w:t>
      </w:r>
      <w:r w:rsidR="009B20E3" w:rsidRPr="0025446A">
        <w:rPr>
          <w:rFonts w:ascii="Times New Roman" w:hAnsi="Times New Roman"/>
          <w:sz w:val="24"/>
        </w:rPr>
        <w:t xml:space="preserve">in </w:t>
      </w:r>
      <w:proofErr w:type="spellStart"/>
      <w:r w:rsidR="0051557F" w:rsidRPr="0025446A">
        <w:rPr>
          <w:rFonts w:ascii="Times New Roman" w:hAnsi="Times New Roman"/>
          <w:i/>
          <w:iCs/>
          <w:sz w:val="24"/>
        </w:rPr>
        <w:t>Abella</w:t>
      </w:r>
      <w:proofErr w:type="spellEnd"/>
      <w:r w:rsidR="009B20E3" w:rsidRPr="0025446A">
        <w:rPr>
          <w:rFonts w:ascii="Times New Roman" w:hAnsi="Times New Roman"/>
          <w:sz w:val="24"/>
        </w:rPr>
        <w:t xml:space="preserve"> would </w:t>
      </w:r>
      <w:r w:rsidR="003C450C" w:rsidRPr="0025446A">
        <w:rPr>
          <w:rFonts w:ascii="Times New Roman" w:hAnsi="Times New Roman"/>
          <w:sz w:val="24"/>
        </w:rPr>
        <w:t xml:space="preserve">not </w:t>
      </w:r>
      <w:r w:rsidR="009B20E3" w:rsidRPr="0025446A">
        <w:rPr>
          <w:rFonts w:ascii="Times New Roman" w:hAnsi="Times New Roman"/>
          <w:sz w:val="24"/>
        </w:rPr>
        <w:t>have been able to qualify as an organized armed group</w:t>
      </w:r>
      <w:r w:rsidR="00125A69" w:rsidRPr="0025446A">
        <w:rPr>
          <w:rFonts w:ascii="Times New Roman" w:hAnsi="Times New Roman"/>
          <w:sz w:val="24"/>
        </w:rPr>
        <w:t xml:space="preserve"> </w:t>
      </w:r>
      <w:r w:rsidR="009B20E3" w:rsidRPr="0025446A">
        <w:rPr>
          <w:rFonts w:ascii="Times New Roman" w:hAnsi="Times New Roman"/>
          <w:sz w:val="24"/>
        </w:rPr>
        <w:t xml:space="preserve">and </w:t>
      </w:r>
      <w:r w:rsidR="00EB0BE4" w:rsidRPr="0025446A">
        <w:rPr>
          <w:rFonts w:ascii="Times New Roman" w:hAnsi="Times New Roman"/>
          <w:sz w:val="24"/>
        </w:rPr>
        <w:t xml:space="preserve">as </w:t>
      </w:r>
      <w:r w:rsidR="009B20E3" w:rsidRPr="0025446A">
        <w:rPr>
          <w:rFonts w:ascii="Times New Roman" w:hAnsi="Times New Roman"/>
          <w:sz w:val="24"/>
        </w:rPr>
        <w:t xml:space="preserve">a ‘party’ to the conflict within the meaning of common Article 3 </w:t>
      </w:r>
      <w:r w:rsidR="00B17ED4" w:rsidRPr="0025446A">
        <w:rPr>
          <w:rFonts w:ascii="Times New Roman" w:hAnsi="Times New Roman"/>
          <w:sz w:val="24"/>
        </w:rPr>
        <w:t xml:space="preserve">of the </w:t>
      </w:r>
      <w:r w:rsidR="001D7ED3" w:rsidRPr="0025446A">
        <w:rPr>
          <w:rFonts w:ascii="Times New Roman" w:hAnsi="Times New Roman"/>
          <w:sz w:val="24"/>
        </w:rPr>
        <w:t xml:space="preserve">Geneva </w:t>
      </w:r>
      <w:r w:rsidR="001D7ED3" w:rsidRPr="0025446A">
        <w:rPr>
          <w:rFonts w:ascii="Times New Roman" w:hAnsi="Times New Roman"/>
          <w:sz w:val="24"/>
        </w:rPr>
        <w:lastRenderedPageBreak/>
        <w:t>Convention</w:t>
      </w:r>
      <w:r w:rsidR="009B20E3" w:rsidRPr="0025446A">
        <w:rPr>
          <w:rFonts w:ascii="Times New Roman" w:hAnsi="Times New Roman"/>
          <w:sz w:val="24"/>
        </w:rPr>
        <w:t>s.</w:t>
      </w:r>
      <w:r w:rsidR="009B20E3" w:rsidRPr="0025446A">
        <w:rPr>
          <w:rStyle w:val="a5"/>
          <w:rFonts w:ascii="Times New Roman" w:hAnsi="Times New Roman"/>
          <w:sz w:val="24"/>
        </w:rPr>
        <w:footnoteReference w:id="132"/>
      </w:r>
      <w:r w:rsidR="009B20E3" w:rsidRPr="0025446A">
        <w:rPr>
          <w:rFonts w:ascii="Times New Roman" w:hAnsi="Times New Roman"/>
          <w:sz w:val="24"/>
        </w:rPr>
        <w:t xml:space="preserve"> </w:t>
      </w:r>
      <w:r w:rsidR="00D103E2">
        <w:rPr>
          <w:rFonts w:ascii="Times New Roman" w:hAnsi="Times New Roman"/>
          <w:sz w:val="24"/>
        </w:rPr>
        <w:t xml:space="preserve">The </w:t>
      </w:r>
      <w:r w:rsidR="001F46A1" w:rsidRPr="0025446A">
        <w:rPr>
          <w:rFonts w:ascii="Times New Roman" w:hAnsi="Times New Roman"/>
          <w:sz w:val="24"/>
        </w:rPr>
        <w:t xml:space="preserve">organized level of the attackers in </w:t>
      </w:r>
      <w:proofErr w:type="spellStart"/>
      <w:r w:rsidR="001F46A1" w:rsidRPr="0025446A">
        <w:rPr>
          <w:rFonts w:ascii="Times New Roman" w:hAnsi="Times New Roman"/>
          <w:i/>
          <w:iCs/>
          <w:sz w:val="24"/>
        </w:rPr>
        <w:t>Tablada</w:t>
      </w:r>
      <w:proofErr w:type="spellEnd"/>
      <w:r w:rsidR="001F46A1" w:rsidRPr="0025446A">
        <w:rPr>
          <w:rFonts w:ascii="Times New Roman" w:hAnsi="Times New Roman"/>
          <w:sz w:val="24"/>
        </w:rPr>
        <w:t xml:space="preserve"> </w:t>
      </w:r>
      <w:r w:rsidR="00D103E2">
        <w:rPr>
          <w:rFonts w:ascii="Times New Roman" w:hAnsi="Times New Roman"/>
          <w:sz w:val="24"/>
        </w:rPr>
        <w:t xml:space="preserve">should be </w:t>
      </w:r>
      <w:r w:rsidR="00E503D5">
        <w:rPr>
          <w:rFonts w:ascii="Times New Roman" w:hAnsi="Times New Roman"/>
          <w:sz w:val="24"/>
        </w:rPr>
        <w:t xml:space="preserve">compared </w:t>
      </w:r>
      <w:r w:rsidR="001F46A1" w:rsidRPr="0025446A">
        <w:rPr>
          <w:rFonts w:ascii="Times New Roman" w:hAnsi="Times New Roman"/>
          <w:sz w:val="24"/>
        </w:rPr>
        <w:t>with that of armed narco-criminal groups in Global South</w:t>
      </w:r>
      <w:r w:rsidR="00D103E2">
        <w:rPr>
          <w:rFonts w:ascii="Times New Roman" w:hAnsi="Times New Roman"/>
          <w:sz w:val="24"/>
        </w:rPr>
        <w:t>.</w:t>
      </w:r>
      <w:r w:rsidR="00E503D5">
        <w:rPr>
          <w:rFonts w:ascii="Times New Roman" w:hAnsi="Times New Roman"/>
          <w:sz w:val="24"/>
        </w:rPr>
        <w:t xml:space="preserve"> </w:t>
      </w:r>
      <w:r w:rsidR="00D103E2">
        <w:rPr>
          <w:rFonts w:ascii="Times New Roman" w:hAnsi="Times New Roman"/>
          <w:sz w:val="24"/>
        </w:rPr>
        <w:t>O</w:t>
      </w:r>
      <w:r w:rsidR="00E503D5">
        <w:rPr>
          <w:rFonts w:ascii="Times New Roman" w:hAnsi="Times New Roman"/>
          <w:sz w:val="24"/>
        </w:rPr>
        <w:t xml:space="preserve">ne may find </w:t>
      </w:r>
      <w:r w:rsidR="001F46A1" w:rsidRPr="0025446A">
        <w:rPr>
          <w:rFonts w:ascii="Times New Roman" w:hAnsi="Times New Roman"/>
          <w:sz w:val="24"/>
        </w:rPr>
        <w:t xml:space="preserve">some of the latter groups </w:t>
      </w:r>
      <w:r w:rsidR="00902F0A">
        <w:rPr>
          <w:rFonts w:ascii="Times New Roman" w:hAnsi="Times New Roman"/>
          <w:sz w:val="24"/>
        </w:rPr>
        <w:t>to be</w:t>
      </w:r>
      <w:r w:rsidR="00902F0A" w:rsidRPr="0025446A">
        <w:rPr>
          <w:rFonts w:ascii="Times New Roman" w:hAnsi="Times New Roman"/>
          <w:sz w:val="24"/>
        </w:rPr>
        <w:t xml:space="preserve"> </w:t>
      </w:r>
      <w:r w:rsidR="00902F0A">
        <w:rPr>
          <w:rFonts w:ascii="Times New Roman" w:hAnsi="Times New Roman"/>
          <w:sz w:val="24"/>
        </w:rPr>
        <w:t xml:space="preserve">even better </w:t>
      </w:r>
      <w:r w:rsidR="001F46A1" w:rsidRPr="0025446A">
        <w:rPr>
          <w:rFonts w:ascii="Times New Roman" w:hAnsi="Times New Roman"/>
          <w:sz w:val="24"/>
        </w:rPr>
        <w:t>equipped with command structures and military capabilities.</w:t>
      </w:r>
      <w:r w:rsidR="001F46A1" w:rsidRPr="0025446A">
        <w:rPr>
          <w:rStyle w:val="a5"/>
          <w:rFonts w:ascii="Times New Roman" w:hAnsi="Times New Roman"/>
          <w:sz w:val="24"/>
        </w:rPr>
        <w:footnoteReference w:id="133"/>
      </w:r>
      <w:r w:rsidR="001F46A1" w:rsidRPr="0025446A">
        <w:rPr>
          <w:rFonts w:ascii="Times New Roman" w:hAnsi="Times New Roman"/>
          <w:sz w:val="24"/>
        </w:rPr>
        <w:t xml:space="preserve"> </w:t>
      </w:r>
    </w:p>
    <w:p w14:paraId="033857C0" w14:textId="5EF445AC" w:rsidR="00883887" w:rsidRDefault="00883887" w:rsidP="00E01082">
      <w:pPr>
        <w:tabs>
          <w:tab w:val="left" w:pos="0"/>
        </w:tabs>
        <w:rPr>
          <w:rFonts w:ascii="Times New Roman" w:hAnsi="Times New Roman"/>
          <w:bCs/>
          <w:sz w:val="24"/>
        </w:rPr>
      </w:pPr>
    </w:p>
    <w:p w14:paraId="17E97D4C" w14:textId="587A05F0" w:rsidR="00966CE8" w:rsidRPr="00E503D5" w:rsidRDefault="00527D9F" w:rsidP="00966CE8">
      <w:pPr>
        <w:rPr>
          <w:rFonts w:ascii="Times New Roman" w:hAnsi="Times New Roman"/>
          <w:sz w:val="24"/>
        </w:rPr>
      </w:pPr>
      <w:r>
        <w:rPr>
          <w:rFonts w:ascii="Times New Roman" w:hAnsi="Times New Roman"/>
          <w:sz w:val="24"/>
        </w:rPr>
        <w:t xml:space="preserve">The approach of the Inter-American Commission </w:t>
      </w:r>
      <w:r w:rsidR="00966CE8">
        <w:rPr>
          <w:rFonts w:ascii="Times New Roman" w:hAnsi="Times New Roman"/>
          <w:sz w:val="24"/>
        </w:rPr>
        <w:t xml:space="preserve">in </w:t>
      </w:r>
      <w:proofErr w:type="spellStart"/>
      <w:r w:rsidR="00966CE8" w:rsidRPr="0025446A">
        <w:rPr>
          <w:rFonts w:ascii="Times New Roman" w:hAnsi="Times New Roman"/>
          <w:i/>
          <w:iCs/>
          <w:sz w:val="24"/>
        </w:rPr>
        <w:t>Abella</w:t>
      </w:r>
      <w:proofErr w:type="spellEnd"/>
      <w:r w:rsidR="00966CE8" w:rsidRPr="0025446A">
        <w:rPr>
          <w:rFonts w:ascii="Times New Roman" w:hAnsi="Times New Roman"/>
          <w:sz w:val="24"/>
        </w:rPr>
        <w:t xml:space="preserve"> </w:t>
      </w:r>
      <w:r w:rsidR="007F1127">
        <w:rPr>
          <w:rFonts w:ascii="Times New Roman" w:hAnsi="Times New Roman"/>
          <w:sz w:val="24"/>
        </w:rPr>
        <w:t>that</w:t>
      </w:r>
      <w:r w:rsidR="00966CE8">
        <w:rPr>
          <w:rFonts w:ascii="Times New Roman" w:hAnsi="Times New Roman"/>
          <w:sz w:val="24"/>
        </w:rPr>
        <w:t xml:space="preserve"> focus</w:t>
      </w:r>
      <w:r w:rsidR="007F1127">
        <w:rPr>
          <w:rFonts w:ascii="Times New Roman" w:hAnsi="Times New Roman"/>
          <w:sz w:val="24"/>
        </w:rPr>
        <w:t>es</w:t>
      </w:r>
      <w:r w:rsidR="00966CE8">
        <w:rPr>
          <w:rFonts w:ascii="Times New Roman" w:hAnsi="Times New Roman"/>
          <w:sz w:val="24"/>
        </w:rPr>
        <w:t xml:space="preserve"> </w:t>
      </w:r>
      <w:r w:rsidR="00966CE8" w:rsidRPr="0025446A">
        <w:rPr>
          <w:rFonts w:ascii="Times New Roman" w:hAnsi="Times New Roman"/>
          <w:sz w:val="24"/>
        </w:rPr>
        <w:t xml:space="preserve">on </w:t>
      </w:r>
      <w:r w:rsidR="007F1127">
        <w:rPr>
          <w:rFonts w:ascii="Times New Roman" w:hAnsi="Times New Roman"/>
          <w:sz w:val="24"/>
        </w:rPr>
        <w:t xml:space="preserve">the criterion of </w:t>
      </w:r>
      <w:r w:rsidR="00966CE8" w:rsidRPr="0025446A">
        <w:rPr>
          <w:rFonts w:ascii="Times New Roman" w:hAnsi="Times New Roman"/>
          <w:sz w:val="24"/>
        </w:rPr>
        <w:t xml:space="preserve">intensity </w:t>
      </w:r>
      <w:r w:rsidR="00966CE8">
        <w:rPr>
          <w:rFonts w:ascii="Times New Roman" w:hAnsi="Times New Roman"/>
          <w:sz w:val="24"/>
        </w:rPr>
        <w:t xml:space="preserve">while </w:t>
      </w:r>
      <w:r>
        <w:rPr>
          <w:rFonts w:ascii="Times New Roman" w:hAnsi="Times New Roman"/>
          <w:sz w:val="24"/>
        </w:rPr>
        <w:t>downplaying</w:t>
      </w:r>
      <w:r w:rsidR="00966CE8" w:rsidRPr="0025446A">
        <w:rPr>
          <w:rFonts w:ascii="Times New Roman" w:hAnsi="Times New Roman"/>
          <w:sz w:val="24"/>
        </w:rPr>
        <w:t xml:space="preserve"> the </w:t>
      </w:r>
      <w:r w:rsidR="00966CE8">
        <w:rPr>
          <w:rFonts w:ascii="Times New Roman" w:hAnsi="Times New Roman"/>
          <w:sz w:val="24"/>
        </w:rPr>
        <w:t>importance</w:t>
      </w:r>
      <w:r w:rsidR="00966CE8" w:rsidRPr="0025446A">
        <w:rPr>
          <w:rFonts w:ascii="Times New Roman" w:hAnsi="Times New Roman"/>
          <w:sz w:val="24"/>
        </w:rPr>
        <w:t xml:space="preserve"> of </w:t>
      </w:r>
      <w:r w:rsidR="007F1127">
        <w:rPr>
          <w:rFonts w:ascii="Times New Roman" w:hAnsi="Times New Roman"/>
          <w:sz w:val="24"/>
        </w:rPr>
        <w:t xml:space="preserve">that of </w:t>
      </w:r>
      <w:r w:rsidR="00966CE8" w:rsidRPr="0025446A">
        <w:rPr>
          <w:rFonts w:ascii="Times New Roman" w:hAnsi="Times New Roman"/>
          <w:sz w:val="24"/>
        </w:rPr>
        <w:t xml:space="preserve">organization </w:t>
      </w:r>
      <w:r w:rsidR="00B476DB">
        <w:rPr>
          <w:rFonts w:ascii="Times New Roman" w:hAnsi="Times New Roman"/>
          <w:sz w:val="24"/>
        </w:rPr>
        <w:t xml:space="preserve">has found </w:t>
      </w:r>
      <w:r w:rsidR="007F1127">
        <w:rPr>
          <w:rFonts w:ascii="Times New Roman" w:hAnsi="Times New Roman"/>
          <w:sz w:val="24"/>
        </w:rPr>
        <w:t>an</w:t>
      </w:r>
      <w:r>
        <w:rPr>
          <w:rFonts w:ascii="Times New Roman" w:hAnsi="Times New Roman"/>
          <w:sz w:val="24"/>
        </w:rPr>
        <w:t xml:space="preserve"> unusual</w:t>
      </w:r>
      <w:r w:rsidR="007F1127">
        <w:rPr>
          <w:rFonts w:ascii="Times New Roman" w:hAnsi="Times New Roman"/>
          <w:sz w:val="24"/>
        </w:rPr>
        <w:t xml:space="preserve"> </w:t>
      </w:r>
      <w:r w:rsidR="00B476DB">
        <w:rPr>
          <w:rFonts w:ascii="Times New Roman" w:hAnsi="Times New Roman"/>
          <w:sz w:val="24"/>
        </w:rPr>
        <w:t xml:space="preserve">echo </w:t>
      </w:r>
      <w:r w:rsidR="00B476DB" w:rsidRPr="0025446A">
        <w:rPr>
          <w:rFonts w:ascii="Times New Roman" w:hAnsi="Times New Roman"/>
          <w:sz w:val="24"/>
        </w:rPr>
        <w:t xml:space="preserve">in the context of </w:t>
      </w:r>
      <w:r w:rsidR="00B476DB" w:rsidRPr="0025446A">
        <w:rPr>
          <w:rFonts w:ascii="Times New Roman" w:hAnsi="Times New Roman"/>
          <w:bCs/>
          <w:sz w:val="24"/>
        </w:rPr>
        <w:t>the EU asylum law</w:t>
      </w:r>
      <w:r w:rsidR="00B476DB">
        <w:rPr>
          <w:rFonts w:ascii="Times New Roman" w:hAnsi="Times New Roman"/>
          <w:sz w:val="24"/>
        </w:rPr>
        <w:t xml:space="preserve">. In </w:t>
      </w:r>
      <w:r w:rsidR="00B476DB" w:rsidRPr="003229EC">
        <w:rPr>
          <w:rFonts w:ascii="Times New Roman" w:hAnsi="Times New Roman"/>
          <w:i/>
          <w:iCs/>
          <w:sz w:val="24"/>
        </w:rPr>
        <w:t>Diakité</w:t>
      </w:r>
      <w:r w:rsidR="00B476DB">
        <w:rPr>
          <w:rFonts w:ascii="Times New Roman" w:hAnsi="Times New Roman"/>
          <w:i/>
          <w:iCs/>
          <w:sz w:val="24"/>
        </w:rPr>
        <w:t>,</w:t>
      </w:r>
      <w:r w:rsidR="00B476DB">
        <w:rPr>
          <w:rStyle w:val="a5"/>
          <w:rFonts w:ascii="Times New Roman" w:hAnsi="Times New Roman"/>
          <w:i/>
          <w:iCs/>
          <w:sz w:val="24"/>
        </w:rPr>
        <w:footnoteReference w:id="134"/>
      </w:r>
      <w:r w:rsidR="00B476DB">
        <w:rPr>
          <w:rFonts w:ascii="Times New Roman" w:hAnsi="Times New Roman"/>
          <w:i/>
          <w:iCs/>
          <w:sz w:val="24"/>
        </w:rPr>
        <w:t xml:space="preserve"> </w:t>
      </w:r>
      <w:r w:rsidR="00966CE8">
        <w:rPr>
          <w:rFonts w:ascii="Times New Roman" w:hAnsi="Times New Roman"/>
          <w:sz w:val="24"/>
        </w:rPr>
        <w:t xml:space="preserve">the </w:t>
      </w:r>
      <w:r w:rsidR="00966CE8" w:rsidRPr="0025446A">
        <w:rPr>
          <w:rFonts w:ascii="Times New Roman" w:hAnsi="Times New Roman"/>
          <w:sz w:val="24"/>
        </w:rPr>
        <w:t xml:space="preserve">Court of Justice of the EU (CJEU) </w:t>
      </w:r>
      <w:r>
        <w:rPr>
          <w:rFonts w:ascii="Times New Roman" w:hAnsi="Times New Roman"/>
          <w:sz w:val="24"/>
        </w:rPr>
        <w:t>considered</w:t>
      </w:r>
      <w:r w:rsidR="00B476DB">
        <w:rPr>
          <w:rFonts w:ascii="Times New Roman" w:hAnsi="Times New Roman"/>
          <w:sz w:val="24"/>
        </w:rPr>
        <w:t xml:space="preserve"> </w:t>
      </w:r>
      <w:r w:rsidR="00966CE8" w:rsidRPr="0025446A">
        <w:rPr>
          <w:rFonts w:ascii="Times New Roman" w:hAnsi="Times New Roman"/>
          <w:sz w:val="24"/>
        </w:rPr>
        <w:t>the notion ‘internal armed conflict’ of Council Directive 2004/83/EC of 29 April 2004 autonomous</w:t>
      </w:r>
      <w:r w:rsidR="00966CE8" w:rsidRPr="00B6658A">
        <w:rPr>
          <w:rFonts w:ascii="Times New Roman" w:hAnsi="Times New Roman"/>
          <w:sz w:val="24"/>
        </w:rPr>
        <w:t xml:space="preserve"> </w:t>
      </w:r>
      <w:r w:rsidR="00966CE8">
        <w:rPr>
          <w:rFonts w:ascii="Times New Roman" w:hAnsi="Times New Roman"/>
          <w:sz w:val="24"/>
        </w:rPr>
        <w:t xml:space="preserve">and </w:t>
      </w:r>
      <w:r w:rsidR="00966CE8" w:rsidRPr="0025446A">
        <w:rPr>
          <w:rFonts w:ascii="Times New Roman" w:hAnsi="Times New Roman"/>
          <w:sz w:val="24"/>
        </w:rPr>
        <w:t xml:space="preserve">independent of the meaning </w:t>
      </w:r>
      <w:r w:rsidR="00B476DB">
        <w:rPr>
          <w:rFonts w:ascii="Times New Roman" w:hAnsi="Times New Roman"/>
          <w:sz w:val="24"/>
        </w:rPr>
        <w:t>under</w:t>
      </w:r>
      <w:r w:rsidR="00966CE8" w:rsidRPr="0025446A">
        <w:rPr>
          <w:rFonts w:ascii="Times New Roman" w:hAnsi="Times New Roman"/>
          <w:sz w:val="24"/>
        </w:rPr>
        <w:t xml:space="preserve"> IHL</w:t>
      </w:r>
      <w:r w:rsidR="00966CE8">
        <w:rPr>
          <w:rFonts w:ascii="Times New Roman" w:hAnsi="Times New Roman"/>
          <w:sz w:val="24"/>
        </w:rPr>
        <w:t>.</w:t>
      </w:r>
      <w:r w:rsidR="00966CE8">
        <w:rPr>
          <w:rStyle w:val="a5"/>
          <w:rFonts w:ascii="Times New Roman" w:hAnsi="Times New Roman"/>
          <w:sz w:val="24"/>
        </w:rPr>
        <w:footnoteReference w:id="135"/>
      </w:r>
      <w:r w:rsidR="00966CE8">
        <w:rPr>
          <w:rFonts w:ascii="Times New Roman" w:hAnsi="Times New Roman"/>
          <w:sz w:val="24"/>
        </w:rPr>
        <w:t xml:space="preserve"> </w:t>
      </w:r>
      <w:r w:rsidR="007F1127">
        <w:rPr>
          <w:rFonts w:ascii="Times New Roman" w:hAnsi="Times New Roman"/>
          <w:sz w:val="24"/>
        </w:rPr>
        <w:t xml:space="preserve">A </w:t>
      </w:r>
      <w:r w:rsidR="00966CE8" w:rsidRPr="0025446A">
        <w:rPr>
          <w:rFonts w:ascii="Times New Roman" w:hAnsi="Times New Roman"/>
          <w:bCs/>
          <w:i/>
          <w:iCs/>
          <w:sz w:val="24"/>
        </w:rPr>
        <w:t xml:space="preserve">sui generis </w:t>
      </w:r>
      <w:r w:rsidR="00966CE8">
        <w:rPr>
          <w:rFonts w:ascii="Times New Roman" w:hAnsi="Times New Roman"/>
          <w:bCs/>
          <w:sz w:val="24"/>
        </w:rPr>
        <w:t>nature</w:t>
      </w:r>
      <w:r w:rsidR="00966CE8" w:rsidRPr="0025446A">
        <w:rPr>
          <w:rFonts w:ascii="Times New Roman" w:hAnsi="Times New Roman"/>
          <w:bCs/>
          <w:sz w:val="24"/>
        </w:rPr>
        <w:t xml:space="preserve"> of </w:t>
      </w:r>
      <w:r w:rsidR="00966CE8">
        <w:rPr>
          <w:rFonts w:ascii="Times New Roman" w:hAnsi="Times New Roman"/>
          <w:bCs/>
          <w:sz w:val="24"/>
        </w:rPr>
        <w:t xml:space="preserve">the notion </w:t>
      </w:r>
      <w:r w:rsidR="00966CE8" w:rsidRPr="0025446A">
        <w:rPr>
          <w:rFonts w:ascii="Times New Roman" w:hAnsi="Times New Roman"/>
          <w:bCs/>
          <w:sz w:val="24"/>
        </w:rPr>
        <w:t xml:space="preserve">‘internal armed conflict’ </w:t>
      </w:r>
      <w:r w:rsidR="00966CE8">
        <w:rPr>
          <w:rFonts w:ascii="Times New Roman" w:hAnsi="Times New Roman"/>
          <w:sz w:val="24"/>
        </w:rPr>
        <w:t xml:space="preserve">was highlighted by the </w:t>
      </w:r>
      <w:r w:rsidR="00D3346F">
        <w:rPr>
          <w:rFonts w:ascii="Times New Roman" w:hAnsi="Times New Roman"/>
          <w:sz w:val="24"/>
        </w:rPr>
        <w:t>holding</w:t>
      </w:r>
      <w:r w:rsidR="00966CE8">
        <w:rPr>
          <w:rFonts w:ascii="Times New Roman" w:hAnsi="Times New Roman"/>
          <w:sz w:val="24"/>
        </w:rPr>
        <w:t xml:space="preserve"> that indiscriminate violence could suffice as an eligibility criterion for the subsidiary protection under this Directive without </w:t>
      </w:r>
      <w:r w:rsidR="007F1127">
        <w:rPr>
          <w:rFonts w:ascii="Times New Roman" w:hAnsi="Times New Roman"/>
          <w:sz w:val="24"/>
        </w:rPr>
        <w:t xml:space="preserve">any need to examine </w:t>
      </w:r>
      <w:r w:rsidR="00966CE8">
        <w:rPr>
          <w:rFonts w:ascii="Times New Roman" w:hAnsi="Times New Roman"/>
          <w:sz w:val="24"/>
        </w:rPr>
        <w:t>the requisite degree of organization of armed groups under IHL.</w:t>
      </w:r>
      <w:r w:rsidR="00966CE8" w:rsidRPr="0025446A">
        <w:rPr>
          <w:rStyle w:val="a5"/>
          <w:rFonts w:ascii="Times New Roman" w:hAnsi="Times New Roman"/>
          <w:sz w:val="24"/>
        </w:rPr>
        <w:footnoteReference w:id="136"/>
      </w:r>
    </w:p>
    <w:p w14:paraId="5C21CE05" w14:textId="77777777" w:rsidR="00966CE8" w:rsidRPr="00966CE8" w:rsidRDefault="00966CE8" w:rsidP="00E01082">
      <w:pPr>
        <w:tabs>
          <w:tab w:val="left" w:pos="0"/>
        </w:tabs>
        <w:rPr>
          <w:rFonts w:ascii="Times New Roman" w:hAnsi="Times New Roman"/>
          <w:bCs/>
          <w:sz w:val="24"/>
        </w:rPr>
      </w:pPr>
    </w:p>
    <w:p w14:paraId="49A22CDE" w14:textId="2F5528A1" w:rsidR="00A54C24" w:rsidRDefault="00955657" w:rsidP="006347AB">
      <w:pPr>
        <w:pStyle w:val="ad"/>
        <w:numPr>
          <w:ilvl w:val="0"/>
          <w:numId w:val="1"/>
        </w:numPr>
        <w:ind w:leftChars="0"/>
        <w:rPr>
          <w:rFonts w:ascii="Times New Roman" w:hAnsi="Times New Roman"/>
          <w:b/>
          <w:bCs/>
          <w:sz w:val="24"/>
        </w:rPr>
      </w:pPr>
      <w:r w:rsidRPr="00A54C24">
        <w:rPr>
          <w:rFonts w:ascii="Times New Roman" w:hAnsi="Times New Roman"/>
          <w:b/>
          <w:bCs/>
          <w:sz w:val="24"/>
        </w:rPr>
        <w:t xml:space="preserve">The </w:t>
      </w:r>
      <w:r w:rsidR="00B17ED4" w:rsidRPr="00A54C24">
        <w:rPr>
          <w:rFonts w:ascii="Times New Roman" w:hAnsi="Times New Roman"/>
          <w:b/>
          <w:bCs/>
          <w:sz w:val="24"/>
        </w:rPr>
        <w:t>N</w:t>
      </w:r>
      <w:r w:rsidR="0089762A" w:rsidRPr="00A54C24">
        <w:rPr>
          <w:rFonts w:ascii="Times New Roman" w:hAnsi="Times New Roman"/>
          <w:b/>
          <w:bCs/>
          <w:sz w:val="24"/>
        </w:rPr>
        <w:t xml:space="preserve">eed for a </w:t>
      </w:r>
      <w:r w:rsidR="00B17ED4" w:rsidRPr="00A54C24">
        <w:rPr>
          <w:rFonts w:ascii="Times New Roman" w:hAnsi="Times New Roman"/>
          <w:b/>
          <w:bCs/>
          <w:sz w:val="24"/>
        </w:rPr>
        <w:t>N</w:t>
      </w:r>
      <w:r w:rsidR="0089762A" w:rsidRPr="00A54C24">
        <w:rPr>
          <w:rFonts w:ascii="Times New Roman" w:hAnsi="Times New Roman"/>
          <w:b/>
          <w:bCs/>
          <w:sz w:val="24"/>
        </w:rPr>
        <w:t xml:space="preserve">uanced </w:t>
      </w:r>
      <w:r w:rsidR="00B17ED4" w:rsidRPr="00A54C24">
        <w:rPr>
          <w:rFonts w:ascii="Times New Roman" w:hAnsi="Times New Roman"/>
          <w:b/>
          <w:bCs/>
          <w:sz w:val="24"/>
        </w:rPr>
        <w:t>A</w:t>
      </w:r>
      <w:r w:rsidR="0089762A" w:rsidRPr="00A54C24">
        <w:rPr>
          <w:rFonts w:ascii="Times New Roman" w:hAnsi="Times New Roman"/>
          <w:b/>
          <w:bCs/>
          <w:sz w:val="24"/>
        </w:rPr>
        <w:t xml:space="preserve">ssessment </w:t>
      </w:r>
      <w:r w:rsidR="00933C38" w:rsidRPr="00A54C24">
        <w:rPr>
          <w:rFonts w:ascii="Times New Roman" w:hAnsi="Times New Roman"/>
          <w:b/>
          <w:bCs/>
          <w:sz w:val="24"/>
        </w:rPr>
        <w:t xml:space="preserve">of the </w:t>
      </w:r>
      <w:r w:rsidR="00B17ED4" w:rsidRPr="00A54C24">
        <w:rPr>
          <w:rFonts w:ascii="Times New Roman" w:hAnsi="Times New Roman"/>
          <w:b/>
          <w:bCs/>
          <w:sz w:val="24"/>
        </w:rPr>
        <w:t>S</w:t>
      </w:r>
      <w:r w:rsidR="00933C38" w:rsidRPr="00A54C24">
        <w:rPr>
          <w:rFonts w:ascii="Times New Roman" w:hAnsi="Times New Roman"/>
          <w:b/>
          <w:bCs/>
          <w:sz w:val="24"/>
        </w:rPr>
        <w:t xml:space="preserve">tandard </w:t>
      </w:r>
      <w:r w:rsidR="00A54C24">
        <w:rPr>
          <w:rFonts w:ascii="Times New Roman" w:hAnsi="Times New Roman"/>
          <w:b/>
          <w:bCs/>
          <w:sz w:val="24"/>
        </w:rPr>
        <w:t>for</w:t>
      </w:r>
      <w:r w:rsidR="00933C38" w:rsidRPr="00A54C24">
        <w:rPr>
          <w:rFonts w:ascii="Times New Roman" w:hAnsi="Times New Roman"/>
          <w:b/>
          <w:bCs/>
          <w:sz w:val="24"/>
        </w:rPr>
        <w:t xml:space="preserve"> </w:t>
      </w:r>
      <w:r w:rsidR="002E5667">
        <w:rPr>
          <w:rFonts w:ascii="Times New Roman" w:hAnsi="Times New Roman"/>
          <w:b/>
          <w:bCs/>
          <w:sz w:val="24"/>
        </w:rPr>
        <w:t xml:space="preserve">the Requirement of </w:t>
      </w:r>
      <w:r w:rsidR="00B17ED4" w:rsidRPr="00A54C24">
        <w:rPr>
          <w:rFonts w:ascii="Times New Roman" w:hAnsi="Times New Roman"/>
          <w:b/>
          <w:bCs/>
          <w:sz w:val="24"/>
        </w:rPr>
        <w:t>O</w:t>
      </w:r>
      <w:r w:rsidR="00933C38" w:rsidRPr="00A54C24">
        <w:rPr>
          <w:rFonts w:ascii="Times New Roman" w:hAnsi="Times New Roman"/>
          <w:b/>
          <w:bCs/>
          <w:sz w:val="24"/>
        </w:rPr>
        <w:t xml:space="preserve">rganization </w:t>
      </w:r>
    </w:p>
    <w:p w14:paraId="180A6E9F" w14:textId="3365B148" w:rsidR="00955657" w:rsidRPr="00A54C24" w:rsidRDefault="00A54C24" w:rsidP="006347AB">
      <w:pPr>
        <w:pStyle w:val="ad"/>
        <w:numPr>
          <w:ilvl w:val="0"/>
          <w:numId w:val="7"/>
        </w:numPr>
        <w:ind w:leftChars="0"/>
        <w:rPr>
          <w:rFonts w:ascii="Times New Roman" w:hAnsi="Times New Roman"/>
          <w:b/>
          <w:bCs/>
          <w:sz w:val="24"/>
        </w:rPr>
      </w:pPr>
      <w:r>
        <w:rPr>
          <w:rFonts w:ascii="Times New Roman" w:hAnsi="Times New Roman"/>
          <w:b/>
          <w:bCs/>
          <w:sz w:val="24"/>
        </w:rPr>
        <w:t xml:space="preserve">A </w:t>
      </w:r>
      <w:r w:rsidR="00B17ED4" w:rsidRPr="00A54C24">
        <w:rPr>
          <w:rFonts w:ascii="Times New Roman" w:hAnsi="Times New Roman"/>
          <w:b/>
          <w:bCs/>
          <w:sz w:val="24"/>
        </w:rPr>
        <w:t>F</w:t>
      </w:r>
      <w:r w:rsidR="0089762A" w:rsidRPr="00A54C24">
        <w:rPr>
          <w:rFonts w:ascii="Times New Roman" w:hAnsi="Times New Roman"/>
          <w:b/>
          <w:bCs/>
          <w:sz w:val="24"/>
        </w:rPr>
        <w:t xml:space="preserve">luid </w:t>
      </w:r>
      <w:r w:rsidR="00B17ED4" w:rsidRPr="00A54C24">
        <w:rPr>
          <w:rFonts w:ascii="Times New Roman" w:hAnsi="Times New Roman"/>
          <w:b/>
          <w:bCs/>
          <w:sz w:val="24"/>
        </w:rPr>
        <w:t>S</w:t>
      </w:r>
      <w:r w:rsidR="0089762A" w:rsidRPr="00A54C24">
        <w:rPr>
          <w:rFonts w:ascii="Times New Roman" w:hAnsi="Times New Roman"/>
          <w:b/>
          <w:bCs/>
          <w:sz w:val="24"/>
        </w:rPr>
        <w:t xml:space="preserve">ituation in which the </w:t>
      </w:r>
      <w:r w:rsidR="00B17ED4" w:rsidRPr="00A54C24">
        <w:rPr>
          <w:rFonts w:ascii="Times New Roman" w:hAnsi="Times New Roman"/>
          <w:b/>
          <w:bCs/>
          <w:sz w:val="24"/>
        </w:rPr>
        <w:t>Le</w:t>
      </w:r>
      <w:r w:rsidR="0089762A" w:rsidRPr="00A54C24">
        <w:rPr>
          <w:rFonts w:ascii="Times New Roman" w:hAnsi="Times New Roman"/>
          <w:b/>
          <w:bCs/>
          <w:sz w:val="24"/>
        </w:rPr>
        <w:t xml:space="preserve">gal </w:t>
      </w:r>
      <w:r w:rsidR="00B17ED4" w:rsidRPr="00A54C24">
        <w:rPr>
          <w:rFonts w:ascii="Times New Roman" w:hAnsi="Times New Roman"/>
          <w:b/>
          <w:bCs/>
          <w:sz w:val="24"/>
        </w:rPr>
        <w:t>C</w:t>
      </w:r>
      <w:r w:rsidR="0089762A" w:rsidRPr="00A54C24">
        <w:rPr>
          <w:rFonts w:ascii="Times New Roman" w:hAnsi="Times New Roman"/>
          <w:b/>
          <w:bCs/>
          <w:sz w:val="24"/>
        </w:rPr>
        <w:t xml:space="preserve">haracter of the NIAC in </w:t>
      </w:r>
      <w:r w:rsidR="00B17ED4" w:rsidRPr="00A54C24">
        <w:rPr>
          <w:rFonts w:ascii="Times New Roman" w:hAnsi="Times New Roman"/>
          <w:b/>
          <w:bCs/>
          <w:sz w:val="24"/>
        </w:rPr>
        <w:t>P</w:t>
      </w:r>
      <w:r w:rsidR="0089762A" w:rsidRPr="00A54C24">
        <w:rPr>
          <w:rFonts w:ascii="Times New Roman" w:hAnsi="Times New Roman"/>
          <w:b/>
          <w:bCs/>
          <w:sz w:val="24"/>
        </w:rPr>
        <w:t xml:space="preserve">rogress is </w:t>
      </w:r>
      <w:r w:rsidR="00B17ED4" w:rsidRPr="00A54C24">
        <w:rPr>
          <w:rFonts w:ascii="Times New Roman" w:hAnsi="Times New Roman"/>
          <w:b/>
          <w:bCs/>
          <w:sz w:val="24"/>
        </w:rPr>
        <w:t>T</w:t>
      </w:r>
      <w:r w:rsidR="0089762A" w:rsidRPr="00A54C24">
        <w:rPr>
          <w:rFonts w:ascii="Times New Roman" w:hAnsi="Times New Roman"/>
          <w:b/>
          <w:bCs/>
          <w:sz w:val="24"/>
        </w:rPr>
        <w:t>urned into an IAC</w:t>
      </w:r>
    </w:p>
    <w:p w14:paraId="63427658" w14:textId="6E8FC4D0" w:rsidR="00955657" w:rsidRPr="004D235F" w:rsidRDefault="00227D77" w:rsidP="00E01082">
      <w:pPr>
        <w:rPr>
          <w:rFonts w:ascii="Times New Roman" w:hAnsi="Times New Roman"/>
          <w:sz w:val="24"/>
        </w:rPr>
      </w:pPr>
      <w:r>
        <w:rPr>
          <w:rFonts w:ascii="Times New Roman" w:hAnsi="Times New Roman"/>
          <w:sz w:val="24"/>
        </w:rPr>
        <w:t>As compared with the initial stage at which the existence of a NIAC needs to be determined</w:t>
      </w:r>
      <w:r w:rsidR="00161F31">
        <w:rPr>
          <w:rFonts w:ascii="Times New Roman" w:hAnsi="Times New Roman"/>
          <w:sz w:val="24"/>
        </w:rPr>
        <w:t xml:space="preserve"> by a rigorous threshold</w:t>
      </w:r>
      <w:r>
        <w:rPr>
          <w:rFonts w:ascii="Times New Roman" w:hAnsi="Times New Roman"/>
          <w:sz w:val="24"/>
        </w:rPr>
        <w:t xml:space="preserve">, the </w:t>
      </w:r>
      <w:r w:rsidR="0089762A" w:rsidRPr="004D235F">
        <w:rPr>
          <w:rFonts w:ascii="Times New Roman" w:hAnsi="Times New Roman"/>
          <w:sz w:val="24"/>
        </w:rPr>
        <w:t xml:space="preserve">standard for organization </w:t>
      </w:r>
      <w:r w:rsidR="00003160">
        <w:rPr>
          <w:rFonts w:ascii="Times New Roman" w:hAnsi="Times New Roman"/>
          <w:sz w:val="24"/>
        </w:rPr>
        <w:t xml:space="preserve">needs a </w:t>
      </w:r>
      <w:r w:rsidR="00161F31">
        <w:rPr>
          <w:rFonts w:ascii="Times New Roman" w:hAnsi="Times New Roman"/>
          <w:sz w:val="24"/>
        </w:rPr>
        <w:t xml:space="preserve">more </w:t>
      </w:r>
      <w:r w:rsidR="00003160">
        <w:rPr>
          <w:rFonts w:ascii="Times New Roman" w:hAnsi="Times New Roman"/>
          <w:sz w:val="24"/>
        </w:rPr>
        <w:t xml:space="preserve">nuanced assessment in a situation where the legal character of </w:t>
      </w:r>
      <w:r w:rsidR="005449AB">
        <w:rPr>
          <w:rFonts w:ascii="Times New Roman" w:hAnsi="Times New Roman"/>
          <w:sz w:val="24"/>
        </w:rPr>
        <w:t xml:space="preserve">an </w:t>
      </w:r>
      <w:r w:rsidR="00003160">
        <w:rPr>
          <w:rFonts w:ascii="Times New Roman" w:hAnsi="Times New Roman"/>
          <w:sz w:val="24"/>
        </w:rPr>
        <w:t>ongoing armed conflict shifts</w:t>
      </w:r>
      <w:r w:rsidR="009C6AFF">
        <w:rPr>
          <w:rFonts w:ascii="Times New Roman" w:hAnsi="Times New Roman"/>
          <w:sz w:val="24"/>
        </w:rPr>
        <w:t>. This holds true with respect to the transition from a NIAC to an IAC</w:t>
      </w:r>
      <w:r w:rsidR="00003160">
        <w:rPr>
          <w:rFonts w:ascii="Times New Roman" w:hAnsi="Times New Roman"/>
          <w:sz w:val="24"/>
        </w:rPr>
        <w:t xml:space="preserve"> </w:t>
      </w:r>
      <w:r w:rsidR="002D6D64">
        <w:rPr>
          <w:rFonts w:ascii="Times New Roman" w:hAnsi="Times New Roman"/>
          <w:sz w:val="24"/>
        </w:rPr>
        <w:t xml:space="preserve">because </w:t>
      </w:r>
      <w:r w:rsidR="00577D52">
        <w:rPr>
          <w:rFonts w:ascii="Times New Roman" w:hAnsi="Times New Roman"/>
          <w:sz w:val="24"/>
        </w:rPr>
        <w:t xml:space="preserve">an outside State </w:t>
      </w:r>
      <w:r w:rsidR="002D6D64">
        <w:rPr>
          <w:rFonts w:ascii="Times New Roman" w:hAnsi="Times New Roman"/>
          <w:sz w:val="24"/>
        </w:rPr>
        <w:t>starts to wield</w:t>
      </w:r>
      <w:r w:rsidR="00003160">
        <w:rPr>
          <w:rFonts w:ascii="Times New Roman" w:hAnsi="Times New Roman"/>
          <w:sz w:val="24"/>
        </w:rPr>
        <w:t xml:space="preserve"> the </w:t>
      </w:r>
      <w:r w:rsidR="00EA4AC4">
        <w:rPr>
          <w:rFonts w:ascii="Times New Roman" w:hAnsi="Times New Roman"/>
          <w:sz w:val="24"/>
        </w:rPr>
        <w:t>‘overall</w:t>
      </w:r>
      <w:r w:rsidR="00003160">
        <w:rPr>
          <w:rFonts w:ascii="Times New Roman" w:hAnsi="Times New Roman"/>
          <w:sz w:val="24"/>
        </w:rPr>
        <w:t xml:space="preserve"> control</w:t>
      </w:r>
      <w:r w:rsidR="00EA4AC4">
        <w:rPr>
          <w:rFonts w:ascii="Times New Roman" w:hAnsi="Times New Roman"/>
          <w:sz w:val="24"/>
        </w:rPr>
        <w:t>’</w:t>
      </w:r>
      <w:r w:rsidR="00003160">
        <w:rPr>
          <w:rFonts w:ascii="Times New Roman" w:hAnsi="Times New Roman"/>
          <w:sz w:val="24"/>
        </w:rPr>
        <w:t xml:space="preserve"> over </w:t>
      </w:r>
      <w:r w:rsidR="00EA4AC4">
        <w:rPr>
          <w:rFonts w:ascii="Times New Roman" w:hAnsi="Times New Roman"/>
          <w:sz w:val="24"/>
        </w:rPr>
        <w:t xml:space="preserve">the conduct of </w:t>
      </w:r>
      <w:r w:rsidR="00003160">
        <w:rPr>
          <w:rFonts w:ascii="Times New Roman" w:hAnsi="Times New Roman"/>
          <w:sz w:val="24"/>
        </w:rPr>
        <w:t>an armed group.</w:t>
      </w:r>
      <w:r w:rsidR="0089762A" w:rsidRPr="004D235F">
        <w:rPr>
          <w:rFonts w:ascii="Times New Roman" w:hAnsi="Times New Roman"/>
          <w:sz w:val="24"/>
        </w:rPr>
        <w:t xml:space="preserve"> </w:t>
      </w:r>
      <w:r w:rsidR="004A061B">
        <w:rPr>
          <w:rFonts w:ascii="Times New Roman" w:hAnsi="Times New Roman"/>
          <w:sz w:val="24"/>
        </w:rPr>
        <w:t>As briefly discussed above, the</w:t>
      </w:r>
      <w:r w:rsidR="00955657" w:rsidRPr="004D235F">
        <w:rPr>
          <w:rFonts w:ascii="Times New Roman" w:hAnsi="Times New Roman"/>
          <w:sz w:val="24"/>
        </w:rPr>
        <w:t xml:space="preserve"> legal character of the hostilities </w:t>
      </w:r>
      <w:r w:rsidR="00577D52">
        <w:rPr>
          <w:rFonts w:ascii="Times New Roman" w:hAnsi="Times New Roman"/>
          <w:sz w:val="24"/>
        </w:rPr>
        <w:t xml:space="preserve">between </w:t>
      </w:r>
      <w:r w:rsidR="00955657" w:rsidRPr="004D235F">
        <w:rPr>
          <w:rFonts w:ascii="Times New Roman" w:hAnsi="Times New Roman"/>
          <w:sz w:val="24"/>
        </w:rPr>
        <w:t xml:space="preserve">an armed group </w:t>
      </w:r>
      <w:r w:rsidR="00577D52">
        <w:rPr>
          <w:rFonts w:ascii="Times New Roman" w:hAnsi="Times New Roman"/>
          <w:sz w:val="24"/>
        </w:rPr>
        <w:t xml:space="preserve">and </w:t>
      </w:r>
      <w:r w:rsidR="00955657" w:rsidRPr="004D235F">
        <w:rPr>
          <w:rFonts w:ascii="Times New Roman" w:hAnsi="Times New Roman"/>
          <w:sz w:val="24"/>
        </w:rPr>
        <w:t xml:space="preserve">the governmental forces of the territorial State may switch from a NIAC to an IAC in view of </w:t>
      </w:r>
      <w:r w:rsidR="00EA4AC4">
        <w:rPr>
          <w:rFonts w:ascii="Times New Roman" w:hAnsi="Times New Roman"/>
          <w:sz w:val="24"/>
        </w:rPr>
        <w:t>such</w:t>
      </w:r>
      <w:r w:rsidR="00FE194E">
        <w:rPr>
          <w:rFonts w:ascii="Times New Roman" w:hAnsi="Times New Roman"/>
          <w:sz w:val="24"/>
        </w:rPr>
        <w:t xml:space="preserve"> substantial</w:t>
      </w:r>
      <w:r w:rsidR="00955657" w:rsidRPr="004D235F">
        <w:rPr>
          <w:rFonts w:ascii="Times New Roman" w:hAnsi="Times New Roman"/>
          <w:sz w:val="24"/>
        </w:rPr>
        <w:t xml:space="preserve"> </w:t>
      </w:r>
      <w:r w:rsidR="002E5667">
        <w:rPr>
          <w:rFonts w:ascii="Times New Roman" w:hAnsi="Times New Roman"/>
          <w:sz w:val="24"/>
        </w:rPr>
        <w:t>degree of control exercised</w:t>
      </w:r>
      <w:r w:rsidR="002E5667" w:rsidRPr="004D235F">
        <w:rPr>
          <w:rFonts w:ascii="Times New Roman" w:hAnsi="Times New Roman"/>
          <w:sz w:val="24"/>
        </w:rPr>
        <w:t xml:space="preserve"> </w:t>
      </w:r>
      <w:r w:rsidR="00955657" w:rsidRPr="004D235F">
        <w:rPr>
          <w:rFonts w:ascii="Times New Roman" w:hAnsi="Times New Roman"/>
          <w:sz w:val="24"/>
        </w:rPr>
        <w:t xml:space="preserve">by a foreign State </w:t>
      </w:r>
      <w:r w:rsidR="006C11F5">
        <w:rPr>
          <w:rFonts w:ascii="Times New Roman" w:hAnsi="Times New Roman"/>
          <w:sz w:val="24"/>
        </w:rPr>
        <w:t>over</w:t>
      </w:r>
      <w:r w:rsidR="006C11F5" w:rsidRPr="004D235F">
        <w:rPr>
          <w:rFonts w:ascii="Times New Roman" w:hAnsi="Times New Roman"/>
          <w:sz w:val="24"/>
        </w:rPr>
        <w:t xml:space="preserve"> </w:t>
      </w:r>
      <w:r w:rsidR="00955657" w:rsidRPr="004D235F">
        <w:rPr>
          <w:rFonts w:ascii="Times New Roman" w:hAnsi="Times New Roman"/>
          <w:sz w:val="24"/>
        </w:rPr>
        <w:t>that armed group.</w:t>
      </w:r>
      <w:r w:rsidR="00EA4AC4">
        <w:rPr>
          <w:rFonts w:ascii="Times New Roman" w:hAnsi="Times New Roman"/>
          <w:sz w:val="24"/>
        </w:rPr>
        <w:t xml:space="preserve"> </w:t>
      </w:r>
      <w:r w:rsidR="00EE598C">
        <w:rPr>
          <w:rFonts w:ascii="Times New Roman" w:hAnsi="Times New Roman"/>
          <w:sz w:val="24"/>
        </w:rPr>
        <w:t xml:space="preserve">Recognizing such </w:t>
      </w:r>
      <w:r w:rsidR="006C120A">
        <w:rPr>
          <w:rFonts w:ascii="Times New Roman" w:hAnsi="Times New Roman"/>
          <w:sz w:val="24"/>
        </w:rPr>
        <w:t>internationalization of the</w:t>
      </w:r>
      <w:r w:rsidR="00EA4AC4">
        <w:rPr>
          <w:rFonts w:ascii="Times New Roman" w:hAnsi="Times New Roman"/>
          <w:sz w:val="24"/>
        </w:rPr>
        <w:t xml:space="preserve"> </w:t>
      </w:r>
      <w:r w:rsidR="00955657" w:rsidRPr="004D235F">
        <w:rPr>
          <w:rFonts w:ascii="Times New Roman" w:hAnsi="Times New Roman"/>
          <w:i/>
          <w:iCs/>
          <w:sz w:val="24"/>
        </w:rPr>
        <w:t xml:space="preserve">prima facie </w:t>
      </w:r>
      <w:r w:rsidR="00955657" w:rsidRPr="004D235F">
        <w:rPr>
          <w:rFonts w:ascii="Times New Roman" w:hAnsi="Times New Roman"/>
          <w:sz w:val="24"/>
        </w:rPr>
        <w:t xml:space="preserve">NIAC between </w:t>
      </w:r>
      <w:r w:rsidR="005449AB">
        <w:rPr>
          <w:rFonts w:ascii="Times New Roman" w:hAnsi="Times New Roman"/>
          <w:sz w:val="24"/>
        </w:rPr>
        <w:t>the armed</w:t>
      </w:r>
      <w:r w:rsidR="005449AB" w:rsidRPr="004D235F">
        <w:rPr>
          <w:rFonts w:ascii="Times New Roman" w:hAnsi="Times New Roman"/>
          <w:sz w:val="24"/>
        </w:rPr>
        <w:t xml:space="preserve"> </w:t>
      </w:r>
      <w:r w:rsidR="00955657" w:rsidRPr="004D235F">
        <w:rPr>
          <w:rFonts w:ascii="Times New Roman" w:hAnsi="Times New Roman"/>
          <w:sz w:val="24"/>
        </w:rPr>
        <w:t xml:space="preserve">group and the governmental forces </w:t>
      </w:r>
      <w:r>
        <w:rPr>
          <w:rFonts w:ascii="Times New Roman" w:hAnsi="Times New Roman"/>
          <w:sz w:val="24"/>
        </w:rPr>
        <w:t xml:space="preserve">can </w:t>
      </w:r>
      <w:r w:rsidR="009C4ED0">
        <w:rPr>
          <w:rFonts w:ascii="Times New Roman" w:hAnsi="Times New Roman"/>
          <w:sz w:val="24"/>
        </w:rPr>
        <w:t>be</w:t>
      </w:r>
      <w:r w:rsidR="006C120A">
        <w:rPr>
          <w:rFonts w:ascii="Times New Roman" w:hAnsi="Times New Roman"/>
          <w:sz w:val="24"/>
        </w:rPr>
        <w:t xml:space="preserve"> </w:t>
      </w:r>
      <w:r w:rsidR="00EE598C">
        <w:rPr>
          <w:rFonts w:ascii="Times New Roman" w:hAnsi="Times New Roman"/>
          <w:sz w:val="24"/>
        </w:rPr>
        <w:t>facilitated</w:t>
      </w:r>
      <w:r w:rsidR="006C120A" w:rsidRPr="004D235F">
        <w:rPr>
          <w:rStyle w:val="a5"/>
          <w:rFonts w:ascii="Times New Roman" w:hAnsi="Times New Roman"/>
          <w:sz w:val="24"/>
        </w:rPr>
        <w:footnoteReference w:id="137"/>
      </w:r>
      <w:r w:rsidR="006C120A">
        <w:rPr>
          <w:rFonts w:ascii="Times New Roman" w:hAnsi="Times New Roman"/>
          <w:sz w:val="24"/>
        </w:rPr>
        <w:t xml:space="preserve"> </w:t>
      </w:r>
      <w:r w:rsidR="00EE598C">
        <w:rPr>
          <w:rFonts w:ascii="Times New Roman" w:hAnsi="Times New Roman"/>
          <w:sz w:val="24"/>
        </w:rPr>
        <w:t xml:space="preserve">if </w:t>
      </w:r>
      <w:r w:rsidR="006C120A">
        <w:rPr>
          <w:rFonts w:ascii="Times New Roman" w:hAnsi="Times New Roman"/>
          <w:sz w:val="24"/>
        </w:rPr>
        <w:t xml:space="preserve">this conflict </w:t>
      </w:r>
      <w:r w:rsidR="00283AC6">
        <w:rPr>
          <w:rFonts w:ascii="Times New Roman" w:hAnsi="Times New Roman"/>
          <w:sz w:val="24"/>
        </w:rPr>
        <w:t xml:space="preserve">without rupture </w:t>
      </w:r>
      <w:r w:rsidR="006C120A">
        <w:rPr>
          <w:rFonts w:ascii="Times New Roman" w:hAnsi="Times New Roman"/>
          <w:sz w:val="24"/>
        </w:rPr>
        <w:t xml:space="preserve">is raging </w:t>
      </w:r>
      <w:r w:rsidR="00955657" w:rsidRPr="004D235F">
        <w:rPr>
          <w:rFonts w:ascii="Times New Roman" w:hAnsi="Times New Roman"/>
          <w:sz w:val="24"/>
        </w:rPr>
        <w:lastRenderedPageBreak/>
        <w:t>‘on a geographical and temporal continuum’</w:t>
      </w:r>
      <w:r w:rsidR="006C120A">
        <w:rPr>
          <w:rFonts w:ascii="Times New Roman" w:hAnsi="Times New Roman"/>
          <w:sz w:val="24"/>
        </w:rPr>
        <w:t>.</w:t>
      </w:r>
      <w:r w:rsidR="00955657" w:rsidRPr="004D235F">
        <w:rPr>
          <w:rStyle w:val="a5"/>
          <w:rFonts w:ascii="Times New Roman" w:hAnsi="Times New Roman"/>
          <w:sz w:val="24"/>
        </w:rPr>
        <w:footnoteReference w:id="138"/>
      </w:r>
      <w:r w:rsidR="00955657" w:rsidRPr="004D235F">
        <w:rPr>
          <w:rFonts w:ascii="Times New Roman" w:hAnsi="Times New Roman"/>
          <w:sz w:val="24"/>
        </w:rPr>
        <w:t xml:space="preserve"> </w:t>
      </w:r>
      <w:r w:rsidR="006C120A">
        <w:rPr>
          <w:rFonts w:ascii="Times New Roman" w:hAnsi="Times New Roman"/>
          <w:sz w:val="24"/>
        </w:rPr>
        <w:t>When the</w:t>
      </w:r>
      <w:r w:rsidR="000A639C">
        <w:rPr>
          <w:rFonts w:ascii="Times New Roman" w:hAnsi="Times New Roman"/>
          <w:sz w:val="24"/>
        </w:rPr>
        <w:t xml:space="preserve"> configuration of the ongoing </w:t>
      </w:r>
      <w:r w:rsidR="000A639C" w:rsidRPr="004D235F">
        <w:rPr>
          <w:rFonts w:ascii="Times New Roman" w:hAnsi="Times New Roman"/>
          <w:sz w:val="24"/>
        </w:rPr>
        <w:t>conflict</w:t>
      </w:r>
      <w:r w:rsidR="00EF60F2">
        <w:rPr>
          <w:rStyle w:val="a5"/>
          <w:rFonts w:ascii="Times New Roman" w:hAnsi="Times New Roman"/>
          <w:sz w:val="24"/>
        </w:rPr>
        <w:footnoteReference w:id="139"/>
      </w:r>
      <w:r w:rsidR="000A639C" w:rsidRPr="004D235F">
        <w:rPr>
          <w:rFonts w:ascii="Times New Roman" w:hAnsi="Times New Roman"/>
          <w:sz w:val="24"/>
        </w:rPr>
        <w:t xml:space="preserve"> </w:t>
      </w:r>
      <w:r w:rsidR="009C4ED0">
        <w:rPr>
          <w:rFonts w:ascii="Times New Roman" w:hAnsi="Times New Roman"/>
          <w:sz w:val="24"/>
        </w:rPr>
        <w:t xml:space="preserve">is </w:t>
      </w:r>
      <w:r w:rsidR="00955657" w:rsidRPr="004D235F">
        <w:rPr>
          <w:rFonts w:ascii="Times New Roman" w:hAnsi="Times New Roman"/>
          <w:sz w:val="24"/>
        </w:rPr>
        <w:t>deemed to turn (or get absorbed) into a single IAC</w:t>
      </w:r>
      <w:r w:rsidR="006C120A">
        <w:rPr>
          <w:rFonts w:ascii="Times New Roman" w:hAnsi="Times New Roman"/>
          <w:sz w:val="24"/>
        </w:rPr>
        <w:t>,</w:t>
      </w:r>
      <w:r w:rsidR="00955657" w:rsidRPr="004D235F">
        <w:rPr>
          <w:rStyle w:val="a5"/>
          <w:rFonts w:ascii="Times New Roman" w:hAnsi="Times New Roman"/>
          <w:sz w:val="24"/>
        </w:rPr>
        <w:footnoteReference w:id="140"/>
      </w:r>
      <w:r w:rsidR="00955657" w:rsidRPr="004D235F">
        <w:rPr>
          <w:rFonts w:ascii="Times New Roman" w:hAnsi="Times New Roman"/>
          <w:sz w:val="24"/>
        </w:rPr>
        <w:t xml:space="preserve"> the armed group </w:t>
      </w:r>
      <w:r w:rsidR="006C120A">
        <w:rPr>
          <w:rFonts w:ascii="Times New Roman" w:hAnsi="Times New Roman"/>
          <w:sz w:val="24"/>
        </w:rPr>
        <w:t>can be</w:t>
      </w:r>
      <w:r w:rsidR="00955657" w:rsidRPr="004D235F">
        <w:rPr>
          <w:rFonts w:ascii="Times New Roman" w:hAnsi="Times New Roman"/>
          <w:sz w:val="24"/>
        </w:rPr>
        <w:t xml:space="preserve"> portrayed as an ‘agent’ of the supporting State.</w:t>
      </w:r>
      <w:r w:rsidR="00955657" w:rsidRPr="004D235F">
        <w:rPr>
          <w:rStyle w:val="a5"/>
          <w:rFonts w:ascii="Times New Roman" w:hAnsi="Times New Roman"/>
          <w:sz w:val="24"/>
        </w:rPr>
        <w:footnoteReference w:id="141"/>
      </w:r>
      <w:r w:rsidR="00955657" w:rsidRPr="004D235F">
        <w:rPr>
          <w:rFonts w:ascii="Times New Roman" w:hAnsi="Times New Roman"/>
          <w:sz w:val="24"/>
        </w:rPr>
        <w:t xml:space="preserve"> </w:t>
      </w:r>
      <w:r w:rsidR="00D3346F">
        <w:rPr>
          <w:rFonts w:ascii="Times New Roman" w:hAnsi="Times New Roman"/>
          <w:sz w:val="24"/>
        </w:rPr>
        <w:t xml:space="preserve">According to the reasoning of the </w:t>
      </w:r>
      <w:proofErr w:type="spellStart"/>
      <w:r w:rsidR="00D3346F" w:rsidRPr="00066403">
        <w:rPr>
          <w:rFonts w:ascii="Times New Roman" w:hAnsi="Times New Roman"/>
          <w:i/>
          <w:iCs/>
          <w:sz w:val="24"/>
        </w:rPr>
        <w:t>Tadi</w:t>
      </w:r>
      <w:r w:rsidR="00D3346F" w:rsidRPr="00066403">
        <w:rPr>
          <w:rFonts w:ascii="Times New Roman" w:hAnsi="Times New Roman" w:hint="eastAsia"/>
          <w:i/>
          <w:iCs/>
          <w:sz w:val="24"/>
        </w:rPr>
        <w:t>ć</w:t>
      </w:r>
      <w:proofErr w:type="spellEnd"/>
      <w:r w:rsidR="00D3346F">
        <w:rPr>
          <w:rFonts w:ascii="Times New Roman" w:hAnsi="Times New Roman"/>
          <w:sz w:val="24"/>
        </w:rPr>
        <w:t xml:space="preserve"> Appeals Chamber, the</w:t>
      </w:r>
      <w:r w:rsidR="00D3346F" w:rsidRPr="004D235F">
        <w:rPr>
          <w:rFonts w:ascii="Times New Roman" w:hAnsi="Times New Roman"/>
          <w:sz w:val="24"/>
        </w:rPr>
        <w:t xml:space="preserve"> </w:t>
      </w:r>
      <w:r w:rsidR="00EE598C">
        <w:rPr>
          <w:rFonts w:ascii="Times New Roman" w:hAnsi="Times New Roman"/>
          <w:sz w:val="24"/>
        </w:rPr>
        <w:t xml:space="preserve">inference </w:t>
      </w:r>
      <w:r w:rsidR="000A639C">
        <w:rPr>
          <w:rFonts w:ascii="Times New Roman" w:hAnsi="Times New Roman"/>
          <w:sz w:val="24"/>
        </w:rPr>
        <w:t xml:space="preserve">that the ongoing conflict </w:t>
      </w:r>
      <w:r w:rsidR="00955657" w:rsidRPr="004D235F">
        <w:rPr>
          <w:rFonts w:ascii="Times New Roman" w:hAnsi="Times New Roman"/>
          <w:sz w:val="24"/>
        </w:rPr>
        <w:t xml:space="preserve">has been transformed into an IAC </w:t>
      </w:r>
      <w:r w:rsidR="0097678D">
        <w:rPr>
          <w:rFonts w:ascii="Times New Roman" w:hAnsi="Times New Roman"/>
          <w:sz w:val="24"/>
        </w:rPr>
        <w:t xml:space="preserve">may be drawn as a result of (or </w:t>
      </w:r>
      <w:r w:rsidR="002E5667">
        <w:rPr>
          <w:rFonts w:ascii="Times New Roman" w:hAnsi="Times New Roman"/>
          <w:sz w:val="24"/>
        </w:rPr>
        <w:t>alongside</w:t>
      </w:r>
      <w:r w:rsidR="0097678D">
        <w:rPr>
          <w:rFonts w:ascii="Times New Roman" w:hAnsi="Times New Roman"/>
          <w:sz w:val="24"/>
        </w:rPr>
        <w:t>) t</w:t>
      </w:r>
      <w:r w:rsidR="00830FC7" w:rsidRPr="004D235F">
        <w:rPr>
          <w:rFonts w:ascii="Times New Roman" w:hAnsi="Times New Roman"/>
          <w:sz w:val="24"/>
        </w:rPr>
        <w:t>he verdict</w:t>
      </w:r>
      <w:r w:rsidR="00955657" w:rsidRPr="004D235F">
        <w:rPr>
          <w:rFonts w:ascii="Times New Roman" w:hAnsi="Times New Roman"/>
          <w:sz w:val="24"/>
        </w:rPr>
        <w:t xml:space="preserve"> that the armed group ‘belong</w:t>
      </w:r>
      <w:r w:rsidR="00EB09CA">
        <w:rPr>
          <w:rFonts w:ascii="Times New Roman" w:hAnsi="Times New Roman"/>
          <w:sz w:val="24"/>
        </w:rPr>
        <w:t>s</w:t>
      </w:r>
      <w:r w:rsidR="00955657" w:rsidRPr="004D235F">
        <w:rPr>
          <w:rFonts w:ascii="Times New Roman" w:hAnsi="Times New Roman"/>
          <w:sz w:val="24"/>
        </w:rPr>
        <w:t xml:space="preserve">’ to the supporting State </w:t>
      </w:r>
      <w:r w:rsidR="00A4154A">
        <w:rPr>
          <w:rFonts w:ascii="Times New Roman" w:hAnsi="Times New Roman"/>
          <w:sz w:val="24"/>
        </w:rPr>
        <w:t xml:space="preserve">within the meaning of </w:t>
      </w:r>
      <w:r w:rsidR="00955657" w:rsidRPr="004D235F">
        <w:rPr>
          <w:rFonts w:ascii="Times New Roman" w:hAnsi="Times New Roman"/>
          <w:sz w:val="24"/>
        </w:rPr>
        <w:t xml:space="preserve">Article 4A(2) </w:t>
      </w:r>
      <w:r w:rsidR="00B17ED4">
        <w:rPr>
          <w:rFonts w:ascii="Times New Roman" w:hAnsi="Times New Roman"/>
          <w:sz w:val="24"/>
        </w:rPr>
        <w:t xml:space="preserve">of the Third </w:t>
      </w:r>
      <w:r w:rsidR="001D7ED3">
        <w:rPr>
          <w:rFonts w:ascii="Times New Roman" w:hAnsi="Times New Roman"/>
          <w:sz w:val="24"/>
        </w:rPr>
        <w:t>Geneva Convention</w:t>
      </w:r>
      <w:r w:rsidR="00955657" w:rsidRPr="004D235F">
        <w:rPr>
          <w:rFonts w:ascii="Times New Roman" w:hAnsi="Times New Roman"/>
          <w:sz w:val="24"/>
        </w:rPr>
        <w:t>.</w:t>
      </w:r>
      <w:r w:rsidR="00955657" w:rsidRPr="004D235F">
        <w:rPr>
          <w:rStyle w:val="a5"/>
          <w:rFonts w:ascii="Times New Roman" w:hAnsi="Times New Roman"/>
          <w:sz w:val="24"/>
        </w:rPr>
        <w:footnoteReference w:id="142"/>
      </w:r>
    </w:p>
    <w:p w14:paraId="07C2EABC" w14:textId="77777777" w:rsidR="00955657" w:rsidRPr="004D235F" w:rsidRDefault="00955657" w:rsidP="00E01082">
      <w:pPr>
        <w:rPr>
          <w:rFonts w:ascii="Times New Roman" w:hAnsi="Times New Roman"/>
          <w:sz w:val="24"/>
        </w:rPr>
      </w:pPr>
    </w:p>
    <w:p w14:paraId="1BFB2EFA" w14:textId="3E3A1BDC" w:rsidR="00320EC9" w:rsidRDefault="00955657" w:rsidP="007053D1">
      <w:pPr>
        <w:tabs>
          <w:tab w:val="left" w:pos="1560"/>
        </w:tabs>
        <w:rPr>
          <w:rFonts w:ascii="Times New Roman" w:hAnsi="Times New Roman"/>
          <w:sz w:val="24"/>
        </w:rPr>
      </w:pPr>
      <w:r w:rsidRPr="004D235F">
        <w:rPr>
          <w:rFonts w:ascii="Times New Roman" w:hAnsi="Times New Roman"/>
          <w:sz w:val="24"/>
        </w:rPr>
        <w:t>In such a fluid situation</w:t>
      </w:r>
      <w:r w:rsidR="0084774A">
        <w:rPr>
          <w:rFonts w:ascii="Times New Roman" w:hAnsi="Times New Roman"/>
          <w:sz w:val="24"/>
        </w:rPr>
        <w:t xml:space="preserve"> in which the conflict has </w:t>
      </w:r>
      <w:r w:rsidR="005449AB">
        <w:rPr>
          <w:rFonts w:ascii="Times New Roman" w:hAnsi="Times New Roman"/>
          <w:sz w:val="24"/>
        </w:rPr>
        <w:t xml:space="preserve">become </w:t>
      </w:r>
      <w:r w:rsidR="0084774A">
        <w:rPr>
          <w:rFonts w:ascii="Times New Roman" w:hAnsi="Times New Roman"/>
          <w:sz w:val="24"/>
        </w:rPr>
        <w:t>internationalized</w:t>
      </w:r>
      <w:r w:rsidRPr="004D235F">
        <w:rPr>
          <w:rFonts w:ascii="Times New Roman" w:hAnsi="Times New Roman"/>
          <w:sz w:val="24"/>
        </w:rPr>
        <w:t xml:space="preserve">, </w:t>
      </w:r>
      <w:r w:rsidR="00732F57">
        <w:rPr>
          <w:rFonts w:ascii="Times New Roman" w:hAnsi="Times New Roman"/>
          <w:sz w:val="24"/>
        </w:rPr>
        <w:t xml:space="preserve">one may put forward three approaches regarding how the requirement of organization of armed groups should be assessed under Article 4A of the Geneva Convention III. The first and second </w:t>
      </w:r>
      <w:r w:rsidR="002E5667">
        <w:rPr>
          <w:rFonts w:ascii="Times New Roman" w:hAnsi="Times New Roman"/>
          <w:sz w:val="24"/>
        </w:rPr>
        <w:t>approaches</w:t>
      </w:r>
      <w:r w:rsidR="00732F57">
        <w:rPr>
          <w:rFonts w:ascii="Times New Roman" w:hAnsi="Times New Roman"/>
          <w:sz w:val="24"/>
        </w:rPr>
        <w:t xml:space="preserve"> assume that pursuant to the </w:t>
      </w:r>
      <w:proofErr w:type="spellStart"/>
      <w:r w:rsidR="00732F57" w:rsidRPr="006508E1">
        <w:rPr>
          <w:rFonts w:ascii="Times New Roman" w:hAnsi="Times New Roman"/>
          <w:i/>
          <w:iCs/>
          <w:sz w:val="24"/>
        </w:rPr>
        <w:t>Tadić</w:t>
      </w:r>
      <w:proofErr w:type="spellEnd"/>
      <w:r w:rsidR="00732F57">
        <w:rPr>
          <w:rFonts w:ascii="Times New Roman" w:hAnsi="Times New Roman"/>
          <w:sz w:val="24"/>
        </w:rPr>
        <w:t xml:space="preserve"> Appeals Chamber’s logic, an armed group that has been engaged in NIAC will </w:t>
      </w:r>
      <w:r w:rsidR="005449AB">
        <w:rPr>
          <w:rFonts w:ascii="Times New Roman" w:hAnsi="Times New Roman"/>
          <w:sz w:val="24"/>
        </w:rPr>
        <w:t>come</w:t>
      </w:r>
      <w:r w:rsidR="00732F57">
        <w:rPr>
          <w:rFonts w:ascii="Times New Roman" w:hAnsi="Times New Roman"/>
          <w:sz w:val="24"/>
        </w:rPr>
        <w:t xml:space="preserve"> to be examined </w:t>
      </w:r>
      <w:r w:rsidR="00732F57" w:rsidRPr="004D235F">
        <w:rPr>
          <w:rFonts w:ascii="Times New Roman" w:hAnsi="Times New Roman"/>
          <w:sz w:val="24"/>
        </w:rPr>
        <w:t>under Article 4</w:t>
      </w:r>
      <w:proofErr w:type="gramStart"/>
      <w:r w:rsidR="00732F57" w:rsidRPr="004D235F">
        <w:rPr>
          <w:rFonts w:ascii="Times New Roman" w:hAnsi="Times New Roman"/>
          <w:sz w:val="24"/>
        </w:rPr>
        <w:t>A(</w:t>
      </w:r>
      <w:proofErr w:type="gramEnd"/>
      <w:r w:rsidR="00732F57" w:rsidRPr="004D235F">
        <w:rPr>
          <w:rFonts w:ascii="Times New Roman" w:hAnsi="Times New Roman"/>
          <w:sz w:val="24"/>
        </w:rPr>
        <w:t xml:space="preserve">2) </w:t>
      </w:r>
      <w:r w:rsidR="00732F57">
        <w:rPr>
          <w:rFonts w:ascii="Times New Roman" w:hAnsi="Times New Roman"/>
          <w:sz w:val="24"/>
        </w:rPr>
        <w:t>of the Geneva Convention</w:t>
      </w:r>
      <w:r w:rsidR="00732F57" w:rsidRPr="004D235F">
        <w:rPr>
          <w:rFonts w:ascii="Times New Roman" w:hAnsi="Times New Roman"/>
          <w:sz w:val="24"/>
        </w:rPr>
        <w:t xml:space="preserve"> III</w:t>
      </w:r>
      <w:r w:rsidR="00732F57">
        <w:rPr>
          <w:rFonts w:ascii="Times New Roman" w:hAnsi="Times New Roman"/>
          <w:sz w:val="24"/>
        </w:rPr>
        <w:t xml:space="preserve">. According to the first approach, </w:t>
      </w:r>
      <w:r w:rsidRPr="004D235F">
        <w:rPr>
          <w:rFonts w:ascii="Times New Roman" w:hAnsi="Times New Roman"/>
          <w:sz w:val="24"/>
        </w:rPr>
        <w:t xml:space="preserve">the earlier finding that the armed group was sufficiently organized </w:t>
      </w:r>
      <w:r w:rsidR="0084774A">
        <w:rPr>
          <w:rFonts w:ascii="Times New Roman" w:hAnsi="Times New Roman"/>
          <w:sz w:val="24"/>
        </w:rPr>
        <w:t xml:space="preserve">to </w:t>
      </w:r>
      <w:r w:rsidR="006C120A">
        <w:rPr>
          <w:rFonts w:ascii="Times New Roman" w:hAnsi="Times New Roman"/>
          <w:sz w:val="24"/>
        </w:rPr>
        <w:t>trigger the application of the IHL of</w:t>
      </w:r>
      <w:r w:rsidR="0084774A">
        <w:rPr>
          <w:rFonts w:ascii="Times New Roman" w:hAnsi="Times New Roman"/>
          <w:sz w:val="24"/>
        </w:rPr>
        <w:t xml:space="preserve"> NIAC</w:t>
      </w:r>
      <w:r w:rsidR="006C120A">
        <w:rPr>
          <w:rFonts w:ascii="Times New Roman" w:hAnsi="Times New Roman"/>
          <w:sz w:val="24"/>
        </w:rPr>
        <w:t>s</w:t>
      </w:r>
      <w:r w:rsidR="0084774A">
        <w:rPr>
          <w:rFonts w:ascii="Times New Roman" w:hAnsi="Times New Roman"/>
          <w:sz w:val="24"/>
        </w:rPr>
        <w:t xml:space="preserve"> </w:t>
      </w:r>
      <w:r w:rsidR="00EE598C">
        <w:rPr>
          <w:rFonts w:ascii="Times New Roman" w:hAnsi="Times New Roman"/>
          <w:sz w:val="24"/>
        </w:rPr>
        <w:t>should be</w:t>
      </w:r>
      <w:r w:rsidR="00732F57">
        <w:rPr>
          <w:rFonts w:ascii="Times New Roman" w:hAnsi="Times New Roman"/>
          <w:sz w:val="24"/>
        </w:rPr>
        <w:t xml:space="preserve"> considered still valid </w:t>
      </w:r>
      <w:r w:rsidRPr="004D235F">
        <w:rPr>
          <w:rFonts w:ascii="Times New Roman" w:hAnsi="Times New Roman"/>
          <w:sz w:val="24"/>
        </w:rPr>
        <w:t xml:space="preserve">when </w:t>
      </w:r>
      <w:r w:rsidR="00EB09CA">
        <w:rPr>
          <w:rFonts w:ascii="Times New Roman" w:hAnsi="Times New Roman"/>
          <w:sz w:val="24"/>
        </w:rPr>
        <w:t>the question</w:t>
      </w:r>
      <w:r w:rsidR="00732F57">
        <w:rPr>
          <w:rFonts w:ascii="Times New Roman" w:hAnsi="Times New Roman"/>
          <w:sz w:val="24"/>
        </w:rPr>
        <w:t xml:space="preserve"> </w:t>
      </w:r>
      <w:r w:rsidR="00EB09CA">
        <w:rPr>
          <w:rFonts w:ascii="Times New Roman" w:hAnsi="Times New Roman"/>
          <w:sz w:val="24"/>
        </w:rPr>
        <w:t>turns to</w:t>
      </w:r>
      <w:r w:rsidRPr="004D235F">
        <w:rPr>
          <w:rFonts w:ascii="Times New Roman" w:hAnsi="Times New Roman"/>
          <w:sz w:val="24"/>
        </w:rPr>
        <w:t xml:space="preserve"> </w:t>
      </w:r>
      <w:r w:rsidR="00EB09CA">
        <w:rPr>
          <w:rFonts w:ascii="Times New Roman" w:hAnsi="Times New Roman"/>
          <w:sz w:val="24"/>
        </w:rPr>
        <w:t>that group’s</w:t>
      </w:r>
      <w:r w:rsidRPr="004D235F">
        <w:rPr>
          <w:rFonts w:ascii="Times New Roman" w:hAnsi="Times New Roman"/>
          <w:sz w:val="24"/>
        </w:rPr>
        <w:t xml:space="preserve"> </w:t>
      </w:r>
      <w:r w:rsidR="006C120A">
        <w:rPr>
          <w:rFonts w:ascii="Times New Roman" w:hAnsi="Times New Roman"/>
          <w:sz w:val="24"/>
        </w:rPr>
        <w:t xml:space="preserve">status as an ‘independent force’ </w:t>
      </w:r>
      <w:r w:rsidRPr="004D235F">
        <w:rPr>
          <w:rFonts w:ascii="Times New Roman" w:hAnsi="Times New Roman"/>
          <w:sz w:val="24"/>
        </w:rPr>
        <w:t xml:space="preserve">under Article 4A(2) </w:t>
      </w:r>
      <w:r w:rsidR="00B17ED4">
        <w:rPr>
          <w:rFonts w:ascii="Times New Roman" w:hAnsi="Times New Roman"/>
          <w:sz w:val="24"/>
        </w:rPr>
        <w:t xml:space="preserve">of the </w:t>
      </w:r>
      <w:r w:rsidR="001D7ED3">
        <w:rPr>
          <w:rFonts w:ascii="Times New Roman" w:hAnsi="Times New Roman"/>
          <w:sz w:val="24"/>
        </w:rPr>
        <w:t>Geneva Convention</w:t>
      </w:r>
      <w:r w:rsidRPr="004D235F">
        <w:rPr>
          <w:rFonts w:ascii="Times New Roman" w:hAnsi="Times New Roman"/>
          <w:sz w:val="24"/>
        </w:rPr>
        <w:t xml:space="preserve"> III</w:t>
      </w:r>
      <w:r w:rsidR="007C39EE">
        <w:rPr>
          <w:rFonts w:ascii="Times New Roman" w:hAnsi="Times New Roman"/>
          <w:sz w:val="24"/>
        </w:rPr>
        <w:t xml:space="preserve">. </w:t>
      </w:r>
      <w:r w:rsidR="00C332FF">
        <w:rPr>
          <w:rFonts w:ascii="Times New Roman" w:hAnsi="Times New Roman"/>
          <w:sz w:val="24"/>
        </w:rPr>
        <w:t xml:space="preserve">The second approach takes the opposite course. It </w:t>
      </w:r>
      <w:r w:rsidR="007E48A9">
        <w:rPr>
          <w:rFonts w:ascii="Times New Roman" w:hAnsi="Times New Roman"/>
          <w:sz w:val="24"/>
        </w:rPr>
        <w:t>propose</w:t>
      </w:r>
      <w:r w:rsidR="00732F57">
        <w:rPr>
          <w:rFonts w:ascii="Times New Roman" w:hAnsi="Times New Roman"/>
          <w:sz w:val="24"/>
        </w:rPr>
        <w:t>s</w:t>
      </w:r>
      <w:r w:rsidR="007E48A9">
        <w:rPr>
          <w:rFonts w:ascii="Times New Roman" w:hAnsi="Times New Roman"/>
          <w:sz w:val="24"/>
        </w:rPr>
        <w:t xml:space="preserve"> that </w:t>
      </w:r>
      <w:r w:rsidR="00C332FF">
        <w:rPr>
          <w:rFonts w:ascii="Times New Roman" w:hAnsi="Times New Roman"/>
          <w:sz w:val="24"/>
        </w:rPr>
        <w:t xml:space="preserve">upon the change in the conflict classifications as an IAC, </w:t>
      </w:r>
      <w:r w:rsidRPr="004D235F">
        <w:rPr>
          <w:rFonts w:ascii="Times New Roman" w:hAnsi="Times New Roman"/>
          <w:sz w:val="24"/>
        </w:rPr>
        <w:t>a renewed assessment of the group’s organizational level</w:t>
      </w:r>
      <w:r w:rsidR="007C6A49">
        <w:rPr>
          <w:rFonts w:ascii="Times New Roman" w:hAnsi="Times New Roman"/>
          <w:sz w:val="24"/>
        </w:rPr>
        <w:t xml:space="preserve"> be called for</w:t>
      </w:r>
      <w:r w:rsidR="006C11F5">
        <w:rPr>
          <w:rFonts w:ascii="Times New Roman" w:hAnsi="Times New Roman"/>
          <w:sz w:val="24"/>
        </w:rPr>
        <w:t xml:space="preserve">. For this approach, it is immaterial </w:t>
      </w:r>
      <w:r w:rsidR="00227D77">
        <w:rPr>
          <w:rFonts w:ascii="Times New Roman" w:hAnsi="Times New Roman"/>
          <w:sz w:val="24"/>
        </w:rPr>
        <w:t xml:space="preserve">that </w:t>
      </w:r>
      <w:r w:rsidR="00C332FF">
        <w:rPr>
          <w:rFonts w:ascii="Times New Roman" w:hAnsi="Times New Roman"/>
          <w:sz w:val="24"/>
        </w:rPr>
        <w:t xml:space="preserve">such an armed conflict </w:t>
      </w:r>
      <w:r w:rsidR="000E5333">
        <w:rPr>
          <w:rFonts w:ascii="Times New Roman" w:hAnsi="Times New Roman"/>
          <w:sz w:val="24"/>
        </w:rPr>
        <w:t>on the ground</w:t>
      </w:r>
      <w:r w:rsidR="00C332FF">
        <w:rPr>
          <w:rFonts w:ascii="Times New Roman" w:hAnsi="Times New Roman"/>
          <w:sz w:val="24"/>
        </w:rPr>
        <w:t xml:space="preserve"> appears seamless</w:t>
      </w:r>
      <w:r w:rsidR="00227D77">
        <w:rPr>
          <w:rFonts w:ascii="Times New Roman" w:hAnsi="Times New Roman"/>
          <w:sz w:val="24"/>
        </w:rPr>
        <w:t>ly continuing</w:t>
      </w:r>
      <w:r w:rsidRPr="004D235F">
        <w:rPr>
          <w:rFonts w:ascii="Times New Roman" w:hAnsi="Times New Roman"/>
          <w:sz w:val="24"/>
        </w:rPr>
        <w:t xml:space="preserve">. </w:t>
      </w:r>
      <w:r w:rsidR="00BF127F">
        <w:rPr>
          <w:rFonts w:ascii="Times New Roman" w:hAnsi="Times New Roman"/>
          <w:sz w:val="24"/>
        </w:rPr>
        <w:t>Third, a</w:t>
      </w:r>
      <w:r w:rsidR="006A389C">
        <w:rPr>
          <w:rFonts w:ascii="Times New Roman" w:hAnsi="Times New Roman"/>
          <w:sz w:val="24"/>
        </w:rPr>
        <w:t xml:space="preserve"> yet another perspective is to suggest that armed groups which fall under ‘overall </w:t>
      </w:r>
      <w:r w:rsidR="006A389C">
        <w:rPr>
          <w:rFonts w:ascii="Times New Roman" w:hAnsi="Times New Roman"/>
          <w:sz w:val="24"/>
        </w:rPr>
        <w:lastRenderedPageBreak/>
        <w:t xml:space="preserve">control’ of a foreign State becomes ‘part of a State Party’ to an IAC. According to this suggestion, </w:t>
      </w:r>
      <w:r w:rsidR="00A2355A">
        <w:rPr>
          <w:rFonts w:ascii="Times New Roman" w:hAnsi="Times New Roman"/>
          <w:sz w:val="24"/>
        </w:rPr>
        <w:t xml:space="preserve">under Article 4A of the Third Geneva Convention </w:t>
      </w:r>
      <w:r w:rsidR="006A389C">
        <w:rPr>
          <w:rFonts w:ascii="Times New Roman" w:hAnsi="Times New Roman"/>
          <w:sz w:val="24"/>
        </w:rPr>
        <w:t xml:space="preserve">these armed groups are </w:t>
      </w:r>
      <w:r w:rsidR="00227D77">
        <w:rPr>
          <w:rFonts w:ascii="Times New Roman" w:hAnsi="Times New Roman"/>
          <w:sz w:val="24"/>
        </w:rPr>
        <w:t>treated as</w:t>
      </w:r>
      <w:r w:rsidR="006A389C">
        <w:rPr>
          <w:rFonts w:ascii="Times New Roman" w:hAnsi="Times New Roman"/>
          <w:sz w:val="24"/>
        </w:rPr>
        <w:t xml:space="preserve"> the ‘regulars’ covered by the first</w:t>
      </w:r>
      <w:r w:rsidR="00902F0A">
        <w:rPr>
          <w:rFonts w:ascii="Times New Roman" w:hAnsi="Times New Roman"/>
          <w:sz w:val="24"/>
        </w:rPr>
        <w:t xml:space="preserve"> paragraph</w:t>
      </w:r>
      <w:r w:rsidR="006A389C">
        <w:rPr>
          <w:rFonts w:ascii="Times New Roman" w:hAnsi="Times New Roman"/>
          <w:sz w:val="24"/>
        </w:rPr>
        <w:t xml:space="preserve">, not </w:t>
      </w:r>
      <w:r w:rsidR="00227D77">
        <w:rPr>
          <w:rFonts w:ascii="Times New Roman" w:hAnsi="Times New Roman"/>
          <w:sz w:val="24"/>
        </w:rPr>
        <w:t xml:space="preserve">as </w:t>
      </w:r>
      <w:r w:rsidR="006A389C">
        <w:rPr>
          <w:rFonts w:ascii="Times New Roman" w:hAnsi="Times New Roman"/>
          <w:sz w:val="24"/>
        </w:rPr>
        <w:t xml:space="preserve">the </w:t>
      </w:r>
      <w:r w:rsidR="00A2355A">
        <w:rPr>
          <w:rFonts w:ascii="Times New Roman" w:hAnsi="Times New Roman"/>
          <w:sz w:val="24"/>
        </w:rPr>
        <w:t xml:space="preserve">‘irregulars’ falling within </w:t>
      </w:r>
      <w:r w:rsidR="000E5333">
        <w:rPr>
          <w:rFonts w:ascii="Times New Roman" w:hAnsi="Times New Roman"/>
          <w:sz w:val="24"/>
        </w:rPr>
        <w:t xml:space="preserve">the </w:t>
      </w:r>
      <w:r w:rsidR="006A389C">
        <w:rPr>
          <w:rFonts w:ascii="Times New Roman" w:hAnsi="Times New Roman"/>
          <w:sz w:val="24"/>
        </w:rPr>
        <w:t>second</w:t>
      </w:r>
      <w:r w:rsidR="005E6D9B">
        <w:rPr>
          <w:rFonts w:ascii="Times New Roman" w:hAnsi="Times New Roman"/>
          <w:sz w:val="24"/>
        </w:rPr>
        <w:t xml:space="preserve"> paragraph</w:t>
      </w:r>
      <w:r w:rsidR="00A4154A">
        <w:rPr>
          <w:rFonts w:ascii="Times New Roman" w:hAnsi="Times New Roman"/>
          <w:sz w:val="24"/>
        </w:rPr>
        <w:t>.</w:t>
      </w:r>
      <w:r w:rsidR="000E5333">
        <w:rPr>
          <w:rStyle w:val="a5"/>
          <w:rFonts w:ascii="Times New Roman" w:hAnsi="Times New Roman"/>
          <w:sz w:val="24"/>
        </w:rPr>
        <w:footnoteReference w:id="143"/>
      </w:r>
      <w:r w:rsidR="000E5333" w:rsidRPr="00BF127F">
        <w:rPr>
          <w:rFonts w:ascii="Times New Roman" w:hAnsi="Times New Roman"/>
          <w:sz w:val="24"/>
        </w:rPr>
        <w:t xml:space="preserve"> </w:t>
      </w:r>
      <w:r w:rsidR="00A4154A">
        <w:rPr>
          <w:rFonts w:ascii="Times New Roman" w:hAnsi="Times New Roman"/>
          <w:sz w:val="24"/>
        </w:rPr>
        <w:t xml:space="preserve"> The nub </w:t>
      </w:r>
      <w:r w:rsidR="00A2355A">
        <w:rPr>
          <w:rFonts w:ascii="Times New Roman" w:hAnsi="Times New Roman"/>
          <w:sz w:val="24"/>
        </w:rPr>
        <w:t xml:space="preserve">of the third approach </w:t>
      </w:r>
      <w:r w:rsidR="00A4154A">
        <w:rPr>
          <w:rFonts w:ascii="Times New Roman" w:hAnsi="Times New Roman"/>
          <w:sz w:val="24"/>
        </w:rPr>
        <w:t xml:space="preserve">is </w:t>
      </w:r>
      <w:r w:rsidR="00A2355A">
        <w:rPr>
          <w:rFonts w:ascii="Times New Roman" w:hAnsi="Times New Roman"/>
          <w:sz w:val="24"/>
        </w:rPr>
        <w:t xml:space="preserve">to dispense with the </w:t>
      </w:r>
      <w:r w:rsidR="006A389C">
        <w:rPr>
          <w:rFonts w:ascii="Times New Roman" w:hAnsi="Times New Roman"/>
          <w:sz w:val="24"/>
        </w:rPr>
        <w:t xml:space="preserve">need to evaluate the requirement of organization </w:t>
      </w:r>
      <w:r w:rsidR="00A4154A">
        <w:rPr>
          <w:rFonts w:ascii="Times New Roman" w:hAnsi="Times New Roman"/>
          <w:sz w:val="24"/>
        </w:rPr>
        <w:t>with specific regard to</w:t>
      </w:r>
      <w:r w:rsidR="006A389C">
        <w:rPr>
          <w:rFonts w:ascii="Times New Roman" w:hAnsi="Times New Roman"/>
          <w:sz w:val="24"/>
        </w:rPr>
        <w:t xml:space="preserve"> these groups.</w:t>
      </w:r>
      <w:r w:rsidR="00BF127F" w:rsidRPr="00BF127F">
        <w:rPr>
          <w:rFonts w:ascii="Times New Roman" w:hAnsi="Times New Roman"/>
          <w:sz w:val="24"/>
        </w:rPr>
        <w:t xml:space="preserve"> </w:t>
      </w:r>
    </w:p>
    <w:p w14:paraId="2ADCE839" w14:textId="77777777" w:rsidR="00320EC9" w:rsidRDefault="00320EC9" w:rsidP="007053D1">
      <w:pPr>
        <w:tabs>
          <w:tab w:val="left" w:pos="1560"/>
        </w:tabs>
        <w:rPr>
          <w:rFonts w:ascii="Times New Roman" w:hAnsi="Times New Roman"/>
          <w:sz w:val="24"/>
        </w:rPr>
      </w:pPr>
    </w:p>
    <w:p w14:paraId="0880188B" w14:textId="0E2ADD4C" w:rsidR="005449AB" w:rsidRDefault="00A4154A">
      <w:pPr>
        <w:tabs>
          <w:tab w:val="left" w:pos="1560"/>
        </w:tabs>
        <w:rPr>
          <w:rFonts w:ascii="Times New Roman" w:hAnsi="Times New Roman"/>
          <w:sz w:val="24"/>
        </w:rPr>
      </w:pPr>
      <w:r>
        <w:rPr>
          <w:rFonts w:ascii="Times New Roman" w:hAnsi="Times New Roman"/>
          <w:sz w:val="24"/>
        </w:rPr>
        <w:t xml:space="preserve">The </w:t>
      </w:r>
      <w:r w:rsidR="00BF127F">
        <w:rPr>
          <w:rFonts w:ascii="Times New Roman" w:hAnsi="Times New Roman"/>
          <w:sz w:val="24"/>
        </w:rPr>
        <w:t xml:space="preserve">detaining power’s most likely course is to follow the first approach, </w:t>
      </w:r>
      <w:r w:rsidR="00DF14FC">
        <w:rPr>
          <w:rFonts w:ascii="Times New Roman" w:hAnsi="Times New Roman"/>
          <w:sz w:val="24"/>
        </w:rPr>
        <w:t>supposing</w:t>
      </w:r>
      <w:r w:rsidR="00BF127F">
        <w:rPr>
          <w:rFonts w:ascii="Times New Roman" w:hAnsi="Times New Roman"/>
          <w:sz w:val="24"/>
        </w:rPr>
        <w:t xml:space="preserve"> that the irregular armed group is sufficiently organized</w:t>
      </w:r>
      <w:r w:rsidR="00A2355A">
        <w:rPr>
          <w:rFonts w:ascii="Times New Roman" w:hAnsi="Times New Roman"/>
          <w:sz w:val="24"/>
        </w:rPr>
        <w:t>,</w:t>
      </w:r>
      <w:r w:rsidR="00BF127F">
        <w:rPr>
          <w:rFonts w:ascii="Times New Roman" w:hAnsi="Times New Roman"/>
          <w:sz w:val="24"/>
        </w:rPr>
        <w:t xml:space="preserve"> and to proceed to the more substantive examinations of the four POW criteria.</w:t>
      </w:r>
      <w:r w:rsidR="00320EC9">
        <w:rPr>
          <w:rFonts w:ascii="Times New Roman" w:hAnsi="Times New Roman"/>
          <w:sz w:val="24"/>
        </w:rPr>
        <w:t xml:space="preserve"> </w:t>
      </w:r>
      <w:r w:rsidR="006C120A" w:rsidRPr="00B118CC">
        <w:rPr>
          <w:rFonts w:ascii="Times New Roman" w:hAnsi="Times New Roman"/>
          <w:sz w:val="24"/>
        </w:rPr>
        <w:t xml:space="preserve">In </w:t>
      </w:r>
      <w:proofErr w:type="spellStart"/>
      <w:r w:rsidR="0054391A" w:rsidRPr="00B118CC">
        <w:rPr>
          <w:rFonts w:ascii="Times New Roman" w:hAnsi="Times New Roman"/>
          <w:i/>
          <w:iCs/>
          <w:sz w:val="24"/>
        </w:rPr>
        <w:t>Tadić</w:t>
      </w:r>
      <w:proofErr w:type="spellEnd"/>
      <w:r w:rsidR="0054391A" w:rsidRPr="00B118CC">
        <w:rPr>
          <w:rFonts w:ascii="Times New Roman" w:hAnsi="Times New Roman"/>
          <w:sz w:val="24"/>
        </w:rPr>
        <w:t xml:space="preserve"> </w:t>
      </w:r>
      <w:r w:rsidR="00955657" w:rsidRPr="00B118CC">
        <w:rPr>
          <w:rFonts w:ascii="Times New Roman" w:hAnsi="Times New Roman"/>
          <w:sz w:val="24"/>
        </w:rPr>
        <w:t xml:space="preserve">and other cases, </w:t>
      </w:r>
      <w:r w:rsidR="00A067AD">
        <w:rPr>
          <w:rFonts w:ascii="Times New Roman" w:hAnsi="Times New Roman"/>
          <w:sz w:val="24"/>
        </w:rPr>
        <w:t xml:space="preserve">when implying a conceptual linkage between the requirement of belonging and the agency test based on the ‘overall control’ standard, </w:t>
      </w:r>
      <w:r w:rsidR="00955657" w:rsidRPr="00B118CC">
        <w:rPr>
          <w:rFonts w:ascii="Times New Roman" w:hAnsi="Times New Roman"/>
          <w:sz w:val="24"/>
        </w:rPr>
        <w:t xml:space="preserve">the ICTY </w:t>
      </w:r>
      <w:r w:rsidR="008A0FB6" w:rsidRPr="00B118CC">
        <w:rPr>
          <w:rFonts w:ascii="Times New Roman" w:hAnsi="Times New Roman"/>
          <w:sz w:val="24"/>
        </w:rPr>
        <w:t xml:space="preserve">Appeals Chamber </w:t>
      </w:r>
      <w:r w:rsidR="00955657" w:rsidRPr="00B118CC">
        <w:rPr>
          <w:rFonts w:ascii="Times New Roman" w:hAnsi="Times New Roman"/>
          <w:sz w:val="24"/>
        </w:rPr>
        <w:t xml:space="preserve">felt scarcely any need to re-evaluate the appropriate degree of organization when </w:t>
      </w:r>
      <w:r w:rsidR="00C21B58" w:rsidRPr="00B118CC">
        <w:rPr>
          <w:rFonts w:ascii="Times New Roman" w:hAnsi="Times New Roman"/>
          <w:sz w:val="24"/>
        </w:rPr>
        <w:t xml:space="preserve">the conflict </w:t>
      </w:r>
      <w:r w:rsidR="005449AB">
        <w:rPr>
          <w:rFonts w:ascii="Times New Roman" w:hAnsi="Times New Roman"/>
          <w:sz w:val="24"/>
        </w:rPr>
        <w:t xml:space="preserve">in progress </w:t>
      </w:r>
      <w:r w:rsidR="00C21B58" w:rsidRPr="00B118CC">
        <w:rPr>
          <w:rFonts w:ascii="Times New Roman" w:hAnsi="Times New Roman"/>
          <w:sz w:val="24"/>
        </w:rPr>
        <w:t xml:space="preserve">was </w:t>
      </w:r>
      <w:r w:rsidR="00125A69">
        <w:rPr>
          <w:rFonts w:ascii="Times New Roman" w:hAnsi="Times New Roman"/>
          <w:sz w:val="24"/>
        </w:rPr>
        <w:t>judged</w:t>
      </w:r>
      <w:r w:rsidR="007053D1" w:rsidRPr="00B118CC">
        <w:rPr>
          <w:rFonts w:ascii="Times New Roman" w:hAnsi="Times New Roman"/>
          <w:sz w:val="24"/>
        </w:rPr>
        <w:t xml:space="preserve"> to be</w:t>
      </w:r>
      <w:r w:rsidR="00C21B58" w:rsidRPr="00B118CC">
        <w:rPr>
          <w:rFonts w:ascii="Times New Roman" w:hAnsi="Times New Roman"/>
          <w:sz w:val="24"/>
        </w:rPr>
        <w:t xml:space="preserve"> internationalized</w:t>
      </w:r>
      <w:r w:rsidR="00AB6E64" w:rsidRPr="00B118CC">
        <w:rPr>
          <w:rFonts w:ascii="Times New Roman" w:hAnsi="Times New Roman"/>
          <w:sz w:val="24"/>
        </w:rPr>
        <w:t>. As a result,</w:t>
      </w:r>
      <w:r w:rsidR="00C21B58" w:rsidRPr="00B118CC">
        <w:rPr>
          <w:rFonts w:ascii="Times New Roman" w:hAnsi="Times New Roman"/>
          <w:sz w:val="24"/>
        </w:rPr>
        <w:t xml:space="preserve"> </w:t>
      </w:r>
      <w:r w:rsidR="00227D77">
        <w:rPr>
          <w:rFonts w:ascii="Times New Roman" w:hAnsi="Times New Roman"/>
          <w:sz w:val="24"/>
        </w:rPr>
        <w:t xml:space="preserve">it readily assumed that </w:t>
      </w:r>
      <w:r w:rsidR="00955657" w:rsidRPr="00B118CC">
        <w:rPr>
          <w:rFonts w:ascii="Times New Roman" w:hAnsi="Times New Roman"/>
          <w:sz w:val="24"/>
        </w:rPr>
        <w:t xml:space="preserve">the </w:t>
      </w:r>
      <w:r w:rsidR="00E24C8C">
        <w:rPr>
          <w:rFonts w:ascii="Times New Roman" w:hAnsi="Times New Roman"/>
          <w:sz w:val="24"/>
        </w:rPr>
        <w:t>Bosnian Serb entity</w:t>
      </w:r>
      <w:r w:rsidR="002C3253" w:rsidRPr="00B118CC">
        <w:rPr>
          <w:rFonts w:ascii="Times New Roman" w:hAnsi="Times New Roman"/>
          <w:sz w:val="24"/>
        </w:rPr>
        <w:t xml:space="preserve">, which had </w:t>
      </w:r>
      <w:r w:rsidR="007053D1" w:rsidRPr="00B118CC">
        <w:rPr>
          <w:rFonts w:ascii="Times New Roman" w:hAnsi="Times New Roman"/>
          <w:sz w:val="24"/>
        </w:rPr>
        <w:t xml:space="preserve">previously </w:t>
      </w:r>
      <w:r w:rsidR="002C3253" w:rsidRPr="00B118CC">
        <w:rPr>
          <w:rFonts w:ascii="Times New Roman" w:hAnsi="Times New Roman"/>
          <w:sz w:val="24"/>
        </w:rPr>
        <w:t xml:space="preserve">been </w:t>
      </w:r>
      <w:r w:rsidR="00DF14FC">
        <w:rPr>
          <w:rFonts w:ascii="Times New Roman" w:hAnsi="Times New Roman"/>
          <w:sz w:val="24"/>
        </w:rPr>
        <w:t>judged</w:t>
      </w:r>
      <w:r w:rsidR="00DF14FC" w:rsidRPr="00B118CC">
        <w:rPr>
          <w:rFonts w:ascii="Times New Roman" w:hAnsi="Times New Roman"/>
          <w:sz w:val="24"/>
        </w:rPr>
        <w:t xml:space="preserve"> </w:t>
      </w:r>
      <w:r w:rsidR="002C3253" w:rsidRPr="00B118CC">
        <w:rPr>
          <w:rFonts w:ascii="Times New Roman" w:hAnsi="Times New Roman"/>
          <w:sz w:val="24"/>
        </w:rPr>
        <w:t>to be involved in a NIAC,</w:t>
      </w:r>
      <w:r w:rsidR="00BB1D97" w:rsidRPr="00B118CC">
        <w:rPr>
          <w:rStyle w:val="a5"/>
          <w:rFonts w:ascii="Times New Roman" w:hAnsi="Times New Roman"/>
          <w:sz w:val="24"/>
        </w:rPr>
        <w:footnoteReference w:id="144"/>
      </w:r>
      <w:r w:rsidR="002C3253" w:rsidRPr="00B118CC">
        <w:rPr>
          <w:rFonts w:ascii="Times New Roman" w:hAnsi="Times New Roman"/>
          <w:sz w:val="24"/>
        </w:rPr>
        <w:t xml:space="preserve"> </w:t>
      </w:r>
      <w:r w:rsidR="00A067AD">
        <w:rPr>
          <w:rFonts w:ascii="Times New Roman" w:hAnsi="Times New Roman"/>
          <w:sz w:val="24"/>
        </w:rPr>
        <w:t>qualif</w:t>
      </w:r>
      <w:r w:rsidR="00227D77">
        <w:rPr>
          <w:rFonts w:ascii="Times New Roman" w:hAnsi="Times New Roman"/>
          <w:sz w:val="24"/>
        </w:rPr>
        <w:t>ied</w:t>
      </w:r>
      <w:r w:rsidR="00A067AD">
        <w:rPr>
          <w:rFonts w:ascii="Times New Roman" w:hAnsi="Times New Roman"/>
          <w:sz w:val="24"/>
        </w:rPr>
        <w:t xml:space="preserve"> under </w:t>
      </w:r>
      <w:r w:rsidR="00955657" w:rsidRPr="00B118CC">
        <w:rPr>
          <w:rFonts w:ascii="Times New Roman" w:hAnsi="Times New Roman"/>
          <w:sz w:val="24"/>
        </w:rPr>
        <w:t>Article 4</w:t>
      </w:r>
      <w:proofErr w:type="gramStart"/>
      <w:r w:rsidR="00955657" w:rsidRPr="00B118CC">
        <w:rPr>
          <w:rFonts w:ascii="Times New Roman" w:hAnsi="Times New Roman"/>
          <w:sz w:val="24"/>
        </w:rPr>
        <w:t>A(</w:t>
      </w:r>
      <w:proofErr w:type="gramEnd"/>
      <w:r w:rsidR="00955657" w:rsidRPr="00B118CC">
        <w:rPr>
          <w:rFonts w:ascii="Times New Roman" w:hAnsi="Times New Roman"/>
          <w:sz w:val="24"/>
        </w:rPr>
        <w:t xml:space="preserve">2) </w:t>
      </w:r>
      <w:r w:rsidR="00B17ED4">
        <w:rPr>
          <w:rFonts w:ascii="Times New Roman" w:hAnsi="Times New Roman"/>
          <w:sz w:val="24"/>
        </w:rPr>
        <w:t xml:space="preserve">of the </w:t>
      </w:r>
      <w:r w:rsidR="001D7ED3">
        <w:rPr>
          <w:rFonts w:ascii="Times New Roman" w:hAnsi="Times New Roman"/>
          <w:sz w:val="24"/>
        </w:rPr>
        <w:t>Geneva Convention</w:t>
      </w:r>
      <w:r w:rsidR="00955657" w:rsidRPr="00B118CC">
        <w:rPr>
          <w:rFonts w:ascii="Times New Roman" w:hAnsi="Times New Roman"/>
          <w:sz w:val="24"/>
        </w:rPr>
        <w:t xml:space="preserve"> III</w:t>
      </w:r>
      <w:r w:rsidR="004A061B" w:rsidRPr="00B118CC">
        <w:rPr>
          <w:rFonts w:ascii="Times New Roman" w:hAnsi="Times New Roman"/>
          <w:sz w:val="24"/>
        </w:rPr>
        <w:t xml:space="preserve">. </w:t>
      </w:r>
      <w:r w:rsidR="00955657" w:rsidRPr="00B118CC">
        <w:rPr>
          <w:rFonts w:ascii="Times New Roman" w:hAnsi="Times New Roman"/>
          <w:sz w:val="24"/>
        </w:rPr>
        <w:t xml:space="preserve">The </w:t>
      </w:r>
      <w:proofErr w:type="spellStart"/>
      <w:r w:rsidR="0054391A" w:rsidRPr="00B118CC">
        <w:rPr>
          <w:rFonts w:ascii="Times New Roman" w:hAnsi="Times New Roman"/>
          <w:i/>
          <w:iCs/>
          <w:sz w:val="24"/>
        </w:rPr>
        <w:t>Tadić</w:t>
      </w:r>
      <w:proofErr w:type="spellEnd"/>
      <w:r w:rsidR="0054391A" w:rsidRPr="00B118CC">
        <w:rPr>
          <w:rFonts w:ascii="Times New Roman" w:hAnsi="Times New Roman"/>
          <w:sz w:val="24"/>
        </w:rPr>
        <w:t xml:space="preserve"> </w:t>
      </w:r>
      <w:r w:rsidR="00955657" w:rsidRPr="00B118CC">
        <w:rPr>
          <w:rFonts w:ascii="Times New Roman" w:hAnsi="Times New Roman"/>
          <w:sz w:val="24"/>
        </w:rPr>
        <w:t xml:space="preserve">Appeals Chamber did not </w:t>
      </w:r>
      <w:r w:rsidR="00C131EF" w:rsidRPr="00B118CC">
        <w:rPr>
          <w:rFonts w:ascii="Times New Roman" w:hAnsi="Times New Roman"/>
          <w:sz w:val="24"/>
        </w:rPr>
        <w:t>contest</w:t>
      </w:r>
      <w:r w:rsidR="00955657" w:rsidRPr="00B118CC">
        <w:rPr>
          <w:rFonts w:ascii="Times New Roman" w:hAnsi="Times New Roman"/>
          <w:sz w:val="24"/>
        </w:rPr>
        <w:t xml:space="preserve"> the Trial Chamber</w:t>
      </w:r>
      <w:r w:rsidR="00283E8E" w:rsidRPr="00B118CC">
        <w:rPr>
          <w:rFonts w:ascii="Times New Roman" w:hAnsi="Times New Roman"/>
          <w:sz w:val="24"/>
        </w:rPr>
        <w:t xml:space="preserve">’s </w:t>
      </w:r>
      <w:r w:rsidR="00DF14FC">
        <w:rPr>
          <w:rFonts w:ascii="Times New Roman" w:hAnsi="Times New Roman"/>
          <w:sz w:val="24"/>
        </w:rPr>
        <w:t>pronouncement</w:t>
      </w:r>
      <w:r w:rsidR="00DF14FC" w:rsidRPr="00B118CC">
        <w:rPr>
          <w:rFonts w:ascii="Times New Roman" w:hAnsi="Times New Roman"/>
          <w:sz w:val="24"/>
        </w:rPr>
        <w:t xml:space="preserve"> </w:t>
      </w:r>
      <w:r w:rsidR="00AB6E64" w:rsidRPr="00B118CC">
        <w:rPr>
          <w:rFonts w:ascii="Times New Roman" w:hAnsi="Times New Roman"/>
          <w:sz w:val="24"/>
        </w:rPr>
        <w:t xml:space="preserve">that the </w:t>
      </w:r>
      <w:r w:rsidR="00955657" w:rsidRPr="00B118CC">
        <w:rPr>
          <w:rFonts w:ascii="Times New Roman" w:hAnsi="Times New Roman"/>
          <w:sz w:val="24"/>
        </w:rPr>
        <w:t xml:space="preserve">Bosnian Serb forces were well organized </w:t>
      </w:r>
      <w:r w:rsidR="0031192A" w:rsidRPr="00B118CC">
        <w:rPr>
          <w:rFonts w:ascii="Times New Roman" w:hAnsi="Times New Roman"/>
          <w:sz w:val="24"/>
        </w:rPr>
        <w:t>when</w:t>
      </w:r>
      <w:r w:rsidR="00955657" w:rsidRPr="00B118CC">
        <w:rPr>
          <w:rFonts w:ascii="Times New Roman" w:hAnsi="Times New Roman"/>
          <w:sz w:val="24"/>
        </w:rPr>
        <w:t xml:space="preserve"> formed</w:t>
      </w:r>
      <w:r w:rsidR="00AB6E64" w:rsidRPr="00B118CC">
        <w:rPr>
          <w:rFonts w:ascii="Times New Roman" w:hAnsi="Times New Roman"/>
          <w:sz w:val="24"/>
        </w:rPr>
        <w:t>.</w:t>
      </w:r>
      <w:r w:rsidR="00955657" w:rsidRPr="00B118CC">
        <w:rPr>
          <w:rStyle w:val="a5"/>
          <w:rFonts w:ascii="Times New Roman" w:hAnsi="Times New Roman"/>
          <w:sz w:val="24"/>
        </w:rPr>
        <w:footnoteReference w:id="145"/>
      </w:r>
      <w:r w:rsidR="00955657" w:rsidRPr="00B118CC">
        <w:rPr>
          <w:rFonts w:ascii="Times New Roman" w:hAnsi="Times New Roman"/>
          <w:sz w:val="24"/>
        </w:rPr>
        <w:t xml:space="preserve"> </w:t>
      </w:r>
      <w:r w:rsidR="00DC0301" w:rsidRPr="00B118CC">
        <w:rPr>
          <w:rFonts w:ascii="Times New Roman" w:hAnsi="Times New Roman"/>
          <w:sz w:val="24"/>
        </w:rPr>
        <w:t>W</w:t>
      </w:r>
      <w:r w:rsidR="001A1ABA" w:rsidRPr="00B118CC">
        <w:rPr>
          <w:rFonts w:ascii="Times New Roman" w:hAnsi="Times New Roman"/>
          <w:sz w:val="24"/>
        </w:rPr>
        <w:t xml:space="preserve">hile </w:t>
      </w:r>
      <w:r w:rsidR="00955657" w:rsidRPr="00B118CC">
        <w:rPr>
          <w:rFonts w:ascii="Times New Roman" w:hAnsi="Times New Roman"/>
          <w:sz w:val="24"/>
        </w:rPr>
        <w:t>underscor</w:t>
      </w:r>
      <w:r w:rsidR="001C5EE3" w:rsidRPr="00B118CC">
        <w:rPr>
          <w:rFonts w:ascii="Times New Roman" w:hAnsi="Times New Roman"/>
          <w:sz w:val="24"/>
        </w:rPr>
        <w:t>ing</w:t>
      </w:r>
      <w:r w:rsidR="00955657" w:rsidRPr="00B118CC">
        <w:rPr>
          <w:rFonts w:ascii="Times New Roman" w:hAnsi="Times New Roman"/>
          <w:sz w:val="24"/>
        </w:rPr>
        <w:t xml:space="preserve">, as it did on numerous occasions, the importance of the </w:t>
      </w:r>
      <w:r w:rsidR="008E3087" w:rsidRPr="00B118CC">
        <w:rPr>
          <w:rFonts w:ascii="Times New Roman" w:hAnsi="Times New Roman"/>
          <w:sz w:val="24"/>
        </w:rPr>
        <w:t xml:space="preserve">minimum </w:t>
      </w:r>
      <w:r w:rsidR="00955657" w:rsidRPr="00B118CC">
        <w:rPr>
          <w:rFonts w:ascii="Times New Roman" w:hAnsi="Times New Roman"/>
          <w:sz w:val="24"/>
        </w:rPr>
        <w:t>organization</w:t>
      </w:r>
      <w:r w:rsidR="008E3087" w:rsidRPr="00B118CC">
        <w:rPr>
          <w:rFonts w:ascii="Times New Roman" w:hAnsi="Times New Roman"/>
          <w:sz w:val="24"/>
        </w:rPr>
        <w:t>al structure</w:t>
      </w:r>
      <w:r w:rsidR="00955657" w:rsidRPr="00B118CC">
        <w:rPr>
          <w:rFonts w:ascii="Times New Roman" w:hAnsi="Times New Roman"/>
          <w:sz w:val="24"/>
        </w:rPr>
        <w:t xml:space="preserve"> of an armed group,</w:t>
      </w:r>
      <w:r w:rsidR="00955657" w:rsidRPr="00B118CC">
        <w:rPr>
          <w:rStyle w:val="a5"/>
          <w:rFonts w:ascii="Times New Roman" w:hAnsi="Times New Roman"/>
          <w:sz w:val="24"/>
        </w:rPr>
        <w:footnoteReference w:id="146"/>
      </w:r>
      <w:r w:rsidR="00955657" w:rsidRPr="00B118CC">
        <w:rPr>
          <w:rFonts w:ascii="Times New Roman" w:hAnsi="Times New Roman"/>
          <w:sz w:val="24"/>
        </w:rPr>
        <w:t xml:space="preserve"> </w:t>
      </w:r>
      <w:r w:rsidR="001A1ABA" w:rsidRPr="00B118CC">
        <w:rPr>
          <w:rFonts w:ascii="Times New Roman" w:hAnsi="Times New Roman"/>
          <w:sz w:val="24"/>
        </w:rPr>
        <w:t>the Appeals Chamber</w:t>
      </w:r>
      <w:r w:rsidR="0031192A" w:rsidRPr="00B118CC">
        <w:rPr>
          <w:rFonts w:ascii="Times New Roman" w:hAnsi="Times New Roman"/>
          <w:sz w:val="24"/>
        </w:rPr>
        <w:t xml:space="preserve"> did not engage even in any cursory verification of </w:t>
      </w:r>
      <w:r w:rsidR="00A54C24">
        <w:rPr>
          <w:rFonts w:ascii="Times New Roman" w:hAnsi="Times New Roman"/>
          <w:sz w:val="24"/>
        </w:rPr>
        <w:t>the relevant</w:t>
      </w:r>
      <w:r w:rsidR="0031192A" w:rsidRPr="00B118CC">
        <w:rPr>
          <w:rFonts w:ascii="Times New Roman" w:hAnsi="Times New Roman"/>
          <w:sz w:val="24"/>
        </w:rPr>
        <w:t xml:space="preserve"> fact-finding.</w:t>
      </w:r>
      <w:r w:rsidR="002721AD" w:rsidRPr="00B118CC">
        <w:rPr>
          <w:rStyle w:val="a5"/>
          <w:rFonts w:ascii="Times New Roman" w:hAnsi="Times New Roman"/>
          <w:sz w:val="24"/>
        </w:rPr>
        <w:footnoteReference w:id="147"/>
      </w:r>
      <w:r w:rsidR="0031192A" w:rsidRPr="00B118CC">
        <w:rPr>
          <w:rFonts w:ascii="Times New Roman" w:hAnsi="Times New Roman"/>
          <w:sz w:val="24"/>
        </w:rPr>
        <w:t xml:space="preserve"> Instead, </w:t>
      </w:r>
      <w:r w:rsidR="00955657" w:rsidRPr="00B118CC">
        <w:rPr>
          <w:rFonts w:ascii="Times New Roman" w:hAnsi="Times New Roman"/>
          <w:sz w:val="24"/>
        </w:rPr>
        <w:t>the focus of its appraisal gravitat</w:t>
      </w:r>
      <w:r w:rsidR="0031192A" w:rsidRPr="00B118CC">
        <w:rPr>
          <w:rFonts w:ascii="Times New Roman" w:hAnsi="Times New Roman"/>
          <w:sz w:val="24"/>
        </w:rPr>
        <w:t>ed</w:t>
      </w:r>
      <w:r w:rsidR="00955657" w:rsidRPr="00B118CC">
        <w:rPr>
          <w:rFonts w:ascii="Times New Roman" w:hAnsi="Times New Roman"/>
          <w:sz w:val="24"/>
        </w:rPr>
        <w:t xml:space="preserve"> toward </w:t>
      </w:r>
      <w:r w:rsidR="003B3748">
        <w:rPr>
          <w:rFonts w:ascii="Times New Roman" w:hAnsi="Times New Roman"/>
          <w:sz w:val="24"/>
        </w:rPr>
        <w:t xml:space="preserve">how </w:t>
      </w:r>
      <w:r w:rsidR="00955657" w:rsidRPr="00B118CC">
        <w:rPr>
          <w:rFonts w:ascii="Times New Roman" w:hAnsi="Times New Roman"/>
          <w:sz w:val="24"/>
        </w:rPr>
        <w:t xml:space="preserve">the </w:t>
      </w:r>
      <w:r w:rsidR="003B3748">
        <w:rPr>
          <w:rFonts w:ascii="Times New Roman" w:hAnsi="Times New Roman"/>
          <w:sz w:val="24"/>
        </w:rPr>
        <w:t>notion ‘overall control’</w:t>
      </w:r>
      <w:r w:rsidR="00C47EB6">
        <w:rPr>
          <w:rFonts w:ascii="Times New Roman" w:hAnsi="Times New Roman"/>
          <w:sz w:val="24"/>
        </w:rPr>
        <w:t xml:space="preserve"> </w:t>
      </w:r>
      <w:r w:rsidR="00E24C8C">
        <w:rPr>
          <w:rFonts w:ascii="Times New Roman" w:hAnsi="Times New Roman"/>
          <w:sz w:val="24"/>
        </w:rPr>
        <w:t>by a foreign State over an armed group</w:t>
      </w:r>
      <w:r w:rsidR="00227D77">
        <w:rPr>
          <w:rFonts w:ascii="Times New Roman" w:hAnsi="Times New Roman"/>
          <w:sz w:val="24"/>
        </w:rPr>
        <w:t xml:space="preserve"> can be </w:t>
      </w:r>
      <w:r w:rsidR="00C20B3A">
        <w:rPr>
          <w:rFonts w:ascii="Times New Roman" w:hAnsi="Times New Roman"/>
          <w:sz w:val="24"/>
        </w:rPr>
        <w:t>connected</w:t>
      </w:r>
      <w:r w:rsidR="003B3748">
        <w:rPr>
          <w:rFonts w:ascii="Times New Roman" w:hAnsi="Times New Roman"/>
          <w:sz w:val="24"/>
        </w:rPr>
        <w:t xml:space="preserve"> to the </w:t>
      </w:r>
      <w:r w:rsidR="00955657" w:rsidRPr="00B118CC">
        <w:rPr>
          <w:rFonts w:ascii="Times New Roman" w:hAnsi="Times New Roman"/>
          <w:sz w:val="24"/>
        </w:rPr>
        <w:t>requirement of belonging</w:t>
      </w:r>
      <w:r w:rsidR="00FD0045">
        <w:rPr>
          <w:rFonts w:ascii="Times New Roman" w:hAnsi="Times New Roman"/>
          <w:sz w:val="24"/>
        </w:rPr>
        <w:t xml:space="preserve"> </w:t>
      </w:r>
      <w:r>
        <w:rPr>
          <w:rFonts w:ascii="Times New Roman" w:hAnsi="Times New Roman"/>
          <w:sz w:val="24"/>
        </w:rPr>
        <w:t>under Article 4A(2) of the Third Geneva Convention</w:t>
      </w:r>
      <w:r w:rsidR="00227D77">
        <w:rPr>
          <w:rFonts w:ascii="Times New Roman" w:hAnsi="Times New Roman"/>
          <w:sz w:val="24"/>
        </w:rPr>
        <w:t xml:space="preserve"> with a view to assessing </w:t>
      </w:r>
      <w:r w:rsidR="003B3748">
        <w:rPr>
          <w:rFonts w:ascii="Times New Roman" w:hAnsi="Times New Roman"/>
          <w:sz w:val="24"/>
        </w:rPr>
        <w:t>internationaliz</w:t>
      </w:r>
      <w:r w:rsidR="00FD0045">
        <w:rPr>
          <w:rFonts w:ascii="Times New Roman" w:hAnsi="Times New Roman"/>
          <w:sz w:val="24"/>
        </w:rPr>
        <w:t xml:space="preserve">ation of </w:t>
      </w:r>
      <w:r w:rsidR="003B3748">
        <w:rPr>
          <w:rFonts w:ascii="Times New Roman" w:hAnsi="Times New Roman"/>
          <w:sz w:val="24"/>
        </w:rPr>
        <w:t>a</w:t>
      </w:r>
      <w:r w:rsidR="00B4470E">
        <w:rPr>
          <w:rFonts w:ascii="Times New Roman" w:hAnsi="Times New Roman"/>
          <w:sz w:val="24"/>
        </w:rPr>
        <w:t xml:space="preserve"> </w:t>
      </w:r>
      <w:r w:rsidR="00B4470E" w:rsidRPr="00066403">
        <w:rPr>
          <w:rFonts w:ascii="Times New Roman" w:hAnsi="Times New Roman"/>
          <w:i/>
          <w:iCs/>
          <w:sz w:val="24"/>
        </w:rPr>
        <w:t xml:space="preserve">prima facie </w:t>
      </w:r>
      <w:r w:rsidR="00B4470E">
        <w:rPr>
          <w:rFonts w:ascii="Times New Roman" w:hAnsi="Times New Roman"/>
          <w:sz w:val="24"/>
        </w:rPr>
        <w:t>NIAC</w:t>
      </w:r>
      <w:r w:rsidR="003B3748" w:rsidRPr="00BB6CD5">
        <w:rPr>
          <w:rFonts w:ascii="Times New Roman" w:hAnsi="Times New Roman"/>
          <w:sz w:val="24"/>
        </w:rPr>
        <w:t>.</w:t>
      </w:r>
      <w:r w:rsidR="00320D05" w:rsidRPr="00EC1291">
        <w:rPr>
          <w:rStyle w:val="a5"/>
          <w:rFonts w:ascii="Times New Roman" w:hAnsi="Times New Roman"/>
          <w:sz w:val="24"/>
        </w:rPr>
        <w:footnoteReference w:id="148"/>
      </w:r>
      <w:r w:rsidR="00320D05" w:rsidRPr="00EC1291">
        <w:rPr>
          <w:rFonts w:ascii="Times New Roman" w:hAnsi="Times New Roman"/>
          <w:sz w:val="24"/>
        </w:rPr>
        <w:t xml:space="preserve"> </w:t>
      </w:r>
    </w:p>
    <w:p w14:paraId="194467A5" w14:textId="77777777" w:rsidR="005449AB" w:rsidRDefault="005449AB">
      <w:pPr>
        <w:tabs>
          <w:tab w:val="left" w:pos="1560"/>
        </w:tabs>
        <w:rPr>
          <w:rFonts w:ascii="Times New Roman" w:hAnsi="Times New Roman"/>
          <w:sz w:val="24"/>
        </w:rPr>
      </w:pPr>
    </w:p>
    <w:p w14:paraId="0652B28E" w14:textId="643F7BD9" w:rsidR="00955657" w:rsidRPr="00B118CC" w:rsidRDefault="00320D05" w:rsidP="00066403">
      <w:pPr>
        <w:tabs>
          <w:tab w:val="left" w:pos="1560"/>
        </w:tabs>
        <w:rPr>
          <w:rFonts w:ascii="Times New Roman" w:hAnsi="Times New Roman"/>
          <w:sz w:val="24"/>
        </w:rPr>
      </w:pPr>
      <w:r w:rsidRPr="00B118CC">
        <w:rPr>
          <w:rFonts w:ascii="Times New Roman" w:hAnsi="Times New Roman"/>
          <w:sz w:val="24"/>
        </w:rPr>
        <w:t xml:space="preserve">The </w:t>
      </w:r>
      <w:r w:rsidR="00A4154A">
        <w:rPr>
          <w:rFonts w:ascii="Times New Roman" w:hAnsi="Times New Roman"/>
          <w:sz w:val="24"/>
        </w:rPr>
        <w:t>perception</w:t>
      </w:r>
      <w:r w:rsidRPr="00B118CC">
        <w:rPr>
          <w:rFonts w:ascii="Times New Roman" w:hAnsi="Times New Roman"/>
          <w:sz w:val="24"/>
        </w:rPr>
        <w:t xml:space="preserve"> that</w:t>
      </w:r>
      <w:r w:rsidR="00632763">
        <w:rPr>
          <w:rFonts w:ascii="Times New Roman" w:hAnsi="Times New Roman"/>
          <w:sz w:val="24"/>
        </w:rPr>
        <w:t xml:space="preserve"> </w:t>
      </w:r>
      <w:r w:rsidR="00DF14FC">
        <w:rPr>
          <w:rFonts w:ascii="Times New Roman" w:hAnsi="Times New Roman"/>
          <w:sz w:val="24"/>
        </w:rPr>
        <w:t>the</w:t>
      </w:r>
      <w:r w:rsidR="00632763">
        <w:rPr>
          <w:rFonts w:ascii="Times New Roman" w:hAnsi="Times New Roman"/>
          <w:sz w:val="24"/>
        </w:rPr>
        <w:t xml:space="preserve"> interplay between</w:t>
      </w:r>
      <w:r>
        <w:rPr>
          <w:rFonts w:ascii="Times New Roman" w:hAnsi="Times New Roman"/>
          <w:sz w:val="24"/>
        </w:rPr>
        <w:t xml:space="preserve"> the ‘overall control’</w:t>
      </w:r>
      <w:r w:rsidRPr="00B118CC">
        <w:rPr>
          <w:rFonts w:ascii="Times New Roman" w:hAnsi="Times New Roman"/>
          <w:sz w:val="24"/>
        </w:rPr>
        <w:t xml:space="preserve"> </w:t>
      </w:r>
      <w:r>
        <w:rPr>
          <w:rFonts w:ascii="Times New Roman" w:hAnsi="Times New Roman"/>
          <w:sz w:val="24"/>
        </w:rPr>
        <w:t xml:space="preserve">standard and the </w:t>
      </w:r>
      <w:r w:rsidRPr="00B118CC">
        <w:rPr>
          <w:rFonts w:ascii="Times New Roman" w:hAnsi="Times New Roman"/>
          <w:sz w:val="24"/>
        </w:rPr>
        <w:t xml:space="preserve">requirement </w:t>
      </w:r>
      <w:r>
        <w:rPr>
          <w:rFonts w:ascii="Times New Roman" w:hAnsi="Times New Roman"/>
          <w:sz w:val="24"/>
        </w:rPr>
        <w:t xml:space="preserve">of belonging </w:t>
      </w:r>
      <w:r w:rsidR="00A4154A">
        <w:rPr>
          <w:rFonts w:ascii="Times New Roman" w:hAnsi="Times New Roman"/>
          <w:sz w:val="24"/>
        </w:rPr>
        <w:t xml:space="preserve">seemed to </w:t>
      </w:r>
      <w:r w:rsidRPr="00B118CC">
        <w:rPr>
          <w:rFonts w:ascii="Times New Roman" w:hAnsi="Times New Roman"/>
          <w:sz w:val="24"/>
        </w:rPr>
        <w:t xml:space="preserve">outstrip in importance </w:t>
      </w:r>
      <w:r w:rsidR="00632763">
        <w:rPr>
          <w:rFonts w:ascii="Times New Roman" w:hAnsi="Times New Roman"/>
          <w:sz w:val="24"/>
        </w:rPr>
        <w:t>the requirement</w:t>
      </w:r>
      <w:r w:rsidRPr="00B118CC">
        <w:rPr>
          <w:rFonts w:ascii="Times New Roman" w:hAnsi="Times New Roman"/>
          <w:sz w:val="24"/>
        </w:rPr>
        <w:t xml:space="preserve"> of organization </w:t>
      </w:r>
      <w:r w:rsidR="00DF14FC">
        <w:rPr>
          <w:rFonts w:ascii="Times New Roman" w:hAnsi="Times New Roman"/>
          <w:sz w:val="24"/>
        </w:rPr>
        <w:t xml:space="preserve">could be explained </w:t>
      </w:r>
      <w:r w:rsidRPr="00B118CC">
        <w:rPr>
          <w:rFonts w:ascii="Times New Roman" w:hAnsi="Times New Roman"/>
          <w:sz w:val="24"/>
        </w:rPr>
        <w:t xml:space="preserve">by the Appeals Chamber’s </w:t>
      </w:r>
      <w:r w:rsidR="00320EC9">
        <w:rPr>
          <w:rFonts w:ascii="Times New Roman" w:hAnsi="Times New Roman"/>
          <w:sz w:val="24"/>
        </w:rPr>
        <w:t>apparent</w:t>
      </w:r>
      <w:r>
        <w:rPr>
          <w:rFonts w:ascii="Times New Roman" w:hAnsi="Times New Roman"/>
          <w:sz w:val="24"/>
        </w:rPr>
        <w:t xml:space="preserve"> judicial </w:t>
      </w:r>
      <w:r w:rsidRPr="00B118CC">
        <w:rPr>
          <w:rFonts w:ascii="Times New Roman" w:hAnsi="Times New Roman"/>
          <w:sz w:val="24"/>
        </w:rPr>
        <w:t>prowess</w:t>
      </w:r>
      <w:r>
        <w:rPr>
          <w:rFonts w:ascii="Times New Roman" w:hAnsi="Times New Roman"/>
          <w:sz w:val="24"/>
        </w:rPr>
        <w:t xml:space="preserve">, which was nonetheless misconceived. Under its approach, the </w:t>
      </w:r>
      <w:r w:rsidR="00033FFC" w:rsidRPr="00B118CC">
        <w:rPr>
          <w:rFonts w:ascii="Times New Roman" w:hAnsi="Times New Roman"/>
          <w:sz w:val="24"/>
        </w:rPr>
        <w:t>requirement of belonging</w:t>
      </w:r>
      <w:r w:rsidR="00632763">
        <w:rPr>
          <w:rFonts w:ascii="Times New Roman" w:hAnsi="Times New Roman"/>
          <w:sz w:val="24"/>
        </w:rPr>
        <w:t xml:space="preserve"> was </w:t>
      </w:r>
      <w:r w:rsidR="00CB63F5" w:rsidRPr="00B118CC">
        <w:rPr>
          <w:rFonts w:ascii="Times New Roman" w:hAnsi="Times New Roman"/>
          <w:sz w:val="24"/>
        </w:rPr>
        <w:t>deflected from the drafters’ intention</w:t>
      </w:r>
      <w:r w:rsidR="00632763">
        <w:rPr>
          <w:rFonts w:ascii="Times New Roman" w:hAnsi="Times New Roman"/>
          <w:sz w:val="24"/>
        </w:rPr>
        <w:t xml:space="preserve"> and </w:t>
      </w:r>
      <w:r w:rsidR="004A061B" w:rsidRPr="00B118CC">
        <w:rPr>
          <w:rFonts w:ascii="Times New Roman" w:hAnsi="Times New Roman"/>
          <w:sz w:val="24"/>
        </w:rPr>
        <w:t>‘reinvented’</w:t>
      </w:r>
      <w:r w:rsidR="008E3087" w:rsidRPr="00B118CC">
        <w:rPr>
          <w:rFonts w:ascii="Times New Roman" w:hAnsi="Times New Roman"/>
          <w:sz w:val="24"/>
        </w:rPr>
        <w:t xml:space="preserve"> </w:t>
      </w:r>
      <w:r w:rsidR="00955657" w:rsidRPr="00B118CC">
        <w:rPr>
          <w:rFonts w:ascii="Times New Roman" w:hAnsi="Times New Roman"/>
          <w:sz w:val="24"/>
        </w:rPr>
        <w:t xml:space="preserve">as the </w:t>
      </w:r>
      <w:r w:rsidR="00033FFC" w:rsidRPr="00B118CC">
        <w:rPr>
          <w:rFonts w:ascii="Times New Roman" w:hAnsi="Times New Roman"/>
          <w:sz w:val="24"/>
        </w:rPr>
        <w:t>vehicle</w:t>
      </w:r>
      <w:r w:rsidR="00955657" w:rsidRPr="00B118CC">
        <w:rPr>
          <w:rFonts w:ascii="Times New Roman" w:hAnsi="Times New Roman"/>
          <w:sz w:val="24"/>
        </w:rPr>
        <w:t xml:space="preserve"> for </w:t>
      </w:r>
      <w:r w:rsidR="00033FFC" w:rsidRPr="00B118CC">
        <w:rPr>
          <w:rFonts w:ascii="Times New Roman" w:hAnsi="Times New Roman"/>
          <w:sz w:val="24"/>
        </w:rPr>
        <w:t xml:space="preserve">determining </w:t>
      </w:r>
      <w:r w:rsidR="001C5677" w:rsidRPr="00B118CC">
        <w:rPr>
          <w:rFonts w:ascii="Times New Roman" w:hAnsi="Times New Roman"/>
          <w:sz w:val="24"/>
        </w:rPr>
        <w:lastRenderedPageBreak/>
        <w:t>if</w:t>
      </w:r>
      <w:r w:rsidR="00955657" w:rsidRPr="00B118CC">
        <w:rPr>
          <w:rFonts w:ascii="Times New Roman" w:hAnsi="Times New Roman"/>
          <w:sz w:val="24"/>
        </w:rPr>
        <w:t xml:space="preserve"> the conflict </w:t>
      </w:r>
      <w:r w:rsidR="001C5677" w:rsidRPr="00B118CC">
        <w:rPr>
          <w:rFonts w:ascii="Times New Roman" w:hAnsi="Times New Roman"/>
          <w:sz w:val="24"/>
        </w:rPr>
        <w:t xml:space="preserve">afoot </w:t>
      </w:r>
      <w:r w:rsidR="00955657" w:rsidRPr="00B118CC">
        <w:rPr>
          <w:rFonts w:ascii="Times New Roman" w:hAnsi="Times New Roman"/>
          <w:sz w:val="24"/>
        </w:rPr>
        <w:t>was internationalized</w:t>
      </w:r>
      <w:r w:rsidR="001F7D2C" w:rsidRPr="00B118CC">
        <w:rPr>
          <w:rFonts w:ascii="Times New Roman" w:hAnsi="Times New Roman"/>
          <w:sz w:val="24"/>
        </w:rPr>
        <w:t xml:space="preserve">. </w:t>
      </w:r>
      <w:r w:rsidR="00CB63F5" w:rsidRPr="00B118CC">
        <w:rPr>
          <w:rFonts w:ascii="Times New Roman" w:hAnsi="Times New Roman"/>
          <w:sz w:val="24"/>
        </w:rPr>
        <w:t xml:space="preserve">Under Article 4A(2) </w:t>
      </w:r>
      <w:r w:rsidR="00B17ED4">
        <w:rPr>
          <w:rFonts w:ascii="Times New Roman" w:hAnsi="Times New Roman"/>
          <w:sz w:val="24"/>
        </w:rPr>
        <w:t xml:space="preserve">of the Third </w:t>
      </w:r>
      <w:r w:rsidR="001D7ED3">
        <w:rPr>
          <w:rFonts w:ascii="Times New Roman" w:hAnsi="Times New Roman"/>
          <w:sz w:val="24"/>
        </w:rPr>
        <w:t>Geneva Convention</w:t>
      </w:r>
      <w:r w:rsidR="00CB63F5" w:rsidRPr="00B118CC">
        <w:rPr>
          <w:rFonts w:ascii="Times New Roman" w:hAnsi="Times New Roman"/>
          <w:sz w:val="24"/>
        </w:rPr>
        <w:t>, e</w:t>
      </w:r>
      <w:r w:rsidR="001F7D2C" w:rsidRPr="00B118CC">
        <w:rPr>
          <w:rFonts w:ascii="Times New Roman" w:hAnsi="Times New Roman"/>
          <w:sz w:val="24"/>
        </w:rPr>
        <w:t xml:space="preserve">stablishing an affiliation between an irregular armed group and a State party to an IAC had been originally scripted to play the role </w:t>
      </w:r>
      <w:r w:rsidR="00A54C24">
        <w:rPr>
          <w:rFonts w:ascii="Times New Roman" w:hAnsi="Times New Roman"/>
          <w:sz w:val="24"/>
        </w:rPr>
        <w:t xml:space="preserve">solely </w:t>
      </w:r>
      <w:r w:rsidR="001A6CB3" w:rsidRPr="00B118CC">
        <w:rPr>
          <w:rFonts w:ascii="Times New Roman" w:hAnsi="Times New Roman"/>
          <w:sz w:val="24"/>
        </w:rPr>
        <w:t xml:space="preserve">of </w:t>
      </w:r>
      <w:r w:rsidR="008E3087" w:rsidRPr="00B118CC">
        <w:rPr>
          <w:rFonts w:ascii="Times New Roman" w:hAnsi="Times New Roman"/>
          <w:sz w:val="24"/>
        </w:rPr>
        <w:t>ascertain</w:t>
      </w:r>
      <w:r w:rsidR="004A061B" w:rsidRPr="00B118CC">
        <w:rPr>
          <w:rFonts w:ascii="Times New Roman" w:hAnsi="Times New Roman"/>
          <w:sz w:val="24"/>
        </w:rPr>
        <w:t>ing</w:t>
      </w:r>
      <w:r w:rsidR="008E3087" w:rsidRPr="00B118CC">
        <w:rPr>
          <w:rFonts w:ascii="Times New Roman" w:hAnsi="Times New Roman"/>
          <w:sz w:val="24"/>
        </w:rPr>
        <w:t xml:space="preserve"> the personal status of captives</w:t>
      </w:r>
      <w:r w:rsidR="001A6CB3" w:rsidRPr="00B118CC">
        <w:rPr>
          <w:rFonts w:ascii="Times New Roman" w:hAnsi="Times New Roman"/>
          <w:sz w:val="24"/>
        </w:rPr>
        <w:t xml:space="preserve"> (namely, the POW status)</w:t>
      </w:r>
      <w:r w:rsidR="008E3087" w:rsidRPr="00B118CC">
        <w:rPr>
          <w:rFonts w:ascii="Times New Roman" w:hAnsi="Times New Roman"/>
          <w:sz w:val="24"/>
        </w:rPr>
        <w:t>.</w:t>
      </w:r>
      <w:r w:rsidR="009A2CB6" w:rsidRPr="00B118CC">
        <w:rPr>
          <w:rStyle w:val="a5"/>
          <w:rFonts w:ascii="Times New Roman" w:hAnsi="Times New Roman"/>
          <w:sz w:val="24"/>
        </w:rPr>
        <w:footnoteReference w:id="149"/>
      </w:r>
      <w:r w:rsidR="008E3087" w:rsidRPr="00B118CC">
        <w:rPr>
          <w:rFonts w:ascii="Times New Roman" w:hAnsi="Times New Roman"/>
          <w:sz w:val="24"/>
        </w:rPr>
        <w:t xml:space="preserve"> </w:t>
      </w:r>
      <w:r w:rsidR="00CB63F5" w:rsidRPr="00B118CC">
        <w:rPr>
          <w:rFonts w:ascii="Times New Roman" w:hAnsi="Times New Roman"/>
          <w:sz w:val="24"/>
        </w:rPr>
        <w:t xml:space="preserve">Yet, in </w:t>
      </w:r>
      <w:proofErr w:type="spellStart"/>
      <w:r w:rsidR="00B118CC" w:rsidRPr="00B118CC">
        <w:rPr>
          <w:rFonts w:ascii="Times New Roman" w:hAnsi="Times New Roman"/>
          <w:i/>
          <w:iCs/>
          <w:sz w:val="24"/>
        </w:rPr>
        <w:t>Tadić</w:t>
      </w:r>
      <w:proofErr w:type="spellEnd"/>
      <w:r w:rsidR="00CB63F5" w:rsidRPr="00B118CC">
        <w:rPr>
          <w:rFonts w:ascii="Times New Roman" w:hAnsi="Times New Roman"/>
          <w:sz w:val="24"/>
        </w:rPr>
        <w:t xml:space="preserve">, </w:t>
      </w:r>
      <w:r w:rsidR="0087554D">
        <w:rPr>
          <w:rFonts w:ascii="Times New Roman" w:hAnsi="Times New Roman"/>
          <w:sz w:val="24"/>
        </w:rPr>
        <w:t xml:space="preserve">the requirement of belonging was co-opted into the entangled process of the judicial reasoning that sought to tether it to two </w:t>
      </w:r>
      <w:r w:rsidR="00227D77">
        <w:rPr>
          <w:rFonts w:ascii="Times New Roman" w:hAnsi="Times New Roman"/>
          <w:sz w:val="24"/>
        </w:rPr>
        <w:t>separate</w:t>
      </w:r>
      <w:r w:rsidR="0087554D">
        <w:rPr>
          <w:rFonts w:ascii="Times New Roman" w:hAnsi="Times New Roman"/>
          <w:sz w:val="24"/>
        </w:rPr>
        <w:t xml:space="preserve"> issues of conflict classification and State responsibility. The</w:t>
      </w:r>
      <w:r w:rsidR="00E24C8C">
        <w:rPr>
          <w:rFonts w:ascii="Times New Roman" w:hAnsi="Times New Roman"/>
          <w:sz w:val="24"/>
        </w:rPr>
        <w:t xml:space="preserve"> requirement of belonging </w:t>
      </w:r>
      <w:r w:rsidR="00CB63F5" w:rsidRPr="00B118CC">
        <w:rPr>
          <w:rFonts w:ascii="Times New Roman" w:hAnsi="Times New Roman"/>
          <w:sz w:val="24"/>
        </w:rPr>
        <w:t xml:space="preserve">was brought to the central stage </w:t>
      </w:r>
      <w:r w:rsidR="008E3087" w:rsidRPr="00B118CC">
        <w:rPr>
          <w:rFonts w:ascii="Times New Roman" w:hAnsi="Times New Roman"/>
          <w:sz w:val="24"/>
        </w:rPr>
        <w:t xml:space="preserve">precisely </w:t>
      </w:r>
      <w:r w:rsidR="00CB63F5" w:rsidRPr="00B118CC">
        <w:rPr>
          <w:rFonts w:ascii="Times New Roman" w:hAnsi="Times New Roman"/>
          <w:sz w:val="24"/>
        </w:rPr>
        <w:t xml:space="preserve">for the purpose of </w:t>
      </w:r>
      <w:r w:rsidR="004F3912">
        <w:rPr>
          <w:rFonts w:ascii="Times New Roman" w:hAnsi="Times New Roman"/>
          <w:sz w:val="24"/>
        </w:rPr>
        <w:t xml:space="preserve">ascertaining internationalization of the armed conflict at issue and </w:t>
      </w:r>
      <w:r w:rsidR="00CB63F5" w:rsidRPr="00B118CC">
        <w:rPr>
          <w:rFonts w:ascii="Times New Roman" w:hAnsi="Times New Roman"/>
          <w:sz w:val="24"/>
        </w:rPr>
        <w:t>enabling</w:t>
      </w:r>
      <w:r w:rsidR="00C2181B" w:rsidRPr="00B118CC">
        <w:rPr>
          <w:rFonts w:ascii="Times New Roman" w:hAnsi="Times New Roman"/>
          <w:sz w:val="24"/>
        </w:rPr>
        <w:t xml:space="preserve"> </w:t>
      </w:r>
      <w:r w:rsidR="001C5677" w:rsidRPr="00B118CC">
        <w:rPr>
          <w:rFonts w:ascii="Times New Roman" w:hAnsi="Times New Roman"/>
          <w:sz w:val="24"/>
        </w:rPr>
        <w:t xml:space="preserve">the </w:t>
      </w:r>
      <w:r w:rsidR="00955657" w:rsidRPr="00B118CC">
        <w:rPr>
          <w:rFonts w:ascii="Times New Roman" w:hAnsi="Times New Roman"/>
          <w:sz w:val="24"/>
        </w:rPr>
        <w:t xml:space="preserve">IHL of IACs and the war crimes </w:t>
      </w:r>
      <w:r w:rsidR="006F64B3" w:rsidRPr="00B118CC">
        <w:rPr>
          <w:rFonts w:ascii="Times New Roman" w:hAnsi="Times New Roman"/>
          <w:sz w:val="24"/>
        </w:rPr>
        <w:t xml:space="preserve">law </w:t>
      </w:r>
      <w:r w:rsidR="008E3087" w:rsidRPr="00B118CC">
        <w:rPr>
          <w:rFonts w:ascii="Times New Roman" w:hAnsi="Times New Roman"/>
          <w:sz w:val="24"/>
        </w:rPr>
        <w:t>to</w:t>
      </w:r>
      <w:r w:rsidR="00073EF4" w:rsidRPr="00B118CC">
        <w:rPr>
          <w:rFonts w:ascii="Times New Roman" w:hAnsi="Times New Roman"/>
          <w:sz w:val="24"/>
        </w:rPr>
        <w:t xml:space="preserve"> come</w:t>
      </w:r>
      <w:r w:rsidR="00033FFC" w:rsidRPr="00B118CC">
        <w:rPr>
          <w:rFonts w:ascii="Times New Roman" w:hAnsi="Times New Roman"/>
          <w:sz w:val="24"/>
        </w:rPr>
        <w:t xml:space="preserve"> </w:t>
      </w:r>
      <w:r w:rsidR="00955657" w:rsidRPr="00B118CC">
        <w:rPr>
          <w:rFonts w:ascii="Times New Roman" w:hAnsi="Times New Roman"/>
          <w:sz w:val="24"/>
        </w:rPr>
        <w:t>in full swing.</w:t>
      </w:r>
      <w:r w:rsidR="00227D77">
        <w:rPr>
          <w:rStyle w:val="a5"/>
          <w:rFonts w:ascii="Times New Roman" w:hAnsi="Times New Roman"/>
          <w:sz w:val="24"/>
        </w:rPr>
        <w:footnoteReference w:id="150"/>
      </w:r>
      <w:r>
        <w:rPr>
          <w:rFonts w:ascii="Times New Roman" w:hAnsi="Times New Roman"/>
          <w:sz w:val="24"/>
        </w:rPr>
        <w:t xml:space="preserve"> This was compounded by </w:t>
      </w:r>
      <w:r w:rsidR="00C20B3A">
        <w:rPr>
          <w:rFonts w:ascii="Times New Roman" w:hAnsi="Times New Roman"/>
          <w:sz w:val="24"/>
        </w:rPr>
        <w:t xml:space="preserve">the </w:t>
      </w:r>
      <w:proofErr w:type="spellStart"/>
      <w:r w:rsidR="00A4154A" w:rsidRPr="00DB6610">
        <w:rPr>
          <w:rFonts w:ascii="Times New Roman" w:hAnsi="Times New Roman"/>
          <w:i/>
          <w:iCs/>
          <w:sz w:val="24"/>
        </w:rPr>
        <w:t>Tadi</w:t>
      </w:r>
      <w:r w:rsidR="00A4154A" w:rsidRPr="00DB6610">
        <w:rPr>
          <w:rFonts w:ascii="Times New Roman" w:hAnsi="Times New Roman" w:hint="eastAsia"/>
          <w:i/>
          <w:iCs/>
          <w:sz w:val="24"/>
        </w:rPr>
        <w:t>ć</w:t>
      </w:r>
      <w:proofErr w:type="spellEnd"/>
      <w:r w:rsidR="00A4154A">
        <w:rPr>
          <w:rFonts w:ascii="Times New Roman" w:hAnsi="Times New Roman"/>
          <w:sz w:val="24"/>
        </w:rPr>
        <w:t xml:space="preserve"> Appeals Chamber’s </w:t>
      </w:r>
      <w:r>
        <w:rPr>
          <w:rFonts w:ascii="Times New Roman" w:hAnsi="Times New Roman"/>
          <w:sz w:val="24"/>
        </w:rPr>
        <w:t xml:space="preserve">underlying </w:t>
      </w:r>
      <w:r w:rsidR="00A34556">
        <w:rPr>
          <w:rFonts w:ascii="Times New Roman" w:hAnsi="Times New Roman"/>
          <w:sz w:val="24"/>
        </w:rPr>
        <w:t xml:space="preserve">(and </w:t>
      </w:r>
      <w:r w:rsidR="00AF6C95">
        <w:rPr>
          <w:rFonts w:ascii="Times New Roman" w:hAnsi="Times New Roman"/>
          <w:sz w:val="24"/>
        </w:rPr>
        <w:t>flawed</w:t>
      </w:r>
      <w:r w:rsidR="00A34556">
        <w:rPr>
          <w:rFonts w:ascii="Times New Roman" w:hAnsi="Times New Roman"/>
          <w:sz w:val="24"/>
        </w:rPr>
        <w:t xml:space="preserve">) </w:t>
      </w:r>
      <w:r>
        <w:rPr>
          <w:rFonts w:ascii="Times New Roman" w:hAnsi="Times New Roman"/>
          <w:sz w:val="24"/>
        </w:rPr>
        <w:t>suggestion that the ‘overall control’ standard</w:t>
      </w:r>
      <w:r w:rsidR="00C47EB6">
        <w:rPr>
          <w:rFonts w:ascii="Times New Roman" w:hAnsi="Times New Roman"/>
          <w:sz w:val="24"/>
        </w:rPr>
        <w:t>,</w:t>
      </w:r>
      <w:r w:rsidR="00C47EB6" w:rsidRPr="00C47EB6">
        <w:rPr>
          <w:rFonts w:ascii="Times New Roman" w:hAnsi="Times New Roman"/>
          <w:sz w:val="24"/>
        </w:rPr>
        <w:t xml:space="preserve"> </w:t>
      </w:r>
      <w:r w:rsidR="00C47EB6">
        <w:rPr>
          <w:rFonts w:ascii="Times New Roman" w:hAnsi="Times New Roman"/>
          <w:sz w:val="24"/>
        </w:rPr>
        <w:t xml:space="preserve">which </w:t>
      </w:r>
      <w:r w:rsidR="00A4154A">
        <w:rPr>
          <w:rFonts w:ascii="Times New Roman" w:hAnsi="Times New Roman"/>
          <w:sz w:val="24"/>
        </w:rPr>
        <w:t>it</w:t>
      </w:r>
      <w:r w:rsidR="00C47EB6">
        <w:rPr>
          <w:rFonts w:ascii="Times New Roman" w:hAnsi="Times New Roman"/>
          <w:sz w:val="24"/>
        </w:rPr>
        <w:t xml:space="preserve"> substituted for the notion ‘effective control’ as a standard for attribution under the general law of State responsibility, </w:t>
      </w:r>
      <w:r w:rsidR="009166BE">
        <w:rPr>
          <w:rFonts w:ascii="Times New Roman" w:hAnsi="Times New Roman"/>
          <w:sz w:val="24"/>
        </w:rPr>
        <w:t xml:space="preserve">be </w:t>
      </w:r>
      <w:r w:rsidR="005962C8">
        <w:rPr>
          <w:rFonts w:ascii="Times New Roman" w:hAnsi="Times New Roman"/>
          <w:sz w:val="24"/>
        </w:rPr>
        <w:t xml:space="preserve">a </w:t>
      </w:r>
      <w:r w:rsidR="009166BE">
        <w:rPr>
          <w:rFonts w:ascii="Times New Roman" w:hAnsi="Times New Roman"/>
          <w:sz w:val="24"/>
        </w:rPr>
        <w:t xml:space="preserve">fitting </w:t>
      </w:r>
      <w:r>
        <w:rPr>
          <w:rFonts w:ascii="Times New Roman" w:hAnsi="Times New Roman"/>
          <w:sz w:val="24"/>
        </w:rPr>
        <w:t xml:space="preserve">yardstick for the requirement of belonging under Article 4A(2) </w:t>
      </w:r>
      <w:r w:rsidR="00A92434">
        <w:rPr>
          <w:rFonts w:ascii="Times New Roman" w:hAnsi="Times New Roman"/>
          <w:sz w:val="24"/>
        </w:rPr>
        <w:t>of the Geneva Convention</w:t>
      </w:r>
      <w:r>
        <w:rPr>
          <w:rFonts w:ascii="Times New Roman" w:hAnsi="Times New Roman"/>
          <w:sz w:val="24"/>
        </w:rPr>
        <w:t xml:space="preserve"> III.</w:t>
      </w:r>
      <w:r>
        <w:rPr>
          <w:rStyle w:val="a5"/>
          <w:rFonts w:ascii="Times New Roman" w:hAnsi="Times New Roman"/>
          <w:sz w:val="24"/>
        </w:rPr>
        <w:footnoteReference w:id="151"/>
      </w:r>
    </w:p>
    <w:p w14:paraId="20865C67" w14:textId="67D363A9" w:rsidR="00830FC7" w:rsidRDefault="00830FC7" w:rsidP="00E01082">
      <w:pPr>
        <w:rPr>
          <w:rFonts w:ascii="Times New Roman" w:hAnsi="Times New Roman"/>
          <w:sz w:val="24"/>
        </w:rPr>
      </w:pPr>
    </w:p>
    <w:p w14:paraId="33A332B2" w14:textId="68D7940B" w:rsidR="00321208" w:rsidRPr="00066403" w:rsidRDefault="00321208" w:rsidP="00066403">
      <w:pPr>
        <w:pStyle w:val="ad"/>
        <w:numPr>
          <w:ilvl w:val="0"/>
          <w:numId w:val="7"/>
        </w:numPr>
        <w:ind w:leftChars="0"/>
        <w:rPr>
          <w:rFonts w:ascii="Times New Roman" w:hAnsi="Times New Roman"/>
          <w:b/>
          <w:bCs/>
          <w:sz w:val="24"/>
        </w:rPr>
      </w:pPr>
      <w:r w:rsidRPr="00066403">
        <w:rPr>
          <w:rFonts w:ascii="Times New Roman" w:hAnsi="Times New Roman"/>
          <w:b/>
          <w:bCs/>
          <w:sz w:val="24"/>
        </w:rPr>
        <w:t>The Compensatory Model and the Armed Group That is Thinly Organized in the Liminal Situation Where the Legal Character of an Ongoing Conflict Shifts from a NIAC to an IAC</w:t>
      </w:r>
    </w:p>
    <w:p w14:paraId="04B214CA" w14:textId="60713F0D" w:rsidR="00A4154A" w:rsidRDefault="00A4154A" w:rsidP="00E01082">
      <w:pPr>
        <w:rPr>
          <w:rFonts w:ascii="Times New Roman" w:hAnsi="Times New Roman"/>
          <w:sz w:val="24"/>
        </w:rPr>
      </w:pPr>
      <w:r>
        <w:rPr>
          <w:rFonts w:ascii="Times New Roman" w:hAnsi="Times New Roman"/>
          <w:bCs/>
          <w:sz w:val="24"/>
        </w:rPr>
        <w:t xml:space="preserve">In </w:t>
      </w:r>
      <w:r w:rsidR="00073EF4" w:rsidRPr="004D235F">
        <w:rPr>
          <w:rFonts w:ascii="Times New Roman" w:hAnsi="Times New Roman"/>
          <w:bCs/>
          <w:sz w:val="24"/>
        </w:rPr>
        <w:t>the above-mentioned fluid situation</w:t>
      </w:r>
      <w:r w:rsidR="00073EF4">
        <w:rPr>
          <w:rFonts w:ascii="Times New Roman" w:hAnsi="Times New Roman"/>
          <w:bCs/>
          <w:sz w:val="24"/>
        </w:rPr>
        <w:t xml:space="preserve">, </w:t>
      </w:r>
      <w:r>
        <w:rPr>
          <w:rFonts w:ascii="Times New Roman" w:hAnsi="Times New Roman"/>
          <w:bCs/>
          <w:sz w:val="24"/>
        </w:rPr>
        <w:t xml:space="preserve">where </w:t>
      </w:r>
      <w:r w:rsidR="00073EF4" w:rsidRPr="004D235F">
        <w:rPr>
          <w:rFonts w:ascii="Times New Roman" w:hAnsi="Times New Roman"/>
          <w:bCs/>
          <w:sz w:val="24"/>
        </w:rPr>
        <w:t xml:space="preserve">the </w:t>
      </w:r>
      <w:r w:rsidR="00073EF4" w:rsidRPr="004D235F">
        <w:rPr>
          <w:rFonts w:ascii="Times New Roman" w:hAnsi="Times New Roman"/>
          <w:bCs/>
          <w:i/>
          <w:iCs/>
          <w:sz w:val="24"/>
        </w:rPr>
        <w:t xml:space="preserve">prima facie </w:t>
      </w:r>
      <w:r w:rsidR="00B01A47">
        <w:rPr>
          <w:rFonts w:ascii="Times New Roman" w:hAnsi="Times New Roman"/>
          <w:bCs/>
          <w:sz w:val="24"/>
        </w:rPr>
        <w:t>NIAC</w:t>
      </w:r>
      <w:r w:rsidR="00073EF4" w:rsidRPr="004D235F">
        <w:rPr>
          <w:rFonts w:ascii="Times New Roman" w:hAnsi="Times New Roman"/>
          <w:bCs/>
          <w:sz w:val="24"/>
        </w:rPr>
        <w:t xml:space="preserve"> between an armed group and the governmental forces of the territorial State </w:t>
      </w:r>
      <w:r w:rsidR="00E24C8C">
        <w:rPr>
          <w:rFonts w:ascii="Times New Roman" w:hAnsi="Times New Roman"/>
          <w:bCs/>
          <w:sz w:val="24"/>
        </w:rPr>
        <w:t xml:space="preserve">turns </w:t>
      </w:r>
      <w:r>
        <w:rPr>
          <w:rFonts w:ascii="Times New Roman" w:hAnsi="Times New Roman"/>
          <w:bCs/>
          <w:sz w:val="24"/>
        </w:rPr>
        <w:t>into</w:t>
      </w:r>
      <w:r w:rsidRPr="004D235F">
        <w:rPr>
          <w:rFonts w:ascii="Times New Roman" w:hAnsi="Times New Roman"/>
          <w:bCs/>
          <w:sz w:val="24"/>
        </w:rPr>
        <w:t xml:space="preserve"> </w:t>
      </w:r>
      <w:r w:rsidR="00073EF4" w:rsidRPr="004D235F">
        <w:rPr>
          <w:rFonts w:ascii="Times New Roman" w:hAnsi="Times New Roman"/>
          <w:bCs/>
          <w:sz w:val="24"/>
        </w:rPr>
        <w:t xml:space="preserve">an IAC </w:t>
      </w:r>
      <w:r w:rsidR="00B118CC">
        <w:rPr>
          <w:rFonts w:ascii="Times New Roman" w:hAnsi="Times New Roman"/>
          <w:bCs/>
          <w:sz w:val="24"/>
        </w:rPr>
        <w:t>when</w:t>
      </w:r>
      <w:r w:rsidR="00073EF4" w:rsidRPr="004D235F">
        <w:rPr>
          <w:rFonts w:ascii="Times New Roman" w:hAnsi="Times New Roman"/>
          <w:bCs/>
          <w:sz w:val="24"/>
        </w:rPr>
        <w:t xml:space="preserve"> the group concerned </w:t>
      </w:r>
      <w:r>
        <w:rPr>
          <w:rFonts w:ascii="Times New Roman" w:hAnsi="Times New Roman"/>
          <w:bCs/>
          <w:sz w:val="24"/>
        </w:rPr>
        <w:t>comes to act</w:t>
      </w:r>
      <w:r w:rsidRPr="004D235F">
        <w:rPr>
          <w:rFonts w:ascii="Times New Roman" w:hAnsi="Times New Roman"/>
          <w:bCs/>
          <w:sz w:val="24"/>
        </w:rPr>
        <w:t xml:space="preserve"> </w:t>
      </w:r>
      <w:r w:rsidR="00073EF4" w:rsidRPr="004D235F">
        <w:rPr>
          <w:rFonts w:ascii="Times New Roman" w:hAnsi="Times New Roman"/>
          <w:bCs/>
          <w:sz w:val="24"/>
        </w:rPr>
        <w:t>on behalf of a foreign State</w:t>
      </w:r>
      <w:r>
        <w:rPr>
          <w:rFonts w:ascii="Times New Roman" w:hAnsi="Times New Roman"/>
          <w:sz w:val="24"/>
        </w:rPr>
        <w:t xml:space="preserve">, </w:t>
      </w:r>
      <w:r w:rsidR="00E24C8C">
        <w:rPr>
          <w:rFonts w:ascii="Times New Roman" w:hAnsi="Times New Roman"/>
          <w:sz w:val="24"/>
        </w:rPr>
        <w:t>consider</w:t>
      </w:r>
      <w:r w:rsidR="00C131EF">
        <w:rPr>
          <w:rFonts w:ascii="Times New Roman" w:hAnsi="Times New Roman"/>
          <w:sz w:val="24"/>
        </w:rPr>
        <w:t xml:space="preserve"> </w:t>
      </w:r>
      <w:r w:rsidR="00073EF4" w:rsidRPr="004D235F">
        <w:rPr>
          <w:rFonts w:ascii="Times New Roman" w:hAnsi="Times New Roman"/>
          <w:sz w:val="24"/>
        </w:rPr>
        <w:t xml:space="preserve">the violence </w:t>
      </w:r>
      <w:r w:rsidR="00E24C8C">
        <w:rPr>
          <w:rFonts w:ascii="Times New Roman" w:hAnsi="Times New Roman"/>
          <w:sz w:val="24"/>
        </w:rPr>
        <w:t xml:space="preserve">that has been evaluated by a lenient standard </w:t>
      </w:r>
      <w:r w:rsidR="008F0037">
        <w:rPr>
          <w:rFonts w:ascii="Times New Roman" w:hAnsi="Times New Roman"/>
          <w:sz w:val="24"/>
        </w:rPr>
        <w:t>funnelled by</w:t>
      </w:r>
      <w:r w:rsidR="00E24C8C">
        <w:rPr>
          <w:rFonts w:ascii="Times New Roman" w:hAnsi="Times New Roman"/>
          <w:sz w:val="24"/>
        </w:rPr>
        <w:t xml:space="preserve"> the</w:t>
      </w:r>
      <w:r w:rsidR="00E24C8C" w:rsidRPr="004D235F">
        <w:rPr>
          <w:rFonts w:ascii="Times New Roman" w:hAnsi="Times New Roman"/>
          <w:sz w:val="24"/>
        </w:rPr>
        <w:t xml:space="preserve"> compensat</w:t>
      </w:r>
      <w:r w:rsidR="00E24C8C">
        <w:rPr>
          <w:rFonts w:ascii="Times New Roman" w:hAnsi="Times New Roman"/>
          <w:sz w:val="24"/>
        </w:rPr>
        <w:t>ory</w:t>
      </w:r>
      <w:r w:rsidR="00E24C8C" w:rsidRPr="004D235F">
        <w:rPr>
          <w:rFonts w:ascii="Times New Roman" w:hAnsi="Times New Roman"/>
          <w:sz w:val="24"/>
        </w:rPr>
        <w:t xml:space="preserve"> model</w:t>
      </w:r>
      <w:r w:rsidR="00A54C24">
        <w:rPr>
          <w:rFonts w:ascii="Times New Roman" w:hAnsi="Times New Roman"/>
          <w:sz w:val="24"/>
        </w:rPr>
        <w:t xml:space="preserve">. This may have </w:t>
      </w:r>
      <w:r w:rsidR="00C9456F">
        <w:rPr>
          <w:rFonts w:ascii="Times New Roman" w:hAnsi="Times New Roman"/>
          <w:sz w:val="24"/>
        </w:rPr>
        <w:t xml:space="preserve">been done </w:t>
      </w:r>
      <w:r w:rsidR="00C131EF">
        <w:rPr>
          <w:rFonts w:ascii="Times New Roman" w:hAnsi="Times New Roman"/>
          <w:sz w:val="24"/>
        </w:rPr>
        <w:t>notwithstanding</w:t>
      </w:r>
      <w:r w:rsidR="00C131EF" w:rsidRPr="004D235F">
        <w:rPr>
          <w:rFonts w:ascii="Times New Roman" w:hAnsi="Times New Roman"/>
          <w:sz w:val="24"/>
        </w:rPr>
        <w:t xml:space="preserve"> </w:t>
      </w:r>
      <w:r w:rsidR="00A92434">
        <w:rPr>
          <w:rFonts w:ascii="Times New Roman" w:hAnsi="Times New Roman"/>
          <w:sz w:val="24"/>
        </w:rPr>
        <w:t xml:space="preserve">some </w:t>
      </w:r>
      <w:r w:rsidR="00C131EF" w:rsidRPr="004D235F">
        <w:rPr>
          <w:rFonts w:ascii="Times New Roman" w:hAnsi="Times New Roman"/>
          <w:sz w:val="24"/>
        </w:rPr>
        <w:t>doubt over th</w:t>
      </w:r>
      <w:r w:rsidR="00B118CC">
        <w:rPr>
          <w:rFonts w:ascii="Times New Roman" w:hAnsi="Times New Roman"/>
          <w:sz w:val="24"/>
        </w:rPr>
        <w:t xml:space="preserve">at group’s </w:t>
      </w:r>
      <w:r w:rsidR="00C131EF" w:rsidRPr="004D235F">
        <w:rPr>
          <w:rFonts w:ascii="Times New Roman" w:hAnsi="Times New Roman"/>
          <w:sz w:val="24"/>
        </w:rPr>
        <w:t>organized structure</w:t>
      </w:r>
      <w:r w:rsidR="00C131EF">
        <w:rPr>
          <w:rFonts w:ascii="Times New Roman" w:hAnsi="Times New Roman"/>
          <w:sz w:val="24"/>
        </w:rPr>
        <w:t xml:space="preserve">. </w:t>
      </w:r>
      <w:r w:rsidR="00B80F42">
        <w:rPr>
          <w:rFonts w:ascii="Times New Roman" w:hAnsi="Times New Roman"/>
          <w:sz w:val="24"/>
        </w:rPr>
        <w:t>When the conflict is on</w:t>
      </w:r>
      <w:r w:rsidR="00781A3A">
        <w:rPr>
          <w:rFonts w:ascii="Times New Roman" w:hAnsi="Times New Roman"/>
          <w:sz w:val="24"/>
        </w:rPr>
        <w:t xml:space="preserve"> the cusp of turning into an IAC, w</w:t>
      </w:r>
      <w:r w:rsidR="00C131EF">
        <w:rPr>
          <w:rFonts w:ascii="Times New Roman" w:hAnsi="Times New Roman"/>
          <w:sz w:val="24"/>
        </w:rPr>
        <w:t xml:space="preserve">hat would become of that group that remains as thinly organized </w:t>
      </w:r>
      <w:r w:rsidR="00781A3A">
        <w:rPr>
          <w:rFonts w:ascii="Times New Roman" w:hAnsi="Times New Roman"/>
          <w:sz w:val="24"/>
        </w:rPr>
        <w:t xml:space="preserve">as </w:t>
      </w:r>
      <w:r w:rsidR="00836F61">
        <w:rPr>
          <w:rFonts w:ascii="Times New Roman" w:hAnsi="Times New Roman"/>
          <w:sz w:val="24"/>
        </w:rPr>
        <w:t>in</w:t>
      </w:r>
      <w:r w:rsidR="00781A3A">
        <w:rPr>
          <w:rFonts w:ascii="Times New Roman" w:hAnsi="Times New Roman"/>
          <w:sz w:val="24"/>
        </w:rPr>
        <w:t xml:space="preserve"> </w:t>
      </w:r>
      <w:r w:rsidR="00836F61">
        <w:rPr>
          <w:rFonts w:ascii="Times New Roman" w:hAnsi="Times New Roman"/>
          <w:sz w:val="24"/>
        </w:rPr>
        <w:t>the earlier phase of the conflict</w:t>
      </w:r>
      <w:r w:rsidR="00C131EF">
        <w:rPr>
          <w:rFonts w:ascii="Times New Roman" w:hAnsi="Times New Roman"/>
          <w:sz w:val="24"/>
        </w:rPr>
        <w:t xml:space="preserve">? </w:t>
      </w:r>
      <w:r>
        <w:rPr>
          <w:rFonts w:ascii="Times New Roman" w:hAnsi="Times New Roman"/>
          <w:sz w:val="24"/>
        </w:rPr>
        <w:t>In such a situation, this paper proposes that</w:t>
      </w:r>
      <w:r w:rsidR="000703FF">
        <w:rPr>
          <w:rFonts w:ascii="Times New Roman" w:hAnsi="Times New Roman"/>
          <w:sz w:val="24"/>
        </w:rPr>
        <w:t xml:space="preserve"> there be need to </w:t>
      </w:r>
      <w:r w:rsidR="00E24C8C">
        <w:rPr>
          <w:rFonts w:ascii="Times New Roman" w:hAnsi="Times New Roman"/>
          <w:sz w:val="24"/>
        </w:rPr>
        <w:t>depart from</w:t>
      </w:r>
      <w:r>
        <w:rPr>
          <w:rFonts w:ascii="Times New Roman" w:hAnsi="Times New Roman"/>
          <w:sz w:val="24"/>
        </w:rPr>
        <w:t xml:space="preserve"> the first approach</w:t>
      </w:r>
      <w:r w:rsidR="000703FF">
        <w:rPr>
          <w:rFonts w:ascii="Times New Roman" w:hAnsi="Times New Roman"/>
          <w:sz w:val="24"/>
        </w:rPr>
        <w:t xml:space="preserve"> </w:t>
      </w:r>
      <w:r w:rsidR="004C180F">
        <w:rPr>
          <w:rFonts w:ascii="Times New Roman" w:hAnsi="Times New Roman"/>
          <w:sz w:val="24"/>
        </w:rPr>
        <w:t xml:space="preserve">as the </w:t>
      </w:r>
      <w:r w:rsidR="00F46A14">
        <w:rPr>
          <w:rFonts w:ascii="Times New Roman" w:hAnsi="Times New Roman"/>
          <w:sz w:val="24"/>
        </w:rPr>
        <w:t>preferred option. Instead, one should take cognizance of</w:t>
      </w:r>
      <w:r>
        <w:rPr>
          <w:rFonts w:ascii="Times New Roman" w:hAnsi="Times New Roman"/>
          <w:sz w:val="24"/>
        </w:rPr>
        <w:t xml:space="preserve"> the second approach explained </w:t>
      </w:r>
      <w:r w:rsidR="005449AB">
        <w:rPr>
          <w:rFonts w:ascii="Times New Roman" w:hAnsi="Times New Roman"/>
          <w:sz w:val="24"/>
        </w:rPr>
        <w:t xml:space="preserve">above. </w:t>
      </w:r>
      <w:r w:rsidR="000703FF">
        <w:rPr>
          <w:rFonts w:ascii="Times New Roman" w:hAnsi="Times New Roman"/>
          <w:sz w:val="24"/>
        </w:rPr>
        <w:t xml:space="preserve">Hence, it is submitted </w:t>
      </w:r>
      <w:r w:rsidR="00073EF4">
        <w:rPr>
          <w:rFonts w:ascii="Times New Roman" w:hAnsi="Times New Roman"/>
          <w:sz w:val="24"/>
        </w:rPr>
        <w:t xml:space="preserve">that </w:t>
      </w:r>
      <w:r w:rsidR="00631BBE">
        <w:rPr>
          <w:rFonts w:ascii="Times New Roman" w:hAnsi="Times New Roman"/>
          <w:sz w:val="24"/>
        </w:rPr>
        <w:t>th</w:t>
      </w:r>
      <w:r w:rsidR="00836F61">
        <w:rPr>
          <w:rFonts w:ascii="Times New Roman" w:hAnsi="Times New Roman"/>
          <w:sz w:val="24"/>
        </w:rPr>
        <w:t xml:space="preserve">e </w:t>
      </w:r>
      <w:r w:rsidR="00073EF4">
        <w:rPr>
          <w:rFonts w:ascii="Times New Roman" w:hAnsi="Times New Roman"/>
          <w:sz w:val="24"/>
        </w:rPr>
        <w:t xml:space="preserve">level of organization of the group </w:t>
      </w:r>
      <w:r w:rsidR="00836F61">
        <w:rPr>
          <w:rFonts w:ascii="Times New Roman" w:hAnsi="Times New Roman"/>
          <w:sz w:val="24"/>
        </w:rPr>
        <w:t xml:space="preserve">at hand </w:t>
      </w:r>
      <w:r w:rsidR="00073EF4">
        <w:rPr>
          <w:rFonts w:ascii="Times New Roman" w:hAnsi="Times New Roman"/>
          <w:sz w:val="24"/>
        </w:rPr>
        <w:t xml:space="preserve">be verified </w:t>
      </w:r>
      <w:r w:rsidR="00073EF4" w:rsidRPr="00856E8E">
        <w:rPr>
          <w:rFonts w:ascii="Times New Roman" w:hAnsi="Times New Roman"/>
          <w:i/>
          <w:iCs/>
          <w:sz w:val="24"/>
        </w:rPr>
        <w:t>de novo</w:t>
      </w:r>
      <w:r w:rsidR="000F1B3C">
        <w:rPr>
          <w:rFonts w:ascii="Times New Roman" w:hAnsi="Times New Roman"/>
          <w:i/>
          <w:iCs/>
          <w:sz w:val="24"/>
        </w:rPr>
        <w:t xml:space="preserve"> </w:t>
      </w:r>
      <w:r w:rsidR="00E24C8C">
        <w:rPr>
          <w:rFonts w:ascii="Times New Roman" w:hAnsi="Times New Roman"/>
          <w:sz w:val="24"/>
        </w:rPr>
        <w:t xml:space="preserve">when </w:t>
      </w:r>
      <w:r w:rsidR="000F1B3C">
        <w:rPr>
          <w:rFonts w:ascii="Times New Roman" w:hAnsi="Times New Roman"/>
          <w:sz w:val="24"/>
        </w:rPr>
        <w:t xml:space="preserve">evaluating the eligibility of </w:t>
      </w:r>
      <w:r>
        <w:rPr>
          <w:rFonts w:ascii="Times New Roman" w:hAnsi="Times New Roman"/>
          <w:sz w:val="24"/>
        </w:rPr>
        <w:t xml:space="preserve">its </w:t>
      </w:r>
      <w:r w:rsidR="00A34556">
        <w:rPr>
          <w:rFonts w:ascii="Times New Roman" w:hAnsi="Times New Roman"/>
          <w:sz w:val="24"/>
        </w:rPr>
        <w:t xml:space="preserve">members </w:t>
      </w:r>
      <w:r w:rsidR="000F1B3C">
        <w:rPr>
          <w:rFonts w:ascii="Times New Roman" w:hAnsi="Times New Roman"/>
          <w:sz w:val="24"/>
        </w:rPr>
        <w:t xml:space="preserve">for prisoners of war </w:t>
      </w:r>
      <w:r w:rsidR="000F1B3C" w:rsidRPr="00066403">
        <w:rPr>
          <w:rFonts w:ascii="Times New Roman" w:hAnsi="Times New Roman"/>
          <w:sz w:val="24"/>
        </w:rPr>
        <w:t>status.</w:t>
      </w:r>
      <w:r w:rsidR="0054391A" w:rsidRPr="004D235F">
        <w:rPr>
          <w:rStyle w:val="a5"/>
          <w:rFonts w:ascii="Times New Roman" w:hAnsi="Times New Roman"/>
          <w:bCs/>
          <w:sz w:val="24"/>
        </w:rPr>
        <w:footnoteReference w:id="152"/>
      </w:r>
      <w:r w:rsidR="002C2A92" w:rsidRPr="002C2A92">
        <w:rPr>
          <w:rFonts w:ascii="Times New Roman" w:hAnsi="Times New Roman"/>
          <w:sz w:val="24"/>
        </w:rPr>
        <w:t xml:space="preserve"> </w:t>
      </w:r>
      <w:r w:rsidR="00836F61">
        <w:rPr>
          <w:rFonts w:ascii="Times New Roman" w:hAnsi="Times New Roman"/>
          <w:sz w:val="24"/>
        </w:rPr>
        <w:t xml:space="preserve">The reason </w:t>
      </w:r>
      <w:r w:rsidR="00AF6C95">
        <w:rPr>
          <w:rFonts w:ascii="Times New Roman" w:hAnsi="Times New Roman"/>
          <w:sz w:val="24"/>
        </w:rPr>
        <w:t xml:space="preserve">for such a ‘clean slate’ approach </w:t>
      </w:r>
      <w:r w:rsidR="00A72101">
        <w:rPr>
          <w:rFonts w:ascii="Times New Roman" w:hAnsi="Times New Roman"/>
          <w:sz w:val="24"/>
        </w:rPr>
        <w:t xml:space="preserve">to organization </w:t>
      </w:r>
      <w:r w:rsidR="00836F61">
        <w:rPr>
          <w:rFonts w:ascii="Times New Roman" w:hAnsi="Times New Roman"/>
          <w:sz w:val="24"/>
        </w:rPr>
        <w:t xml:space="preserve">is that </w:t>
      </w:r>
      <w:r w:rsidR="00B118CC">
        <w:rPr>
          <w:rFonts w:ascii="Times New Roman" w:hAnsi="Times New Roman"/>
          <w:sz w:val="24"/>
        </w:rPr>
        <w:t xml:space="preserve">the </w:t>
      </w:r>
      <w:r w:rsidR="002C2A92">
        <w:rPr>
          <w:rFonts w:ascii="Times New Roman" w:hAnsi="Times New Roman"/>
          <w:sz w:val="24"/>
        </w:rPr>
        <w:t xml:space="preserve">specific level of intensity of armed </w:t>
      </w:r>
      <w:r w:rsidR="002C2A92">
        <w:rPr>
          <w:rFonts w:ascii="Times New Roman" w:hAnsi="Times New Roman"/>
          <w:sz w:val="24"/>
        </w:rPr>
        <w:lastRenderedPageBreak/>
        <w:t xml:space="preserve">confrontations, albeit not irrelevant, is </w:t>
      </w:r>
      <w:r w:rsidR="00F46A14">
        <w:rPr>
          <w:rFonts w:ascii="Times New Roman" w:hAnsi="Times New Roman"/>
          <w:sz w:val="24"/>
        </w:rPr>
        <w:t xml:space="preserve">hardly </w:t>
      </w:r>
      <w:r>
        <w:rPr>
          <w:rFonts w:ascii="Times New Roman" w:hAnsi="Times New Roman"/>
          <w:sz w:val="24"/>
        </w:rPr>
        <w:t xml:space="preserve">the prerequisite </w:t>
      </w:r>
      <w:r w:rsidR="00555688">
        <w:rPr>
          <w:rFonts w:ascii="Times New Roman" w:hAnsi="Times New Roman"/>
          <w:sz w:val="24"/>
        </w:rPr>
        <w:t xml:space="preserve">for ascertaining </w:t>
      </w:r>
      <w:r w:rsidR="00555688" w:rsidRPr="00EC1291">
        <w:rPr>
          <w:rFonts w:ascii="Times New Roman" w:hAnsi="Times New Roman"/>
          <w:sz w:val="24"/>
        </w:rPr>
        <w:t>an IAC</w:t>
      </w:r>
      <w:r w:rsidR="002C2A92" w:rsidRPr="00EC1291">
        <w:rPr>
          <w:rFonts w:ascii="Times New Roman" w:hAnsi="Times New Roman"/>
          <w:sz w:val="24"/>
        </w:rPr>
        <w:t>.</w:t>
      </w:r>
      <w:r w:rsidR="002C2A92" w:rsidRPr="00EC1291">
        <w:rPr>
          <w:rStyle w:val="a5"/>
          <w:rFonts w:ascii="Times New Roman" w:hAnsi="Times New Roman"/>
          <w:sz w:val="24"/>
        </w:rPr>
        <w:footnoteReference w:id="153"/>
      </w:r>
      <w:r w:rsidR="003A705A">
        <w:rPr>
          <w:rFonts w:ascii="Times New Roman" w:hAnsi="Times New Roman"/>
          <w:sz w:val="24"/>
        </w:rPr>
        <w:t xml:space="preserve"> </w:t>
      </w:r>
      <w:r w:rsidR="00F46A14">
        <w:rPr>
          <w:rFonts w:ascii="Times New Roman" w:hAnsi="Times New Roman"/>
          <w:sz w:val="24"/>
        </w:rPr>
        <w:t xml:space="preserve">There </w:t>
      </w:r>
      <w:r w:rsidR="000703FF" w:rsidRPr="004D235F">
        <w:rPr>
          <w:rFonts w:ascii="Times New Roman" w:hAnsi="Times New Roman"/>
          <w:sz w:val="24"/>
        </w:rPr>
        <w:t xml:space="preserve">is no </w:t>
      </w:r>
      <w:r w:rsidR="000703FF">
        <w:rPr>
          <w:rFonts w:ascii="Times New Roman" w:hAnsi="Times New Roman"/>
          <w:sz w:val="24"/>
        </w:rPr>
        <w:t xml:space="preserve">rational </w:t>
      </w:r>
      <w:r w:rsidR="000703FF" w:rsidRPr="004D235F">
        <w:rPr>
          <w:rFonts w:ascii="Times New Roman" w:hAnsi="Times New Roman"/>
          <w:sz w:val="24"/>
        </w:rPr>
        <w:t>ground for</w:t>
      </w:r>
      <w:r w:rsidR="000703FF">
        <w:rPr>
          <w:rFonts w:ascii="Times New Roman" w:hAnsi="Times New Roman"/>
          <w:sz w:val="24"/>
        </w:rPr>
        <w:t xml:space="preserve"> applying the</w:t>
      </w:r>
      <w:r w:rsidR="000703FF" w:rsidRPr="004D235F">
        <w:rPr>
          <w:rFonts w:ascii="Times New Roman" w:hAnsi="Times New Roman"/>
          <w:sz w:val="24"/>
        </w:rPr>
        <w:t xml:space="preserve"> compensatory model </w:t>
      </w:r>
      <w:r w:rsidR="000703FF">
        <w:rPr>
          <w:rFonts w:ascii="Times New Roman" w:hAnsi="Times New Roman"/>
          <w:sz w:val="24"/>
        </w:rPr>
        <w:t xml:space="preserve">in </w:t>
      </w:r>
      <w:r w:rsidR="000703FF" w:rsidRPr="004D235F">
        <w:rPr>
          <w:rFonts w:ascii="Times New Roman" w:hAnsi="Times New Roman"/>
          <w:sz w:val="24"/>
        </w:rPr>
        <w:t>IACs</w:t>
      </w:r>
      <w:r w:rsidR="000703FF">
        <w:rPr>
          <w:rFonts w:ascii="Times New Roman" w:hAnsi="Times New Roman"/>
          <w:sz w:val="24"/>
        </w:rPr>
        <w:t>.</w:t>
      </w:r>
    </w:p>
    <w:p w14:paraId="7151BD05" w14:textId="77777777" w:rsidR="00A4154A" w:rsidRDefault="00A4154A" w:rsidP="00E01082">
      <w:pPr>
        <w:rPr>
          <w:rFonts w:ascii="Times New Roman" w:hAnsi="Times New Roman"/>
          <w:sz w:val="24"/>
        </w:rPr>
      </w:pPr>
    </w:p>
    <w:p w14:paraId="6E397F86" w14:textId="36A99D05" w:rsidR="00073EF4" w:rsidRPr="00856E8E" w:rsidRDefault="0053720C" w:rsidP="00E01082">
      <w:pPr>
        <w:rPr>
          <w:rFonts w:ascii="Times New Roman" w:hAnsi="Times New Roman"/>
          <w:sz w:val="24"/>
        </w:rPr>
      </w:pPr>
      <w:r>
        <w:rPr>
          <w:rFonts w:ascii="Times New Roman" w:hAnsi="Times New Roman"/>
          <w:sz w:val="24"/>
        </w:rPr>
        <w:t>A</w:t>
      </w:r>
      <w:r w:rsidR="00896F54">
        <w:rPr>
          <w:rFonts w:ascii="Times New Roman" w:hAnsi="Times New Roman"/>
          <w:sz w:val="24"/>
        </w:rPr>
        <w:t xml:space="preserve">lternatively, </w:t>
      </w:r>
      <w:r w:rsidR="002C5AAE">
        <w:rPr>
          <w:rFonts w:ascii="Times New Roman" w:hAnsi="Times New Roman"/>
          <w:sz w:val="24"/>
        </w:rPr>
        <w:t xml:space="preserve">one </w:t>
      </w:r>
      <w:r w:rsidR="003A705A">
        <w:rPr>
          <w:rFonts w:ascii="Times New Roman" w:hAnsi="Times New Roman"/>
          <w:sz w:val="24"/>
        </w:rPr>
        <w:t xml:space="preserve">might turn to the </w:t>
      </w:r>
      <w:r w:rsidR="00896F54">
        <w:rPr>
          <w:rFonts w:ascii="Times New Roman" w:hAnsi="Times New Roman"/>
          <w:sz w:val="24"/>
        </w:rPr>
        <w:t>third</w:t>
      </w:r>
      <w:r w:rsidR="00BA4596">
        <w:rPr>
          <w:rFonts w:ascii="Times New Roman" w:hAnsi="Times New Roman"/>
          <w:sz w:val="24"/>
        </w:rPr>
        <w:t xml:space="preserve"> </w:t>
      </w:r>
      <w:r w:rsidR="003A705A">
        <w:rPr>
          <w:rFonts w:ascii="Times New Roman" w:hAnsi="Times New Roman"/>
          <w:sz w:val="24"/>
        </w:rPr>
        <w:t xml:space="preserve">approach suggested above </w:t>
      </w:r>
      <w:r w:rsidR="000703FF">
        <w:rPr>
          <w:rFonts w:ascii="Times New Roman" w:hAnsi="Times New Roman"/>
          <w:sz w:val="24"/>
        </w:rPr>
        <w:t xml:space="preserve">and </w:t>
      </w:r>
      <w:r w:rsidR="003A705A">
        <w:rPr>
          <w:rFonts w:ascii="Times New Roman" w:hAnsi="Times New Roman"/>
          <w:sz w:val="24"/>
        </w:rPr>
        <w:t>consider an armed group ‘part of a Party’ to an IAC</w:t>
      </w:r>
      <w:r w:rsidR="002C5AAE">
        <w:rPr>
          <w:rFonts w:ascii="Times New Roman" w:hAnsi="Times New Roman"/>
          <w:sz w:val="24"/>
        </w:rPr>
        <w:t xml:space="preserve"> and the ‘regulars’ under Article 4</w:t>
      </w:r>
      <w:proofErr w:type="gramStart"/>
      <w:r w:rsidR="002C5AAE">
        <w:rPr>
          <w:rFonts w:ascii="Times New Roman" w:hAnsi="Times New Roman"/>
          <w:sz w:val="24"/>
        </w:rPr>
        <w:t>A(</w:t>
      </w:r>
      <w:proofErr w:type="gramEnd"/>
      <w:r w:rsidR="002C5AAE">
        <w:rPr>
          <w:rFonts w:ascii="Times New Roman" w:hAnsi="Times New Roman"/>
          <w:sz w:val="24"/>
        </w:rPr>
        <w:t xml:space="preserve">1) of the Third Geneva Convention. </w:t>
      </w:r>
      <w:r w:rsidR="00A34556">
        <w:rPr>
          <w:rFonts w:ascii="Times New Roman" w:hAnsi="Times New Roman"/>
          <w:sz w:val="24"/>
        </w:rPr>
        <w:t xml:space="preserve">Under this rationale, </w:t>
      </w:r>
      <w:r w:rsidR="003A705A">
        <w:rPr>
          <w:rFonts w:ascii="Times New Roman" w:hAnsi="Times New Roman"/>
          <w:sz w:val="24"/>
        </w:rPr>
        <w:t xml:space="preserve">any </w:t>
      </w:r>
      <w:r w:rsidR="0074330D">
        <w:rPr>
          <w:rFonts w:ascii="Times New Roman" w:hAnsi="Times New Roman"/>
          <w:sz w:val="24"/>
        </w:rPr>
        <w:t xml:space="preserve">need for </w:t>
      </w:r>
      <w:r w:rsidR="003A705A">
        <w:rPr>
          <w:rFonts w:ascii="Times New Roman" w:hAnsi="Times New Roman"/>
          <w:sz w:val="24"/>
        </w:rPr>
        <w:t>re</w:t>
      </w:r>
      <w:r w:rsidR="0074330D">
        <w:rPr>
          <w:rFonts w:ascii="Times New Roman" w:hAnsi="Times New Roman"/>
          <w:sz w:val="24"/>
        </w:rPr>
        <w:t>-</w:t>
      </w:r>
      <w:r w:rsidR="003A705A">
        <w:rPr>
          <w:rFonts w:ascii="Times New Roman" w:hAnsi="Times New Roman"/>
          <w:sz w:val="24"/>
        </w:rPr>
        <w:t>evaluati</w:t>
      </w:r>
      <w:r w:rsidR="00555688">
        <w:rPr>
          <w:rFonts w:ascii="Times New Roman" w:hAnsi="Times New Roman"/>
          <w:sz w:val="24"/>
        </w:rPr>
        <w:t xml:space="preserve">ng </w:t>
      </w:r>
      <w:r w:rsidR="003A705A">
        <w:rPr>
          <w:rFonts w:ascii="Times New Roman" w:hAnsi="Times New Roman"/>
          <w:sz w:val="24"/>
        </w:rPr>
        <w:t>the organization</w:t>
      </w:r>
      <w:r w:rsidR="00555688">
        <w:rPr>
          <w:rFonts w:ascii="Times New Roman" w:hAnsi="Times New Roman"/>
          <w:sz w:val="24"/>
        </w:rPr>
        <w:t>al</w:t>
      </w:r>
      <w:r w:rsidR="003A705A">
        <w:rPr>
          <w:rFonts w:ascii="Times New Roman" w:hAnsi="Times New Roman"/>
          <w:sz w:val="24"/>
        </w:rPr>
        <w:t xml:space="preserve"> level of the</w:t>
      </w:r>
      <w:r w:rsidR="006450FD">
        <w:rPr>
          <w:rFonts w:ascii="Times New Roman" w:hAnsi="Times New Roman"/>
          <w:sz w:val="24"/>
        </w:rPr>
        <w:t xml:space="preserve"> armed </w:t>
      </w:r>
      <w:r w:rsidR="003A705A">
        <w:rPr>
          <w:rFonts w:ascii="Times New Roman" w:hAnsi="Times New Roman"/>
          <w:sz w:val="24"/>
        </w:rPr>
        <w:t xml:space="preserve">group </w:t>
      </w:r>
      <w:r w:rsidR="00A4154A">
        <w:rPr>
          <w:rFonts w:ascii="Times New Roman" w:hAnsi="Times New Roman"/>
          <w:sz w:val="24"/>
        </w:rPr>
        <w:t>could</w:t>
      </w:r>
      <w:r w:rsidR="0074330D">
        <w:rPr>
          <w:rFonts w:ascii="Times New Roman" w:hAnsi="Times New Roman"/>
          <w:sz w:val="24"/>
        </w:rPr>
        <w:t xml:space="preserve"> be obliterated</w:t>
      </w:r>
      <w:r w:rsidR="005449AB">
        <w:rPr>
          <w:rFonts w:ascii="Times New Roman" w:hAnsi="Times New Roman"/>
          <w:sz w:val="24"/>
        </w:rPr>
        <w:t xml:space="preserve"> on the </w:t>
      </w:r>
      <w:r w:rsidR="00C20B3A">
        <w:rPr>
          <w:rFonts w:ascii="Times New Roman" w:hAnsi="Times New Roman"/>
          <w:sz w:val="24"/>
        </w:rPr>
        <w:t>conviction</w:t>
      </w:r>
      <w:r w:rsidR="005449AB">
        <w:rPr>
          <w:rFonts w:ascii="Times New Roman" w:hAnsi="Times New Roman"/>
          <w:sz w:val="24"/>
        </w:rPr>
        <w:t xml:space="preserve"> that the ‘regulars’ are </w:t>
      </w:r>
      <w:r w:rsidR="00C20B3A">
        <w:rPr>
          <w:rFonts w:ascii="Times New Roman" w:hAnsi="Times New Roman"/>
          <w:sz w:val="24"/>
        </w:rPr>
        <w:t xml:space="preserve">by nature supposed </w:t>
      </w:r>
      <w:r w:rsidR="000703FF">
        <w:rPr>
          <w:rFonts w:ascii="Times New Roman" w:hAnsi="Times New Roman"/>
          <w:sz w:val="24"/>
        </w:rPr>
        <w:t xml:space="preserve">to </w:t>
      </w:r>
      <w:r w:rsidR="005449AB">
        <w:rPr>
          <w:rFonts w:ascii="Times New Roman" w:hAnsi="Times New Roman"/>
          <w:sz w:val="24"/>
        </w:rPr>
        <w:t>be organized.</w:t>
      </w:r>
      <w:r w:rsidR="00EB6C0E">
        <w:rPr>
          <w:rStyle w:val="a5"/>
          <w:rFonts w:ascii="Times New Roman" w:hAnsi="Times New Roman"/>
          <w:sz w:val="24"/>
        </w:rPr>
        <w:footnoteReference w:id="154"/>
      </w:r>
      <w:r w:rsidR="005449AB">
        <w:rPr>
          <w:rFonts w:ascii="Times New Roman" w:hAnsi="Times New Roman"/>
          <w:sz w:val="24"/>
        </w:rPr>
        <w:t xml:space="preserve"> </w:t>
      </w:r>
      <w:r w:rsidR="000703FF">
        <w:rPr>
          <w:rFonts w:ascii="Times New Roman" w:hAnsi="Times New Roman"/>
          <w:sz w:val="24"/>
        </w:rPr>
        <w:t xml:space="preserve">The cogency of this </w:t>
      </w:r>
      <w:r w:rsidR="00972BF1">
        <w:rPr>
          <w:rFonts w:ascii="Times New Roman" w:hAnsi="Times New Roman"/>
          <w:sz w:val="24"/>
        </w:rPr>
        <w:t xml:space="preserve">approach is </w:t>
      </w:r>
      <w:r w:rsidR="000703FF">
        <w:rPr>
          <w:rFonts w:ascii="Times New Roman" w:hAnsi="Times New Roman"/>
          <w:sz w:val="24"/>
        </w:rPr>
        <w:t>strengthened</w:t>
      </w:r>
      <w:r w:rsidR="00972BF1">
        <w:rPr>
          <w:rFonts w:ascii="Times New Roman" w:hAnsi="Times New Roman"/>
          <w:sz w:val="24"/>
        </w:rPr>
        <w:t xml:space="preserve"> when </w:t>
      </w:r>
      <w:r>
        <w:rPr>
          <w:rFonts w:ascii="Times New Roman" w:hAnsi="Times New Roman"/>
          <w:sz w:val="24"/>
        </w:rPr>
        <w:t xml:space="preserve">one recognizes </w:t>
      </w:r>
      <w:r w:rsidR="000703FF">
        <w:rPr>
          <w:rFonts w:ascii="Times New Roman" w:hAnsi="Times New Roman"/>
          <w:sz w:val="24"/>
        </w:rPr>
        <w:t xml:space="preserve">a </w:t>
      </w:r>
      <w:r w:rsidR="00B743D8">
        <w:rPr>
          <w:rFonts w:ascii="Times New Roman" w:hAnsi="Times New Roman"/>
          <w:sz w:val="24"/>
        </w:rPr>
        <w:t>parallel</w:t>
      </w:r>
      <w:r w:rsidR="000703FF">
        <w:rPr>
          <w:rFonts w:ascii="Times New Roman" w:hAnsi="Times New Roman"/>
          <w:sz w:val="24"/>
        </w:rPr>
        <w:t xml:space="preserve"> operation </w:t>
      </w:r>
      <w:r w:rsidR="00B743D8">
        <w:rPr>
          <w:rFonts w:ascii="Times New Roman" w:hAnsi="Times New Roman"/>
          <w:sz w:val="24"/>
        </w:rPr>
        <w:t>of</w:t>
      </w:r>
      <w:r w:rsidR="00972BF1">
        <w:rPr>
          <w:rFonts w:ascii="Times New Roman" w:hAnsi="Times New Roman"/>
          <w:sz w:val="24"/>
        </w:rPr>
        <w:t xml:space="preserve"> an IAC alongside a NIAC</w:t>
      </w:r>
      <w:r w:rsidRPr="0053720C">
        <w:rPr>
          <w:rFonts w:ascii="Times New Roman" w:hAnsi="Times New Roman"/>
          <w:sz w:val="24"/>
        </w:rPr>
        <w:t xml:space="preserve"> </w:t>
      </w:r>
      <w:r>
        <w:rPr>
          <w:rFonts w:ascii="Times New Roman" w:hAnsi="Times New Roman"/>
          <w:sz w:val="24"/>
        </w:rPr>
        <w:t>pursuant to the so-called ‘pairing thesis’.</w:t>
      </w:r>
      <w:r>
        <w:rPr>
          <w:rStyle w:val="a5"/>
          <w:rFonts w:ascii="Times New Roman" w:hAnsi="Times New Roman"/>
          <w:sz w:val="24"/>
        </w:rPr>
        <w:footnoteReference w:id="155"/>
      </w:r>
      <w:r w:rsidR="00972BF1">
        <w:rPr>
          <w:rFonts w:ascii="Times New Roman" w:hAnsi="Times New Roman"/>
          <w:sz w:val="24"/>
        </w:rPr>
        <w:t xml:space="preserve"> </w:t>
      </w:r>
      <w:r w:rsidR="000703FF">
        <w:rPr>
          <w:rFonts w:ascii="Times New Roman" w:hAnsi="Times New Roman"/>
          <w:sz w:val="24"/>
        </w:rPr>
        <w:t xml:space="preserve">However, contrariwise, </w:t>
      </w:r>
      <w:r w:rsidR="002C5AAE">
        <w:rPr>
          <w:rFonts w:ascii="Times New Roman" w:hAnsi="Times New Roman"/>
          <w:sz w:val="24"/>
        </w:rPr>
        <w:t xml:space="preserve">when </w:t>
      </w:r>
      <w:r w:rsidR="003A705A">
        <w:rPr>
          <w:rFonts w:ascii="Times New Roman" w:hAnsi="Times New Roman"/>
          <w:sz w:val="24"/>
        </w:rPr>
        <w:t>a foreign State Party to the IAC</w:t>
      </w:r>
      <w:r w:rsidR="00193930">
        <w:rPr>
          <w:rFonts w:ascii="Times New Roman" w:hAnsi="Times New Roman"/>
          <w:sz w:val="24"/>
        </w:rPr>
        <w:t>,</w:t>
      </w:r>
      <w:r w:rsidR="003A705A">
        <w:rPr>
          <w:rFonts w:ascii="Times New Roman" w:hAnsi="Times New Roman"/>
          <w:sz w:val="24"/>
        </w:rPr>
        <w:t xml:space="preserve"> to which the group </w:t>
      </w:r>
      <w:r w:rsidR="002C5AAE">
        <w:rPr>
          <w:rFonts w:ascii="Times New Roman" w:hAnsi="Times New Roman"/>
          <w:sz w:val="24"/>
        </w:rPr>
        <w:t>appertains</w:t>
      </w:r>
      <w:r w:rsidR="00193930">
        <w:rPr>
          <w:rFonts w:ascii="Times New Roman" w:hAnsi="Times New Roman"/>
          <w:sz w:val="24"/>
        </w:rPr>
        <w:t xml:space="preserve">, </w:t>
      </w:r>
      <w:r w:rsidR="00B743D8">
        <w:rPr>
          <w:rFonts w:ascii="Times New Roman" w:hAnsi="Times New Roman"/>
          <w:sz w:val="24"/>
        </w:rPr>
        <w:t>has never intervened</w:t>
      </w:r>
      <w:r w:rsidR="002C5AAE">
        <w:rPr>
          <w:rFonts w:ascii="Times New Roman" w:hAnsi="Times New Roman"/>
          <w:sz w:val="24"/>
        </w:rPr>
        <w:t xml:space="preserve"> with its </w:t>
      </w:r>
      <w:r w:rsidR="00193930">
        <w:rPr>
          <w:rFonts w:ascii="Times New Roman" w:hAnsi="Times New Roman"/>
          <w:sz w:val="24"/>
        </w:rPr>
        <w:t xml:space="preserve">own </w:t>
      </w:r>
      <w:r w:rsidR="002C5AAE">
        <w:rPr>
          <w:rFonts w:ascii="Times New Roman" w:hAnsi="Times New Roman"/>
          <w:sz w:val="24"/>
        </w:rPr>
        <w:t>regular armed forces,</w:t>
      </w:r>
      <w:r w:rsidR="003A705A">
        <w:rPr>
          <w:rFonts w:ascii="Times New Roman" w:hAnsi="Times New Roman"/>
          <w:sz w:val="24"/>
        </w:rPr>
        <w:t xml:space="preserve"> </w:t>
      </w:r>
      <w:r w:rsidR="00C20B3A">
        <w:rPr>
          <w:rFonts w:ascii="Times New Roman" w:hAnsi="Times New Roman"/>
          <w:sz w:val="24"/>
        </w:rPr>
        <w:t xml:space="preserve">the premise for such a suggestion is entirely missing. It </w:t>
      </w:r>
      <w:r w:rsidR="00F46A14">
        <w:rPr>
          <w:rFonts w:ascii="Times New Roman" w:hAnsi="Times New Roman"/>
          <w:sz w:val="24"/>
        </w:rPr>
        <w:t xml:space="preserve">seems counterintuitive to contend </w:t>
      </w:r>
      <w:r w:rsidR="00896F54">
        <w:rPr>
          <w:rFonts w:ascii="Times New Roman" w:hAnsi="Times New Roman"/>
          <w:sz w:val="24"/>
        </w:rPr>
        <w:t>that the group</w:t>
      </w:r>
      <w:r>
        <w:rPr>
          <w:rFonts w:ascii="Times New Roman" w:hAnsi="Times New Roman"/>
          <w:sz w:val="24"/>
        </w:rPr>
        <w:t xml:space="preserve"> in question</w:t>
      </w:r>
      <w:r w:rsidR="00896F54">
        <w:rPr>
          <w:rFonts w:ascii="Times New Roman" w:hAnsi="Times New Roman"/>
          <w:sz w:val="24"/>
        </w:rPr>
        <w:t xml:space="preserve"> is an integrated militia of the national armed forces</w:t>
      </w:r>
      <w:r w:rsidR="00C20B3A">
        <w:rPr>
          <w:rFonts w:ascii="Times New Roman" w:hAnsi="Times New Roman"/>
          <w:sz w:val="24"/>
        </w:rPr>
        <w:t xml:space="preserve"> of that State</w:t>
      </w:r>
      <w:r w:rsidR="003A705A">
        <w:rPr>
          <w:rFonts w:ascii="Times New Roman" w:hAnsi="Times New Roman"/>
          <w:sz w:val="24"/>
        </w:rPr>
        <w:t xml:space="preserve">. </w:t>
      </w:r>
      <w:r>
        <w:rPr>
          <w:rFonts w:ascii="Times New Roman" w:hAnsi="Times New Roman"/>
          <w:sz w:val="24"/>
        </w:rPr>
        <w:t xml:space="preserve">It makes more sense </w:t>
      </w:r>
      <w:r w:rsidR="003A705A">
        <w:rPr>
          <w:rFonts w:ascii="Times New Roman" w:hAnsi="Times New Roman"/>
          <w:sz w:val="24"/>
        </w:rPr>
        <w:t xml:space="preserve">to </w:t>
      </w:r>
      <w:r w:rsidR="00533011">
        <w:rPr>
          <w:rFonts w:ascii="Times New Roman" w:hAnsi="Times New Roman" w:hint="eastAsia"/>
          <w:sz w:val="24"/>
        </w:rPr>
        <w:t>a</w:t>
      </w:r>
      <w:r w:rsidR="00533011">
        <w:rPr>
          <w:rFonts w:ascii="Times New Roman" w:hAnsi="Times New Roman"/>
          <w:sz w:val="24"/>
        </w:rPr>
        <w:t xml:space="preserve">dvance </w:t>
      </w:r>
      <w:r w:rsidR="003A705A">
        <w:rPr>
          <w:rFonts w:ascii="Times New Roman" w:hAnsi="Times New Roman"/>
          <w:sz w:val="24"/>
        </w:rPr>
        <w:t xml:space="preserve">that such an armed group </w:t>
      </w:r>
      <w:r w:rsidR="002C5AAE">
        <w:rPr>
          <w:rFonts w:ascii="Times New Roman" w:hAnsi="Times New Roman"/>
          <w:sz w:val="24"/>
        </w:rPr>
        <w:t xml:space="preserve">be </w:t>
      </w:r>
      <w:r w:rsidR="00B743D8">
        <w:rPr>
          <w:rFonts w:ascii="Times New Roman" w:hAnsi="Times New Roman"/>
          <w:sz w:val="24"/>
        </w:rPr>
        <w:t>classified as</w:t>
      </w:r>
      <w:r w:rsidR="003A705A">
        <w:rPr>
          <w:rFonts w:ascii="Times New Roman" w:hAnsi="Times New Roman"/>
          <w:sz w:val="24"/>
        </w:rPr>
        <w:t xml:space="preserve"> an independent force covered by Article 4</w:t>
      </w:r>
      <w:proofErr w:type="gramStart"/>
      <w:r w:rsidR="003A705A">
        <w:rPr>
          <w:rFonts w:ascii="Times New Roman" w:hAnsi="Times New Roman"/>
          <w:sz w:val="24"/>
        </w:rPr>
        <w:t>A(</w:t>
      </w:r>
      <w:proofErr w:type="gramEnd"/>
      <w:r w:rsidR="003A705A">
        <w:rPr>
          <w:rFonts w:ascii="Times New Roman" w:hAnsi="Times New Roman"/>
          <w:sz w:val="24"/>
        </w:rPr>
        <w:t>2) of the Third Geneva Conve</w:t>
      </w:r>
      <w:r w:rsidR="002C5AAE">
        <w:rPr>
          <w:rFonts w:ascii="Times New Roman" w:hAnsi="Times New Roman"/>
          <w:sz w:val="24"/>
        </w:rPr>
        <w:t>ntio</w:t>
      </w:r>
      <w:r w:rsidR="003A705A">
        <w:rPr>
          <w:rFonts w:ascii="Times New Roman" w:hAnsi="Times New Roman"/>
          <w:sz w:val="24"/>
        </w:rPr>
        <w:t>n.</w:t>
      </w:r>
    </w:p>
    <w:p w14:paraId="19B274DA" w14:textId="77777777" w:rsidR="00073EF4" w:rsidRPr="00073EF4" w:rsidRDefault="00073EF4" w:rsidP="00E01082">
      <w:pPr>
        <w:rPr>
          <w:rFonts w:ascii="Times New Roman" w:hAnsi="Times New Roman"/>
          <w:sz w:val="24"/>
        </w:rPr>
      </w:pPr>
    </w:p>
    <w:p w14:paraId="70F919E7" w14:textId="481A22E0" w:rsidR="00856E8E" w:rsidRPr="001E08A8" w:rsidRDefault="00A54C24" w:rsidP="006347AB">
      <w:pPr>
        <w:pStyle w:val="ad"/>
        <w:numPr>
          <w:ilvl w:val="0"/>
          <w:numId w:val="7"/>
        </w:numPr>
        <w:ind w:leftChars="0"/>
        <w:rPr>
          <w:rFonts w:ascii="Times New Roman" w:hAnsi="Times New Roman"/>
          <w:b/>
          <w:bCs/>
          <w:sz w:val="24"/>
        </w:rPr>
      </w:pPr>
      <w:r>
        <w:rPr>
          <w:rFonts w:ascii="Times New Roman" w:hAnsi="Times New Roman"/>
          <w:b/>
          <w:bCs/>
          <w:sz w:val="24"/>
        </w:rPr>
        <w:t>A</w:t>
      </w:r>
      <w:r w:rsidR="00955657" w:rsidRPr="001E08A8">
        <w:rPr>
          <w:rFonts w:ascii="Times New Roman" w:hAnsi="Times New Roman"/>
          <w:b/>
          <w:bCs/>
          <w:sz w:val="24"/>
        </w:rPr>
        <w:t xml:space="preserve"> </w:t>
      </w:r>
      <w:r w:rsidR="0054391A">
        <w:rPr>
          <w:rFonts w:ascii="Times New Roman" w:hAnsi="Times New Roman"/>
          <w:b/>
          <w:bCs/>
          <w:sz w:val="24"/>
        </w:rPr>
        <w:t>P</w:t>
      </w:r>
      <w:r w:rsidR="00955657" w:rsidRPr="001E08A8">
        <w:rPr>
          <w:rFonts w:ascii="Times New Roman" w:hAnsi="Times New Roman"/>
          <w:b/>
          <w:bCs/>
          <w:sz w:val="24"/>
        </w:rPr>
        <w:t xml:space="preserve">ossible </w:t>
      </w:r>
      <w:r w:rsidR="0054391A">
        <w:rPr>
          <w:rFonts w:ascii="Times New Roman" w:hAnsi="Times New Roman"/>
          <w:b/>
          <w:bCs/>
          <w:sz w:val="24"/>
        </w:rPr>
        <w:t>P</w:t>
      </w:r>
      <w:r w:rsidR="00955657" w:rsidRPr="001E08A8">
        <w:rPr>
          <w:rFonts w:ascii="Times New Roman" w:hAnsi="Times New Roman"/>
          <w:b/>
          <w:bCs/>
          <w:sz w:val="24"/>
        </w:rPr>
        <w:t xml:space="preserve">enchant </w:t>
      </w:r>
      <w:r w:rsidR="00DA383F">
        <w:rPr>
          <w:rFonts w:ascii="Times New Roman" w:hAnsi="Times New Roman"/>
          <w:b/>
          <w:bCs/>
          <w:sz w:val="24"/>
        </w:rPr>
        <w:t>T</w:t>
      </w:r>
      <w:r w:rsidR="00E67547">
        <w:rPr>
          <w:rFonts w:ascii="Times New Roman" w:hAnsi="Times New Roman"/>
          <w:b/>
          <w:bCs/>
          <w:sz w:val="24"/>
        </w:rPr>
        <w:t xml:space="preserve">hat </w:t>
      </w:r>
      <w:r w:rsidR="002559CB" w:rsidRPr="001E08A8">
        <w:rPr>
          <w:rFonts w:ascii="Times New Roman" w:hAnsi="Times New Roman"/>
          <w:b/>
          <w:bCs/>
          <w:sz w:val="24"/>
        </w:rPr>
        <w:t xml:space="preserve">the </w:t>
      </w:r>
      <w:r w:rsidR="0054391A">
        <w:rPr>
          <w:rFonts w:ascii="Times New Roman" w:hAnsi="Times New Roman"/>
          <w:b/>
          <w:bCs/>
          <w:sz w:val="24"/>
        </w:rPr>
        <w:t>C</w:t>
      </w:r>
      <w:r w:rsidR="002559CB" w:rsidRPr="001E08A8">
        <w:rPr>
          <w:rFonts w:ascii="Times New Roman" w:hAnsi="Times New Roman"/>
          <w:b/>
          <w:bCs/>
          <w:sz w:val="24"/>
        </w:rPr>
        <w:t xml:space="preserve">ompensatory </w:t>
      </w:r>
      <w:r w:rsidR="0054391A">
        <w:rPr>
          <w:rFonts w:ascii="Times New Roman" w:hAnsi="Times New Roman"/>
          <w:b/>
          <w:bCs/>
          <w:sz w:val="24"/>
        </w:rPr>
        <w:t>M</w:t>
      </w:r>
      <w:r w:rsidR="002559CB" w:rsidRPr="001E08A8">
        <w:rPr>
          <w:rFonts w:ascii="Times New Roman" w:hAnsi="Times New Roman"/>
          <w:b/>
          <w:bCs/>
          <w:sz w:val="24"/>
        </w:rPr>
        <w:t xml:space="preserve">odel </w:t>
      </w:r>
      <w:r w:rsidR="00E67547">
        <w:rPr>
          <w:rFonts w:ascii="Times New Roman" w:hAnsi="Times New Roman"/>
          <w:b/>
          <w:bCs/>
          <w:sz w:val="24"/>
        </w:rPr>
        <w:t xml:space="preserve">Implicitly Operates </w:t>
      </w:r>
      <w:r w:rsidR="0054391A">
        <w:rPr>
          <w:rFonts w:ascii="Times New Roman" w:hAnsi="Times New Roman"/>
          <w:b/>
          <w:bCs/>
          <w:sz w:val="24"/>
        </w:rPr>
        <w:t>W</w:t>
      </w:r>
      <w:r w:rsidR="00955657" w:rsidRPr="001E08A8">
        <w:rPr>
          <w:rFonts w:ascii="Times New Roman" w:hAnsi="Times New Roman"/>
          <w:b/>
          <w:bCs/>
          <w:sz w:val="24"/>
        </w:rPr>
        <w:t xml:space="preserve">here the </w:t>
      </w:r>
      <w:r w:rsidR="0054391A">
        <w:rPr>
          <w:rFonts w:ascii="Times New Roman" w:hAnsi="Times New Roman"/>
          <w:b/>
          <w:bCs/>
          <w:sz w:val="24"/>
        </w:rPr>
        <w:t>A</w:t>
      </w:r>
      <w:r w:rsidR="00955657" w:rsidRPr="001E08A8">
        <w:rPr>
          <w:rFonts w:ascii="Times New Roman" w:hAnsi="Times New Roman"/>
          <w:b/>
          <w:bCs/>
          <w:sz w:val="24"/>
        </w:rPr>
        <w:t xml:space="preserve">rmed </w:t>
      </w:r>
      <w:r w:rsidR="0054391A">
        <w:rPr>
          <w:rFonts w:ascii="Times New Roman" w:hAnsi="Times New Roman"/>
          <w:b/>
          <w:bCs/>
          <w:sz w:val="24"/>
        </w:rPr>
        <w:t>Conflict</w:t>
      </w:r>
      <w:r w:rsidR="00955657" w:rsidRPr="001E08A8">
        <w:rPr>
          <w:rFonts w:ascii="Times New Roman" w:hAnsi="Times New Roman"/>
          <w:b/>
          <w:bCs/>
          <w:sz w:val="24"/>
        </w:rPr>
        <w:t xml:space="preserve"> </w:t>
      </w:r>
      <w:r w:rsidR="0054391A">
        <w:rPr>
          <w:rFonts w:ascii="Times New Roman" w:hAnsi="Times New Roman"/>
          <w:b/>
          <w:bCs/>
          <w:sz w:val="24"/>
        </w:rPr>
        <w:t>S</w:t>
      </w:r>
      <w:r w:rsidR="00955657" w:rsidRPr="001E08A8">
        <w:rPr>
          <w:rFonts w:ascii="Times New Roman" w:hAnsi="Times New Roman"/>
          <w:b/>
          <w:bCs/>
          <w:sz w:val="24"/>
        </w:rPr>
        <w:t>witch</w:t>
      </w:r>
      <w:r w:rsidR="00856E8E" w:rsidRPr="001E08A8">
        <w:rPr>
          <w:rFonts w:ascii="Times New Roman" w:hAnsi="Times New Roman"/>
          <w:b/>
          <w:bCs/>
          <w:sz w:val="24"/>
        </w:rPr>
        <w:t xml:space="preserve">es </w:t>
      </w:r>
      <w:r w:rsidR="00F62262" w:rsidRPr="001E08A8">
        <w:rPr>
          <w:rFonts w:ascii="Times New Roman" w:hAnsi="Times New Roman"/>
          <w:b/>
          <w:bCs/>
          <w:sz w:val="24"/>
        </w:rPr>
        <w:t>(back) from an IAC to a NIAC</w:t>
      </w:r>
    </w:p>
    <w:p w14:paraId="1A3D21DE" w14:textId="235BCD33" w:rsidR="00CC0C06" w:rsidRDefault="00856E8E" w:rsidP="00FD67BA">
      <w:pPr>
        <w:tabs>
          <w:tab w:val="left" w:pos="0"/>
        </w:tabs>
        <w:rPr>
          <w:rFonts w:ascii="Times New Roman" w:hAnsi="Times New Roman"/>
          <w:bCs/>
          <w:sz w:val="24"/>
        </w:rPr>
      </w:pPr>
      <w:bookmarkStart w:id="3" w:name="JCSL"/>
      <w:bookmarkEnd w:id="3"/>
      <w:r>
        <w:rPr>
          <w:rFonts w:ascii="Times New Roman" w:hAnsi="Times New Roman"/>
          <w:bCs/>
          <w:sz w:val="24"/>
        </w:rPr>
        <w:t>In the above fluid situation</w:t>
      </w:r>
      <w:r w:rsidR="00A87E23">
        <w:rPr>
          <w:rFonts w:ascii="Times New Roman" w:hAnsi="Times New Roman"/>
          <w:bCs/>
          <w:sz w:val="24"/>
        </w:rPr>
        <w:t xml:space="preserve"> again</w:t>
      </w:r>
      <w:r>
        <w:rPr>
          <w:rFonts w:ascii="Times New Roman" w:hAnsi="Times New Roman"/>
          <w:bCs/>
          <w:sz w:val="24"/>
        </w:rPr>
        <w:t>, s</w:t>
      </w:r>
      <w:r w:rsidR="00955657" w:rsidRPr="004D235F">
        <w:rPr>
          <w:rFonts w:ascii="Times New Roman" w:hAnsi="Times New Roman"/>
          <w:bCs/>
          <w:sz w:val="24"/>
        </w:rPr>
        <w:t xml:space="preserve">uppose the opposite scenario in which the level of control </w:t>
      </w:r>
      <w:r w:rsidR="00A87E23">
        <w:rPr>
          <w:rFonts w:ascii="Times New Roman" w:hAnsi="Times New Roman"/>
          <w:bCs/>
          <w:sz w:val="24"/>
        </w:rPr>
        <w:t xml:space="preserve">over the armed group </w:t>
      </w:r>
      <w:r w:rsidR="00955657" w:rsidRPr="004D235F">
        <w:rPr>
          <w:rFonts w:ascii="Times New Roman" w:hAnsi="Times New Roman"/>
          <w:bCs/>
          <w:sz w:val="24"/>
        </w:rPr>
        <w:t xml:space="preserve">exercised by </w:t>
      </w:r>
      <w:r w:rsidR="00A87E23">
        <w:rPr>
          <w:rFonts w:ascii="Times New Roman" w:hAnsi="Times New Roman"/>
          <w:bCs/>
          <w:sz w:val="24"/>
        </w:rPr>
        <w:t>an outside</w:t>
      </w:r>
      <w:r w:rsidR="00955657" w:rsidRPr="004D235F">
        <w:rPr>
          <w:rFonts w:ascii="Times New Roman" w:hAnsi="Times New Roman"/>
          <w:bCs/>
          <w:sz w:val="24"/>
        </w:rPr>
        <w:t xml:space="preserve"> State peters away. In case that level falls below that of ‘overall control’, the legal character of the IAC in progress may be </w:t>
      </w:r>
      <w:r w:rsidR="004C180F">
        <w:rPr>
          <w:rFonts w:ascii="Times New Roman" w:hAnsi="Times New Roman"/>
          <w:bCs/>
          <w:sz w:val="24"/>
        </w:rPr>
        <w:t>deemed</w:t>
      </w:r>
      <w:r w:rsidR="004C180F" w:rsidRPr="004D235F">
        <w:rPr>
          <w:rFonts w:ascii="Times New Roman" w:hAnsi="Times New Roman"/>
          <w:bCs/>
          <w:sz w:val="24"/>
        </w:rPr>
        <w:t xml:space="preserve"> </w:t>
      </w:r>
      <w:r w:rsidR="00955657" w:rsidRPr="004D235F">
        <w:rPr>
          <w:rFonts w:ascii="Times New Roman" w:hAnsi="Times New Roman"/>
          <w:bCs/>
          <w:sz w:val="24"/>
        </w:rPr>
        <w:t>to switch (back) to a NIAC.</w:t>
      </w:r>
      <w:r w:rsidR="00722170">
        <w:rPr>
          <w:rStyle w:val="a5"/>
          <w:rFonts w:ascii="Times New Roman" w:hAnsi="Times New Roman"/>
          <w:bCs/>
          <w:sz w:val="24"/>
        </w:rPr>
        <w:footnoteReference w:id="156"/>
      </w:r>
      <w:r w:rsidR="00B47693" w:rsidRPr="00B47693">
        <w:rPr>
          <w:rFonts w:ascii="Times New Roman" w:hAnsi="Times New Roman"/>
          <w:bCs/>
          <w:sz w:val="24"/>
        </w:rPr>
        <w:t xml:space="preserve"> </w:t>
      </w:r>
      <w:r w:rsidR="00CA0D48">
        <w:rPr>
          <w:rFonts w:ascii="Times New Roman" w:hAnsi="Times New Roman"/>
          <w:bCs/>
          <w:sz w:val="24"/>
        </w:rPr>
        <w:t xml:space="preserve">Consider </w:t>
      </w:r>
      <w:r w:rsidR="00321208">
        <w:rPr>
          <w:rFonts w:ascii="Times New Roman" w:hAnsi="Times New Roman"/>
          <w:bCs/>
          <w:sz w:val="24"/>
        </w:rPr>
        <w:t xml:space="preserve">the armed group </w:t>
      </w:r>
      <w:r w:rsidR="00C878A9">
        <w:rPr>
          <w:rFonts w:ascii="Times New Roman" w:hAnsi="Times New Roman"/>
          <w:bCs/>
          <w:sz w:val="24"/>
        </w:rPr>
        <w:t>whose organizational level has never been at issue</w:t>
      </w:r>
      <w:r w:rsidR="00CA0D48">
        <w:rPr>
          <w:rFonts w:ascii="Times New Roman" w:hAnsi="Times New Roman"/>
          <w:bCs/>
          <w:sz w:val="24"/>
        </w:rPr>
        <w:t xml:space="preserve"> </w:t>
      </w:r>
      <w:r w:rsidR="00C878A9">
        <w:rPr>
          <w:rFonts w:ascii="Times New Roman" w:hAnsi="Times New Roman"/>
          <w:bCs/>
          <w:sz w:val="24"/>
        </w:rPr>
        <w:t>throughout the period when the conflict has been classified as an IAC</w:t>
      </w:r>
      <w:r w:rsidR="00CA0D48">
        <w:rPr>
          <w:rFonts w:ascii="Times New Roman" w:hAnsi="Times New Roman"/>
          <w:bCs/>
          <w:sz w:val="24"/>
        </w:rPr>
        <w:t xml:space="preserve">. When the conflict in progress is </w:t>
      </w:r>
      <w:r w:rsidR="00C878A9">
        <w:rPr>
          <w:rFonts w:ascii="Times New Roman" w:hAnsi="Times New Roman"/>
          <w:bCs/>
          <w:sz w:val="24"/>
        </w:rPr>
        <w:t>transformed</w:t>
      </w:r>
      <w:r w:rsidR="00CA0D48">
        <w:rPr>
          <w:rFonts w:ascii="Times New Roman" w:hAnsi="Times New Roman"/>
          <w:bCs/>
          <w:sz w:val="24"/>
        </w:rPr>
        <w:t xml:space="preserve"> (</w:t>
      </w:r>
      <w:r w:rsidR="004B02B6">
        <w:rPr>
          <w:rFonts w:ascii="Times New Roman" w:hAnsi="Times New Roman"/>
          <w:bCs/>
          <w:sz w:val="24"/>
        </w:rPr>
        <w:t>or reverted</w:t>
      </w:r>
      <w:r w:rsidR="00CA0D48">
        <w:rPr>
          <w:rFonts w:ascii="Times New Roman" w:hAnsi="Times New Roman"/>
          <w:bCs/>
          <w:sz w:val="24"/>
        </w:rPr>
        <w:t xml:space="preserve">) into a NIAC due to the </w:t>
      </w:r>
      <w:r w:rsidR="004B02B6">
        <w:rPr>
          <w:rFonts w:ascii="Times New Roman" w:hAnsi="Times New Roman"/>
          <w:bCs/>
          <w:sz w:val="24"/>
        </w:rPr>
        <w:t>waning</w:t>
      </w:r>
      <w:r w:rsidR="00CA0D48">
        <w:rPr>
          <w:rFonts w:ascii="Times New Roman" w:hAnsi="Times New Roman"/>
          <w:bCs/>
          <w:sz w:val="24"/>
        </w:rPr>
        <w:t xml:space="preserve"> degree of control by the external power, </w:t>
      </w:r>
      <w:r w:rsidR="00C878A9">
        <w:rPr>
          <w:rFonts w:ascii="Times New Roman" w:hAnsi="Times New Roman"/>
          <w:bCs/>
          <w:sz w:val="24"/>
        </w:rPr>
        <w:t xml:space="preserve">it is reasonable that </w:t>
      </w:r>
      <w:r w:rsidR="004C180F">
        <w:rPr>
          <w:rFonts w:ascii="Times New Roman" w:hAnsi="Times New Roman"/>
          <w:bCs/>
          <w:sz w:val="24"/>
        </w:rPr>
        <w:t xml:space="preserve">the </w:t>
      </w:r>
      <w:r w:rsidR="00C878A9">
        <w:rPr>
          <w:rFonts w:ascii="Times New Roman" w:hAnsi="Times New Roman"/>
          <w:bCs/>
          <w:sz w:val="24"/>
        </w:rPr>
        <w:t xml:space="preserve">assumption of </w:t>
      </w:r>
      <w:r w:rsidR="00CA0D48">
        <w:rPr>
          <w:rFonts w:ascii="Times New Roman" w:hAnsi="Times New Roman"/>
          <w:bCs/>
          <w:sz w:val="24"/>
        </w:rPr>
        <w:t xml:space="preserve">the </w:t>
      </w:r>
      <w:r w:rsidR="00B743D8">
        <w:rPr>
          <w:rFonts w:ascii="Times New Roman" w:hAnsi="Times New Roman"/>
          <w:bCs/>
          <w:sz w:val="24"/>
        </w:rPr>
        <w:t xml:space="preserve">armed </w:t>
      </w:r>
      <w:r w:rsidR="00CA0D48">
        <w:rPr>
          <w:rFonts w:ascii="Times New Roman" w:hAnsi="Times New Roman"/>
          <w:bCs/>
          <w:sz w:val="24"/>
        </w:rPr>
        <w:t xml:space="preserve">group </w:t>
      </w:r>
      <w:r w:rsidR="00C878A9">
        <w:rPr>
          <w:rFonts w:ascii="Times New Roman" w:hAnsi="Times New Roman"/>
          <w:bCs/>
          <w:sz w:val="24"/>
        </w:rPr>
        <w:t>being</w:t>
      </w:r>
      <w:r w:rsidR="00CA0D48">
        <w:rPr>
          <w:rFonts w:ascii="Times New Roman" w:hAnsi="Times New Roman"/>
          <w:bCs/>
          <w:sz w:val="24"/>
        </w:rPr>
        <w:t xml:space="preserve"> sufficiently </w:t>
      </w:r>
      <w:r w:rsidR="00321208">
        <w:rPr>
          <w:rFonts w:ascii="Times New Roman" w:hAnsi="Times New Roman"/>
          <w:bCs/>
          <w:sz w:val="24"/>
        </w:rPr>
        <w:t xml:space="preserve">organized </w:t>
      </w:r>
      <w:r w:rsidR="00C878A9">
        <w:rPr>
          <w:rFonts w:ascii="Times New Roman" w:hAnsi="Times New Roman"/>
          <w:bCs/>
          <w:sz w:val="24"/>
        </w:rPr>
        <w:t xml:space="preserve">be </w:t>
      </w:r>
      <w:r w:rsidR="00321208">
        <w:rPr>
          <w:rFonts w:ascii="Times New Roman" w:hAnsi="Times New Roman"/>
          <w:bCs/>
          <w:sz w:val="24"/>
        </w:rPr>
        <w:t>upheld</w:t>
      </w:r>
      <w:r w:rsidR="004B02B6">
        <w:rPr>
          <w:rFonts w:ascii="Times New Roman" w:hAnsi="Times New Roman"/>
          <w:bCs/>
          <w:sz w:val="24"/>
        </w:rPr>
        <w:t xml:space="preserve"> </w:t>
      </w:r>
      <w:r w:rsidR="00B743D8">
        <w:rPr>
          <w:rFonts w:ascii="Times New Roman" w:hAnsi="Times New Roman"/>
          <w:bCs/>
          <w:sz w:val="24"/>
        </w:rPr>
        <w:t xml:space="preserve">as still valid. </w:t>
      </w:r>
      <w:r w:rsidR="00533011">
        <w:rPr>
          <w:rFonts w:ascii="Times New Roman" w:hAnsi="Times New Roman"/>
          <w:bCs/>
          <w:sz w:val="24"/>
        </w:rPr>
        <w:t xml:space="preserve">This is most likely to be the case in practice </w:t>
      </w:r>
      <w:r w:rsidR="00B743D8">
        <w:rPr>
          <w:rFonts w:ascii="Times New Roman" w:hAnsi="Times New Roman"/>
          <w:bCs/>
          <w:sz w:val="24"/>
        </w:rPr>
        <w:t xml:space="preserve">notwithstanding that </w:t>
      </w:r>
      <w:r w:rsidR="00533011">
        <w:rPr>
          <w:rFonts w:ascii="Times New Roman" w:hAnsi="Times New Roman"/>
          <w:bCs/>
          <w:sz w:val="24"/>
        </w:rPr>
        <w:t>the group concerned</w:t>
      </w:r>
      <w:r w:rsidR="00B743D8">
        <w:rPr>
          <w:rFonts w:ascii="Times New Roman" w:hAnsi="Times New Roman"/>
          <w:bCs/>
          <w:sz w:val="24"/>
        </w:rPr>
        <w:t xml:space="preserve"> </w:t>
      </w:r>
      <w:r w:rsidR="00B743D8" w:rsidRPr="00066403">
        <w:rPr>
          <w:rFonts w:ascii="Times New Roman" w:hAnsi="Times New Roman"/>
          <w:bCs/>
          <w:i/>
          <w:iCs/>
          <w:sz w:val="24"/>
        </w:rPr>
        <w:t>appears</w:t>
      </w:r>
      <w:r w:rsidR="00B743D8">
        <w:rPr>
          <w:rFonts w:ascii="Times New Roman" w:hAnsi="Times New Roman"/>
          <w:bCs/>
          <w:sz w:val="24"/>
        </w:rPr>
        <w:t xml:space="preserve"> to be losing organizational control over its members</w:t>
      </w:r>
      <w:r w:rsidR="00321208">
        <w:rPr>
          <w:rFonts w:ascii="Times New Roman" w:hAnsi="Times New Roman"/>
          <w:bCs/>
          <w:sz w:val="24"/>
        </w:rPr>
        <w:t>.</w:t>
      </w:r>
      <w:r w:rsidR="00E67547">
        <w:rPr>
          <w:rFonts w:ascii="Times New Roman" w:hAnsi="Times New Roman"/>
          <w:bCs/>
          <w:sz w:val="24"/>
        </w:rPr>
        <w:t xml:space="preserve"> </w:t>
      </w:r>
      <w:r w:rsidR="00321208">
        <w:rPr>
          <w:rFonts w:ascii="Times New Roman" w:hAnsi="Times New Roman"/>
          <w:bCs/>
          <w:sz w:val="24"/>
        </w:rPr>
        <w:t xml:space="preserve">This </w:t>
      </w:r>
      <w:r w:rsidR="002C6EB0">
        <w:rPr>
          <w:rFonts w:ascii="Times New Roman" w:hAnsi="Times New Roman"/>
          <w:bCs/>
          <w:sz w:val="24"/>
        </w:rPr>
        <w:t xml:space="preserve">in turn </w:t>
      </w:r>
      <w:r w:rsidR="00321208">
        <w:rPr>
          <w:rFonts w:ascii="Times New Roman" w:hAnsi="Times New Roman"/>
          <w:bCs/>
          <w:sz w:val="24"/>
        </w:rPr>
        <w:t xml:space="preserve">suggests that the level of organization demanded of an armed group at such a transitional phase </w:t>
      </w:r>
      <w:r w:rsidR="008737FB">
        <w:rPr>
          <w:rFonts w:ascii="Times New Roman" w:hAnsi="Times New Roman"/>
          <w:bCs/>
          <w:sz w:val="24"/>
        </w:rPr>
        <w:t>may</w:t>
      </w:r>
      <w:r w:rsidR="00B743D8">
        <w:rPr>
          <w:rFonts w:ascii="Times New Roman" w:hAnsi="Times New Roman"/>
          <w:bCs/>
          <w:sz w:val="24"/>
        </w:rPr>
        <w:t xml:space="preserve"> be</w:t>
      </w:r>
      <w:r w:rsidR="00321208">
        <w:rPr>
          <w:rFonts w:ascii="Times New Roman" w:hAnsi="Times New Roman"/>
          <w:bCs/>
          <w:sz w:val="24"/>
        </w:rPr>
        <w:t xml:space="preserve"> </w:t>
      </w:r>
      <w:r w:rsidR="004B02B6">
        <w:rPr>
          <w:rFonts w:ascii="Times New Roman" w:hAnsi="Times New Roman"/>
          <w:bCs/>
          <w:sz w:val="24"/>
        </w:rPr>
        <w:t xml:space="preserve">tolerated </w:t>
      </w:r>
      <w:r w:rsidR="00B743D8">
        <w:rPr>
          <w:rFonts w:ascii="Times New Roman" w:hAnsi="Times New Roman"/>
          <w:bCs/>
          <w:sz w:val="24"/>
        </w:rPr>
        <w:t>at a level that is</w:t>
      </w:r>
      <w:r w:rsidR="004B02B6">
        <w:rPr>
          <w:rFonts w:ascii="Times New Roman" w:hAnsi="Times New Roman"/>
          <w:bCs/>
          <w:sz w:val="24"/>
        </w:rPr>
        <w:t xml:space="preserve"> </w:t>
      </w:r>
      <w:r w:rsidR="00321208">
        <w:rPr>
          <w:rFonts w:ascii="Times New Roman" w:hAnsi="Times New Roman"/>
          <w:bCs/>
          <w:sz w:val="24"/>
        </w:rPr>
        <w:t xml:space="preserve">lower than that required at the inception phase of a NIAC. </w:t>
      </w:r>
      <w:r w:rsidR="00533011">
        <w:rPr>
          <w:rFonts w:ascii="Times New Roman" w:hAnsi="Times New Roman"/>
          <w:bCs/>
          <w:sz w:val="24"/>
        </w:rPr>
        <w:t xml:space="preserve">Hence, </w:t>
      </w:r>
      <w:r w:rsidR="00190382">
        <w:rPr>
          <w:rFonts w:ascii="Times New Roman" w:hAnsi="Times New Roman"/>
          <w:bCs/>
          <w:sz w:val="24"/>
        </w:rPr>
        <w:t xml:space="preserve">there </w:t>
      </w:r>
      <w:r w:rsidR="00190382">
        <w:rPr>
          <w:rFonts w:ascii="Times New Roman" w:hAnsi="Times New Roman"/>
          <w:bCs/>
          <w:sz w:val="24"/>
        </w:rPr>
        <w:lastRenderedPageBreak/>
        <w:t xml:space="preserve">is </w:t>
      </w:r>
      <w:r w:rsidR="00321208">
        <w:rPr>
          <w:rFonts w:ascii="Times New Roman" w:hAnsi="Times New Roman"/>
          <w:bCs/>
          <w:sz w:val="24"/>
        </w:rPr>
        <w:t xml:space="preserve">a </w:t>
      </w:r>
      <w:r w:rsidR="002A13B8">
        <w:rPr>
          <w:rFonts w:ascii="Times New Roman" w:hAnsi="Times New Roman"/>
          <w:bCs/>
          <w:sz w:val="24"/>
        </w:rPr>
        <w:t>sliding</w:t>
      </w:r>
      <w:r w:rsidR="00321208">
        <w:rPr>
          <w:rFonts w:ascii="Times New Roman" w:hAnsi="Times New Roman"/>
          <w:bCs/>
          <w:sz w:val="24"/>
        </w:rPr>
        <w:t xml:space="preserve"> scale of the threshold </w:t>
      </w:r>
      <w:r w:rsidR="002A13B8">
        <w:rPr>
          <w:rFonts w:ascii="Times New Roman" w:hAnsi="Times New Roman"/>
          <w:bCs/>
          <w:sz w:val="24"/>
        </w:rPr>
        <w:t>for the requirement of organization as a benchmark for</w:t>
      </w:r>
      <w:r w:rsidR="00321208">
        <w:rPr>
          <w:rFonts w:ascii="Times New Roman" w:hAnsi="Times New Roman"/>
          <w:bCs/>
          <w:sz w:val="24"/>
        </w:rPr>
        <w:t xml:space="preserve"> a NIAC</w:t>
      </w:r>
      <w:r w:rsidR="00533011">
        <w:rPr>
          <w:rFonts w:ascii="Times New Roman" w:hAnsi="Times New Roman"/>
          <w:bCs/>
          <w:sz w:val="24"/>
        </w:rPr>
        <w:t xml:space="preserve">. This paper argues </w:t>
      </w:r>
      <w:r w:rsidR="00190382">
        <w:rPr>
          <w:rFonts w:ascii="Times New Roman" w:hAnsi="Times New Roman"/>
          <w:bCs/>
          <w:sz w:val="24"/>
        </w:rPr>
        <w:t>that such varying standards</w:t>
      </w:r>
      <w:r w:rsidR="004B02B6">
        <w:rPr>
          <w:rFonts w:ascii="Times New Roman" w:hAnsi="Times New Roman"/>
          <w:bCs/>
          <w:sz w:val="24"/>
        </w:rPr>
        <w:t xml:space="preserve"> </w:t>
      </w:r>
      <w:r w:rsidR="004C180F">
        <w:rPr>
          <w:rFonts w:ascii="Times New Roman" w:hAnsi="Times New Roman"/>
          <w:bCs/>
          <w:sz w:val="24"/>
        </w:rPr>
        <w:t xml:space="preserve">can be explained by </w:t>
      </w:r>
      <w:r w:rsidR="004B02B6">
        <w:rPr>
          <w:rFonts w:ascii="Times New Roman" w:hAnsi="Times New Roman"/>
          <w:bCs/>
          <w:sz w:val="24"/>
        </w:rPr>
        <w:t>the implicit operation of the compensatory model.</w:t>
      </w:r>
    </w:p>
    <w:p w14:paraId="7293DF02" w14:textId="1E82A96C" w:rsidR="00FD2036" w:rsidRPr="00DA383F" w:rsidRDefault="00FD2036" w:rsidP="00E01082">
      <w:pPr>
        <w:tabs>
          <w:tab w:val="left" w:pos="0"/>
        </w:tabs>
        <w:rPr>
          <w:rFonts w:ascii="Times New Roman" w:hAnsi="Times New Roman"/>
          <w:bCs/>
          <w:sz w:val="24"/>
        </w:rPr>
      </w:pPr>
    </w:p>
    <w:p w14:paraId="15AA5B0B" w14:textId="287443DC" w:rsidR="00FD2036" w:rsidRPr="00066403" w:rsidRDefault="00FD2036" w:rsidP="00066403">
      <w:pPr>
        <w:pStyle w:val="ad"/>
        <w:numPr>
          <w:ilvl w:val="0"/>
          <w:numId w:val="7"/>
        </w:numPr>
        <w:tabs>
          <w:tab w:val="left" w:pos="0"/>
        </w:tabs>
        <w:ind w:leftChars="0"/>
        <w:rPr>
          <w:rFonts w:ascii="Times New Roman" w:hAnsi="Times New Roman"/>
          <w:bCs/>
          <w:sz w:val="24"/>
        </w:rPr>
      </w:pPr>
      <w:r w:rsidRPr="00066403">
        <w:rPr>
          <w:rFonts w:ascii="Times New Roman" w:hAnsi="Times New Roman"/>
          <w:b/>
          <w:bCs/>
          <w:sz w:val="24"/>
        </w:rPr>
        <w:t xml:space="preserve">A </w:t>
      </w:r>
      <w:r w:rsidR="0031341C">
        <w:rPr>
          <w:rFonts w:ascii="Times New Roman" w:hAnsi="Times New Roman"/>
          <w:b/>
          <w:bCs/>
          <w:sz w:val="24"/>
        </w:rPr>
        <w:t>Liminal</w:t>
      </w:r>
      <w:r w:rsidRPr="00066403">
        <w:rPr>
          <w:rFonts w:ascii="Times New Roman" w:hAnsi="Times New Roman"/>
          <w:b/>
          <w:bCs/>
          <w:sz w:val="24"/>
        </w:rPr>
        <w:t xml:space="preserve"> Situation in which the NIAC </w:t>
      </w:r>
      <w:r w:rsidR="00B71807" w:rsidRPr="00066403">
        <w:rPr>
          <w:rFonts w:ascii="Times New Roman" w:hAnsi="Times New Roman"/>
          <w:b/>
          <w:bCs/>
          <w:sz w:val="24"/>
        </w:rPr>
        <w:t xml:space="preserve">is Considered to </w:t>
      </w:r>
      <w:r w:rsidRPr="00066403">
        <w:rPr>
          <w:rFonts w:ascii="Times New Roman" w:hAnsi="Times New Roman"/>
          <w:b/>
          <w:bCs/>
          <w:sz w:val="24"/>
        </w:rPr>
        <w:t>End</w:t>
      </w:r>
    </w:p>
    <w:p w14:paraId="7D3A055A" w14:textId="0AF0BFC2" w:rsidR="008737FB" w:rsidRDefault="0031341C" w:rsidP="00FD5CDA">
      <w:pPr>
        <w:tabs>
          <w:tab w:val="left" w:pos="0"/>
        </w:tabs>
        <w:rPr>
          <w:rFonts w:ascii="Times New Roman" w:hAnsi="Times New Roman"/>
          <w:bCs/>
          <w:sz w:val="24"/>
        </w:rPr>
      </w:pPr>
      <w:r>
        <w:rPr>
          <w:rFonts w:ascii="Times New Roman" w:hAnsi="Times New Roman"/>
          <w:bCs/>
          <w:sz w:val="24"/>
        </w:rPr>
        <w:t xml:space="preserve">In a situation of </w:t>
      </w:r>
      <w:r w:rsidR="00C20B3A">
        <w:rPr>
          <w:rFonts w:ascii="Times New Roman" w:hAnsi="Times New Roman"/>
          <w:bCs/>
          <w:sz w:val="24"/>
        </w:rPr>
        <w:t xml:space="preserve">ongoing </w:t>
      </w:r>
      <w:r w:rsidR="00D865A8">
        <w:rPr>
          <w:rFonts w:ascii="Times New Roman" w:hAnsi="Times New Roman"/>
          <w:bCs/>
          <w:sz w:val="24"/>
        </w:rPr>
        <w:t>a</w:t>
      </w:r>
      <w:r>
        <w:rPr>
          <w:rFonts w:ascii="Times New Roman" w:hAnsi="Times New Roman"/>
          <w:bCs/>
          <w:sz w:val="24"/>
        </w:rPr>
        <w:t>rmed violence that has been characterized as a NIAC, c</w:t>
      </w:r>
      <w:r w:rsidR="00955657" w:rsidRPr="004D235F">
        <w:rPr>
          <w:rFonts w:ascii="Times New Roman" w:hAnsi="Times New Roman"/>
          <w:bCs/>
          <w:sz w:val="24"/>
        </w:rPr>
        <w:t xml:space="preserve">onsider that the armed group’s organizational structure comes to be challenged due to its gradual loss of control over conduct of its members. </w:t>
      </w:r>
      <w:r w:rsidR="00707A63">
        <w:rPr>
          <w:rFonts w:ascii="Times New Roman" w:hAnsi="Times New Roman"/>
          <w:bCs/>
          <w:sz w:val="24"/>
        </w:rPr>
        <w:t xml:space="preserve">It </w:t>
      </w:r>
      <w:r w:rsidR="00860F30">
        <w:rPr>
          <w:rFonts w:ascii="Times New Roman" w:hAnsi="Times New Roman"/>
          <w:bCs/>
          <w:sz w:val="24"/>
        </w:rPr>
        <w:t>is also conceivable that the ongoing violence becomes sporadic and less destructive, leaving uncertainty about whether the requirement of intensity is still met.</w:t>
      </w:r>
      <w:r w:rsidR="00000461">
        <w:rPr>
          <w:rFonts w:ascii="Times New Roman" w:hAnsi="Times New Roman"/>
          <w:bCs/>
          <w:sz w:val="24"/>
        </w:rPr>
        <w:t xml:space="preserve"> </w:t>
      </w:r>
      <w:r w:rsidR="00D669AE" w:rsidRPr="004D235F">
        <w:rPr>
          <w:rFonts w:ascii="Times New Roman" w:hAnsi="Times New Roman"/>
          <w:bCs/>
          <w:sz w:val="24"/>
        </w:rPr>
        <w:t xml:space="preserve">In such a situation, it </w:t>
      </w:r>
      <w:r w:rsidR="00D669AE">
        <w:rPr>
          <w:rFonts w:ascii="Times New Roman" w:hAnsi="Times New Roman"/>
          <w:bCs/>
          <w:sz w:val="24"/>
        </w:rPr>
        <w:t xml:space="preserve">seems necessary to re-examine </w:t>
      </w:r>
      <w:r w:rsidR="00D669AE" w:rsidRPr="004D235F">
        <w:rPr>
          <w:rFonts w:ascii="Times New Roman" w:hAnsi="Times New Roman"/>
          <w:bCs/>
          <w:sz w:val="24"/>
        </w:rPr>
        <w:t>the group’s organizational level</w:t>
      </w:r>
      <w:r w:rsidR="00D669AE">
        <w:rPr>
          <w:rFonts w:ascii="Times New Roman" w:hAnsi="Times New Roman"/>
          <w:bCs/>
          <w:sz w:val="24"/>
        </w:rPr>
        <w:t xml:space="preserve"> with a view to </w:t>
      </w:r>
      <w:r w:rsidR="00D669AE" w:rsidRPr="004D235F">
        <w:rPr>
          <w:rFonts w:ascii="Times New Roman" w:hAnsi="Times New Roman"/>
          <w:bCs/>
          <w:sz w:val="24"/>
        </w:rPr>
        <w:t xml:space="preserve">verifying </w:t>
      </w:r>
      <w:r w:rsidR="00D669AE">
        <w:rPr>
          <w:rFonts w:ascii="Times New Roman" w:hAnsi="Times New Roman"/>
          <w:bCs/>
          <w:sz w:val="24"/>
        </w:rPr>
        <w:t>if</w:t>
      </w:r>
      <w:r w:rsidR="00D669AE" w:rsidRPr="004D235F">
        <w:rPr>
          <w:rFonts w:ascii="Times New Roman" w:hAnsi="Times New Roman"/>
          <w:bCs/>
          <w:sz w:val="24"/>
        </w:rPr>
        <w:t xml:space="preserve"> the violence </w:t>
      </w:r>
      <w:r w:rsidR="00D669AE">
        <w:rPr>
          <w:rFonts w:ascii="Times New Roman" w:hAnsi="Times New Roman"/>
          <w:bCs/>
          <w:sz w:val="24"/>
        </w:rPr>
        <w:t>imputable to that group</w:t>
      </w:r>
      <w:r w:rsidR="00D669AE" w:rsidRPr="004D235F">
        <w:rPr>
          <w:rFonts w:ascii="Times New Roman" w:hAnsi="Times New Roman"/>
          <w:bCs/>
          <w:sz w:val="24"/>
        </w:rPr>
        <w:t xml:space="preserve"> is still </w:t>
      </w:r>
      <w:r w:rsidR="00D669AE">
        <w:rPr>
          <w:rFonts w:ascii="Times New Roman" w:hAnsi="Times New Roman"/>
          <w:bCs/>
          <w:sz w:val="24"/>
        </w:rPr>
        <w:t>classified</w:t>
      </w:r>
      <w:r w:rsidR="00D669AE" w:rsidRPr="004D235F">
        <w:rPr>
          <w:rFonts w:ascii="Times New Roman" w:hAnsi="Times New Roman"/>
          <w:bCs/>
          <w:sz w:val="24"/>
        </w:rPr>
        <w:t xml:space="preserve"> as a NIAC.</w:t>
      </w:r>
      <w:r w:rsidR="00D669AE">
        <w:rPr>
          <w:rFonts w:ascii="Times New Roman" w:hAnsi="Times New Roman"/>
          <w:bCs/>
          <w:sz w:val="24"/>
        </w:rPr>
        <w:t xml:space="preserve"> </w:t>
      </w:r>
      <w:r w:rsidR="00955657" w:rsidRPr="004D235F">
        <w:rPr>
          <w:rFonts w:ascii="Times New Roman" w:hAnsi="Times New Roman"/>
          <w:bCs/>
          <w:sz w:val="24"/>
        </w:rPr>
        <w:t xml:space="preserve">One </w:t>
      </w:r>
      <w:r w:rsidR="00F62262">
        <w:rPr>
          <w:rFonts w:ascii="Times New Roman" w:hAnsi="Times New Roman"/>
          <w:bCs/>
          <w:sz w:val="24"/>
        </w:rPr>
        <w:t xml:space="preserve">pertinent </w:t>
      </w:r>
      <w:r w:rsidR="00955657" w:rsidRPr="004D235F">
        <w:rPr>
          <w:rFonts w:ascii="Times New Roman" w:hAnsi="Times New Roman"/>
          <w:bCs/>
          <w:sz w:val="24"/>
        </w:rPr>
        <w:t xml:space="preserve">question </w:t>
      </w:r>
      <w:r w:rsidR="00000461" w:rsidRPr="004D235F">
        <w:rPr>
          <w:rFonts w:ascii="Times New Roman" w:hAnsi="Times New Roman"/>
          <w:bCs/>
          <w:sz w:val="24"/>
        </w:rPr>
        <w:t xml:space="preserve">in </w:t>
      </w:r>
      <w:r w:rsidR="00000461">
        <w:rPr>
          <w:rFonts w:ascii="Times New Roman" w:hAnsi="Times New Roman"/>
          <w:bCs/>
          <w:sz w:val="24"/>
        </w:rPr>
        <w:t xml:space="preserve">such </w:t>
      </w:r>
      <w:r w:rsidR="002C6EB0">
        <w:rPr>
          <w:rFonts w:ascii="Times New Roman" w:hAnsi="Times New Roman"/>
          <w:bCs/>
          <w:sz w:val="24"/>
        </w:rPr>
        <w:t>a perceived closing chapter</w:t>
      </w:r>
      <w:r w:rsidR="00000461">
        <w:rPr>
          <w:rFonts w:ascii="Times New Roman" w:hAnsi="Times New Roman"/>
          <w:bCs/>
          <w:sz w:val="24"/>
        </w:rPr>
        <w:t xml:space="preserve"> of a NIAC</w:t>
      </w:r>
      <w:r w:rsidR="00000461" w:rsidRPr="004D235F">
        <w:rPr>
          <w:rFonts w:ascii="Times New Roman" w:hAnsi="Times New Roman"/>
          <w:bCs/>
          <w:sz w:val="24"/>
        </w:rPr>
        <w:t xml:space="preserve"> </w:t>
      </w:r>
      <w:r w:rsidR="00955657" w:rsidRPr="004D235F">
        <w:rPr>
          <w:rFonts w:ascii="Times New Roman" w:hAnsi="Times New Roman"/>
          <w:bCs/>
          <w:sz w:val="24"/>
        </w:rPr>
        <w:t xml:space="preserve">is if the standard for the organization of the armed group should be </w:t>
      </w:r>
      <w:r w:rsidR="002C6EB0">
        <w:rPr>
          <w:rFonts w:ascii="Times New Roman" w:hAnsi="Times New Roman"/>
          <w:bCs/>
          <w:sz w:val="24"/>
        </w:rPr>
        <w:t xml:space="preserve">pitched at </w:t>
      </w:r>
      <w:r w:rsidR="00955657" w:rsidRPr="004D235F">
        <w:rPr>
          <w:rFonts w:ascii="Times New Roman" w:hAnsi="Times New Roman"/>
          <w:bCs/>
          <w:sz w:val="24"/>
        </w:rPr>
        <w:t>the same</w:t>
      </w:r>
      <w:r w:rsidR="00D669AE">
        <w:rPr>
          <w:rFonts w:ascii="Times New Roman" w:hAnsi="Times New Roman"/>
          <w:bCs/>
          <w:sz w:val="24"/>
        </w:rPr>
        <w:t xml:space="preserve"> level</w:t>
      </w:r>
      <w:r w:rsidR="00955657" w:rsidRPr="004D235F">
        <w:rPr>
          <w:rFonts w:ascii="Times New Roman" w:hAnsi="Times New Roman"/>
          <w:bCs/>
          <w:sz w:val="24"/>
        </w:rPr>
        <w:t xml:space="preserve"> as the one for evaluating the onset anew of a NIAC.</w:t>
      </w:r>
      <w:r w:rsidR="00955657" w:rsidRPr="004D235F">
        <w:rPr>
          <w:rStyle w:val="a5"/>
          <w:rFonts w:ascii="Times New Roman" w:hAnsi="Times New Roman"/>
          <w:bCs/>
          <w:sz w:val="24"/>
        </w:rPr>
        <w:footnoteReference w:id="157"/>
      </w:r>
      <w:r w:rsidR="00955657" w:rsidRPr="004D235F">
        <w:rPr>
          <w:rFonts w:ascii="Times New Roman" w:hAnsi="Times New Roman"/>
          <w:bCs/>
          <w:sz w:val="24"/>
        </w:rPr>
        <w:t xml:space="preserve"> </w:t>
      </w:r>
      <w:r>
        <w:rPr>
          <w:rFonts w:ascii="Times New Roman" w:hAnsi="Times New Roman"/>
          <w:bCs/>
          <w:sz w:val="24"/>
        </w:rPr>
        <w:t xml:space="preserve">On this matter, two approaches can be put forward. </w:t>
      </w:r>
    </w:p>
    <w:p w14:paraId="45CE5E5E" w14:textId="77777777" w:rsidR="008737FB" w:rsidRDefault="008737FB" w:rsidP="00FD5CDA">
      <w:pPr>
        <w:tabs>
          <w:tab w:val="left" w:pos="0"/>
        </w:tabs>
        <w:rPr>
          <w:rFonts w:ascii="Times New Roman" w:hAnsi="Times New Roman"/>
          <w:bCs/>
          <w:sz w:val="24"/>
        </w:rPr>
      </w:pPr>
    </w:p>
    <w:p w14:paraId="70CEDB78" w14:textId="6D6B2397" w:rsidR="00FD5CDA" w:rsidRDefault="00FD5CDA" w:rsidP="00D05824">
      <w:pPr>
        <w:tabs>
          <w:tab w:val="left" w:pos="0"/>
        </w:tabs>
        <w:rPr>
          <w:rFonts w:ascii="Times New Roman" w:hAnsi="Times New Roman"/>
          <w:bCs/>
          <w:sz w:val="24"/>
        </w:rPr>
      </w:pPr>
      <w:r>
        <w:rPr>
          <w:rFonts w:ascii="Times New Roman" w:hAnsi="Times New Roman"/>
          <w:bCs/>
          <w:sz w:val="24"/>
        </w:rPr>
        <w:t xml:space="preserve">The first approach </w:t>
      </w:r>
      <w:r w:rsidR="008737FB">
        <w:rPr>
          <w:rFonts w:ascii="Times New Roman" w:hAnsi="Times New Roman"/>
          <w:bCs/>
          <w:sz w:val="24"/>
        </w:rPr>
        <w:t>leans toward a relatively stringent assessment of the requirement of organization. It argues that the continued applicability of IHL</w:t>
      </w:r>
      <w:r w:rsidR="00D669AE" w:rsidRPr="00D669AE">
        <w:rPr>
          <w:rFonts w:ascii="Times New Roman" w:hAnsi="Times New Roman"/>
          <w:bCs/>
          <w:sz w:val="24"/>
        </w:rPr>
        <w:t xml:space="preserve"> </w:t>
      </w:r>
      <w:r w:rsidR="00D669AE">
        <w:rPr>
          <w:rFonts w:ascii="Times New Roman" w:hAnsi="Times New Roman"/>
          <w:bCs/>
          <w:sz w:val="24"/>
        </w:rPr>
        <w:t>in such a seemingly final stage of a NIAC</w:t>
      </w:r>
      <w:r>
        <w:rPr>
          <w:rFonts w:ascii="Times New Roman" w:hAnsi="Times New Roman"/>
          <w:bCs/>
          <w:sz w:val="24"/>
        </w:rPr>
        <w:t xml:space="preserve"> </w:t>
      </w:r>
      <w:r w:rsidR="00707A63">
        <w:rPr>
          <w:rFonts w:ascii="Times New Roman" w:hAnsi="Times New Roman"/>
          <w:bCs/>
          <w:sz w:val="24"/>
        </w:rPr>
        <w:t xml:space="preserve">should </w:t>
      </w:r>
      <w:r w:rsidR="00D669AE">
        <w:rPr>
          <w:rFonts w:ascii="Times New Roman" w:hAnsi="Times New Roman"/>
          <w:bCs/>
          <w:sz w:val="24"/>
        </w:rPr>
        <w:t xml:space="preserve">boil down to </w:t>
      </w:r>
      <w:r>
        <w:rPr>
          <w:rFonts w:ascii="Times New Roman" w:hAnsi="Times New Roman"/>
          <w:bCs/>
          <w:sz w:val="24"/>
        </w:rPr>
        <w:t>the requirement of organization</w:t>
      </w:r>
      <w:r w:rsidR="00902F0A">
        <w:rPr>
          <w:rFonts w:ascii="Times New Roman" w:hAnsi="Times New Roman"/>
          <w:bCs/>
          <w:sz w:val="24"/>
        </w:rPr>
        <w:t>. The stated rationale is</w:t>
      </w:r>
      <w:r w:rsidR="002C6EB0">
        <w:rPr>
          <w:rFonts w:ascii="Times New Roman" w:hAnsi="Times New Roman"/>
          <w:bCs/>
          <w:sz w:val="24"/>
        </w:rPr>
        <w:t xml:space="preserve"> that this i</w:t>
      </w:r>
      <w:r w:rsidR="00707A63">
        <w:rPr>
          <w:rFonts w:ascii="Times New Roman" w:hAnsi="Times New Roman"/>
          <w:bCs/>
          <w:sz w:val="24"/>
        </w:rPr>
        <w:t xml:space="preserve">s </w:t>
      </w:r>
      <w:r>
        <w:rPr>
          <w:rFonts w:ascii="Times New Roman" w:hAnsi="Times New Roman"/>
          <w:bCs/>
          <w:sz w:val="24"/>
        </w:rPr>
        <w:t xml:space="preserve">a more reliable benchmark than that of intensity </w:t>
      </w:r>
      <w:r w:rsidR="00902F0A">
        <w:rPr>
          <w:rFonts w:ascii="Times New Roman" w:hAnsi="Times New Roman"/>
          <w:bCs/>
          <w:sz w:val="24"/>
        </w:rPr>
        <w:t>when</w:t>
      </w:r>
      <w:r>
        <w:rPr>
          <w:rFonts w:ascii="Times New Roman" w:hAnsi="Times New Roman"/>
          <w:bCs/>
          <w:sz w:val="24"/>
        </w:rPr>
        <w:t xml:space="preserve"> assessing the continued applicability of IHL of NIACs.</w:t>
      </w:r>
      <w:r w:rsidR="00D669AE">
        <w:rPr>
          <w:rStyle w:val="a5"/>
          <w:rFonts w:ascii="Times New Roman" w:hAnsi="Times New Roman"/>
          <w:bCs/>
          <w:sz w:val="24"/>
        </w:rPr>
        <w:footnoteReference w:id="158"/>
      </w:r>
      <w:r>
        <w:rPr>
          <w:rFonts w:ascii="Times New Roman" w:hAnsi="Times New Roman"/>
          <w:bCs/>
          <w:sz w:val="24"/>
        </w:rPr>
        <w:t xml:space="preserve"> </w:t>
      </w:r>
      <w:r w:rsidR="002C6EB0">
        <w:rPr>
          <w:rFonts w:ascii="Times New Roman" w:hAnsi="Times New Roman"/>
          <w:bCs/>
          <w:sz w:val="24"/>
        </w:rPr>
        <w:t xml:space="preserve">Arguably, the requirement of organization may be seen </w:t>
      </w:r>
      <w:r w:rsidR="00D82188">
        <w:rPr>
          <w:rFonts w:ascii="Times New Roman" w:hAnsi="Times New Roman"/>
          <w:bCs/>
          <w:sz w:val="24"/>
        </w:rPr>
        <w:t>relatively more</w:t>
      </w:r>
      <w:r w:rsidR="002C6EB0">
        <w:rPr>
          <w:rFonts w:ascii="Times New Roman" w:hAnsi="Times New Roman"/>
          <w:bCs/>
          <w:sz w:val="24"/>
        </w:rPr>
        <w:t xml:space="preserve"> tangible than that of intensity. </w:t>
      </w:r>
      <w:r>
        <w:rPr>
          <w:rFonts w:ascii="Times New Roman" w:hAnsi="Times New Roman"/>
          <w:bCs/>
          <w:sz w:val="24"/>
        </w:rPr>
        <w:t xml:space="preserve">An armed group may be left in tatters </w:t>
      </w:r>
      <w:r w:rsidR="007E678B">
        <w:rPr>
          <w:rFonts w:ascii="Times New Roman" w:hAnsi="Times New Roman"/>
          <w:bCs/>
          <w:sz w:val="24"/>
        </w:rPr>
        <w:t xml:space="preserve">such </w:t>
      </w:r>
      <w:r>
        <w:rPr>
          <w:rFonts w:ascii="Times New Roman" w:hAnsi="Times New Roman"/>
          <w:bCs/>
          <w:sz w:val="24"/>
        </w:rPr>
        <w:t xml:space="preserve">as never to recover. For a nearly broken-down group, it is often its resilience in (re)organizing itself that proves decisive for evaluating its </w:t>
      </w:r>
      <w:r w:rsidR="00877EBF">
        <w:rPr>
          <w:rFonts w:ascii="Times New Roman" w:hAnsi="Times New Roman"/>
          <w:bCs/>
          <w:sz w:val="24"/>
        </w:rPr>
        <w:t>ability</w:t>
      </w:r>
      <w:r>
        <w:rPr>
          <w:rFonts w:ascii="Times New Roman" w:hAnsi="Times New Roman"/>
          <w:bCs/>
          <w:sz w:val="24"/>
        </w:rPr>
        <w:t xml:space="preserve"> to launch attacks. </w:t>
      </w:r>
      <w:r w:rsidR="00E32CDE">
        <w:rPr>
          <w:rFonts w:ascii="Times New Roman" w:hAnsi="Times New Roman"/>
          <w:bCs/>
          <w:sz w:val="24"/>
        </w:rPr>
        <w:t xml:space="preserve">Hence, </w:t>
      </w:r>
      <w:r>
        <w:rPr>
          <w:rFonts w:ascii="Times New Roman" w:hAnsi="Times New Roman"/>
          <w:bCs/>
          <w:sz w:val="24"/>
        </w:rPr>
        <w:t xml:space="preserve">it makes sense to focus on the requirement of organization as the touchstone for verifying the end of a NIAC. A crucial implication for the first approach is that when ascertaining the end phase of a NIAC, there may exceptionally </w:t>
      </w:r>
      <w:r w:rsidR="0020567E">
        <w:rPr>
          <w:rFonts w:ascii="Times New Roman" w:hAnsi="Times New Roman"/>
          <w:bCs/>
          <w:sz w:val="24"/>
        </w:rPr>
        <w:t>arise</w:t>
      </w:r>
      <w:r>
        <w:rPr>
          <w:rFonts w:ascii="Times New Roman" w:hAnsi="Times New Roman"/>
          <w:bCs/>
          <w:sz w:val="24"/>
        </w:rPr>
        <w:t xml:space="preserve"> a reverse flow of ‘compensatory effect’</w:t>
      </w:r>
      <w:r w:rsidR="00E32CDE">
        <w:rPr>
          <w:rFonts w:ascii="Times New Roman" w:hAnsi="Times New Roman"/>
          <w:bCs/>
          <w:sz w:val="24"/>
        </w:rPr>
        <w:t>:</w:t>
      </w:r>
      <w:r>
        <w:rPr>
          <w:rFonts w:ascii="Times New Roman" w:hAnsi="Times New Roman"/>
          <w:bCs/>
          <w:sz w:val="24"/>
        </w:rPr>
        <w:t xml:space="preserve"> uncertainty over intensity of violence may be superseded by the overriding importance of </w:t>
      </w:r>
      <w:r w:rsidR="00E32CDE">
        <w:rPr>
          <w:rFonts w:ascii="Times New Roman" w:hAnsi="Times New Roman"/>
          <w:bCs/>
          <w:sz w:val="24"/>
        </w:rPr>
        <w:t xml:space="preserve">the </w:t>
      </w:r>
      <w:r>
        <w:rPr>
          <w:rFonts w:ascii="Times New Roman" w:hAnsi="Times New Roman"/>
          <w:bCs/>
          <w:sz w:val="24"/>
        </w:rPr>
        <w:t>capacity of an armed group to reconstitute itself.</w:t>
      </w:r>
    </w:p>
    <w:p w14:paraId="5A9B2BF0" w14:textId="4AC67A03" w:rsidR="007F7419" w:rsidRPr="00FD5CDA" w:rsidRDefault="007F7419" w:rsidP="00E01082">
      <w:pPr>
        <w:tabs>
          <w:tab w:val="left" w:pos="0"/>
        </w:tabs>
        <w:rPr>
          <w:rFonts w:ascii="Times New Roman" w:hAnsi="Times New Roman"/>
          <w:bCs/>
          <w:sz w:val="24"/>
        </w:rPr>
      </w:pPr>
    </w:p>
    <w:p w14:paraId="60FFD11D" w14:textId="3ACC8A88" w:rsidR="0063717D" w:rsidRDefault="0020567E" w:rsidP="00E01082">
      <w:pPr>
        <w:tabs>
          <w:tab w:val="left" w:pos="0"/>
        </w:tabs>
        <w:rPr>
          <w:rFonts w:ascii="Times New Roman" w:hAnsi="Times New Roman"/>
          <w:bCs/>
          <w:sz w:val="24"/>
        </w:rPr>
      </w:pPr>
      <w:r>
        <w:rPr>
          <w:rFonts w:ascii="Times New Roman" w:hAnsi="Times New Roman"/>
          <w:bCs/>
          <w:sz w:val="24"/>
        </w:rPr>
        <w:t>By comparison</w:t>
      </w:r>
      <w:r w:rsidR="007F7419">
        <w:rPr>
          <w:rFonts w:ascii="Times New Roman" w:hAnsi="Times New Roman"/>
          <w:bCs/>
          <w:sz w:val="24"/>
        </w:rPr>
        <w:t>, the second</w:t>
      </w:r>
      <w:r w:rsidR="0031341C">
        <w:rPr>
          <w:rFonts w:ascii="Times New Roman" w:hAnsi="Times New Roman"/>
          <w:bCs/>
          <w:sz w:val="24"/>
        </w:rPr>
        <w:t xml:space="preserve"> approach is </w:t>
      </w:r>
      <w:r w:rsidR="00B47693" w:rsidRPr="004D235F">
        <w:rPr>
          <w:rFonts w:ascii="Times New Roman" w:hAnsi="Times New Roman"/>
          <w:bCs/>
          <w:sz w:val="24"/>
        </w:rPr>
        <w:t xml:space="preserve">to err on the side of caution in not demanding a </w:t>
      </w:r>
      <w:r w:rsidR="00B47693" w:rsidRPr="004D235F">
        <w:rPr>
          <w:rFonts w:ascii="Times New Roman" w:hAnsi="Times New Roman"/>
          <w:bCs/>
          <w:sz w:val="24"/>
        </w:rPr>
        <w:lastRenderedPageBreak/>
        <w:t>rigorous standard of organization</w:t>
      </w:r>
      <w:r w:rsidR="00B47693">
        <w:rPr>
          <w:rFonts w:ascii="Times New Roman" w:hAnsi="Times New Roman"/>
          <w:bCs/>
          <w:sz w:val="24"/>
        </w:rPr>
        <w:t xml:space="preserve"> (and even of intensity).</w:t>
      </w:r>
      <w:r w:rsidR="00B47693">
        <w:rPr>
          <w:rStyle w:val="a5"/>
          <w:rFonts w:ascii="Times New Roman" w:hAnsi="Times New Roman"/>
          <w:bCs/>
          <w:sz w:val="24"/>
        </w:rPr>
        <w:footnoteReference w:id="159"/>
      </w:r>
      <w:r w:rsidR="00B47693">
        <w:rPr>
          <w:rFonts w:ascii="Times New Roman" w:hAnsi="Times New Roman" w:hint="eastAsia"/>
          <w:bCs/>
          <w:sz w:val="24"/>
        </w:rPr>
        <w:t xml:space="preserve"> </w:t>
      </w:r>
      <w:r w:rsidR="0031341C">
        <w:rPr>
          <w:rFonts w:ascii="Times New Roman" w:hAnsi="Times New Roman"/>
          <w:bCs/>
          <w:sz w:val="24"/>
        </w:rPr>
        <w:t>When</w:t>
      </w:r>
      <w:r w:rsidR="0031341C" w:rsidRPr="0031341C">
        <w:rPr>
          <w:rFonts w:ascii="Times New Roman" w:hAnsi="Times New Roman"/>
          <w:bCs/>
          <w:sz w:val="24"/>
        </w:rPr>
        <w:t xml:space="preserve"> </w:t>
      </w:r>
      <w:r w:rsidR="0031341C">
        <w:rPr>
          <w:rFonts w:ascii="Times New Roman" w:hAnsi="Times New Roman"/>
          <w:bCs/>
          <w:sz w:val="24"/>
        </w:rPr>
        <w:t xml:space="preserve">it comes to evaluating </w:t>
      </w:r>
      <w:r w:rsidR="0031341C" w:rsidRPr="004D235F">
        <w:rPr>
          <w:rFonts w:ascii="Times New Roman" w:hAnsi="Times New Roman"/>
          <w:bCs/>
          <w:sz w:val="24"/>
        </w:rPr>
        <w:t xml:space="preserve">the gradual dissolution of </w:t>
      </w:r>
      <w:r w:rsidR="0031341C">
        <w:rPr>
          <w:rFonts w:ascii="Times New Roman" w:hAnsi="Times New Roman"/>
          <w:bCs/>
          <w:sz w:val="24"/>
        </w:rPr>
        <w:t xml:space="preserve">an </w:t>
      </w:r>
      <w:r w:rsidR="00E24C08">
        <w:rPr>
          <w:rFonts w:ascii="Times New Roman" w:hAnsi="Times New Roman"/>
          <w:bCs/>
          <w:sz w:val="24"/>
        </w:rPr>
        <w:t xml:space="preserve">downscaled </w:t>
      </w:r>
      <w:r w:rsidR="0031341C">
        <w:rPr>
          <w:rFonts w:ascii="Times New Roman" w:hAnsi="Times New Roman"/>
          <w:bCs/>
          <w:sz w:val="24"/>
        </w:rPr>
        <w:t xml:space="preserve">armed group, </w:t>
      </w:r>
      <w:r w:rsidR="008F3784">
        <w:rPr>
          <w:rFonts w:ascii="Times New Roman" w:hAnsi="Times New Roman"/>
          <w:bCs/>
          <w:sz w:val="24"/>
        </w:rPr>
        <w:t xml:space="preserve">this approach </w:t>
      </w:r>
      <w:r w:rsidR="00877EBF">
        <w:rPr>
          <w:rFonts w:ascii="Times New Roman" w:hAnsi="Times New Roman"/>
          <w:bCs/>
          <w:sz w:val="24"/>
        </w:rPr>
        <w:t>proposes</w:t>
      </w:r>
      <w:r w:rsidR="008F3784">
        <w:rPr>
          <w:rFonts w:ascii="Times New Roman" w:hAnsi="Times New Roman"/>
          <w:bCs/>
          <w:sz w:val="24"/>
        </w:rPr>
        <w:t xml:space="preserve"> </w:t>
      </w:r>
      <w:r w:rsidR="00D669AE">
        <w:rPr>
          <w:rFonts w:ascii="Times New Roman" w:hAnsi="Times New Roman"/>
          <w:bCs/>
          <w:sz w:val="24"/>
        </w:rPr>
        <w:t>that</w:t>
      </w:r>
      <w:r w:rsidR="008F3784">
        <w:rPr>
          <w:rFonts w:ascii="Times New Roman" w:hAnsi="Times New Roman"/>
          <w:bCs/>
          <w:sz w:val="24"/>
        </w:rPr>
        <w:t xml:space="preserve"> the standard for organization</w:t>
      </w:r>
      <w:r w:rsidR="00D669AE">
        <w:rPr>
          <w:rFonts w:ascii="Times New Roman" w:hAnsi="Times New Roman"/>
          <w:bCs/>
          <w:sz w:val="24"/>
        </w:rPr>
        <w:t xml:space="preserve"> be eased</w:t>
      </w:r>
      <w:r w:rsidR="008F3784">
        <w:rPr>
          <w:rFonts w:ascii="Times New Roman" w:hAnsi="Times New Roman"/>
          <w:bCs/>
          <w:sz w:val="24"/>
        </w:rPr>
        <w:t xml:space="preserve">. It is possible that the practice may </w:t>
      </w:r>
      <w:r w:rsidR="0031341C">
        <w:rPr>
          <w:rFonts w:ascii="Times New Roman" w:hAnsi="Times New Roman"/>
          <w:bCs/>
          <w:sz w:val="24"/>
        </w:rPr>
        <w:t xml:space="preserve">follow this approach. </w:t>
      </w:r>
      <w:r w:rsidR="00D669AE">
        <w:rPr>
          <w:rFonts w:ascii="Times New Roman" w:hAnsi="Times New Roman"/>
          <w:bCs/>
          <w:sz w:val="24"/>
        </w:rPr>
        <w:t>According to this</w:t>
      </w:r>
      <w:r w:rsidR="00B47693">
        <w:rPr>
          <w:rFonts w:ascii="Times New Roman" w:hAnsi="Times New Roman"/>
          <w:bCs/>
          <w:sz w:val="24"/>
        </w:rPr>
        <w:t xml:space="preserve"> </w:t>
      </w:r>
      <w:r w:rsidR="0031341C">
        <w:rPr>
          <w:rFonts w:ascii="Times New Roman" w:hAnsi="Times New Roman"/>
          <w:bCs/>
          <w:sz w:val="24"/>
        </w:rPr>
        <w:t>approach</w:t>
      </w:r>
      <w:r w:rsidR="00D669AE">
        <w:rPr>
          <w:rFonts w:ascii="Times New Roman" w:hAnsi="Times New Roman"/>
          <w:bCs/>
          <w:sz w:val="24"/>
        </w:rPr>
        <w:t xml:space="preserve">, </w:t>
      </w:r>
      <w:r w:rsidR="00C53634">
        <w:rPr>
          <w:rFonts w:ascii="Times New Roman" w:hAnsi="Times New Roman"/>
          <w:bCs/>
          <w:sz w:val="24"/>
        </w:rPr>
        <w:t xml:space="preserve">the end threshold for the organizational level </w:t>
      </w:r>
      <w:r w:rsidR="002377ED">
        <w:rPr>
          <w:rFonts w:ascii="Times New Roman" w:hAnsi="Times New Roman"/>
          <w:bCs/>
          <w:sz w:val="24"/>
        </w:rPr>
        <w:t xml:space="preserve">(and for intensity) </w:t>
      </w:r>
      <w:r w:rsidR="00D669AE">
        <w:rPr>
          <w:rFonts w:ascii="Times New Roman" w:hAnsi="Times New Roman"/>
          <w:bCs/>
          <w:sz w:val="24"/>
        </w:rPr>
        <w:t xml:space="preserve">should </w:t>
      </w:r>
      <w:r w:rsidR="00C53634">
        <w:rPr>
          <w:rFonts w:ascii="Times New Roman" w:hAnsi="Times New Roman"/>
          <w:bCs/>
          <w:sz w:val="24"/>
        </w:rPr>
        <w:t>be set lower than that for triggering a NIAC.</w:t>
      </w:r>
      <w:r w:rsidR="003E2C3E">
        <w:rPr>
          <w:rStyle w:val="a5"/>
          <w:rFonts w:ascii="Times New Roman" w:hAnsi="Times New Roman"/>
          <w:bCs/>
          <w:sz w:val="24"/>
        </w:rPr>
        <w:footnoteReference w:id="160"/>
      </w:r>
      <w:r w:rsidR="00C53634">
        <w:rPr>
          <w:rFonts w:ascii="Times New Roman" w:hAnsi="Times New Roman"/>
          <w:bCs/>
          <w:sz w:val="24"/>
        </w:rPr>
        <w:t xml:space="preserve"> </w:t>
      </w:r>
      <w:r w:rsidR="00877EBF">
        <w:rPr>
          <w:rFonts w:ascii="Times New Roman" w:hAnsi="Times New Roman"/>
          <w:bCs/>
          <w:sz w:val="24"/>
        </w:rPr>
        <w:t>It considers that as</w:t>
      </w:r>
      <w:r w:rsidR="008F3784">
        <w:rPr>
          <w:rFonts w:ascii="Times New Roman" w:hAnsi="Times New Roman"/>
          <w:bCs/>
          <w:sz w:val="24"/>
        </w:rPr>
        <w:t xml:space="preserve"> with the transitional phases </w:t>
      </w:r>
      <w:r w:rsidR="00902F0A">
        <w:rPr>
          <w:rFonts w:ascii="Times New Roman" w:hAnsi="Times New Roman"/>
          <w:bCs/>
          <w:sz w:val="24"/>
        </w:rPr>
        <w:t>in which</w:t>
      </w:r>
      <w:r w:rsidR="008F3784">
        <w:rPr>
          <w:rFonts w:ascii="Times New Roman" w:hAnsi="Times New Roman"/>
          <w:bCs/>
          <w:sz w:val="24"/>
        </w:rPr>
        <w:t xml:space="preserve"> the conflict classification </w:t>
      </w:r>
      <w:r w:rsidR="00A14823">
        <w:rPr>
          <w:rFonts w:ascii="Times New Roman" w:hAnsi="Times New Roman"/>
          <w:bCs/>
          <w:sz w:val="24"/>
        </w:rPr>
        <w:t>changes</w:t>
      </w:r>
      <w:r w:rsidR="008F3784">
        <w:rPr>
          <w:rFonts w:ascii="Times New Roman" w:hAnsi="Times New Roman"/>
          <w:bCs/>
          <w:sz w:val="24"/>
        </w:rPr>
        <w:t xml:space="preserve"> (from a NIAC to an IAC or </w:t>
      </w:r>
      <w:r w:rsidR="00A14823">
        <w:rPr>
          <w:rFonts w:ascii="Times New Roman" w:hAnsi="Times New Roman"/>
          <w:bCs/>
          <w:sz w:val="24"/>
        </w:rPr>
        <w:t>vice versa</w:t>
      </w:r>
      <w:r w:rsidR="008F3784">
        <w:rPr>
          <w:rFonts w:ascii="Times New Roman" w:hAnsi="Times New Roman"/>
          <w:bCs/>
          <w:sz w:val="24"/>
        </w:rPr>
        <w:t>)</w:t>
      </w:r>
      <w:r w:rsidR="007F7419">
        <w:rPr>
          <w:rFonts w:ascii="Times New Roman" w:hAnsi="Times New Roman"/>
          <w:bCs/>
          <w:sz w:val="24"/>
        </w:rPr>
        <w:t xml:space="preserve">, the case </w:t>
      </w:r>
      <w:r w:rsidR="008F3784">
        <w:rPr>
          <w:rFonts w:ascii="Times New Roman" w:hAnsi="Times New Roman"/>
          <w:bCs/>
          <w:sz w:val="24"/>
        </w:rPr>
        <w:t>for</w:t>
      </w:r>
      <w:r w:rsidR="007F7419">
        <w:rPr>
          <w:rFonts w:ascii="Times New Roman" w:hAnsi="Times New Roman"/>
          <w:bCs/>
          <w:sz w:val="24"/>
        </w:rPr>
        <w:t xml:space="preserve"> a sliding-scale approach to the threshold for organization</w:t>
      </w:r>
      <w:r w:rsidR="00877EBF">
        <w:rPr>
          <w:rFonts w:ascii="Times New Roman" w:hAnsi="Times New Roman"/>
          <w:bCs/>
          <w:sz w:val="24"/>
        </w:rPr>
        <w:t xml:space="preserve"> becomes </w:t>
      </w:r>
      <w:r w:rsidR="00DC64FD">
        <w:rPr>
          <w:rFonts w:ascii="Times New Roman" w:hAnsi="Times New Roman"/>
          <w:bCs/>
          <w:sz w:val="24"/>
        </w:rPr>
        <w:t>more potent</w:t>
      </w:r>
      <w:r w:rsidR="007F7419">
        <w:rPr>
          <w:rFonts w:ascii="Times New Roman" w:hAnsi="Times New Roman"/>
          <w:bCs/>
          <w:sz w:val="24"/>
        </w:rPr>
        <w:t>.</w:t>
      </w:r>
      <w:r w:rsidR="00991839">
        <w:rPr>
          <w:rStyle w:val="a5"/>
          <w:rFonts w:ascii="Times New Roman" w:hAnsi="Times New Roman"/>
          <w:bCs/>
          <w:sz w:val="24"/>
        </w:rPr>
        <w:footnoteReference w:id="161"/>
      </w:r>
      <w:r w:rsidR="00991839">
        <w:rPr>
          <w:rFonts w:ascii="Times New Roman" w:hAnsi="Times New Roman"/>
          <w:bCs/>
          <w:sz w:val="24"/>
        </w:rPr>
        <w:t xml:space="preserve"> </w:t>
      </w:r>
      <w:r w:rsidR="00955657" w:rsidRPr="004D235F">
        <w:rPr>
          <w:rFonts w:ascii="Times New Roman" w:hAnsi="Times New Roman"/>
          <w:bCs/>
          <w:sz w:val="24"/>
        </w:rPr>
        <w:t xml:space="preserve">Intuitively, </w:t>
      </w:r>
      <w:r w:rsidR="00073EF4">
        <w:rPr>
          <w:rFonts w:ascii="Times New Roman" w:hAnsi="Times New Roman"/>
          <w:bCs/>
          <w:sz w:val="24"/>
        </w:rPr>
        <w:t>this</w:t>
      </w:r>
      <w:r w:rsidR="00955657" w:rsidRPr="004D235F">
        <w:rPr>
          <w:rFonts w:ascii="Times New Roman" w:hAnsi="Times New Roman"/>
          <w:bCs/>
          <w:sz w:val="24"/>
        </w:rPr>
        <w:t xml:space="preserve"> circumspection </w:t>
      </w:r>
      <w:r w:rsidR="00474DE0">
        <w:rPr>
          <w:rFonts w:ascii="Times New Roman" w:hAnsi="Times New Roman"/>
          <w:bCs/>
          <w:sz w:val="24"/>
        </w:rPr>
        <w:t xml:space="preserve">and the resulting lower standard of organization are </w:t>
      </w:r>
      <w:r w:rsidR="00955657" w:rsidRPr="004D235F">
        <w:rPr>
          <w:rFonts w:ascii="Times New Roman" w:hAnsi="Times New Roman"/>
          <w:bCs/>
          <w:sz w:val="24"/>
        </w:rPr>
        <w:t>comprehensible</w:t>
      </w:r>
      <w:r w:rsidR="009C4ED0">
        <w:rPr>
          <w:rFonts w:ascii="Times New Roman" w:hAnsi="Times New Roman"/>
          <w:bCs/>
          <w:sz w:val="24"/>
        </w:rPr>
        <w:t>.</w:t>
      </w:r>
      <w:r w:rsidR="00955657" w:rsidRPr="004D235F">
        <w:rPr>
          <w:rFonts w:ascii="Times New Roman" w:hAnsi="Times New Roman"/>
          <w:bCs/>
          <w:sz w:val="24"/>
        </w:rPr>
        <w:t xml:space="preserve"> </w:t>
      </w:r>
      <w:r w:rsidR="009C4ED0">
        <w:rPr>
          <w:rFonts w:ascii="Times New Roman" w:hAnsi="Times New Roman"/>
          <w:bCs/>
          <w:sz w:val="24"/>
        </w:rPr>
        <w:t xml:space="preserve">After all, </w:t>
      </w:r>
      <w:r w:rsidR="00955657" w:rsidRPr="004D235F">
        <w:rPr>
          <w:rFonts w:ascii="Times New Roman" w:hAnsi="Times New Roman"/>
          <w:bCs/>
          <w:sz w:val="24"/>
        </w:rPr>
        <w:t xml:space="preserve">the </w:t>
      </w:r>
      <w:r w:rsidR="00073EF4">
        <w:rPr>
          <w:rFonts w:ascii="Times New Roman" w:hAnsi="Times New Roman"/>
          <w:bCs/>
          <w:sz w:val="24"/>
        </w:rPr>
        <w:t>principal</w:t>
      </w:r>
      <w:r w:rsidR="00955657" w:rsidRPr="004D235F">
        <w:rPr>
          <w:rFonts w:ascii="Times New Roman" w:hAnsi="Times New Roman"/>
          <w:bCs/>
          <w:sz w:val="24"/>
        </w:rPr>
        <w:t xml:space="preserve"> ground for </w:t>
      </w:r>
      <w:r w:rsidR="001E1A2D">
        <w:rPr>
          <w:rFonts w:ascii="Times New Roman" w:hAnsi="Times New Roman"/>
          <w:bCs/>
          <w:sz w:val="24"/>
        </w:rPr>
        <w:t>ceasing</w:t>
      </w:r>
      <w:r w:rsidR="00B47693" w:rsidRPr="004D235F">
        <w:rPr>
          <w:rFonts w:ascii="Times New Roman" w:hAnsi="Times New Roman"/>
          <w:bCs/>
          <w:sz w:val="24"/>
        </w:rPr>
        <w:t xml:space="preserve"> </w:t>
      </w:r>
      <w:r w:rsidR="00955657" w:rsidRPr="004D235F">
        <w:rPr>
          <w:rFonts w:ascii="Times New Roman" w:hAnsi="Times New Roman"/>
          <w:bCs/>
          <w:sz w:val="24"/>
        </w:rPr>
        <w:t xml:space="preserve">the application of the IHL of NIACs is related, as here, none other than to the insufficient level of organization of the armed group, the question already addressed when the initial violence was judged as triggering the IHL of NIAC. </w:t>
      </w:r>
    </w:p>
    <w:p w14:paraId="24D726DE" w14:textId="00B830BD" w:rsidR="00D03D01" w:rsidRDefault="00D03D01" w:rsidP="0063717D">
      <w:pPr>
        <w:tabs>
          <w:tab w:val="left" w:pos="0"/>
        </w:tabs>
        <w:rPr>
          <w:rFonts w:ascii="Times New Roman" w:hAnsi="Times New Roman"/>
          <w:bCs/>
          <w:sz w:val="24"/>
        </w:rPr>
      </w:pPr>
    </w:p>
    <w:p w14:paraId="109ED4DF" w14:textId="6A53DF30" w:rsidR="00955657" w:rsidRPr="004D235F" w:rsidRDefault="00A14823" w:rsidP="0063717D">
      <w:pPr>
        <w:tabs>
          <w:tab w:val="left" w:pos="0"/>
        </w:tabs>
        <w:rPr>
          <w:rFonts w:ascii="Times New Roman" w:hAnsi="Times New Roman"/>
          <w:bCs/>
          <w:sz w:val="24"/>
        </w:rPr>
      </w:pPr>
      <w:r>
        <w:rPr>
          <w:rFonts w:ascii="Times New Roman" w:hAnsi="Times New Roman"/>
          <w:bCs/>
          <w:sz w:val="24"/>
        </w:rPr>
        <w:t>As discussed above,</w:t>
      </w:r>
      <w:r w:rsidR="00632FA7">
        <w:rPr>
          <w:rFonts w:ascii="Times New Roman" w:hAnsi="Times New Roman"/>
          <w:bCs/>
          <w:sz w:val="24"/>
        </w:rPr>
        <w:t xml:space="preserve"> </w:t>
      </w:r>
      <w:r w:rsidR="0055250F">
        <w:rPr>
          <w:rFonts w:ascii="Times New Roman" w:hAnsi="Times New Roman"/>
          <w:bCs/>
          <w:sz w:val="24"/>
        </w:rPr>
        <w:t>the present author</w:t>
      </w:r>
      <w:r>
        <w:rPr>
          <w:rFonts w:ascii="Times New Roman" w:hAnsi="Times New Roman"/>
          <w:bCs/>
          <w:sz w:val="24"/>
        </w:rPr>
        <w:t xml:space="preserve"> assumes</w:t>
      </w:r>
      <w:r w:rsidR="0055250F">
        <w:rPr>
          <w:rFonts w:ascii="Times New Roman" w:hAnsi="Times New Roman"/>
          <w:bCs/>
          <w:sz w:val="24"/>
        </w:rPr>
        <w:t xml:space="preserve"> that </w:t>
      </w:r>
      <w:r w:rsidR="00632FA7">
        <w:rPr>
          <w:rFonts w:ascii="Times New Roman" w:hAnsi="Times New Roman"/>
          <w:bCs/>
          <w:sz w:val="24"/>
        </w:rPr>
        <w:t xml:space="preserve">generally </w:t>
      </w:r>
      <w:r w:rsidR="0055250F">
        <w:rPr>
          <w:rFonts w:ascii="Times New Roman" w:hAnsi="Times New Roman"/>
          <w:bCs/>
          <w:sz w:val="24"/>
        </w:rPr>
        <w:t xml:space="preserve">the law-enforcement paradigm should be the </w:t>
      </w:r>
      <w:r w:rsidR="00632FA7">
        <w:rPr>
          <w:rFonts w:ascii="Times New Roman" w:hAnsi="Times New Roman"/>
          <w:bCs/>
          <w:sz w:val="24"/>
        </w:rPr>
        <w:t>preferred</w:t>
      </w:r>
      <w:r w:rsidR="0055250F">
        <w:rPr>
          <w:rFonts w:ascii="Times New Roman" w:hAnsi="Times New Roman"/>
          <w:bCs/>
          <w:sz w:val="24"/>
        </w:rPr>
        <w:t xml:space="preserve"> model </w:t>
      </w:r>
      <w:r>
        <w:rPr>
          <w:rFonts w:ascii="Times New Roman" w:hAnsi="Times New Roman"/>
          <w:bCs/>
          <w:sz w:val="24"/>
        </w:rPr>
        <w:t xml:space="preserve">for as long as this remains </w:t>
      </w:r>
      <w:r w:rsidR="00972D4E">
        <w:rPr>
          <w:rFonts w:ascii="Times New Roman" w:hAnsi="Times New Roman"/>
          <w:bCs/>
          <w:sz w:val="24"/>
        </w:rPr>
        <w:t xml:space="preserve">viable enough to </w:t>
      </w:r>
      <w:r>
        <w:rPr>
          <w:rFonts w:ascii="Times New Roman" w:hAnsi="Times New Roman"/>
          <w:bCs/>
          <w:sz w:val="24"/>
        </w:rPr>
        <w:t>address violence. Yet</w:t>
      </w:r>
      <w:r w:rsidR="00632FA7">
        <w:rPr>
          <w:rFonts w:ascii="Times New Roman" w:hAnsi="Times New Roman"/>
          <w:bCs/>
          <w:sz w:val="24"/>
        </w:rPr>
        <w:t xml:space="preserve">, </w:t>
      </w:r>
      <w:r w:rsidR="0055250F">
        <w:rPr>
          <w:rFonts w:ascii="Times New Roman" w:hAnsi="Times New Roman"/>
          <w:bCs/>
          <w:sz w:val="24"/>
        </w:rPr>
        <w:t xml:space="preserve">when it comes to </w:t>
      </w:r>
      <w:r w:rsidR="00632FA7">
        <w:rPr>
          <w:rFonts w:ascii="Times New Roman" w:hAnsi="Times New Roman"/>
          <w:bCs/>
          <w:sz w:val="24"/>
        </w:rPr>
        <w:t xml:space="preserve">assessing the tail end of </w:t>
      </w:r>
      <w:r w:rsidR="0055250F">
        <w:rPr>
          <w:rFonts w:ascii="Times New Roman" w:hAnsi="Times New Roman"/>
          <w:bCs/>
          <w:sz w:val="24"/>
        </w:rPr>
        <w:t xml:space="preserve">an ongoing NIAC, </w:t>
      </w:r>
      <w:r w:rsidR="00D273F4">
        <w:rPr>
          <w:rFonts w:ascii="Times New Roman" w:hAnsi="Times New Roman"/>
          <w:bCs/>
          <w:sz w:val="24"/>
        </w:rPr>
        <w:t xml:space="preserve">there are two reasons why </w:t>
      </w:r>
      <w:r w:rsidR="0068163B">
        <w:rPr>
          <w:rFonts w:ascii="Times New Roman" w:hAnsi="Times New Roman"/>
          <w:bCs/>
          <w:sz w:val="24"/>
        </w:rPr>
        <w:t xml:space="preserve">notwithstanding the gradual importance of the IHRL, </w:t>
      </w:r>
      <w:r w:rsidR="00632FA7">
        <w:rPr>
          <w:rFonts w:ascii="Times New Roman" w:hAnsi="Times New Roman"/>
          <w:bCs/>
          <w:sz w:val="24"/>
        </w:rPr>
        <w:t>the switch in the normative regimes from the IHL of NIACs to the law-enforcement paradigm</w:t>
      </w:r>
      <w:r w:rsidR="0009054E">
        <w:rPr>
          <w:rFonts w:ascii="Times New Roman" w:hAnsi="Times New Roman"/>
          <w:bCs/>
          <w:sz w:val="24"/>
        </w:rPr>
        <w:t xml:space="preserve"> should not be proclaimed lightly</w:t>
      </w:r>
      <w:r w:rsidR="0055250F">
        <w:rPr>
          <w:rFonts w:ascii="Times New Roman" w:hAnsi="Times New Roman"/>
          <w:bCs/>
          <w:sz w:val="24"/>
        </w:rPr>
        <w:t xml:space="preserve">. </w:t>
      </w:r>
      <w:r w:rsidR="0009054E">
        <w:rPr>
          <w:rFonts w:ascii="Times New Roman" w:hAnsi="Times New Roman"/>
          <w:bCs/>
          <w:sz w:val="24"/>
        </w:rPr>
        <w:t>In the first place, there</w:t>
      </w:r>
      <w:r w:rsidR="0055250F">
        <w:rPr>
          <w:rFonts w:ascii="Times New Roman" w:hAnsi="Times New Roman"/>
          <w:bCs/>
          <w:sz w:val="24"/>
        </w:rPr>
        <w:t xml:space="preserve"> </w:t>
      </w:r>
      <w:r w:rsidR="00A87E23">
        <w:rPr>
          <w:rFonts w:ascii="Times New Roman" w:hAnsi="Times New Roman"/>
          <w:bCs/>
          <w:sz w:val="24"/>
        </w:rPr>
        <w:t xml:space="preserve">is a risk that a NIAC remains </w:t>
      </w:r>
      <w:r w:rsidR="00B11A98">
        <w:rPr>
          <w:rFonts w:ascii="Times New Roman" w:hAnsi="Times New Roman"/>
          <w:bCs/>
          <w:sz w:val="24"/>
        </w:rPr>
        <w:t xml:space="preserve">only </w:t>
      </w:r>
      <w:r w:rsidR="00A87E23">
        <w:rPr>
          <w:rFonts w:ascii="Times New Roman" w:hAnsi="Times New Roman"/>
          <w:bCs/>
          <w:sz w:val="24"/>
        </w:rPr>
        <w:t>‘dormant’</w:t>
      </w:r>
      <w:r w:rsidR="00A70AEA">
        <w:rPr>
          <w:rFonts w:ascii="Times New Roman" w:hAnsi="Times New Roman"/>
          <w:bCs/>
          <w:sz w:val="24"/>
        </w:rPr>
        <w:t>, with e</w:t>
      </w:r>
      <w:r w:rsidR="00A87E23">
        <w:rPr>
          <w:rFonts w:ascii="Times New Roman" w:hAnsi="Times New Roman"/>
          <w:bCs/>
          <w:sz w:val="24"/>
        </w:rPr>
        <w:t>mbers of violence rekindled at any time</w:t>
      </w:r>
      <w:r w:rsidR="00487A43">
        <w:rPr>
          <w:rFonts w:ascii="Times New Roman" w:hAnsi="Times New Roman"/>
          <w:bCs/>
          <w:sz w:val="24"/>
        </w:rPr>
        <w:t>.</w:t>
      </w:r>
      <w:r w:rsidR="00A87E23">
        <w:rPr>
          <w:rStyle w:val="a5"/>
          <w:rFonts w:ascii="Times New Roman" w:hAnsi="Times New Roman"/>
          <w:bCs/>
          <w:sz w:val="24"/>
        </w:rPr>
        <w:footnoteReference w:id="162"/>
      </w:r>
      <w:r w:rsidR="00955657" w:rsidRPr="004D235F">
        <w:rPr>
          <w:rFonts w:ascii="Times New Roman" w:hAnsi="Times New Roman"/>
          <w:bCs/>
          <w:sz w:val="24"/>
        </w:rPr>
        <w:t xml:space="preserve"> </w:t>
      </w:r>
      <w:r w:rsidR="00972D4E">
        <w:rPr>
          <w:rFonts w:ascii="Times New Roman" w:hAnsi="Times New Roman"/>
          <w:bCs/>
          <w:sz w:val="24"/>
        </w:rPr>
        <w:t>While a</w:t>
      </w:r>
      <w:r w:rsidR="00487A43">
        <w:rPr>
          <w:rFonts w:ascii="Times New Roman" w:hAnsi="Times New Roman"/>
          <w:bCs/>
          <w:sz w:val="24"/>
        </w:rPr>
        <w:t>rmed g</w:t>
      </w:r>
      <w:r w:rsidR="00037611">
        <w:rPr>
          <w:rFonts w:ascii="Times New Roman" w:hAnsi="Times New Roman"/>
          <w:bCs/>
          <w:sz w:val="24"/>
        </w:rPr>
        <w:t xml:space="preserve">roups defeated </w:t>
      </w:r>
      <w:r w:rsidR="00634C9C">
        <w:rPr>
          <w:rFonts w:ascii="Times New Roman" w:hAnsi="Times New Roman"/>
          <w:bCs/>
          <w:sz w:val="24"/>
        </w:rPr>
        <w:t xml:space="preserve">in one armed confrontation </w:t>
      </w:r>
      <w:r w:rsidR="00037611">
        <w:rPr>
          <w:rFonts w:ascii="Times New Roman" w:hAnsi="Times New Roman"/>
          <w:bCs/>
          <w:sz w:val="24"/>
        </w:rPr>
        <w:t xml:space="preserve">and </w:t>
      </w:r>
      <w:r w:rsidR="00E24C08">
        <w:rPr>
          <w:rFonts w:ascii="Times New Roman" w:hAnsi="Times New Roman"/>
          <w:bCs/>
          <w:sz w:val="24"/>
        </w:rPr>
        <w:t xml:space="preserve">left </w:t>
      </w:r>
      <w:r w:rsidR="00037611">
        <w:rPr>
          <w:rFonts w:ascii="Times New Roman" w:hAnsi="Times New Roman"/>
          <w:bCs/>
          <w:sz w:val="24"/>
        </w:rPr>
        <w:t xml:space="preserve">in disarray </w:t>
      </w:r>
      <w:r w:rsidR="00487A43">
        <w:rPr>
          <w:rFonts w:ascii="Times New Roman" w:hAnsi="Times New Roman"/>
          <w:bCs/>
          <w:sz w:val="24"/>
        </w:rPr>
        <w:t xml:space="preserve">drop to near or at the lowest threshold of organization, they may </w:t>
      </w:r>
      <w:r w:rsidR="00972D4E">
        <w:rPr>
          <w:rFonts w:ascii="Times New Roman" w:hAnsi="Times New Roman"/>
          <w:bCs/>
          <w:sz w:val="24"/>
        </w:rPr>
        <w:t>be</w:t>
      </w:r>
      <w:r w:rsidR="00487A43">
        <w:rPr>
          <w:rFonts w:ascii="Times New Roman" w:hAnsi="Times New Roman"/>
          <w:bCs/>
          <w:sz w:val="24"/>
        </w:rPr>
        <w:t xml:space="preserve"> </w:t>
      </w:r>
      <w:r w:rsidR="0038029B">
        <w:rPr>
          <w:rFonts w:ascii="Times New Roman" w:hAnsi="Times New Roman"/>
          <w:bCs/>
          <w:sz w:val="24"/>
        </w:rPr>
        <w:t>hardy</w:t>
      </w:r>
      <w:r w:rsidR="00643FBA">
        <w:rPr>
          <w:rFonts w:ascii="Times New Roman" w:hAnsi="Times New Roman"/>
          <w:bCs/>
          <w:sz w:val="24"/>
        </w:rPr>
        <w:t xml:space="preserve"> enough to</w:t>
      </w:r>
      <w:r w:rsidR="00037611">
        <w:rPr>
          <w:rFonts w:ascii="Times New Roman" w:hAnsi="Times New Roman"/>
          <w:bCs/>
          <w:sz w:val="24"/>
        </w:rPr>
        <w:t xml:space="preserve"> regroup </w:t>
      </w:r>
      <w:r w:rsidR="00487A43">
        <w:rPr>
          <w:rFonts w:ascii="Times New Roman" w:hAnsi="Times New Roman"/>
          <w:bCs/>
          <w:sz w:val="24"/>
        </w:rPr>
        <w:t>in a relatively short period of</w:t>
      </w:r>
      <w:r w:rsidR="00B11A98">
        <w:rPr>
          <w:rFonts w:ascii="Times New Roman" w:hAnsi="Times New Roman"/>
          <w:bCs/>
          <w:sz w:val="24"/>
        </w:rPr>
        <w:t xml:space="preserve"> time. </w:t>
      </w:r>
      <w:r w:rsidR="00C41C01">
        <w:rPr>
          <w:rFonts w:ascii="Times New Roman" w:hAnsi="Times New Roman"/>
          <w:bCs/>
          <w:sz w:val="24"/>
        </w:rPr>
        <w:t xml:space="preserve">A cautious approach </w:t>
      </w:r>
      <w:r w:rsidR="0063717D">
        <w:rPr>
          <w:rFonts w:ascii="Times New Roman" w:hAnsi="Times New Roman"/>
          <w:bCs/>
          <w:sz w:val="24"/>
        </w:rPr>
        <w:t xml:space="preserve">has practical advantage of sparing </w:t>
      </w:r>
      <w:r w:rsidR="00C41C01">
        <w:rPr>
          <w:rFonts w:ascii="Times New Roman" w:hAnsi="Times New Roman"/>
          <w:bCs/>
          <w:sz w:val="24"/>
        </w:rPr>
        <w:t xml:space="preserve">the need for a </w:t>
      </w:r>
      <w:r w:rsidR="00972D4E">
        <w:rPr>
          <w:rFonts w:ascii="Times New Roman" w:hAnsi="Times New Roman"/>
          <w:bCs/>
          <w:sz w:val="24"/>
        </w:rPr>
        <w:t xml:space="preserve">potentially </w:t>
      </w:r>
      <w:r w:rsidR="00C41C01">
        <w:rPr>
          <w:rFonts w:ascii="Times New Roman" w:hAnsi="Times New Roman"/>
          <w:bCs/>
          <w:sz w:val="24"/>
        </w:rPr>
        <w:t>frequent reappraisal and reclassification of</w:t>
      </w:r>
      <w:r w:rsidR="00B11A98">
        <w:rPr>
          <w:rFonts w:ascii="Times New Roman" w:hAnsi="Times New Roman"/>
          <w:bCs/>
          <w:sz w:val="24"/>
        </w:rPr>
        <w:t xml:space="preserve"> the</w:t>
      </w:r>
      <w:r w:rsidR="00BB15A1">
        <w:rPr>
          <w:rFonts w:ascii="Times New Roman" w:hAnsi="Times New Roman"/>
          <w:bCs/>
          <w:sz w:val="24"/>
        </w:rPr>
        <w:t xml:space="preserve"> </w:t>
      </w:r>
      <w:r w:rsidR="008F6A29">
        <w:rPr>
          <w:rFonts w:ascii="Times New Roman" w:hAnsi="Times New Roman"/>
          <w:bCs/>
          <w:sz w:val="24"/>
        </w:rPr>
        <w:t xml:space="preserve">legal character of the </w:t>
      </w:r>
      <w:r w:rsidR="00D273F4">
        <w:rPr>
          <w:rFonts w:ascii="Times New Roman" w:hAnsi="Times New Roman"/>
          <w:bCs/>
          <w:sz w:val="24"/>
        </w:rPr>
        <w:t xml:space="preserve">continuing violence imputable to an </w:t>
      </w:r>
      <w:r w:rsidR="00C55D6F">
        <w:rPr>
          <w:rFonts w:ascii="Times New Roman" w:hAnsi="Times New Roman"/>
          <w:bCs/>
          <w:sz w:val="24"/>
        </w:rPr>
        <w:t>armed group</w:t>
      </w:r>
      <w:r w:rsidR="00AA252D">
        <w:rPr>
          <w:rFonts w:ascii="Times New Roman" w:hAnsi="Times New Roman"/>
          <w:bCs/>
          <w:sz w:val="24"/>
        </w:rPr>
        <w:t>. This can avoid a symptom of</w:t>
      </w:r>
      <w:r w:rsidR="003E2C3E">
        <w:rPr>
          <w:rFonts w:ascii="Times New Roman" w:hAnsi="Times New Roman"/>
          <w:bCs/>
          <w:sz w:val="24"/>
        </w:rPr>
        <w:t xml:space="preserve"> </w:t>
      </w:r>
      <w:r w:rsidR="003546BF">
        <w:rPr>
          <w:rFonts w:ascii="Times New Roman" w:hAnsi="Times New Roman"/>
          <w:bCs/>
          <w:sz w:val="24"/>
        </w:rPr>
        <w:t xml:space="preserve">a </w:t>
      </w:r>
      <w:r w:rsidR="00634C9C">
        <w:rPr>
          <w:rFonts w:ascii="Times New Roman" w:hAnsi="Times New Roman"/>
          <w:bCs/>
          <w:sz w:val="24"/>
        </w:rPr>
        <w:lastRenderedPageBreak/>
        <w:t>‘revolving</w:t>
      </w:r>
      <w:r w:rsidR="00AA252D">
        <w:rPr>
          <w:rFonts w:ascii="Times New Roman" w:hAnsi="Times New Roman"/>
          <w:bCs/>
          <w:sz w:val="24"/>
        </w:rPr>
        <w:t xml:space="preserve"> </w:t>
      </w:r>
      <w:r w:rsidR="00634C9C">
        <w:rPr>
          <w:rFonts w:ascii="Times New Roman" w:hAnsi="Times New Roman"/>
          <w:bCs/>
          <w:sz w:val="24"/>
        </w:rPr>
        <w:t>door</w:t>
      </w:r>
      <w:r w:rsidR="00AA252D">
        <w:rPr>
          <w:rFonts w:ascii="Times New Roman" w:hAnsi="Times New Roman"/>
          <w:bCs/>
          <w:sz w:val="24"/>
        </w:rPr>
        <w:t xml:space="preserve"> between applicability and non-applicability’ of IHL</w:t>
      </w:r>
      <w:r w:rsidR="00634C9C">
        <w:rPr>
          <w:rFonts w:ascii="Times New Roman" w:hAnsi="Times New Roman"/>
          <w:bCs/>
          <w:sz w:val="24"/>
        </w:rPr>
        <w:t>.</w:t>
      </w:r>
      <w:r w:rsidR="00643FBA">
        <w:rPr>
          <w:rStyle w:val="a5"/>
          <w:rFonts w:ascii="Times New Roman" w:hAnsi="Times New Roman"/>
          <w:bCs/>
          <w:sz w:val="24"/>
        </w:rPr>
        <w:footnoteReference w:id="163"/>
      </w:r>
      <w:r w:rsidR="0009054E">
        <w:rPr>
          <w:rFonts w:ascii="Times New Roman" w:hAnsi="Times New Roman"/>
          <w:bCs/>
          <w:sz w:val="24"/>
        </w:rPr>
        <w:t xml:space="preserve"> In the second place</w:t>
      </w:r>
      <w:r w:rsidR="00955657" w:rsidRPr="004D235F">
        <w:rPr>
          <w:rFonts w:ascii="Times New Roman" w:hAnsi="Times New Roman"/>
          <w:bCs/>
          <w:sz w:val="24"/>
        </w:rPr>
        <w:t>, the verdict that the armed group is no longer sufficiently organized in a NIAC results in a ‘volte-face’ in the applicable legal regimes</w:t>
      </w:r>
      <w:r w:rsidR="00EE2993">
        <w:rPr>
          <w:rFonts w:ascii="Times New Roman" w:hAnsi="Times New Roman"/>
          <w:bCs/>
          <w:sz w:val="24"/>
        </w:rPr>
        <w:t>.</w:t>
      </w:r>
      <w:r w:rsidR="001418A6" w:rsidRPr="004D235F">
        <w:rPr>
          <w:rStyle w:val="a5"/>
          <w:rFonts w:ascii="Times New Roman" w:hAnsi="Times New Roman"/>
          <w:bCs/>
          <w:sz w:val="24"/>
        </w:rPr>
        <w:footnoteReference w:id="164"/>
      </w:r>
      <w:r w:rsidR="00EE2993">
        <w:rPr>
          <w:rFonts w:ascii="Times New Roman" w:hAnsi="Times New Roman"/>
          <w:bCs/>
          <w:sz w:val="24"/>
        </w:rPr>
        <w:t xml:space="preserve"> </w:t>
      </w:r>
      <w:r w:rsidR="00484393">
        <w:rPr>
          <w:rFonts w:ascii="Times New Roman" w:hAnsi="Times New Roman"/>
          <w:bCs/>
          <w:sz w:val="24"/>
        </w:rPr>
        <w:t>W</w:t>
      </w:r>
      <w:r w:rsidR="0038029B">
        <w:rPr>
          <w:rFonts w:ascii="Times New Roman" w:hAnsi="Times New Roman"/>
          <w:bCs/>
          <w:sz w:val="24"/>
        </w:rPr>
        <w:t>ith the exception of a handful of rules,</w:t>
      </w:r>
      <w:r w:rsidR="00212C9B">
        <w:rPr>
          <w:rStyle w:val="a5"/>
          <w:rFonts w:ascii="Times New Roman" w:hAnsi="Times New Roman"/>
          <w:bCs/>
          <w:sz w:val="24"/>
        </w:rPr>
        <w:footnoteReference w:id="165"/>
      </w:r>
      <w:r w:rsidR="00EE2993">
        <w:rPr>
          <w:rFonts w:ascii="Times New Roman" w:hAnsi="Times New Roman"/>
          <w:bCs/>
          <w:sz w:val="24"/>
        </w:rPr>
        <w:t xml:space="preserve"> </w:t>
      </w:r>
      <w:r w:rsidR="00484393">
        <w:rPr>
          <w:rFonts w:ascii="Times New Roman" w:hAnsi="Times New Roman"/>
          <w:bCs/>
          <w:sz w:val="24"/>
        </w:rPr>
        <w:t>th</w:t>
      </w:r>
      <w:r w:rsidR="00484393" w:rsidRPr="004D235F">
        <w:rPr>
          <w:rFonts w:ascii="Times New Roman" w:hAnsi="Times New Roman"/>
          <w:bCs/>
          <w:sz w:val="24"/>
        </w:rPr>
        <w:t>e applicability of</w:t>
      </w:r>
      <w:r w:rsidR="00484393">
        <w:rPr>
          <w:rFonts w:ascii="Times New Roman" w:hAnsi="Times New Roman"/>
          <w:bCs/>
          <w:sz w:val="24"/>
        </w:rPr>
        <w:t xml:space="preserve"> the corpus of the </w:t>
      </w:r>
      <w:r w:rsidR="00484393" w:rsidRPr="004D235F">
        <w:rPr>
          <w:rFonts w:ascii="Times New Roman" w:hAnsi="Times New Roman"/>
          <w:bCs/>
          <w:sz w:val="24"/>
        </w:rPr>
        <w:t>IHL</w:t>
      </w:r>
      <w:r w:rsidR="00484393">
        <w:rPr>
          <w:rFonts w:ascii="Times New Roman" w:hAnsi="Times New Roman"/>
          <w:bCs/>
          <w:sz w:val="24"/>
        </w:rPr>
        <w:t xml:space="preserve"> of NIACs</w:t>
      </w:r>
      <w:r w:rsidR="00484393">
        <w:rPr>
          <w:rStyle w:val="a5"/>
          <w:rFonts w:ascii="Times New Roman" w:hAnsi="Times New Roman"/>
          <w:bCs/>
          <w:sz w:val="24"/>
        </w:rPr>
        <w:footnoteReference w:id="166"/>
      </w:r>
      <w:r w:rsidR="00484393">
        <w:rPr>
          <w:rFonts w:ascii="Times New Roman" w:hAnsi="Times New Roman"/>
          <w:bCs/>
          <w:sz w:val="24"/>
        </w:rPr>
        <w:t xml:space="preserve"> is </w:t>
      </w:r>
      <w:r w:rsidR="00EE2993">
        <w:rPr>
          <w:rFonts w:ascii="Times New Roman" w:hAnsi="Times New Roman"/>
          <w:bCs/>
          <w:sz w:val="24"/>
        </w:rPr>
        <w:t>revoked</w:t>
      </w:r>
      <w:r w:rsidR="00E4318C">
        <w:rPr>
          <w:rFonts w:ascii="Times New Roman" w:hAnsi="Times New Roman"/>
          <w:bCs/>
          <w:sz w:val="24"/>
        </w:rPr>
        <w:t xml:space="preserve"> from the entire territory of the State </w:t>
      </w:r>
      <w:r w:rsidR="004F6C99">
        <w:rPr>
          <w:rFonts w:ascii="Times New Roman" w:hAnsi="Times New Roman"/>
          <w:bCs/>
          <w:sz w:val="24"/>
        </w:rPr>
        <w:t>where it has been judged to be saddled with</w:t>
      </w:r>
      <w:r w:rsidR="00E4318C">
        <w:rPr>
          <w:rFonts w:ascii="Times New Roman" w:hAnsi="Times New Roman"/>
          <w:bCs/>
          <w:sz w:val="24"/>
        </w:rPr>
        <w:t xml:space="preserve"> a NIAC</w:t>
      </w:r>
      <w:r w:rsidR="00484393">
        <w:rPr>
          <w:rFonts w:ascii="Times New Roman" w:hAnsi="Times New Roman"/>
          <w:bCs/>
          <w:sz w:val="24"/>
        </w:rPr>
        <w:t>.</w:t>
      </w:r>
      <w:r w:rsidR="00E4318C">
        <w:rPr>
          <w:rStyle w:val="a5"/>
          <w:rFonts w:ascii="Times New Roman" w:hAnsi="Times New Roman"/>
          <w:bCs/>
          <w:sz w:val="24"/>
        </w:rPr>
        <w:footnoteReference w:id="167"/>
      </w:r>
      <w:r w:rsidR="00EE2993">
        <w:rPr>
          <w:rFonts w:ascii="Times New Roman" w:hAnsi="Times New Roman"/>
          <w:bCs/>
          <w:sz w:val="24"/>
        </w:rPr>
        <w:t xml:space="preserve"> </w:t>
      </w:r>
      <w:r w:rsidR="00484393">
        <w:rPr>
          <w:rFonts w:ascii="Times New Roman" w:hAnsi="Times New Roman"/>
          <w:bCs/>
          <w:sz w:val="24"/>
        </w:rPr>
        <w:t>T</w:t>
      </w:r>
      <w:r w:rsidR="00EE2993">
        <w:rPr>
          <w:rFonts w:ascii="Times New Roman" w:hAnsi="Times New Roman"/>
          <w:bCs/>
          <w:sz w:val="24"/>
        </w:rPr>
        <w:t xml:space="preserve">he ongoing violence </w:t>
      </w:r>
      <w:r w:rsidR="00E4318C">
        <w:rPr>
          <w:rFonts w:ascii="Times New Roman" w:hAnsi="Times New Roman"/>
          <w:bCs/>
          <w:sz w:val="24"/>
        </w:rPr>
        <w:t>as such and any measure taken by Parties that has a certain nexus to that violence</w:t>
      </w:r>
      <w:r w:rsidR="007303CA">
        <w:rPr>
          <w:rStyle w:val="a5"/>
          <w:rFonts w:ascii="Times New Roman" w:hAnsi="Times New Roman"/>
          <w:bCs/>
          <w:sz w:val="24"/>
        </w:rPr>
        <w:footnoteReference w:id="168"/>
      </w:r>
      <w:r w:rsidR="00E4318C">
        <w:rPr>
          <w:rFonts w:ascii="Times New Roman" w:hAnsi="Times New Roman"/>
          <w:bCs/>
          <w:sz w:val="24"/>
        </w:rPr>
        <w:t xml:space="preserve"> </w:t>
      </w:r>
      <w:r w:rsidR="00EE2993">
        <w:rPr>
          <w:rFonts w:ascii="Times New Roman" w:hAnsi="Times New Roman"/>
          <w:bCs/>
          <w:sz w:val="24"/>
        </w:rPr>
        <w:t xml:space="preserve">fall </w:t>
      </w:r>
      <w:r w:rsidR="00955657" w:rsidRPr="004D235F">
        <w:rPr>
          <w:rFonts w:ascii="Times New Roman" w:hAnsi="Times New Roman"/>
          <w:bCs/>
          <w:sz w:val="24"/>
        </w:rPr>
        <w:t xml:space="preserve">to be governed by domestic law and </w:t>
      </w:r>
      <w:r w:rsidR="002279F0">
        <w:rPr>
          <w:rFonts w:ascii="Times New Roman" w:hAnsi="Times New Roman"/>
          <w:bCs/>
          <w:sz w:val="24"/>
        </w:rPr>
        <w:t>IHRL</w:t>
      </w:r>
      <w:r w:rsidR="00955657" w:rsidRPr="004D235F">
        <w:rPr>
          <w:rFonts w:ascii="Times New Roman" w:hAnsi="Times New Roman"/>
          <w:bCs/>
          <w:sz w:val="24"/>
        </w:rPr>
        <w:t xml:space="preserve">. </w:t>
      </w:r>
      <w:r w:rsidR="00B96A05">
        <w:rPr>
          <w:rFonts w:ascii="Times New Roman" w:hAnsi="Times New Roman"/>
          <w:bCs/>
          <w:sz w:val="24"/>
        </w:rPr>
        <w:t xml:space="preserve">It </w:t>
      </w:r>
      <w:r w:rsidR="002559CB" w:rsidRPr="004D235F">
        <w:rPr>
          <w:rFonts w:ascii="Times New Roman" w:hAnsi="Times New Roman"/>
          <w:bCs/>
          <w:sz w:val="24"/>
        </w:rPr>
        <w:t xml:space="preserve">is likely that </w:t>
      </w:r>
      <w:r w:rsidR="005720A1">
        <w:rPr>
          <w:rFonts w:ascii="Times New Roman" w:hAnsi="Times New Roman"/>
          <w:bCs/>
          <w:sz w:val="24"/>
        </w:rPr>
        <w:t>cogency of this</w:t>
      </w:r>
      <w:r w:rsidR="00955657" w:rsidRPr="004D235F">
        <w:rPr>
          <w:rFonts w:ascii="Times New Roman" w:hAnsi="Times New Roman"/>
          <w:bCs/>
          <w:sz w:val="24"/>
        </w:rPr>
        <w:t xml:space="preserve"> second rationale </w:t>
      </w:r>
      <w:r w:rsidR="005720A1">
        <w:rPr>
          <w:rFonts w:ascii="Times New Roman" w:hAnsi="Times New Roman"/>
          <w:bCs/>
          <w:sz w:val="24"/>
        </w:rPr>
        <w:t xml:space="preserve">is bolstered </w:t>
      </w:r>
      <w:r w:rsidR="00955657" w:rsidRPr="004D235F">
        <w:rPr>
          <w:rFonts w:ascii="Times New Roman" w:hAnsi="Times New Roman"/>
          <w:bCs/>
          <w:sz w:val="24"/>
        </w:rPr>
        <w:t>where isolated but fierce attacks are still under way, involving numerous civilian casualties.</w:t>
      </w:r>
      <w:r w:rsidR="00955657" w:rsidRPr="004D235F">
        <w:rPr>
          <w:rStyle w:val="a5"/>
          <w:rFonts w:ascii="Times New Roman" w:hAnsi="Times New Roman"/>
          <w:bCs/>
          <w:sz w:val="24"/>
        </w:rPr>
        <w:footnoteReference w:id="169"/>
      </w:r>
      <w:r w:rsidR="00955657" w:rsidRPr="004D235F">
        <w:rPr>
          <w:rFonts w:ascii="Times New Roman" w:hAnsi="Times New Roman"/>
          <w:bCs/>
          <w:sz w:val="24"/>
        </w:rPr>
        <w:t xml:space="preserve"> </w:t>
      </w:r>
    </w:p>
    <w:p w14:paraId="25CF2D52" w14:textId="1AB85308" w:rsidR="00955657" w:rsidRDefault="00955657" w:rsidP="00E01082">
      <w:pPr>
        <w:tabs>
          <w:tab w:val="left" w:pos="0"/>
        </w:tabs>
        <w:rPr>
          <w:rFonts w:ascii="Times New Roman" w:hAnsi="Times New Roman"/>
          <w:bCs/>
          <w:sz w:val="24"/>
        </w:rPr>
      </w:pPr>
    </w:p>
    <w:p w14:paraId="00F244BD" w14:textId="0767E7E9" w:rsidR="004A061B" w:rsidRPr="00A54C24" w:rsidRDefault="004A061B" w:rsidP="006347AB">
      <w:pPr>
        <w:pStyle w:val="ad"/>
        <w:numPr>
          <w:ilvl w:val="0"/>
          <w:numId w:val="1"/>
        </w:numPr>
        <w:ind w:leftChars="0"/>
        <w:rPr>
          <w:rFonts w:ascii="Times New Roman" w:hAnsi="Times New Roman"/>
          <w:b/>
          <w:bCs/>
          <w:sz w:val="24"/>
        </w:rPr>
      </w:pPr>
      <w:r w:rsidRPr="00A54C24">
        <w:rPr>
          <w:rFonts w:ascii="Times New Roman" w:hAnsi="Times New Roman"/>
          <w:b/>
          <w:bCs/>
          <w:sz w:val="24"/>
        </w:rPr>
        <w:t xml:space="preserve">Limited </w:t>
      </w:r>
      <w:r w:rsidR="001418A6" w:rsidRPr="00A54C24">
        <w:rPr>
          <w:rFonts w:ascii="Times New Roman" w:hAnsi="Times New Roman"/>
          <w:b/>
          <w:bCs/>
          <w:sz w:val="24"/>
        </w:rPr>
        <w:t>R</w:t>
      </w:r>
      <w:r w:rsidRPr="00A54C24">
        <w:rPr>
          <w:rFonts w:ascii="Times New Roman" w:hAnsi="Times New Roman"/>
          <w:b/>
          <w:bCs/>
          <w:sz w:val="24"/>
        </w:rPr>
        <w:t xml:space="preserve">elevance of the </w:t>
      </w:r>
      <w:r w:rsidR="001418A6" w:rsidRPr="00A54C24">
        <w:rPr>
          <w:rFonts w:ascii="Times New Roman" w:hAnsi="Times New Roman"/>
          <w:b/>
          <w:bCs/>
          <w:sz w:val="24"/>
        </w:rPr>
        <w:t>P</w:t>
      </w:r>
      <w:r w:rsidRPr="00A54C24">
        <w:rPr>
          <w:rFonts w:ascii="Times New Roman" w:hAnsi="Times New Roman"/>
          <w:b/>
          <w:bCs/>
          <w:sz w:val="24"/>
        </w:rPr>
        <w:t>ropos</w:t>
      </w:r>
      <w:r w:rsidR="00743455" w:rsidRPr="00A54C24">
        <w:rPr>
          <w:rFonts w:ascii="Times New Roman" w:hAnsi="Times New Roman"/>
          <w:b/>
          <w:bCs/>
          <w:sz w:val="24"/>
        </w:rPr>
        <w:t xml:space="preserve">al </w:t>
      </w:r>
      <w:r w:rsidRPr="00A54C24">
        <w:rPr>
          <w:rFonts w:ascii="Times New Roman" w:hAnsi="Times New Roman"/>
          <w:b/>
          <w:bCs/>
          <w:sz w:val="24"/>
        </w:rPr>
        <w:t xml:space="preserve">to </w:t>
      </w:r>
      <w:r w:rsidR="001418A6" w:rsidRPr="00A54C24">
        <w:rPr>
          <w:rFonts w:ascii="Times New Roman" w:hAnsi="Times New Roman"/>
          <w:b/>
          <w:bCs/>
          <w:sz w:val="24"/>
        </w:rPr>
        <w:t>L</w:t>
      </w:r>
      <w:r w:rsidRPr="00A54C24">
        <w:rPr>
          <w:rFonts w:ascii="Times New Roman" w:hAnsi="Times New Roman"/>
          <w:b/>
          <w:bCs/>
          <w:sz w:val="24"/>
        </w:rPr>
        <w:t xml:space="preserve">ower the </w:t>
      </w:r>
      <w:r w:rsidR="001418A6" w:rsidRPr="00A54C24">
        <w:rPr>
          <w:rFonts w:ascii="Times New Roman" w:hAnsi="Times New Roman"/>
          <w:b/>
          <w:bCs/>
          <w:sz w:val="24"/>
        </w:rPr>
        <w:t>O</w:t>
      </w:r>
      <w:r w:rsidRPr="00A54C24">
        <w:rPr>
          <w:rFonts w:ascii="Times New Roman" w:hAnsi="Times New Roman"/>
          <w:b/>
          <w:bCs/>
          <w:sz w:val="24"/>
        </w:rPr>
        <w:t xml:space="preserve">rganizational </w:t>
      </w:r>
      <w:r w:rsidR="001418A6" w:rsidRPr="00A54C24">
        <w:rPr>
          <w:rFonts w:ascii="Times New Roman" w:hAnsi="Times New Roman"/>
          <w:b/>
          <w:bCs/>
          <w:sz w:val="24"/>
        </w:rPr>
        <w:t>L</w:t>
      </w:r>
      <w:r w:rsidRPr="00A54C24">
        <w:rPr>
          <w:rFonts w:ascii="Times New Roman" w:hAnsi="Times New Roman"/>
          <w:b/>
          <w:bCs/>
          <w:sz w:val="24"/>
        </w:rPr>
        <w:t xml:space="preserve">evel in </w:t>
      </w:r>
      <w:r w:rsidR="001418A6" w:rsidRPr="00A54C24">
        <w:rPr>
          <w:rFonts w:ascii="Times New Roman" w:hAnsi="Times New Roman"/>
          <w:b/>
          <w:bCs/>
          <w:sz w:val="24"/>
        </w:rPr>
        <w:t>A</w:t>
      </w:r>
      <w:r w:rsidRPr="00A54C24">
        <w:rPr>
          <w:rFonts w:ascii="Times New Roman" w:hAnsi="Times New Roman"/>
          <w:b/>
          <w:bCs/>
          <w:sz w:val="24"/>
        </w:rPr>
        <w:t xml:space="preserve">ssessing </w:t>
      </w:r>
      <w:r w:rsidR="001418A6" w:rsidRPr="00A54C24">
        <w:rPr>
          <w:rFonts w:ascii="Times New Roman" w:hAnsi="Times New Roman"/>
          <w:b/>
          <w:bCs/>
          <w:sz w:val="24"/>
        </w:rPr>
        <w:t>C</w:t>
      </w:r>
      <w:r w:rsidRPr="00A54C24">
        <w:rPr>
          <w:rFonts w:ascii="Times New Roman" w:hAnsi="Times New Roman"/>
          <w:b/>
          <w:bCs/>
          <w:sz w:val="24"/>
        </w:rPr>
        <w:t xml:space="preserve">rimes against </w:t>
      </w:r>
      <w:r w:rsidR="001418A6" w:rsidRPr="00A54C24">
        <w:rPr>
          <w:rFonts w:ascii="Times New Roman" w:hAnsi="Times New Roman"/>
          <w:b/>
          <w:bCs/>
          <w:sz w:val="24"/>
        </w:rPr>
        <w:t>H</w:t>
      </w:r>
      <w:r w:rsidRPr="00A54C24">
        <w:rPr>
          <w:rFonts w:ascii="Times New Roman" w:hAnsi="Times New Roman"/>
          <w:b/>
          <w:bCs/>
          <w:sz w:val="24"/>
        </w:rPr>
        <w:t>umanity</w:t>
      </w:r>
      <w:r w:rsidR="00411965" w:rsidRPr="00A54C24">
        <w:rPr>
          <w:rFonts w:ascii="Times New Roman" w:hAnsi="Times New Roman"/>
          <w:b/>
          <w:bCs/>
          <w:sz w:val="24"/>
        </w:rPr>
        <w:t xml:space="preserve"> </w:t>
      </w:r>
    </w:p>
    <w:p w14:paraId="6943A78D" w14:textId="24EA6B04" w:rsidR="004A061B" w:rsidRDefault="001C5EE3" w:rsidP="00E01082">
      <w:pPr>
        <w:rPr>
          <w:rFonts w:ascii="Times New Roman" w:hAnsi="Times New Roman"/>
          <w:sz w:val="24"/>
          <w:shd w:val="clear" w:color="auto" w:fill="FFFFFF"/>
        </w:rPr>
      </w:pPr>
      <w:r>
        <w:rPr>
          <w:rFonts w:ascii="Times New Roman" w:hAnsi="Times New Roman"/>
          <w:sz w:val="24"/>
          <w:shd w:val="clear" w:color="auto" w:fill="FFFFFF"/>
        </w:rPr>
        <w:t>The</w:t>
      </w:r>
      <w:r w:rsidR="00743455">
        <w:rPr>
          <w:rFonts w:ascii="Times New Roman" w:hAnsi="Times New Roman"/>
          <w:sz w:val="24"/>
          <w:shd w:val="clear" w:color="auto" w:fill="FFFFFF"/>
        </w:rPr>
        <w:t xml:space="preserve"> </w:t>
      </w:r>
      <w:r w:rsidR="004A061B">
        <w:rPr>
          <w:rFonts w:ascii="Times New Roman" w:hAnsi="Times New Roman"/>
          <w:sz w:val="24"/>
          <w:shd w:val="clear" w:color="auto" w:fill="FFFFFF"/>
        </w:rPr>
        <w:t>compensat</w:t>
      </w:r>
      <w:r w:rsidR="00876D18">
        <w:rPr>
          <w:rFonts w:ascii="Times New Roman" w:hAnsi="Times New Roman"/>
          <w:sz w:val="24"/>
          <w:shd w:val="clear" w:color="auto" w:fill="FFFFFF"/>
        </w:rPr>
        <w:t>ory</w:t>
      </w:r>
      <w:r w:rsidR="004A061B">
        <w:rPr>
          <w:rFonts w:ascii="Times New Roman" w:hAnsi="Times New Roman"/>
          <w:sz w:val="24"/>
          <w:shd w:val="clear" w:color="auto" w:fill="FFFFFF"/>
        </w:rPr>
        <w:t xml:space="preserve"> model </w:t>
      </w:r>
      <w:r w:rsidR="00D20DD3">
        <w:rPr>
          <w:rFonts w:ascii="Times New Roman" w:hAnsi="Times New Roman"/>
          <w:sz w:val="24"/>
          <w:shd w:val="clear" w:color="auto" w:fill="FFFFFF"/>
        </w:rPr>
        <w:t xml:space="preserve">proposed in the context of the IHL of NIACs </w:t>
      </w:r>
      <w:r w:rsidR="004A061B">
        <w:rPr>
          <w:rFonts w:ascii="Times New Roman" w:hAnsi="Times New Roman"/>
          <w:sz w:val="24"/>
          <w:shd w:val="clear" w:color="auto" w:fill="FFFFFF"/>
        </w:rPr>
        <w:t>seem</w:t>
      </w:r>
      <w:r w:rsidR="00D20DD3">
        <w:rPr>
          <w:rFonts w:ascii="Times New Roman" w:hAnsi="Times New Roman"/>
          <w:sz w:val="24"/>
          <w:shd w:val="clear" w:color="auto" w:fill="FFFFFF"/>
        </w:rPr>
        <w:t>s</w:t>
      </w:r>
      <w:r w:rsidR="004A061B">
        <w:rPr>
          <w:rFonts w:ascii="Times New Roman" w:hAnsi="Times New Roman"/>
          <w:sz w:val="24"/>
          <w:shd w:val="clear" w:color="auto" w:fill="FFFFFF"/>
        </w:rPr>
        <w:t xml:space="preserve"> to</w:t>
      </w:r>
      <w:r w:rsidR="004A061B" w:rsidRPr="004D235F">
        <w:rPr>
          <w:rFonts w:ascii="Times New Roman" w:hAnsi="Times New Roman"/>
          <w:sz w:val="24"/>
          <w:shd w:val="clear" w:color="auto" w:fill="FFFFFF"/>
        </w:rPr>
        <w:t xml:space="preserve"> tie in with a </w:t>
      </w:r>
      <w:r w:rsidR="004A061B">
        <w:rPr>
          <w:rFonts w:ascii="Times New Roman" w:hAnsi="Times New Roman"/>
          <w:sz w:val="24"/>
          <w:shd w:val="clear" w:color="auto" w:fill="FFFFFF"/>
        </w:rPr>
        <w:t xml:space="preserve">parallel </w:t>
      </w:r>
      <w:r w:rsidR="004A061B" w:rsidRPr="004D235F">
        <w:rPr>
          <w:rFonts w:ascii="Times New Roman" w:hAnsi="Times New Roman"/>
          <w:sz w:val="24"/>
          <w:shd w:val="clear" w:color="auto" w:fill="FFFFFF"/>
        </w:rPr>
        <w:t xml:space="preserve">‘tendency’ emerging in the context of crimes against humanity. </w:t>
      </w:r>
      <w:r w:rsidR="004A061B" w:rsidRPr="00C006E5">
        <w:rPr>
          <w:rFonts w:ascii="Times New Roman" w:hAnsi="Times New Roman"/>
          <w:sz w:val="24"/>
        </w:rPr>
        <w:t xml:space="preserve">Under Article 7(2)(a) of the </w:t>
      </w:r>
      <w:r w:rsidR="004A061B">
        <w:rPr>
          <w:rFonts w:ascii="Times New Roman" w:hAnsi="Times New Roman"/>
          <w:sz w:val="24"/>
        </w:rPr>
        <w:t xml:space="preserve">Rome </w:t>
      </w:r>
      <w:r w:rsidR="004A061B" w:rsidRPr="00C006E5">
        <w:rPr>
          <w:rFonts w:ascii="Times New Roman" w:hAnsi="Times New Roman"/>
          <w:sz w:val="24"/>
        </w:rPr>
        <w:t>Statute</w:t>
      </w:r>
      <w:r w:rsidR="004A061B">
        <w:rPr>
          <w:rFonts w:ascii="Times New Roman" w:hAnsi="Times New Roman"/>
          <w:sz w:val="24"/>
        </w:rPr>
        <w:t xml:space="preserve"> of the International Criminal Court</w:t>
      </w:r>
      <w:r w:rsidR="00F40DD3">
        <w:rPr>
          <w:rFonts w:ascii="Times New Roman" w:hAnsi="Times New Roman"/>
          <w:sz w:val="24"/>
        </w:rPr>
        <w:t xml:space="preserve"> (Rome Statute or ICC Statute)</w:t>
      </w:r>
      <w:r w:rsidR="00411965">
        <w:rPr>
          <w:rFonts w:ascii="Times New Roman" w:hAnsi="Times New Roman"/>
          <w:sz w:val="24"/>
        </w:rPr>
        <w:t>,</w:t>
      </w:r>
      <w:r w:rsidR="004A061B" w:rsidRPr="00C006E5">
        <w:rPr>
          <w:rFonts w:ascii="Times New Roman" w:hAnsi="Times New Roman"/>
          <w:sz w:val="24"/>
        </w:rPr>
        <w:t xml:space="preserve"> the notion ‘organization’ </w:t>
      </w:r>
      <w:r w:rsidR="0037024F">
        <w:rPr>
          <w:rFonts w:ascii="Times New Roman" w:hAnsi="Times New Roman"/>
          <w:sz w:val="24"/>
        </w:rPr>
        <w:t>forms</w:t>
      </w:r>
      <w:r w:rsidR="004A061B" w:rsidRPr="00C006E5">
        <w:rPr>
          <w:rFonts w:ascii="Times New Roman" w:hAnsi="Times New Roman"/>
          <w:sz w:val="24"/>
        </w:rPr>
        <w:t xml:space="preserve"> part of the ‘organizational policy’ </w:t>
      </w:r>
      <w:r w:rsidR="004A061B" w:rsidRPr="00C006E5">
        <w:rPr>
          <w:rFonts w:ascii="Times New Roman" w:hAnsi="Times New Roman"/>
          <w:sz w:val="24"/>
        </w:rPr>
        <w:lastRenderedPageBreak/>
        <w:t xml:space="preserve">requirement of the crimes against humanity. </w:t>
      </w:r>
      <w:r w:rsidR="004A061B">
        <w:rPr>
          <w:rFonts w:ascii="Times New Roman" w:hAnsi="Times New Roman"/>
          <w:sz w:val="24"/>
        </w:rPr>
        <w:t>W</w:t>
      </w:r>
      <w:r w:rsidR="004A061B" w:rsidRPr="004D235F">
        <w:rPr>
          <w:rFonts w:ascii="Times New Roman" w:hAnsi="Times New Roman"/>
          <w:sz w:val="24"/>
        </w:rPr>
        <w:t xml:space="preserve">hen assessing the meaning of ‘attack’ defined under </w:t>
      </w:r>
      <w:r w:rsidR="004A061B">
        <w:rPr>
          <w:rFonts w:ascii="Times New Roman" w:hAnsi="Times New Roman"/>
          <w:sz w:val="24"/>
        </w:rPr>
        <w:t>this sub-paragraph,</w:t>
      </w:r>
      <w:r w:rsidR="004A061B">
        <w:rPr>
          <w:rFonts w:ascii="Times New Roman" w:hAnsi="Times New Roman"/>
          <w:sz w:val="24"/>
          <w:shd w:val="clear" w:color="auto" w:fill="FFFFFF"/>
        </w:rPr>
        <w:t xml:space="preserve"> some scholars have proposed</w:t>
      </w:r>
      <w:r w:rsidR="004A061B" w:rsidRPr="004D235F">
        <w:rPr>
          <w:rFonts w:ascii="Times New Roman" w:hAnsi="Times New Roman"/>
          <w:sz w:val="24"/>
          <w:shd w:val="clear" w:color="auto" w:fill="FFFFFF"/>
        </w:rPr>
        <w:t xml:space="preserve"> </w:t>
      </w:r>
      <w:r w:rsidR="0037024F">
        <w:rPr>
          <w:rFonts w:ascii="Times New Roman" w:hAnsi="Times New Roman"/>
          <w:sz w:val="24"/>
          <w:shd w:val="clear" w:color="auto" w:fill="FFFFFF"/>
        </w:rPr>
        <w:t>a</w:t>
      </w:r>
      <w:r w:rsidR="004A061B" w:rsidRPr="004D235F">
        <w:rPr>
          <w:rFonts w:ascii="Times New Roman" w:hAnsi="Times New Roman"/>
          <w:sz w:val="24"/>
          <w:shd w:val="clear" w:color="auto" w:fill="FFFFFF"/>
        </w:rPr>
        <w:t xml:space="preserve"> lower </w:t>
      </w:r>
      <w:r w:rsidR="004A061B" w:rsidRPr="004D235F">
        <w:rPr>
          <w:rFonts w:ascii="Times New Roman" w:hAnsi="Times New Roman"/>
          <w:sz w:val="24"/>
        </w:rPr>
        <w:t>threshold for ‘organizational policy’</w:t>
      </w:r>
      <w:r w:rsidR="004A061B" w:rsidRPr="004D235F">
        <w:rPr>
          <w:rStyle w:val="a5"/>
          <w:rFonts w:ascii="Times New Roman" w:hAnsi="Times New Roman"/>
          <w:sz w:val="24"/>
        </w:rPr>
        <w:footnoteReference w:id="170"/>
      </w:r>
      <w:r w:rsidR="004A061B" w:rsidRPr="004D235F">
        <w:rPr>
          <w:rFonts w:ascii="Times New Roman" w:hAnsi="Times New Roman"/>
          <w:sz w:val="24"/>
        </w:rPr>
        <w:t xml:space="preserve"> </w:t>
      </w:r>
      <w:r w:rsidR="004A061B" w:rsidRPr="004D235F">
        <w:rPr>
          <w:rFonts w:ascii="Times New Roman" w:hAnsi="Times New Roman"/>
          <w:sz w:val="24"/>
          <w:shd w:val="clear" w:color="auto" w:fill="FFFFFF"/>
        </w:rPr>
        <w:t>in a trade-off to high-intensity violence</w:t>
      </w:r>
      <w:r w:rsidR="00412AF1">
        <w:rPr>
          <w:rFonts w:ascii="Times New Roman" w:hAnsi="Times New Roman"/>
          <w:sz w:val="24"/>
          <w:shd w:val="clear" w:color="auto" w:fill="FFFFFF"/>
        </w:rPr>
        <w:t>.</w:t>
      </w:r>
      <w:r w:rsidR="004A061B" w:rsidRPr="004D235F">
        <w:rPr>
          <w:rStyle w:val="a5"/>
          <w:rFonts w:ascii="Times New Roman" w:hAnsi="Times New Roman"/>
          <w:sz w:val="24"/>
        </w:rPr>
        <w:footnoteReference w:id="171"/>
      </w:r>
      <w:r w:rsidR="004A061B" w:rsidRPr="004D235F">
        <w:rPr>
          <w:rFonts w:ascii="Times New Roman" w:hAnsi="Times New Roman"/>
          <w:sz w:val="24"/>
          <w:shd w:val="clear" w:color="auto" w:fill="FFFFFF"/>
        </w:rPr>
        <w:t xml:space="preserve"> </w:t>
      </w:r>
    </w:p>
    <w:p w14:paraId="637FC275" w14:textId="77777777" w:rsidR="004A061B" w:rsidRDefault="004A061B" w:rsidP="00E01082">
      <w:pPr>
        <w:rPr>
          <w:rFonts w:ascii="Times New Roman" w:hAnsi="Times New Roman"/>
          <w:sz w:val="24"/>
          <w:shd w:val="clear" w:color="auto" w:fill="FFFFFF"/>
        </w:rPr>
      </w:pPr>
    </w:p>
    <w:p w14:paraId="3753FFEF" w14:textId="2EA62D4C" w:rsidR="004A061B" w:rsidRPr="00411965" w:rsidRDefault="004A061B" w:rsidP="00E01082">
      <w:pPr>
        <w:rPr>
          <w:rFonts w:ascii="Times New Roman" w:hAnsi="Times New Roman"/>
          <w:sz w:val="24"/>
          <w:shd w:val="clear" w:color="auto" w:fill="FFFFFF"/>
        </w:rPr>
      </w:pPr>
      <w:r>
        <w:rPr>
          <w:rFonts w:ascii="Times New Roman" w:hAnsi="Times New Roman"/>
          <w:sz w:val="24"/>
        </w:rPr>
        <w:t xml:space="preserve">The </w:t>
      </w:r>
      <w:r w:rsidRPr="004D235F">
        <w:rPr>
          <w:rFonts w:ascii="Times New Roman" w:hAnsi="Times New Roman"/>
          <w:sz w:val="24"/>
        </w:rPr>
        <w:t>debate on what sort of organization is envisaged under that provision was precipitated by the ICC Pre-Trial Chamber II’s decision in the Kenyan situation dealing with post-election violence.</w:t>
      </w:r>
      <w:r w:rsidRPr="004D235F">
        <w:rPr>
          <w:rStyle w:val="a5"/>
          <w:rFonts w:ascii="Times New Roman" w:hAnsi="Times New Roman"/>
          <w:sz w:val="24"/>
        </w:rPr>
        <w:footnoteReference w:id="172"/>
      </w:r>
      <w:r w:rsidRPr="004D235F">
        <w:rPr>
          <w:rFonts w:ascii="Times New Roman" w:hAnsi="Times New Roman"/>
          <w:sz w:val="24"/>
        </w:rPr>
        <w:t xml:space="preserve"> In that case, the majority of two judges</w:t>
      </w:r>
      <w:r w:rsidR="00125A69">
        <w:rPr>
          <w:rFonts w:ascii="Times New Roman" w:hAnsi="Times New Roman"/>
          <w:sz w:val="24"/>
        </w:rPr>
        <w:t>, contrary to the one dissent,</w:t>
      </w:r>
      <w:r w:rsidR="00125A69">
        <w:rPr>
          <w:rStyle w:val="a5"/>
          <w:rFonts w:ascii="Times New Roman" w:hAnsi="Times New Roman"/>
          <w:sz w:val="24"/>
        </w:rPr>
        <w:footnoteReference w:id="173"/>
      </w:r>
      <w:r w:rsidRPr="004D235F">
        <w:rPr>
          <w:rFonts w:ascii="Times New Roman" w:hAnsi="Times New Roman"/>
          <w:sz w:val="24"/>
        </w:rPr>
        <w:t xml:space="preserve"> discounted the ‘formal nature’ of the group in favour even of ‘private’ criminal organization, which was an assembly of heterogeneous people such as local leaders, businesspersons, politicians and police officers.</w:t>
      </w:r>
      <w:r w:rsidRPr="004D235F">
        <w:rPr>
          <w:rStyle w:val="a5"/>
          <w:rFonts w:ascii="Times New Roman" w:hAnsi="Times New Roman"/>
          <w:sz w:val="24"/>
        </w:rPr>
        <w:footnoteReference w:id="174"/>
      </w:r>
      <w:r w:rsidRPr="004D235F">
        <w:rPr>
          <w:rFonts w:ascii="Times New Roman" w:hAnsi="Times New Roman"/>
          <w:sz w:val="24"/>
        </w:rPr>
        <w:t xml:space="preserve"> The majority of the Kenyan Pre-Trial Chamber held that a group’s ‘level of organization’ should be evaluated on the basis of its ‘capability to perform acts which infringe on basic human values’.</w:t>
      </w:r>
      <w:r w:rsidRPr="004D235F">
        <w:rPr>
          <w:rStyle w:val="a5"/>
          <w:rFonts w:ascii="Times New Roman" w:hAnsi="Times New Roman"/>
          <w:sz w:val="24"/>
        </w:rPr>
        <w:footnoteReference w:id="175"/>
      </w:r>
      <w:r w:rsidR="00411965" w:rsidRPr="00411965">
        <w:rPr>
          <w:rFonts w:ascii="Times New Roman" w:hAnsi="Times New Roman"/>
          <w:sz w:val="24"/>
        </w:rPr>
        <w:t xml:space="preserve"> </w:t>
      </w:r>
      <w:r w:rsidR="00411965">
        <w:rPr>
          <w:rFonts w:ascii="Times New Roman" w:hAnsi="Times New Roman"/>
          <w:sz w:val="24"/>
        </w:rPr>
        <w:t xml:space="preserve">Along the line of this decision, </w:t>
      </w:r>
      <w:r w:rsidR="00412AF1">
        <w:rPr>
          <w:rFonts w:ascii="Times New Roman" w:hAnsi="Times New Roman"/>
          <w:sz w:val="24"/>
        </w:rPr>
        <w:t xml:space="preserve">it may be asked if </w:t>
      </w:r>
      <w:r w:rsidR="00411965">
        <w:rPr>
          <w:rFonts w:ascii="Times New Roman" w:hAnsi="Times New Roman"/>
          <w:sz w:val="24"/>
          <w:shd w:val="clear" w:color="auto" w:fill="FFFFFF"/>
        </w:rPr>
        <w:t xml:space="preserve">the </w:t>
      </w:r>
      <w:r w:rsidR="00412AF1">
        <w:rPr>
          <w:rFonts w:ascii="Times New Roman" w:hAnsi="Times New Roman"/>
          <w:sz w:val="24"/>
          <w:shd w:val="clear" w:color="auto" w:fill="FFFFFF"/>
        </w:rPr>
        <w:t xml:space="preserve">lower </w:t>
      </w:r>
      <w:r w:rsidR="00411965">
        <w:rPr>
          <w:rFonts w:ascii="Times New Roman" w:hAnsi="Times New Roman"/>
          <w:sz w:val="24"/>
          <w:shd w:val="clear" w:color="auto" w:fill="FFFFFF"/>
        </w:rPr>
        <w:t xml:space="preserve">threshold </w:t>
      </w:r>
      <w:r w:rsidR="00412AF1">
        <w:rPr>
          <w:rFonts w:ascii="Times New Roman" w:hAnsi="Times New Roman"/>
          <w:sz w:val="24"/>
          <w:shd w:val="clear" w:color="auto" w:fill="FFFFFF"/>
        </w:rPr>
        <w:t>for</w:t>
      </w:r>
      <w:r w:rsidR="00411965">
        <w:rPr>
          <w:rFonts w:ascii="Times New Roman" w:hAnsi="Times New Roman"/>
          <w:sz w:val="24"/>
          <w:shd w:val="clear" w:color="auto" w:fill="FFFFFF"/>
        </w:rPr>
        <w:t xml:space="preserve"> organization under Article 7(2)(a) of the Rome Statute </w:t>
      </w:r>
      <w:r w:rsidR="00412AF1">
        <w:rPr>
          <w:rFonts w:ascii="Times New Roman" w:hAnsi="Times New Roman"/>
          <w:sz w:val="24"/>
          <w:shd w:val="clear" w:color="auto" w:fill="FFFFFF"/>
        </w:rPr>
        <w:t xml:space="preserve">can </w:t>
      </w:r>
      <w:r w:rsidR="00411965">
        <w:rPr>
          <w:rFonts w:ascii="Times New Roman" w:hAnsi="Times New Roman"/>
          <w:sz w:val="24"/>
          <w:shd w:val="clear" w:color="auto" w:fill="FFFFFF"/>
        </w:rPr>
        <w:t xml:space="preserve">be </w:t>
      </w:r>
      <w:r w:rsidR="00412AF1">
        <w:rPr>
          <w:rFonts w:ascii="Times New Roman" w:hAnsi="Times New Roman"/>
          <w:sz w:val="24"/>
          <w:shd w:val="clear" w:color="auto" w:fill="FFFFFF"/>
        </w:rPr>
        <w:t>recognized</w:t>
      </w:r>
      <w:r w:rsidR="00411965">
        <w:rPr>
          <w:rFonts w:ascii="Times New Roman" w:hAnsi="Times New Roman"/>
          <w:sz w:val="24"/>
          <w:shd w:val="clear" w:color="auto" w:fill="FFFFFF"/>
        </w:rPr>
        <w:t xml:space="preserve"> </w:t>
      </w:r>
      <w:r w:rsidR="00412AF1">
        <w:rPr>
          <w:rFonts w:ascii="Times New Roman" w:hAnsi="Times New Roman"/>
          <w:sz w:val="24"/>
          <w:shd w:val="clear" w:color="auto" w:fill="FFFFFF"/>
        </w:rPr>
        <w:t>in view of</w:t>
      </w:r>
      <w:r w:rsidR="00411965">
        <w:rPr>
          <w:rFonts w:ascii="Times New Roman" w:hAnsi="Times New Roman"/>
          <w:sz w:val="24"/>
          <w:shd w:val="clear" w:color="auto" w:fill="FFFFFF"/>
        </w:rPr>
        <w:t xml:space="preserve"> the </w:t>
      </w:r>
      <w:r w:rsidR="00412AF1">
        <w:rPr>
          <w:rFonts w:ascii="Times New Roman" w:hAnsi="Times New Roman"/>
          <w:sz w:val="24"/>
          <w:shd w:val="clear" w:color="auto" w:fill="FFFFFF"/>
        </w:rPr>
        <w:t>grav</w:t>
      </w:r>
      <w:r w:rsidR="009F4897">
        <w:rPr>
          <w:rFonts w:ascii="Times New Roman" w:hAnsi="Times New Roman"/>
          <w:sz w:val="24"/>
          <w:shd w:val="clear" w:color="auto" w:fill="FFFFFF"/>
        </w:rPr>
        <w:t>e nature of</w:t>
      </w:r>
      <w:r w:rsidR="00411965">
        <w:rPr>
          <w:rFonts w:ascii="Times New Roman" w:hAnsi="Times New Roman"/>
          <w:sz w:val="24"/>
          <w:shd w:val="clear" w:color="auto" w:fill="FFFFFF"/>
        </w:rPr>
        <w:t xml:space="preserve"> human rights</w:t>
      </w:r>
      <w:r w:rsidR="009F4897">
        <w:rPr>
          <w:rFonts w:ascii="Times New Roman" w:hAnsi="Times New Roman"/>
          <w:sz w:val="24"/>
          <w:shd w:val="clear" w:color="auto" w:fill="FFFFFF"/>
        </w:rPr>
        <w:t xml:space="preserve"> </w:t>
      </w:r>
      <w:r w:rsidR="00D669AE">
        <w:rPr>
          <w:rFonts w:ascii="Times New Roman" w:hAnsi="Times New Roman"/>
          <w:sz w:val="24"/>
          <w:shd w:val="clear" w:color="auto" w:fill="FFFFFF"/>
        </w:rPr>
        <w:t>impinged upon</w:t>
      </w:r>
      <w:r w:rsidR="00411965">
        <w:rPr>
          <w:rFonts w:ascii="Times New Roman" w:hAnsi="Times New Roman"/>
          <w:sz w:val="24"/>
          <w:shd w:val="clear" w:color="auto" w:fill="FFFFFF"/>
        </w:rPr>
        <w:t>.</w:t>
      </w:r>
      <w:r w:rsidR="00412AF1" w:rsidRPr="004D235F">
        <w:rPr>
          <w:rStyle w:val="a5"/>
          <w:rFonts w:ascii="Times New Roman" w:hAnsi="Times New Roman"/>
          <w:sz w:val="24"/>
        </w:rPr>
        <w:footnoteReference w:id="176"/>
      </w:r>
    </w:p>
    <w:p w14:paraId="2C8E5036" w14:textId="77777777" w:rsidR="004A061B" w:rsidRPr="00C006E5" w:rsidRDefault="004A061B" w:rsidP="00E01082">
      <w:pPr>
        <w:rPr>
          <w:rFonts w:ascii="Times New Roman" w:hAnsi="Times New Roman"/>
          <w:sz w:val="24"/>
        </w:rPr>
      </w:pPr>
    </w:p>
    <w:p w14:paraId="4CE236D0" w14:textId="401772E9" w:rsidR="004A061B" w:rsidRPr="00092BDD" w:rsidRDefault="004A061B" w:rsidP="00E01082">
      <w:pPr>
        <w:rPr>
          <w:rFonts w:ascii="Times New Roman" w:hAnsi="Times New Roman"/>
          <w:sz w:val="24"/>
          <w:shd w:val="clear" w:color="auto" w:fill="FFFFFF"/>
        </w:rPr>
      </w:pPr>
      <w:r>
        <w:rPr>
          <w:rFonts w:ascii="Times New Roman" w:hAnsi="Times New Roman"/>
          <w:sz w:val="24"/>
        </w:rPr>
        <w:t xml:space="preserve">On surface, it seems tempting to suggest that </w:t>
      </w:r>
      <w:r w:rsidR="00664BC8">
        <w:rPr>
          <w:rFonts w:ascii="Times New Roman" w:hAnsi="Times New Roman"/>
          <w:sz w:val="24"/>
        </w:rPr>
        <w:t xml:space="preserve">the compensatory model advanced </w:t>
      </w:r>
      <w:r w:rsidR="00283221">
        <w:rPr>
          <w:rFonts w:ascii="Times New Roman" w:hAnsi="Times New Roman"/>
          <w:sz w:val="24"/>
        </w:rPr>
        <w:t>by this paper in the context of IHL</w:t>
      </w:r>
      <w:r w:rsidR="00664BC8">
        <w:rPr>
          <w:rFonts w:ascii="Times New Roman" w:hAnsi="Times New Roman"/>
          <w:sz w:val="24"/>
        </w:rPr>
        <w:t xml:space="preserve"> may be bolstered by </w:t>
      </w:r>
      <w:r>
        <w:rPr>
          <w:rFonts w:ascii="Times New Roman" w:hAnsi="Times New Roman"/>
          <w:sz w:val="24"/>
        </w:rPr>
        <w:t xml:space="preserve">the </w:t>
      </w:r>
      <w:r w:rsidR="00664BC8">
        <w:rPr>
          <w:rFonts w:ascii="Times New Roman" w:hAnsi="Times New Roman"/>
          <w:sz w:val="24"/>
        </w:rPr>
        <w:t xml:space="preserve">approach of the </w:t>
      </w:r>
      <w:r>
        <w:rPr>
          <w:rFonts w:ascii="Times New Roman" w:hAnsi="Times New Roman"/>
          <w:sz w:val="24"/>
        </w:rPr>
        <w:t>ICC Pre-Trial Chamber in the Kenyan situation</w:t>
      </w:r>
      <w:r w:rsidR="001C5868">
        <w:rPr>
          <w:rFonts w:ascii="Times New Roman" w:hAnsi="Times New Roman"/>
          <w:sz w:val="24"/>
        </w:rPr>
        <w:t xml:space="preserve">. The Pre-Trial Chamber </w:t>
      </w:r>
      <w:r w:rsidR="00283221">
        <w:rPr>
          <w:rFonts w:ascii="Times New Roman" w:hAnsi="Times New Roman"/>
          <w:sz w:val="24"/>
        </w:rPr>
        <w:t xml:space="preserve">gave </w:t>
      </w:r>
      <w:r w:rsidR="00664BC8">
        <w:rPr>
          <w:rFonts w:ascii="Times New Roman" w:hAnsi="Times New Roman"/>
          <w:sz w:val="24"/>
        </w:rPr>
        <w:t xml:space="preserve">an imprimatur to </w:t>
      </w:r>
      <w:r w:rsidR="00A54C24">
        <w:rPr>
          <w:rFonts w:ascii="Times New Roman" w:hAnsi="Times New Roman"/>
          <w:sz w:val="24"/>
        </w:rPr>
        <w:t>the approach of l</w:t>
      </w:r>
      <w:r w:rsidR="00664BC8">
        <w:rPr>
          <w:rFonts w:ascii="Times New Roman" w:hAnsi="Times New Roman"/>
          <w:sz w:val="24"/>
        </w:rPr>
        <w:t xml:space="preserve">owering the threshold for ascertaining the </w:t>
      </w:r>
      <w:r w:rsidR="00664BC8" w:rsidRPr="00C006E5">
        <w:rPr>
          <w:rFonts w:ascii="Times New Roman" w:hAnsi="Times New Roman"/>
          <w:sz w:val="24"/>
        </w:rPr>
        <w:t xml:space="preserve">contextual requirement of organization </w:t>
      </w:r>
      <w:r w:rsidR="00A54C24">
        <w:rPr>
          <w:rFonts w:ascii="Times New Roman" w:hAnsi="Times New Roman"/>
          <w:sz w:val="24"/>
        </w:rPr>
        <w:t>relative to</w:t>
      </w:r>
      <w:r w:rsidR="00664BC8" w:rsidRPr="00C006E5">
        <w:rPr>
          <w:rFonts w:ascii="Times New Roman" w:hAnsi="Times New Roman"/>
          <w:sz w:val="24"/>
        </w:rPr>
        <w:t xml:space="preserve"> crimes against humanity</w:t>
      </w:r>
      <w:r w:rsidRPr="00C006E5">
        <w:rPr>
          <w:rFonts w:ascii="Times New Roman" w:hAnsi="Times New Roman"/>
          <w:sz w:val="24"/>
        </w:rPr>
        <w:t>.</w:t>
      </w:r>
      <w:r>
        <w:rPr>
          <w:rFonts w:ascii="Times New Roman" w:hAnsi="Times New Roman"/>
          <w:sz w:val="24"/>
        </w:rPr>
        <w:t xml:space="preserve"> </w:t>
      </w:r>
      <w:r>
        <w:rPr>
          <w:rFonts w:ascii="Times New Roman" w:hAnsi="Times New Roman"/>
          <w:sz w:val="24"/>
          <w:shd w:val="clear" w:color="auto" w:fill="FFFFFF"/>
        </w:rPr>
        <w:t xml:space="preserve">Yet, on closer </w:t>
      </w:r>
      <w:r w:rsidR="00092BDD">
        <w:rPr>
          <w:rFonts w:ascii="Times New Roman" w:hAnsi="Times New Roman"/>
          <w:sz w:val="24"/>
          <w:shd w:val="clear" w:color="auto" w:fill="FFFFFF"/>
        </w:rPr>
        <w:t>inspection</w:t>
      </w:r>
      <w:r>
        <w:rPr>
          <w:rFonts w:ascii="Times New Roman" w:hAnsi="Times New Roman"/>
          <w:sz w:val="24"/>
          <w:shd w:val="clear" w:color="auto" w:fill="FFFFFF"/>
        </w:rPr>
        <w:t xml:space="preserve">, it </w:t>
      </w:r>
      <w:r w:rsidR="00C61004">
        <w:rPr>
          <w:rFonts w:ascii="Times New Roman" w:hAnsi="Times New Roman"/>
          <w:sz w:val="24"/>
          <w:shd w:val="clear" w:color="auto" w:fill="FFFFFF"/>
        </w:rPr>
        <w:t xml:space="preserve">transpires </w:t>
      </w:r>
      <w:r>
        <w:rPr>
          <w:rFonts w:ascii="Times New Roman" w:hAnsi="Times New Roman"/>
          <w:sz w:val="24"/>
          <w:shd w:val="clear" w:color="auto" w:fill="FFFFFF"/>
        </w:rPr>
        <w:t xml:space="preserve">that any perceived relevance of such a ‘propensity’ emerging from the context of crimes against humanity </w:t>
      </w:r>
      <w:r w:rsidR="00C21F3C">
        <w:rPr>
          <w:rFonts w:ascii="Times New Roman" w:hAnsi="Times New Roman"/>
          <w:sz w:val="24"/>
          <w:shd w:val="clear" w:color="auto" w:fill="FFFFFF"/>
        </w:rPr>
        <w:t xml:space="preserve">to the compensatory model </w:t>
      </w:r>
      <w:r w:rsidR="00092BDD">
        <w:rPr>
          <w:rFonts w:ascii="Times New Roman" w:hAnsi="Times New Roman"/>
          <w:sz w:val="24"/>
          <w:shd w:val="clear" w:color="auto" w:fill="FFFFFF"/>
        </w:rPr>
        <w:t xml:space="preserve">in IHL </w:t>
      </w:r>
      <w:r>
        <w:rPr>
          <w:rFonts w:ascii="Times New Roman" w:hAnsi="Times New Roman"/>
          <w:sz w:val="24"/>
          <w:shd w:val="clear" w:color="auto" w:fill="FFFFFF"/>
        </w:rPr>
        <w:t xml:space="preserve">is </w:t>
      </w:r>
      <w:r w:rsidR="00411965">
        <w:rPr>
          <w:rFonts w:ascii="Times New Roman" w:hAnsi="Times New Roman"/>
          <w:sz w:val="24"/>
          <w:shd w:val="clear" w:color="auto" w:fill="FFFFFF"/>
        </w:rPr>
        <w:t>elusive</w:t>
      </w:r>
      <w:r>
        <w:rPr>
          <w:rFonts w:ascii="Times New Roman" w:hAnsi="Times New Roman"/>
          <w:sz w:val="24"/>
          <w:shd w:val="clear" w:color="auto" w:fill="FFFFFF"/>
        </w:rPr>
        <w:t xml:space="preserve">. Once inquiries are made </w:t>
      </w:r>
      <w:r>
        <w:rPr>
          <w:rFonts w:ascii="Times New Roman" w:hAnsi="Times New Roman"/>
          <w:sz w:val="24"/>
          <w:shd w:val="clear" w:color="auto" w:fill="FFFFFF"/>
        </w:rPr>
        <w:lastRenderedPageBreak/>
        <w:t xml:space="preserve">into the structural differences lying between them, it </w:t>
      </w:r>
      <w:r w:rsidR="00092BDD">
        <w:rPr>
          <w:rFonts w:ascii="Times New Roman" w:hAnsi="Times New Roman"/>
          <w:sz w:val="24"/>
          <w:shd w:val="clear" w:color="auto" w:fill="FFFFFF"/>
        </w:rPr>
        <w:t>becomes</w:t>
      </w:r>
      <w:r>
        <w:rPr>
          <w:rFonts w:ascii="Times New Roman" w:hAnsi="Times New Roman"/>
          <w:sz w:val="24"/>
          <w:shd w:val="clear" w:color="auto" w:fill="FFFFFF"/>
        </w:rPr>
        <w:t xml:space="preserve"> clear that </w:t>
      </w:r>
      <w:r w:rsidR="00C21F3C">
        <w:rPr>
          <w:rFonts w:ascii="Times New Roman" w:hAnsi="Times New Roman"/>
          <w:sz w:val="24"/>
          <w:shd w:val="clear" w:color="auto" w:fill="FFFFFF"/>
        </w:rPr>
        <w:t xml:space="preserve">there is little foundation for comparing </w:t>
      </w:r>
      <w:r w:rsidR="00092BDD">
        <w:rPr>
          <w:rFonts w:ascii="Times New Roman" w:hAnsi="Times New Roman"/>
          <w:sz w:val="24"/>
          <w:shd w:val="clear" w:color="auto" w:fill="FFFFFF"/>
        </w:rPr>
        <w:t>between them.</w:t>
      </w:r>
      <w:r w:rsidR="00092BDD">
        <w:rPr>
          <w:rFonts w:ascii="Times New Roman" w:hAnsi="Times New Roman" w:hint="eastAsia"/>
          <w:sz w:val="24"/>
          <w:shd w:val="clear" w:color="auto" w:fill="FFFFFF"/>
        </w:rPr>
        <w:t xml:space="preserve"> </w:t>
      </w:r>
      <w:r>
        <w:rPr>
          <w:rFonts w:ascii="Times New Roman" w:hAnsi="Times New Roman"/>
          <w:sz w:val="24"/>
          <w:shd w:val="clear" w:color="auto" w:fill="FFFFFF"/>
        </w:rPr>
        <w:t xml:space="preserve">First, as briefly mentioned above, </w:t>
      </w:r>
      <w:r w:rsidR="001C5EE3">
        <w:rPr>
          <w:rFonts w:ascii="Times New Roman" w:hAnsi="Times New Roman"/>
          <w:sz w:val="24"/>
          <w:shd w:val="clear" w:color="auto" w:fill="FFFFFF"/>
        </w:rPr>
        <w:t xml:space="preserve">in the IHL of NIACs, </w:t>
      </w:r>
      <w:r>
        <w:rPr>
          <w:rFonts w:ascii="Times New Roman" w:hAnsi="Times New Roman"/>
          <w:sz w:val="24"/>
          <w:shd w:val="clear" w:color="auto" w:fill="FFFFFF"/>
        </w:rPr>
        <w:t xml:space="preserve">the requirement of organization </w:t>
      </w:r>
      <w:r w:rsidR="00411965">
        <w:rPr>
          <w:rFonts w:ascii="Times New Roman" w:hAnsi="Times New Roman"/>
          <w:sz w:val="24"/>
          <w:shd w:val="clear" w:color="auto" w:fill="FFFFFF"/>
        </w:rPr>
        <w:t>that is deemed</w:t>
      </w:r>
      <w:r>
        <w:rPr>
          <w:rFonts w:ascii="Times New Roman" w:hAnsi="Times New Roman"/>
          <w:sz w:val="24"/>
          <w:shd w:val="clear" w:color="auto" w:fill="FFFFFF"/>
        </w:rPr>
        <w:t xml:space="preserve"> equivalent to the requirement of ‘parties’ to the conflict suggests at least two foes battling against each other.</w:t>
      </w:r>
      <w:r w:rsidR="00A61B16">
        <w:rPr>
          <w:rStyle w:val="a5"/>
          <w:rFonts w:ascii="Times New Roman" w:hAnsi="Times New Roman"/>
          <w:sz w:val="24"/>
          <w:shd w:val="clear" w:color="auto" w:fill="FFFFFF"/>
        </w:rPr>
        <w:footnoteReference w:id="177"/>
      </w:r>
      <w:r>
        <w:rPr>
          <w:rFonts w:ascii="Times New Roman" w:hAnsi="Times New Roman"/>
          <w:sz w:val="24"/>
          <w:shd w:val="clear" w:color="auto" w:fill="FFFFFF"/>
        </w:rPr>
        <w:t xml:space="preserve"> Clearly, the intra-State violence in which only one ‘group’ is involved</w:t>
      </w:r>
      <w:r w:rsidR="002B7021">
        <w:rPr>
          <w:rFonts w:ascii="Times New Roman" w:hAnsi="Times New Roman"/>
          <w:sz w:val="24"/>
          <w:shd w:val="clear" w:color="auto" w:fill="FFFFFF"/>
        </w:rPr>
        <w:t xml:space="preserve"> in a unilateral manner</w:t>
      </w:r>
      <w:r>
        <w:rPr>
          <w:rFonts w:ascii="Times New Roman" w:hAnsi="Times New Roman"/>
          <w:sz w:val="24"/>
          <w:shd w:val="clear" w:color="auto" w:fill="FFFFFF"/>
        </w:rPr>
        <w:t xml:space="preserve">, as exemplified by the configuration of violence in the post-election Kenyan situation, falls outside the realm of a NIAC, however well-organized the </w:t>
      </w:r>
      <w:r w:rsidR="00092BDD">
        <w:rPr>
          <w:rFonts w:ascii="Times New Roman" w:hAnsi="Times New Roman"/>
          <w:sz w:val="24"/>
          <w:shd w:val="clear" w:color="auto" w:fill="FFFFFF"/>
        </w:rPr>
        <w:t xml:space="preserve">‘armed </w:t>
      </w:r>
      <w:r>
        <w:rPr>
          <w:rFonts w:ascii="Times New Roman" w:hAnsi="Times New Roman"/>
          <w:sz w:val="24"/>
          <w:shd w:val="clear" w:color="auto" w:fill="FFFFFF"/>
        </w:rPr>
        <w:t>group</w:t>
      </w:r>
      <w:r w:rsidR="00092BDD">
        <w:rPr>
          <w:rFonts w:ascii="Times New Roman" w:hAnsi="Times New Roman"/>
          <w:sz w:val="24"/>
          <w:shd w:val="clear" w:color="auto" w:fill="FFFFFF"/>
        </w:rPr>
        <w:t>’</w:t>
      </w:r>
      <w:r>
        <w:rPr>
          <w:rFonts w:ascii="Times New Roman" w:hAnsi="Times New Roman"/>
          <w:sz w:val="24"/>
          <w:shd w:val="clear" w:color="auto" w:fill="FFFFFF"/>
        </w:rPr>
        <w:t xml:space="preserve"> concerned may be. </w:t>
      </w:r>
      <w:r>
        <w:rPr>
          <w:rFonts w:ascii="Times New Roman" w:hAnsi="Times New Roman"/>
          <w:sz w:val="24"/>
        </w:rPr>
        <w:t>Second</w:t>
      </w:r>
      <w:r w:rsidRPr="00C006E5">
        <w:rPr>
          <w:rFonts w:ascii="Times New Roman" w:hAnsi="Times New Roman"/>
          <w:sz w:val="24"/>
        </w:rPr>
        <w:t xml:space="preserve">, due account should be taken of the underlying differences in the context in which (and the purpose for which) </w:t>
      </w:r>
      <w:r>
        <w:rPr>
          <w:rFonts w:ascii="Times New Roman" w:hAnsi="Times New Roman"/>
          <w:sz w:val="24"/>
        </w:rPr>
        <w:t>the notion ‘organization’</w:t>
      </w:r>
      <w:r w:rsidRPr="00C006E5">
        <w:rPr>
          <w:rFonts w:ascii="Times New Roman" w:hAnsi="Times New Roman"/>
          <w:sz w:val="24"/>
        </w:rPr>
        <w:t xml:space="preserve"> is employed.</w:t>
      </w:r>
      <w:r w:rsidRPr="00C006E5">
        <w:rPr>
          <w:rStyle w:val="a5"/>
          <w:rFonts w:ascii="Times New Roman" w:hAnsi="Times New Roman"/>
          <w:sz w:val="24"/>
        </w:rPr>
        <w:footnoteReference w:id="178"/>
      </w:r>
      <w:r w:rsidRPr="00C006E5">
        <w:rPr>
          <w:rFonts w:ascii="Times New Roman" w:hAnsi="Times New Roman"/>
          <w:sz w:val="24"/>
        </w:rPr>
        <w:t xml:space="preserve"> </w:t>
      </w:r>
      <w:r>
        <w:rPr>
          <w:rFonts w:ascii="Times New Roman" w:hAnsi="Times New Roman"/>
          <w:sz w:val="24"/>
        </w:rPr>
        <w:t xml:space="preserve">In </w:t>
      </w:r>
      <w:r w:rsidRPr="00C006E5">
        <w:rPr>
          <w:rFonts w:ascii="Times New Roman" w:hAnsi="Times New Roman"/>
          <w:i/>
          <w:iCs/>
          <w:sz w:val="24"/>
        </w:rPr>
        <w:t>Katanga</w:t>
      </w:r>
      <w:r>
        <w:rPr>
          <w:rFonts w:ascii="Times New Roman" w:hAnsi="Times New Roman"/>
          <w:sz w:val="24"/>
        </w:rPr>
        <w:t xml:space="preserve">, </w:t>
      </w:r>
      <w:r w:rsidRPr="00C006E5">
        <w:rPr>
          <w:rFonts w:ascii="Times New Roman" w:hAnsi="Times New Roman"/>
          <w:sz w:val="24"/>
        </w:rPr>
        <w:t xml:space="preserve">the ICC Pre-Trial Chamber </w:t>
      </w:r>
      <w:r>
        <w:rPr>
          <w:rFonts w:ascii="Times New Roman" w:hAnsi="Times New Roman"/>
          <w:sz w:val="24"/>
        </w:rPr>
        <w:t>stressed</w:t>
      </w:r>
      <w:r w:rsidRPr="00C006E5">
        <w:rPr>
          <w:rFonts w:ascii="Times New Roman" w:hAnsi="Times New Roman"/>
          <w:sz w:val="24"/>
        </w:rPr>
        <w:t xml:space="preserve"> that the adjective ‘organizational’ in Article 7(2)(a) of the Rome Statute</w:t>
      </w:r>
      <w:r>
        <w:rPr>
          <w:rFonts w:ascii="Times New Roman" w:hAnsi="Times New Roman"/>
          <w:sz w:val="24"/>
        </w:rPr>
        <w:t xml:space="preserve"> was</w:t>
      </w:r>
      <w:r w:rsidRPr="00C006E5">
        <w:rPr>
          <w:rFonts w:ascii="Times New Roman" w:hAnsi="Times New Roman"/>
          <w:sz w:val="24"/>
        </w:rPr>
        <w:t xml:space="preserve"> </w:t>
      </w:r>
      <w:r>
        <w:rPr>
          <w:rFonts w:ascii="Times New Roman" w:hAnsi="Times New Roman"/>
          <w:sz w:val="24"/>
        </w:rPr>
        <w:t>constitutive</w:t>
      </w:r>
      <w:r w:rsidRPr="00C006E5">
        <w:rPr>
          <w:rFonts w:ascii="Times New Roman" w:hAnsi="Times New Roman"/>
          <w:sz w:val="24"/>
        </w:rPr>
        <w:t xml:space="preserve"> of the overall requirement of policy</w:t>
      </w:r>
      <w:r>
        <w:rPr>
          <w:rFonts w:ascii="Times New Roman" w:hAnsi="Times New Roman"/>
          <w:sz w:val="24"/>
        </w:rPr>
        <w:t xml:space="preserve"> that stems </w:t>
      </w:r>
      <w:r w:rsidRPr="00C006E5">
        <w:rPr>
          <w:rFonts w:ascii="Times New Roman" w:hAnsi="Times New Roman"/>
          <w:sz w:val="24"/>
        </w:rPr>
        <w:t>from the expression ‘directed against any civilian population’</w:t>
      </w:r>
      <w:r>
        <w:rPr>
          <w:rFonts w:ascii="Times New Roman" w:hAnsi="Times New Roman"/>
          <w:sz w:val="24"/>
        </w:rPr>
        <w:t xml:space="preserve">. This </w:t>
      </w:r>
      <w:r w:rsidR="00C21F3C">
        <w:rPr>
          <w:rFonts w:ascii="Times New Roman" w:hAnsi="Times New Roman"/>
          <w:sz w:val="24"/>
        </w:rPr>
        <w:t xml:space="preserve">adjective </w:t>
      </w:r>
      <w:r>
        <w:rPr>
          <w:rFonts w:ascii="Times New Roman" w:hAnsi="Times New Roman"/>
          <w:sz w:val="24"/>
        </w:rPr>
        <w:t xml:space="preserve">was </w:t>
      </w:r>
      <w:r w:rsidRPr="00C006E5">
        <w:rPr>
          <w:rFonts w:ascii="Times New Roman" w:hAnsi="Times New Roman"/>
          <w:sz w:val="24"/>
        </w:rPr>
        <w:t xml:space="preserve">tailor-made to the commission of a crime against humanity. </w:t>
      </w:r>
      <w:r>
        <w:rPr>
          <w:rFonts w:ascii="Times New Roman" w:hAnsi="Times New Roman"/>
          <w:sz w:val="24"/>
        </w:rPr>
        <w:t xml:space="preserve">It </w:t>
      </w:r>
      <w:r w:rsidRPr="00C006E5">
        <w:rPr>
          <w:rFonts w:ascii="Times New Roman" w:hAnsi="Times New Roman"/>
          <w:sz w:val="24"/>
        </w:rPr>
        <w:t>was taken to suggest ‘any organization or group with the capacity and resources to plan and carry out a widespread or systematic attack’.</w:t>
      </w:r>
      <w:r w:rsidRPr="00C006E5">
        <w:rPr>
          <w:rStyle w:val="a5"/>
          <w:rFonts w:ascii="Times New Roman" w:hAnsi="Times New Roman"/>
          <w:sz w:val="24"/>
        </w:rPr>
        <w:footnoteReference w:id="179"/>
      </w:r>
      <w:r w:rsidRPr="00C006E5">
        <w:rPr>
          <w:rFonts w:ascii="Times New Roman" w:hAnsi="Times New Roman"/>
          <w:sz w:val="24"/>
        </w:rPr>
        <w:t xml:space="preserve"> </w:t>
      </w:r>
    </w:p>
    <w:p w14:paraId="68106A18" w14:textId="77777777" w:rsidR="008110CD" w:rsidRDefault="008110CD" w:rsidP="008110CD">
      <w:pPr>
        <w:rPr>
          <w:rFonts w:ascii="Times New Roman" w:hAnsi="Times New Roman"/>
          <w:bCs/>
          <w:sz w:val="24"/>
        </w:rPr>
      </w:pPr>
    </w:p>
    <w:p w14:paraId="3EC7668D" w14:textId="7D8D6608" w:rsidR="00DB5E44" w:rsidRPr="00A54C24" w:rsidRDefault="00DB5E44" w:rsidP="006347AB">
      <w:pPr>
        <w:pStyle w:val="ad"/>
        <w:numPr>
          <w:ilvl w:val="0"/>
          <w:numId w:val="1"/>
        </w:numPr>
        <w:ind w:leftChars="0"/>
        <w:rPr>
          <w:rFonts w:ascii="Times New Roman" w:hAnsi="Times New Roman"/>
          <w:b/>
          <w:bCs/>
          <w:sz w:val="24"/>
          <w:shd w:val="clear" w:color="auto" w:fill="FFFFFF"/>
        </w:rPr>
      </w:pPr>
      <w:r w:rsidRPr="00A54C24">
        <w:rPr>
          <w:rFonts w:ascii="Times New Roman" w:hAnsi="Times New Roman"/>
          <w:b/>
          <w:bCs/>
          <w:sz w:val="24"/>
          <w:shd w:val="clear" w:color="auto" w:fill="FFFFFF"/>
        </w:rPr>
        <w:t xml:space="preserve">Conclusion </w:t>
      </w:r>
    </w:p>
    <w:p w14:paraId="1E45DAB3" w14:textId="77777777" w:rsidR="009403AA" w:rsidRPr="00066403" w:rsidRDefault="009403AA" w:rsidP="00066403">
      <w:pPr>
        <w:rPr>
          <w:rFonts w:ascii="Times New Roman" w:eastAsiaTheme="minorEastAsia" w:hAnsi="Times New Roman"/>
          <w:kern w:val="0"/>
          <w:sz w:val="24"/>
          <w:lang w:val="en-US"/>
        </w:rPr>
      </w:pPr>
      <w:r w:rsidRPr="00066403">
        <w:rPr>
          <w:rFonts w:ascii="Times New Roman" w:eastAsiaTheme="minorEastAsia" w:hAnsi="Times New Roman"/>
          <w:kern w:val="0"/>
          <w:sz w:val="24"/>
          <w:lang w:val="en-US"/>
        </w:rPr>
        <w:lastRenderedPageBreak/>
        <w:t xml:space="preserve">According to </w:t>
      </w:r>
      <w:proofErr w:type="spellStart"/>
      <w:r w:rsidRPr="00066403">
        <w:rPr>
          <w:rFonts w:ascii="Times New Roman" w:eastAsiaTheme="minorEastAsia" w:hAnsi="Times New Roman"/>
          <w:kern w:val="0"/>
          <w:sz w:val="24"/>
          <w:lang w:val="en-US"/>
        </w:rPr>
        <w:t>Niklas</w:t>
      </w:r>
      <w:proofErr w:type="spellEnd"/>
      <w:r w:rsidRPr="00066403">
        <w:rPr>
          <w:rFonts w:ascii="Times New Roman" w:eastAsiaTheme="minorEastAsia" w:hAnsi="Times New Roman"/>
          <w:kern w:val="0"/>
          <w:sz w:val="24"/>
          <w:lang w:val="en-US"/>
        </w:rPr>
        <w:t xml:space="preserve"> </w:t>
      </w:r>
      <w:proofErr w:type="spellStart"/>
      <w:r w:rsidRPr="00066403">
        <w:rPr>
          <w:rFonts w:ascii="Times New Roman" w:eastAsiaTheme="minorEastAsia" w:hAnsi="Times New Roman"/>
          <w:kern w:val="0"/>
          <w:sz w:val="24"/>
          <w:lang w:val="en-US"/>
        </w:rPr>
        <w:t>Luhmann</w:t>
      </w:r>
      <w:proofErr w:type="spellEnd"/>
      <w:r w:rsidRPr="00066403">
        <w:rPr>
          <w:rFonts w:ascii="Times New Roman" w:eastAsiaTheme="minorEastAsia" w:hAnsi="Times New Roman"/>
          <w:kern w:val="0"/>
          <w:sz w:val="24"/>
          <w:lang w:val="en-US"/>
        </w:rPr>
        <w:t>, an organization is an autopoietic and operationally closed system of communications based on some cohesive membership, which may be linked through ‘self-produced dependencies’.</w:t>
      </w:r>
      <w:r>
        <w:rPr>
          <w:rStyle w:val="a5"/>
          <w:rFonts w:ascii="Times New Roman" w:eastAsiaTheme="minorEastAsia" w:hAnsi="Times New Roman"/>
          <w:kern w:val="0"/>
          <w:sz w:val="24"/>
          <w:lang w:val="en-US"/>
        </w:rPr>
        <w:footnoteReference w:id="180"/>
      </w:r>
      <w:r w:rsidRPr="00066403">
        <w:rPr>
          <w:rFonts w:ascii="Times New Roman" w:eastAsiaTheme="minorEastAsia" w:hAnsi="Times New Roman"/>
          <w:kern w:val="0"/>
          <w:sz w:val="24"/>
          <w:lang w:val="en-US"/>
        </w:rPr>
        <w:t xml:space="preserve"> Both independent armed groups covered by Article 4A(2) of the Third Geneva Convention and armed groups involved in NIACs can be considered to possess the attributes of organizations suggested by </w:t>
      </w:r>
      <w:proofErr w:type="spellStart"/>
      <w:r w:rsidRPr="00066403">
        <w:rPr>
          <w:rFonts w:ascii="Times New Roman" w:eastAsiaTheme="minorEastAsia" w:hAnsi="Times New Roman"/>
          <w:kern w:val="0"/>
          <w:sz w:val="24"/>
          <w:lang w:val="en-US"/>
        </w:rPr>
        <w:t>Luhmann</w:t>
      </w:r>
      <w:proofErr w:type="spellEnd"/>
      <w:r w:rsidRPr="00066403">
        <w:rPr>
          <w:rFonts w:ascii="Times New Roman" w:eastAsiaTheme="minorEastAsia" w:hAnsi="Times New Roman"/>
          <w:kern w:val="0"/>
          <w:sz w:val="24"/>
          <w:lang w:val="en-US"/>
        </w:rPr>
        <w:t xml:space="preserve">. They are infused by the sense of belonging and dependency among its members and a spirit of pursuing specific common purposes by means of politico-military struggles. They are characterized by the institutional specifics designed to achieve those purposes. </w:t>
      </w:r>
    </w:p>
    <w:p w14:paraId="50B85B82" w14:textId="2FEB66AC" w:rsidR="00632FA7" w:rsidRDefault="008E760B" w:rsidP="00E01082">
      <w:pPr>
        <w:rPr>
          <w:rFonts w:ascii="Times New Roman" w:hAnsi="Times New Roman"/>
          <w:sz w:val="24"/>
        </w:rPr>
      </w:pPr>
      <w:r>
        <w:rPr>
          <w:rFonts w:ascii="Times New Roman" w:hAnsi="Times New Roman"/>
          <w:sz w:val="24"/>
          <w:shd w:val="clear" w:color="auto" w:fill="FFFFFF"/>
        </w:rPr>
        <w:t xml:space="preserve">It emerges from the </w:t>
      </w:r>
      <w:r w:rsidR="000126C8">
        <w:rPr>
          <w:rFonts w:ascii="Times New Roman" w:hAnsi="Times New Roman"/>
          <w:sz w:val="24"/>
          <w:shd w:val="clear" w:color="auto" w:fill="FFFFFF"/>
        </w:rPr>
        <w:t xml:space="preserve">preceding </w:t>
      </w:r>
      <w:r>
        <w:rPr>
          <w:rFonts w:ascii="Times New Roman" w:hAnsi="Times New Roman"/>
          <w:sz w:val="24"/>
          <w:shd w:val="clear" w:color="auto" w:fill="FFFFFF"/>
        </w:rPr>
        <w:t xml:space="preserve">analyses that the standard for </w:t>
      </w:r>
      <w:r w:rsidR="00A54C24">
        <w:rPr>
          <w:rFonts w:ascii="Times New Roman" w:hAnsi="Times New Roman"/>
          <w:sz w:val="24"/>
          <w:shd w:val="clear" w:color="auto" w:fill="FFFFFF"/>
        </w:rPr>
        <w:t>the</w:t>
      </w:r>
      <w:r>
        <w:rPr>
          <w:rFonts w:ascii="Times New Roman" w:hAnsi="Times New Roman"/>
          <w:sz w:val="24"/>
          <w:shd w:val="clear" w:color="auto" w:fill="FFFFFF"/>
        </w:rPr>
        <w:t xml:space="preserve"> requirement </w:t>
      </w:r>
      <w:r w:rsidR="00A54C24">
        <w:rPr>
          <w:rFonts w:ascii="Times New Roman" w:hAnsi="Times New Roman"/>
          <w:sz w:val="24"/>
          <w:shd w:val="clear" w:color="auto" w:fill="FFFFFF"/>
        </w:rPr>
        <w:t xml:space="preserve">of organization </w:t>
      </w:r>
      <w:r w:rsidR="000B0F52">
        <w:rPr>
          <w:rFonts w:ascii="Times New Roman" w:hAnsi="Times New Roman"/>
          <w:sz w:val="24"/>
          <w:shd w:val="clear" w:color="auto" w:fill="FFFFFF"/>
        </w:rPr>
        <w:t xml:space="preserve">is </w:t>
      </w:r>
      <w:r w:rsidRPr="008110CD">
        <w:rPr>
          <w:rFonts w:ascii="Times New Roman" w:hAnsi="Times New Roman"/>
          <w:sz w:val="24"/>
          <w:shd w:val="clear" w:color="auto" w:fill="FFFFFF"/>
        </w:rPr>
        <w:t>generally</w:t>
      </w:r>
      <w:r>
        <w:rPr>
          <w:rFonts w:ascii="Times New Roman" w:hAnsi="Times New Roman"/>
          <w:sz w:val="24"/>
          <w:shd w:val="clear" w:color="auto" w:fill="FFFFFF"/>
        </w:rPr>
        <w:t xml:space="preserve"> set </w:t>
      </w:r>
      <w:r w:rsidR="000B0F52">
        <w:rPr>
          <w:rFonts w:ascii="Times New Roman" w:hAnsi="Times New Roman"/>
          <w:sz w:val="24"/>
          <w:shd w:val="clear" w:color="auto" w:fill="FFFFFF"/>
        </w:rPr>
        <w:t>high</w:t>
      </w:r>
      <w:r w:rsidR="007A6294">
        <w:rPr>
          <w:rFonts w:ascii="Times New Roman" w:hAnsi="Times New Roman"/>
          <w:sz w:val="24"/>
          <w:shd w:val="clear" w:color="auto" w:fill="FFFFFF"/>
        </w:rPr>
        <w:t>er</w:t>
      </w:r>
      <w:r w:rsidR="000B0F52">
        <w:rPr>
          <w:rFonts w:ascii="Times New Roman" w:hAnsi="Times New Roman"/>
          <w:sz w:val="24"/>
          <w:shd w:val="clear" w:color="auto" w:fill="FFFFFF"/>
        </w:rPr>
        <w:t xml:space="preserve"> in NIACs</w:t>
      </w:r>
      <w:r w:rsidR="004A720F">
        <w:rPr>
          <w:rFonts w:ascii="Times New Roman" w:hAnsi="Times New Roman"/>
          <w:sz w:val="24"/>
          <w:shd w:val="clear" w:color="auto" w:fill="FFFFFF"/>
        </w:rPr>
        <w:t xml:space="preserve"> than under Article 4</w:t>
      </w:r>
      <w:proofErr w:type="gramStart"/>
      <w:r w:rsidR="004A720F">
        <w:rPr>
          <w:rFonts w:ascii="Times New Roman" w:hAnsi="Times New Roman"/>
          <w:sz w:val="24"/>
          <w:shd w:val="clear" w:color="auto" w:fill="FFFFFF"/>
        </w:rPr>
        <w:t>A(</w:t>
      </w:r>
      <w:proofErr w:type="gramEnd"/>
      <w:r w:rsidR="004A720F">
        <w:rPr>
          <w:rFonts w:ascii="Times New Roman" w:hAnsi="Times New Roman"/>
          <w:sz w:val="24"/>
          <w:shd w:val="clear" w:color="auto" w:fill="FFFFFF"/>
        </w:rPr>
        <w:t xml:space="preserve">2) </w:t>
      </w:r>
      <w:r w:rsidR="00B17ED4">
        <w:rPr>
          <w:rFonts w:ascii="Times New Roman" w:hAnsi="Times New Roman"/>
          <w:sz w:val="24"/>
          <w:shd w:val="clear" w:color="auto" w:fill="FFFFFF"/>
        </w:rPr>
        <w:t xml:space="preserve">of the Third </w:t>
      </w:r>
      <w:r w:rsidR="001D7ED3">
        <w:rPr>
          <w:rFonts w:ascii="Times New Roman" w:hAnsi="Times New Roman"/>
          <w:sz w:val="24"/>
          <w:shd w:val="clear" w:color="auto" w:fill="FFFFFF"/>
        </w:rPr>
        <w:t>Geneva Convention</w:t>
      </w:r>
      <w:r w:rsidR="007A6294">
        <w:rPr>
          <w:rFonts w:ascii="Times New Roman" w:hAnsi="Times New Roman"/>
          <w:sz w:val="24"/>
          <w:shd w:val="clear" w:color="auto" w:fill="FFFFFF"/>
        </w:rPr>
        <w:t xml:space="preserve">. </w:t>
      </w:r>
      <w:r w:rsidR="00781E28">
        <w:rPr>
          <w:rFonts w:ascii="Times New Roman" w:hAnsi="Times New Roman"/>
          <w:sz w:val="24"/>
          <w:shd w:val="clear" w:color="auto" w:fill="FFFFFF"/>
        </w:rPr>
        <w:t xml:space="preserve">The </w:t>
      </w:r>
      <w:r w:rsidR="00D172BF">
        <w:rPr>
          <w:rFonts w:ascii="Times New Roman" w:hAnsi="Times New Roman"/>
          <w:sz w:val="24"/>
          <w:shd w:val="clear" w:color="auto" w:fill="FFFFFF"/>
        </w:rPr>
        <w:t>stringent</w:t>
      </w:r>
      <w:r w:rsidR="00781E28">
        <w:rPr>
          <w:rFonts w:ascii="Times New Roman" w:hAnsi="Times New Roman"/>
          <w:sz w:val="24"/>
          <w:shd w:val="clear" w:color="auto" w:fill="FFFFFF"/>
        </w:rPr>
        <w:t xml:space="preserve"> </w:t>
      </w:r>
      <w:r w:rsidR="00C214C2">
        <w:rPr>
          <w:rFonts w:ascii="Times New Roman" w:hAnsi="Times New Roman"/>
          <w:sz w:val="24"/>
          <w:shd w:val="clear" w:color="auto" w:fill="FFFFFF"/>
        </w:rPr>
        <w:t>standard</w:t>
      </w:r>
      <w:r w:rsidR="00D172BF">
        <w:rPr>
          <w:rFonts w:ascii="Times New Roman" w:hAnsi="Times New Roman"/>
          <w:sz w:val="24"/>
          <w:shd w:val="clear" w:color="auto" w:fill="FFFFFF"/>
        </w:rPr>
        <w:t xml:space="preserve"> </w:t>
      </w:r>
      <w:r w:rsidR="003124CD">
        <w:rPr>
          <w:rFonts w:ascii="Times New Roman" w:hAnsi="Times New Roman"/>
          <w:sz w:val="24"/>
          <w:shd w:val="clear" w:color="auto" w:fill="FFFFFF"/>
        </w:rPr>
        <w:t>for</w:t>
      </w:r>
      <w:r w:rsidR="00D172BF">
        <w:rPr>
          <w:rFonts w:ascii="Times New Roman" w:hAnsi="Times New Roman"/>
          <w:sz w:val="24"/>
          <w:shd w:val="clear" w:color="auto" w:fill="FFFFFF"/>
        </w:rPr>
        <w:t xml:space="preserve"> organization</w:t>
      </w:r>
      <w:r w:rsidR="000C7C5B">
        <w:rPr>
          <w:rFonts w:ascii="Times New Roman" w:hAnsi="Times New Roman"/>
          <w:sz w:val="24"/>
          <w:shd w:val="clear" w:color="auto" w:fill="FFFFFF"/>
        </w:rPr>
        <w:t xml:space="preserve"> </w:t>
      </w:r>
      <w:r w:rsidR="00817F9B">
        <w:rPr>
          <w:rFonts w:ascii="Times New Roman" w:hAnsi="Times New Roman"/>
          <w:sz w:val="24"/>
          <w:shd w:val="clear" w:color="auto" w:fill="FFFFFF"/>
        </w:rPr>
        <w:t xml:space="preserve">in NIACs can be </w:t>
      </w:r>
      <w:r w:rsidR="00D172BF">
        <w:rPr>
          <w:rFonts w:ascii="Times New Roman" w:hAnsi="Times New Roman"/>
          <w:sz w:val="24"/>
          <w:shd w:val="clear" w:color="auto" w:fill="FFFFFF"/>
        </w:rPr>
        <w:t xml:space="preserve">gleaned from the </w:t>
      </w:r>
      <w:r w:rsidR="00817F9B">
        <w:rPr>
          <w:rFonts w:ascii="Times New Roman" w:hAnsi="Times New Roman"/>
          <w:sz w:val="24"/>
          <w:shd w:val="clear" w:color="auto" w:fill="FFFFFF"/>
        </w:rPr>
        <w:t xml:space="preserve">international criminal tribunals’ </w:t>
      </w:r>
      <w:r w:rsidR="00D172BF">
        <w:rPr>
          <w:rFonts w:ascii="Times New Roman" w:hAnsi="Times New Roman"/>
          <w:sz w:val="24"/>
          <w:shd w:val="clear" w:color="auto" w:fill="FFFFFF"/>
        </w:rPr>
        <w:t xml:space="preserve">punctilious </w:t>
      </w:r>
      <w:r w:rsidR="000C0292">
        <w:rPr>
          <w:rFonts w:ascii="Times New Roman" w:hAnsi="Times New Roman"/>
          <w:sz w:val="24"/>
          <w:shd w:val="clear" w:color="auto" w:fill="FFFFFF"/>
        </w:rPr>
        <w:t>evaluations of</w:t>
      </w:r>
      <w:r w:rsidR="00D172BF">
        <w:rPr>
          <w:rFonts w:ascii="Times New Roman" w:hAnsi="Times New Roman"/>
          <w:sz w:val="24"/>
          <w:shd w:val="clear" w:color="auto" w:fill="FFFFFF"/>
        </w:rPr>
        <w:t xml:space="preserve"> </w:t>
      </w:r>
      <w:r w:rsidR="000C0292">
        <w:rPr>
          <w:rFonts w:ascii="Times New Roman" w:hAnsi="Times New Roman"/>
          <w:sz w:val="24"/>
          <w:shd w:val="clear" w:color="auto" w:fill="FFFFFF"/>
        </w:rPr>
        <w:t xml:space="preserve">the </w:t>
      </w:r>
      <w:r w:rsidR="003124CD">
        <w:rPr>
          <w:rFonts w:ascii="Times New Roman" w:hAnsi="Times New Roman"/>
          <w:sz w:val="24"/>
          <w:shd w:val="clear" w:color="auto" w:fill="FFFFFF"/>
        </w:rPr>
        <w:t>elements of organization</w:t>
      </w:r>
      <w:r w:rsidR="000C0292">
        <w:rPr>
          <w:rFonts w:ascii="Times New Roman" w:hAnsi="Times New Roman"/>
          <w:sz w:val="24"/>
          <w:shd w:val="clear" w:color="auto" w:fill="FFFFFF"/>
        </w:rPr>
        <w:t xml:space="preserve"> possessed by an armed group</w:t>
      </w:r>
      <w:r w:rsidR="00817F9B">
        <w:rPr>
          <w:rFonts w:ascii="Times New Roman" w:hAnsi="Times New Roman"/>
          <w:sz w:val="24"/>
          <w:shd w:val="clear" w:color="auto" w:fill="FFFFFF"/>
        </w:rPr>
        <w:t xml:space="preserve">. </w:t>
      </w:r>
      <w:r w:rsidR="00FC07DA">
        <w:rPr>
          <w:rFonts w:ascii="Times New Roman" w:hAnsi="Times New Roman"/>
          <w:sz w:val="24"/>
          <w:shd w:val="clear" w:color="auto" w:fill="FFFFFF"/>
        </w:rPr>
        <w:t>Such a judicial strategy</w:t>
      </w:r>
      <w:r w:rsidR="00D172BF">
        <w:rPr>
          <w:rFonts w:ascii="Times New Roman" w:hAnsi="Times New Roman"/>
          <w:sz w:val="24"/>
          <w:shd w:val="clear" w:color="auto" w:fill="FFFFFF"/>
        </w:rPr>
        <w:t xml:space="preserve"> </w:t>
      </w:r>
      <w:r w:rsidR="00817F9B">
        <w:rPr>
          <w:rFonts w:ascii="Times New Roman" w:hAnsi="Times New Roman"/>
          <w:sz w:val="24"/>
          <w:shd w:val="clear" w:color="auto" w:fill="FFFFFF"/>
        </w:rPr>
        <w:t xml:space="preserve">may be </w:t>
      </w:r>
      <w:r w:rsidR="00D172BF">
        <w:rPr>
          <w:rFonts w:ascii="Times New Roman" w:hAnsi="Times New Roman"/>
          <w:sz w:val="24"/>
          <w:shd w:val="clear" w:color="auto" w:fill="FFFFFF"/>
        </w:rPr>
        <w:t>warranted</w:t>
      </w:r>
      <w:r w:rsidR="00781E28">
        <w:rPr>
          <w:rFonts w:ascii="Times New Roman" w:hAnsi="Times New Roman"/>
          <w:sz w:val="24"/>
          <w:shd w:val="clear" w:color="auto" w:fill="FFFFFF"/>
        </w:rPr>
        <w:t xml:space="preserve"> precisely because </w:t>
      </w:r>
      <w:r w:rsidR="00D20DD3">
        <w:rPr>
          <w:rFonts w:ascii="Times New Roman" w:hAnsi="Times New Roman"/>
          <w:sz w:val="24"/>
          <w:shd w:val="clear" w:color="auto" w:fill="FFFFFF"/>
        </w:rPr>
        <w:t>this</w:t>
      </w:r>
      <w:r w:rsidR="00781E28">
        <w:rPr>
          <w:rFonts w:ascii="Times New Roman" w:hAnsi="Times New Roman"/>
          <w:sz w:val="24"/>
          <w:shd w:val="clear" w:color="auto" w:fill="FFFFFF"/>
        </w:rPr>
        <w:t xml:space="preserve"> requirement</w:t>
      </w:r>
      <w:r w:rsidR="00817F9B">
        <w:rPr>
          <w:rFonts w:ascii="Times New Roman" w:hAnsi="Times New Roman"/>
          <w:sz w:val="24"/>
          <w:shd w:val="clear" w:color="auto" w:fill="FFFFFF"/>
        </w:rPr>
        <w:t xml:space="preserve"> </w:t>
      </w:r>
      <w:r w:rsidR="00C214C2" w:rsidRPr="004D235F">
        <w:rPr>
          <w:rFonts w:ascii="Times New Roman" w:hAnsi="Times New Roman"/>
          <w:sz w:val="24"/>
        </w:rPr>
        <w:t>entails</w:t>
      </w:r>
      <w:r w:rsidR="00C214C2">
        <w:rPr>
          <w:rFonts w:ascii="Times New Roman" w:hAnsi="Times New Roman"/>
          <w:sz w:val="24"/>
        </w:rPr>
        <w:t>, as it were,</w:t>
      </w:r>
      <w:r w:rsidR="00C214C2" w:rsidRPr="004D235F">
        <w:rPr>
          <w:rFonts w:ascii="Times New Roman" w:hAnsi="Times New Roman"/>
          <w:sz w:val="24"/>
        </w:rPr>
        <w:t xml:space="preserve"> ‘existential implications’ for </w:t>
      </w:r>
      <w:r w:rsidR="00C214C2">
        <w:rPr>
          <w:rFonts w:ascii="Times New Roman" w:hAnsi="Times New Roman"/>
          <w:sz w:val="24"/>
        </w:rPr>
        <w:t>the IHL of</w:t>
      </w:r>
      <w:r w:rsidR="00C214C2" w:rsidRPr="004D235F">
        <w:rPr>
          <w:rFonts w:ascii="Times New Roman" w:hAnsi="Times New Roman"/>
          <w:sz w:val="24"/>
        </w:rPr>
        <w:t xml:space="preserve"> NIAC</w:t>
      </w:r>
      <w:r w:rsidR="00C214C2">
        <w:rPr>
          <w:rFonts w:ascii="Times New Roman" w:hAnsi="Times New Roman"/>
          <w:sz w:val="24"/>
        </w:rPr>
        <w:t>s</w:t>
      </w:r>
      <w:r w:rsidR="00C214C2" w:rsidRPr="004D235F">
        <w:rPr>
          <w:rFonts w:ascii="Times New Roman" w:hAnsi="Times New Roman"/>
          <w:sz w:val="24"/>
        </w:rPr>
        <w:t>.</w:t>
      </w:r>
      <w:r w:rsidR="00C214C2">
        <w:rPr>
          <w:rFonts w:ascii="Times New Roman" w:hAnsi="Times New Roman"/>
          <w:sz w:val="24"/>
        </w:rPr>
        <w:t xml:space="preserve"> As discussed above, establishing this requirement, alongside that of intensity, </w:t>
      </w:r>
      <w:r w:rsidR="009C11AD">
        <w:rPr>
          <w:rFonts w:ascii="Times New Roman" w:hAnsi="Times New Roman"/>
          <w:sz w:val="24"/>
        </w:rPr>
        <w:t>results in</w:t>
      </w:r>
      <w:r w:rsidR="00C214C2">
        <w:rPr>
          <w:rFonts w:ascii="Times New Roman" w:hAnsi="Times New Roman"/>
          <w:sz w:val="24"/>
        </w:rPr>
        <w:t xml:space="preserve"> a paradigmatic shift in </w:t>
      </w:r>
      <w:r w:rsidR="00FE3279">
        <w:rPr>
          <w:rFonts w:ascii="Times New Roman" w:hAnsi="Times New Roman"/>
          <w:sz w:val="24"/>
        </w:rPr>
        <w:t xml:space="preserve">the </w:t>
      </w:r>
      <w:r w:rsidR="003124CD">
        <w:rPr>
          <w:rFonts w:ascii="Times New Roman" w:hAnsi="Times New Roman"/>
          <w:sz w:val="24"/>
        </w:rPr>
        <w:t>applicable</w:t>
      </w:r>
      <w:r w:rsidR="00FE3279">
        <w:rPr>
          <w:rFonts w:ascii="Times New Roman" w:hAnsi="Times New Roman"/>
          <w:sz w:val="24"/>
        </w:rPr>
        <w:t xml:space="preserve"> </w:t>
      </w:r>
      <w:r w:rsidR="00C214C2">
        <w:rPr>
          <w:rFonts w:ascii="Times New Roman" w:hAnsi="Times New Roman"/>
          <w:sz w:val="24"/>
        </w:rPr>
        <w:t>legal regimes</w:t>
      </w:r>
      <w:r w:rsidR="00C84D37">
        <w:rPr>
          <w:rFonts w:ascii="Times New Roman" w:hAnsi="Times New Roman"/>
          <w:sz w:val="24"/>
        </w:rPr>
        <w:t xml:space="preserve">. The </w:t>
      </w:r>
      <w:r w:rsidR="00AA02ED">
        <w:rPr>
          <w:rFonts w:ascii="Times New Roman" w:hAnsi="Times New Roman"/>
          <w:sz w:val="24"/>
        </w:rPr>
        <w:t>‘below-the-threshold-violence’</w:t>
      </w:r>
      <w:r w:rsidR="00FE3279">
        <w:rPr>
          <w:rFonts w:ascii="Times New Roman" w:hAnsi="Times New Roman"/>
          <w:sz w:val="24"/>
        </w:rPr>
        <w:t xml:space="preserve"> governed by the combination of domestic law and </w:t>
      </w:r>
      <w:r w:rsidR="002279F0">
        <w:rPr>
          <w:rFonts w:ascii="Times New Roman" w:hAnsi="Times New Roman"/>
          <w:sz w:val="24"/>
        </w:rPr>
        <w:t xml:space="preserve">IHRL </w:t>
      </w:r>
      <w:r w:rsidR="00FE3279">
        <w:rPr>
          <w:rFonts w:ascii="Times New Roman" w:hAnsi="Times New Roman"/>
          <w:sz w:val="24"/>
        </w:rPr>
        <w:t>is turned into a NIAC</w:t>
      </w:r>
      <w:r w:rsidR="00C84D37">
        <w:rPr>
          <w:rFonts w:ascii="Times New Roman" w:hAnsi="Times New Roman"/>
          <w:sz w:val="24"/>
        </w:rPr>
        <w:t xml:space="preserve">, </w:t>
      </w:r>
      <w:r w:rsidR="00FE3279">
        <w:rPr>
          <w:rFonts w:ascii="Times New Roman" w:hAnsi="Times New Roman"/>
          <w:sz w:val="24"/>
        </w:rPr>
        <w:t>trigger</w:t>
      </w:r>
      <w:r w:rsidR="00C84D37">
        <w:rPr>
          <w:rFonts w:ascii="Times New Roman" w:hAnsi="Times New Roman"/>
          <w:sz w:val="24"/>
        </w:rPr>
        <w:t>ing</w:t>
      </w:r>
      <w:r w:rsidR="00FE3279">
        <w:rPr>
          <w:rFonts w:ascii="Times New Roman" w:hAnsi="Times New Roman"/>
          <w:sz w:val="24"/>
        </w:rPr>
        <w:t xml:space="preserve"> the application of</w:t>
      </w:r>
      <w:r w:rsidR="00AA02ED">
        <w:rPr>
          <w:rFonts w:ascii="Times New Roman" w:hAnsi="Times New Roman"/>
          <w:sz w:val="24"/>
        </w:rPr>
        <w:t xml:space="preserve"> IHL</w:t>
      </w:r>
      <w:r w:rsidR="00FE3279">
        <w:rPr>
          <w:rFonts w:ascii="Times New Roman" w:hAnsi="Times New Roman"/>
          <w:sz w:val="24"/>
        </w:rPr>
        <w:t xml:space="preserve"> alongside IHRL</w:t>
      </w:r>
      <w:r w:rsidR="00AA02ED">
        <w:rPr>
          <w:rFonts w:ascii="Times New Roman" w:hAnsi="Times New Roman"/>
          <w:sz w:val="24"/>
        </w:rPr>
        <w:t xml:space="preserve">. </w:t>
      </w:r>
      <w:r w:rsidR="000C7C5B">
        <w:rPr>
          <w:rFonts w:ascii="Times New Roman" w:hAnsi="Times New Roman"/>
          <w:sz w:val="24"/>
        </w:rPr>
        <w:t xml:space="preserve">In contrast to </w:t>
      </w:r>
      <w:r w:rsidR="00AA02ED">
        <w:rPr>
          <w:rFonts w:ascii="Times New Roman" w:hAnsi="Times New Roman"/>
          <w:sz w:val="24"/>
        </w:rPr>
        <w:t xml:space="preserve">a </w:t>
      </w:r>
      <w:r w:rsidR="00DB2259">
        <w:rPr>
          <w:rFonts w:ascii="Times New Roman" w:hAnsi="Times New Roman"/>
          <w:sz w:val="24"/>
        </w:rPr>
        <w:t>territorial</w:t>
      </w:r>
      <w:r w:rsidR="00AA02ED">
        <w:rPr>
          <w:rFonts w:ascii="Times New Roman" w:hAnsi="Times New Roman"/>
          <w:sz w:val="24"/>
        </w:rPr>
        <w:t xml:space="preserve"> State’s </w:t>
      </w:r>
      <w:r w:rsidR="000C0292">
        <w:rPr>
          <w:rFonts w:ascii="Times New Roman" w:hAnsi="Times New Roman"/>
          <w:sz w:val="24"/>
        </w:rPr>
        <w:t xml:space="preserve">general hesitancy </w:t>
      </w:r>
      <w:r w:rsidR="00AA02ED">
        <w:rPr>
          <w:rFonts w:ascii="Times New Roman" w:hAnsi="Times New Roman"/>
          <w:sz w:val="24"/>
        </w:rPr>
        <w:t xml:space="preserve">to apply IHL to internal violence, </w:t>
      </w:r>
      <w:r w:rsidR="00DB2259">
        <w:rPr>
          <w:rFonts w:ascii="Times New Roman" w:hAnsi="Times New Roman"/>
          <w:sz w:val="24"/>
        </w:rPr>
        <w:t xml:space="preserve">the </w:t>
      </w:r>
      <w:r w:rsidR="005D15D7">
        <w:rPr>
          <w:rFonts w:ascii="Times New Roman" w:hAnsi="Times New Roman"/>
          <w:sz w:val="24"/>
        </w:rPr>
        <w:t xml:space="preserve">international tribunals </w:t>
      </w:r>
      <w:r w:rsidR="000C7C5B">
        <w:rPr>
          <w:rFonts w:ascii="Times New Roman" w:hAnsi="Times New Roman"/>
          <w:sz w:val="24"/>
        </w:rPr>
        <w:t>are more incentivized to test</w:t>
      </w:r>
      <w:r w:rsidR="005D15D7">
        <w:rPr>
          <w:rFonts w:ascii="Times New Roman" w:hAnsi="Times New Roman"/>
          <w:sz w:val="24"/>
        </w:rPr>
        <w:t xml:space="preserve"> this requirement </w:t>
      </w:r>
      <w:r w:rsidR="000C7C5B">
        <w:rPr>
          <w:rFonts w:ascii="Times New Roman" w:hAnsi="Times New Roman"/>
          <w:sz w:val="24"/>
        </w:rPr>
        <w:t xml:space="preserve">because of their concern to </w:t>
      </w:r>
      <w:r w:rsidR="00817F9B">
        <w:rPr>
          <w:rFonts w:ascii="Times New Roman" w:hAnsi="Times New Roman"/>
          <w:sz w:val="24"/>
        </w:rPr>
        <w:t>operationalize</w:t>
      </w:r>
      <w:r w:rsidR="00DB2259">
        <w:rPr>
          <w:rFonts w:ascii="Times New Roman" w:hAnsi="Times New Roman"/>
          <w:sz w:val="24"/>
        </w:rPr>
        <w:t xml:space="preserve"> IHL</w:t>
      </w:r>
      <w:r w:rsidR="000078FD">
        <w:rPr>
          <w:rFonts w:ascii="Times New Roman" w:hAnsi="Times New Roman"/>
          <w:sz w:val="24"/>
        </w:rPr>
        <w:t xml:space="preserve"> and the war crimes law. </w:t>
      </w:r>
      <w:r w:rsidR="005D15D7">
        <w:rPr>
          <w:rFonts w:ascii="Times New Roman" w:hAnsi="Times New Roman"/>
          <w:sz w:val="24"/>
        </w:rPr>
        <w:t xml:space="preserve">In contrast, no </w:t>
      </w:r>
      <w:r w:rsidR="00081879">
        <w:rPr>
          <w:rFonts w:ascii="Times New Roman" w:hAnsi="Times New Roman"/>
          <w:sz w:val="24"/>
        </w:rPr>
        <w:t xml:space="preserve">such </w:t>
      </w:r>
      <w:r w:rsidR="009C11AD">
        <w:rPr>
          <w:rFonts w:ascii="Times New Roman" w:hAnsi="Times New Roman"/>
          <w:sz w:val="24"/>
        </w:rPr>
        <w:t xml:space="preserve">rationale </w:t>
      </w:r>
      <w:r w:rsidR="003124CD">
        <w:rPr>
          <w:rFonts w:ascii="Times New Roman" w:hAnsi="Times New Roman"/>
          <w:sz w:val="24"/>
        </w:rPr>
        <w:t>underpin</w:t>
      </w:r>
      <w:r w:rsidR="009E4BB2">
        <w:rPr>
          <w:rFonts w:ascii="Times New Roman" w:hAnsi="Times New Roman"/>
          <w:sz w:val="24"/>
        </w:rPr>
        <w:t>s</w:t>
      </w:r>
      <w:r w:rsidR="009C11AD">
        <w:rPr>
          <w:rFonts w:ascii="Times New Roman" w:hAnsi="Times New Roman"/>
          <w:sz w:val="24"/>
        </w:rPr>
        <w:t xml:space="preserve"> this requirement when </w:t>
      </w:r>
      <w:r w:rsidR="003F058B">
        <w:rPr>
          <w:rFonts w:ascii="Times New Roman" w:hAnsi="Times New Roman"/>
          <w:sz w:val="24"/>
        </w:rPr>
        <w:t xml:space="preserve">a </w:t>
      </w:r>
      <w:r w:rsidR="00E62ED8">
        <w:rPr>
          <w:rFonts w:ascii="Times New Roman" w:hAnsi="Times New Roman"/>
          <w:sz w:val="24"/>
        </w:rPr>
        <w:t>d</w:t>
      </w:r>
      <w:r w:rsidR="003F058B">
        <w:rPr>
          <w:rFonts w:ascii="Times New Roman" w:hAnsi="Times New Roman"/>
          <w:sz w:val="24"/>
        </w:rPr>
        <w:t xml:space="preserve">etaining </w:t>
      </w:r>
      <w:r w:rsidR="00E62ED8">
        <w:rPr>
          <w:rFonts w:ascii="Times New Roman" w:hAnsi="Times New Roman"/>
          <w:sz w:val="24"/>
        </w:rPr>
        <w:t>p</w:t>
      </w:r>
      <w:r w:rsidR="003F058B">
        <w:rPr>
          <w:rFonts w:ascii="Times New Roman" w:hAnsi="Times New Roman"/>
          <w:sz w:val="24"/>
        </w:rPr>
        <w:t xml:space="preserve">ower </w:t>
      </w:r>
      <w:r w:rsidR="008C4579">
        <w:rPr>
          <w:rFonts w:ascii="Times New Roman" w:hAnsi="Times New Roman"/>
          <w:sz w:val="24"/>
        </w:rPr>
        <w:t>examines</w:t>
      </w:r>
      <w:r w:rsidR="009C11AD">
        <w:rPr>
          <w:rFonts w:ascii="Times New Roman" w:hAnsi="Times New Roman"/>
          <w:sz w:val="24"/>
        </w:rPr>
        <w:t xml:space="preserve"> the POW </w:t>
      </w:r>
      <w:r w:rsidR="00206A31">
        <w:rPr>
          <w:rFonts w:ascii="Times New Roman" w:hAnsi="Times New Roman"/>
          <w:sz w:val="24"/>
        </w:rPr>
        <w:t xml:space="preserve">status of captured members of an irregular armed group in IACs. </w:t>
      </w:r>
      <w:r w:rsidR="00F06635">
        <w:rPr>
          <w:rFonts w:ascii="Times New Roman" w:hAnsi="Times New Roman"/>
          <w:sz w:val="24"/>
        </w:rPr>
        <w:t xml:space="preserve">Under </w:t>
      </w:r>
      <w:r w:rsidR="00B44E2B">
        <w:rPr>
          <w:rFonts w:ascii="Times New Roman" w:hAnsi="Times New Roman"/>
          <w:sz w:val="24"/>
        </w:rPr>
        <w:t xml:space="preserve">Article 4A(2) </w:t>
      </w:r>
      <w:r w:rsidR="00B17ED4">
        <w:rPr>
          <w:rFonts w:ascii="Times New Roman" w:hAnsi="Times New Roman"/>
          <w:sz w:val="24"/>
        </w:rPr>
        <w:t xml:space="preserve">of the Third </w:t>
      </w:r>
      <w:r w:rsidR="001D7ED3">
        <w:rPr>
          <w:rFonts w:ascii="Times New Roman" w:hAnsi="Times New Roman"/>
          <w:sz w:val="24"/>
        </w:rPr>
        <w:t>Geneva Convention</w:t>
      </w:r>
      <w:r w:rsidR="00F06635">
        <w:rPr>
          <w:rFonts w:ascii="Times New Roman" w:hAnsi="Times New Roman"/>
          <w:sz w:val="24"/>
        </w:rPr>
        <w:t xml:space="preserve">, the </w:t>
      </w:r>
      <w:r w:rsidR="003124CD">
        <w:rPr>
          <w:rFonts w:ascii="Times New Roman" w:hAnsi="Times New Roman"/>
          <w:sz w:val="24"/>
        </w:rPr>
        <w:t>detaining power</w:t>
      </w:r>
      <w:r w:rsidR="00F06635">
        <w:rPr>
          <w:rFonts w:ascii="Times New Roman" w:hAnsi="Times New Roman"/>
          <w:sz w:val="24"/>
        </w:rPr>
        <w:t xml:space="preserve"> feels </w:t>
      </w:r>
      <w:r w:rsidR="009B297E">
        <w:rPr>
          <w:rFonts w:ascii="Times New Roman" w:hAnsi="Times New Roman"/>
          <w:sz w:val="24"/>
        </w:rPr>
        <w:t>ready t</w:t>
      </w:r>
      <w:r w:rsidR="00F06635">
        <w:rPr>
          <w:rFonts w:ascii="Times New Roman" w:hAnsi="Times New Roman"/>
          <w:sz w:val="24"/>
        </w:rPr>
        <w:t xml:space="preserve">o </w:t>
      </w:r>
      <w:r w:rsidR="00D20DD3">
        <w:rPr>
          <w:rFonts w:ascii="Times New Roman" w:hAnsi="Times New Roman"/>
          <w:sz w:val="24"/>
        </w:rPr>
        <w:t>shift</w:t>
      </w:r>
      <w:r w:rsidR="005140FB">
        <w:rPr>
          <w:rFonts w:ascii="Times New Roman" w:hAnsi="Times New Roman"/>
          <w:sz w:val="24"/>
        </w:rPr>
        <w:t xml:space="preserve"> </w:t>
      </w:r>
      <w:r w:rsidR="00B44E2B">
        <w:rPr>
          <w:rFonts w:ascii="Times New Roman" w:hAnsi="Times New Roman"/>
          <w:sz w:val="24"/>
        </w:rPr>
        <w:t xml:space="preserve">the </w:t>
      </w:r>
      <w:r w:rsidR="00FB455E">
        <w:rPr>
          <w:rFonts w:ascii="Times New Roman" w:hAnsi="Times New Roman"/>
          <w:sz w:val="24"/>
        </w:rPr>
        <w:t xml:space="preserve">focus of examinations </w:t>
      </w:r>
      <w:r w:rsidR="00D20DD3">
        <w:rPr>
          <w:rFonts w:ascii="Times New Roman" w:hAnsi="Times New Roman"/>
          <w:sz w:val="24"/>
        </w:rPr>
        <w:t>to</w:t>
      </w:r>
      <w:r w:rsidR="00FB455E">
        <w:rPr>
          <w:rFonts w:ascii="Times New Roman" w:hAnsi="Times New Roman"/>
          <w:sz w:val="24"/>
        </w:rPr>
        <w:t xml:space="preserve"> the </w:t>
      </w:r>
      <w:r w:rsidR="00B44E2B">
        <w:rPr>
          <w:rFonts w:ascii="Times New Roman" w:hAnsi="Times New Roman"/>
          <w:sz w:val="24"/>
        </w:rPr>
        <w:t>four POW criteria</w:t>
      </w:r>
      <w:r w:rsidR="00743455">
        <w:rPr>
          <w:rFonts w:ascii="Times New Roman" w:hAnsi="Times New Roman"/>
          <w:sz w:val="24"/>
        </w:rPr>
        <w:t xml:space="preserve">, </w:t>
      </w:r>
      <w:r w:rsidR="00E62ED8">
        <w:rPr>
          <w:rFonts w:ascii="Times New Roman" w:hAnsi="Times New Roman"/>
          <w:sz w:val="24"/>
        </w:rPr>
        <w:t xml:space="preserve">safely convinced </w:t>
      </w:r>
      <w:r w:rsidR="009B297E">
        <w:rPr>
          <w:rFonts w:ascii="Times New Roman" w:hAnsi="Times New Roman"/>
          <w:sz w:val="24"/>
        </w:rPr>
        <w:t xml:space="preserve">that </w:t>
      </w:r>
      <w:r w:rsidR="000C0292">
        <w:rPr>
          <w:rFonts w:ascii="Times New Roman" w:hAnsi="Times New Roman"/>
          <w:sz w:val="24"/>
        </w:rPr>
        <w:t>these</w:t>
      </w:r>
      <w:r w:rsidR="009B297E">
        <w:rPr>
          <w:rFonts w:ascii="Times New Roman" w:hAnsi="Times New Roman"/>
          <w:sz w:val="24"/>
        </w:rPr>
        <w:t xml:space="preserve"> </w:t>
      </w:r>
      <w:r w:rsidR="008A3499">
        <w:rPr>
          <w:rFonts w:ascii="Times New Roman" w:hAnsi="Times New Roman"/>
          <w:sz w:val="24"/>
        </w:rPr>
        <w:t xml:space="preserve">constitute the </w:t>
      </w:r>
      <w:r w:rsidR="00FB455E">
        <w:rPr>
          <w:rFonts w:ascii="Times New Roman" w:hAnsi="Times New Roman"/>
          <w:sz w:val="24"/>
        </w:rPr>
        <w:t xml:space="preserve">practically </w:t>
      </w:r>
      <w:r w:rsidR="00F06635">
        <w:rPr>
          <w:rFonts w:ascii="Times New Roman" w:hAnsi="Times New Roman"/>
          <w:sz w:val="24"/>
        </w:rPr>
        <w:t>viable</w:t>
      </w:r>
      <w:r w:rsidR="00FB455E">
        <w:rPr>
          <w:rFonts w:ascii="Times New Roman" w:hAnsi="Times New Roman"/>
          <w:sz w:val="24"/>
        </w:rPr>
        <w:t xml:space="preserve"> gauge </w:t>
      </w:r>
      <w:r w:rsidR="008A3499">
        <w:rPr>
          <w:rFonts w:ascii="Times New Roman" w:hAnsi="Times New Roman"/>
          <w:sz w:val="24"/>
        </w:rPr>
        <w:t xml:space="preserve">for measuring </w:t>
      </w:r>
      <w:r w:rsidR="00B44E2B">
        <w:rPr>
          <w:rFonts w:ascii="Times New Roman" w:hAnsi="Times New Roman"/>
          <w:sz w:val="24"/>
        </w:rPr>
        <w:t xml:space="preserve">the organizational level of </w:t>
      </w:r>
      <w:r w:rsidR="00743455">
        <w:rPr>
          <w:rFonts w:ascii="Times New Roman" w:hAnsi="Times New Roman"/>
          <w:sz w:val="24"/>
        </w:rPr>
        <w:t>an</w:t>
      </w:r>
      <w:r w:rsidR="00B44E2B">
        <w:rPr>
          <w:rFonts w:ascii="Times New Roman" w:hAnsi="Times New Roman"/>
          <w:sz w:val="24"/>
        </w:rPr>
        <w:t xml:space="preserve"> armed group. </w:t>
      </w:r>
    </w:p>
    <w:p w14:paraId="26D5C9C2" w14:textId="77777777" w:rsidR="00632FA7" w:rsidRDefault="00632FA7" w:rsidP="00E01082">
      <w:pPr>
        <w:rPr>
          <w:rFonts w:ascii="Times New Roman" w:hAnsi="Times New Roman"/>
          <w:sz w:val="24"/>
        </w:rPr>
      </w:pPr>
    </w:p>
    <w:p w14:paraId="4F4E27C3" w14:textId="0C884E41" w:rsidR="000126C8" w:rsidRDefault="00E62ED8" w:rsidP="00E01082">
      <w:pPr>
        <w:rPr>
          <w:rFonts w:ascii="Times New Roman" w:hAnsi="Times New Roman"/>
          <w:sz w:val="24"/>
          <w:shd w:val="clear" w:color="auto" w:fill="FFFFFF"/>
        </w:rPr>
      </w:pPr>
      <w:r>
        <w:rPr>
          <w:rFonts w:ascii="Times New Roman" w:hAnsi="Times New Roman"/>
          <w:sz w:val="24"/>
          <w:shd w:val="clear" w:color="auto" w:fill="FFFFFF"/>
        </w:rPr>
        <w:t xml:space="preserve">Still, the </w:t>
      </w:r>
      <w:r w:rsidR="000126C8">
        <w:rPr>
          <w:rFonts w:ascii="Times New Roman" w:hAnsi="Times New Roman"/>
          <w:sz w:val="24"/>
          <w:shd w:val="clear" w:color="auto" w:fill="FFFFFF"/>
        </w:rPr>
        <w:t xml:space="preserve">foregoing examinations </w:t>
      </w:r>
      <w:r>
        <w:rPr>
          <w:rFonts w:ascii="Times New Roman" w:hAnsi="Times New Roman"/>
          <w:sz w:val="24"/>
          <w:shd w:val="clear" w:color="auto" w:fill="FFFFFF"/>
        </w:rPr>
        <w:t xml:space="preserve">reveal </w:t>
      </w:r>
      <w:r w:rsidR="00632FA7">
        <w:rPr>
          <w:rFonts w:ascii="Times New Roman" w:hAnsi="Times New Roman"/>
          <w:sz w:val="24"/>
          <w:shd w:val="clear" w:color="auto" w:fill="FFFFFF"/>
        </w:rPr>
        <w:t xml:space="preserve">the need for </w:t>
      </w:r>
      <w:r w:rsidR="00A838D6">
        <w:rPr>
          <w:rFonts w:ascii="Times New Roman" w:hAnsi="Times New Roman"/>
          <w:sz w:val="24"/>
          <w:shd w:val="clear" w:color="auto" w:fill="FFFFFF"/>
        </w:rPr>
        <w:t xml:space="preserve">more nuanced </w:t>
      </w:r>
      <w:r w:rsidR="00632FA7">
        <w:rPr>
          <w:rFonts w:ascii="Times New Roman" w:hAnsi="Times New Roman"/>
          <w:sz w:val="24"/>
          <w:shd w:val="clear" w:color="auto" w:fill="FFFFFF"/>
        </w:rPr>
        <w:t xml:space="preserve">and context-specific </w:t>
      </w:r>
      <w:r w:rsidR="00A838D6">
        <w:rPr>
          <w:rFonts w:ascii="Times New Roman" w:hAnsi="Times New Roman"/>
          <w:sz w:val="24"/>
          <w:shd w:val="clear" w:color="auto" w:fill="FFFFFF"/>
        </w:rPr>
        <w:t xml:space="preserve">assessment </w:t>
      </w:r>
      <w:r w:rsidR="002B082A">
        <w:rPr>
          <w:rFonts w:ascii="Times New Roman" w:hAnsi="Times New Roman"/>
          <w:sz w:val="24"/>
          <w:shd w:val="clear" w:color="auto" w:fill="FFFFFF"/>
        </w:rPr>
        <w:t xml:space="preserve">of </w:t>
      </w:r>
      <w:r w:rsidR="00632FA7">
        <w:rPr>
          <w:rFonts w:ascii="Times New Roman" w:hAnsi="Times New Roman"/>
          <w:sz w:val="24"/>
          <w:shd w:val="clear" w:color="auto" w:fill="FFFFFF"/>
        </w:rPr>
        <w:t>transitional and liminal</w:t>
      </w:r>
      <w:r>
        <w:rPr>
          <w:rFonts w:ascii="Times New Roman" w:hAnsi="Times New Roman"/>
          <w:sz w:val="24"/>
          <w:shd w:val="clear" w:color="auto" w:fill="FFFFFF"/>
        </w:rPr>
        <w:t xml:space="preserve"> situations </w:t>
      </w:r>
      <w:r w:rsidR="00632FA7">
        <w:rPr>
          <w:rFonts w:ascii="Times New Roman" w:hAnsi="Times New Roman"/>
          <w:sz w:val="24"/>
          <w:shd w:val="clear" w:color="auto" w:fill="FFFFFF"/>
        </w:rPr>
        <w:t>of an ongoing confli</w:t>
      </w:r>
      <w:r w:rsidR="00D14187">
        <w:rPr>
          <w:rFonts w:ascii="Times New Roman" w:hAnsi="Times New Roman"/>
          <w:sz w:val="24"/>
          <w:shd w:val="clear" w:color="auto" w:fill="FFFFFF"/>
        </w:rPr>
        <w:t xml:space="preserve">ct. In many circumstances, what is decisive for the </w:t>
      </w:r>
      <w:r w:rsidR="0050655F">
        <w:rPr>
          <w:rFonts w:ascii="Times New Roman" w:hAnsi="Times New Roman"/>
          <w:sz w:val="24"/>
          <w:shd w:val="clear" w:color="auto" w:fill="FFFFFF"/>
        </w:rPr>
        <w:t xml:space="preserve">threshold for the requirement of organization </w:t>
      </w:r>
      <w:r w:rsidR="00D14187">
        <w:rPr>
          <w:rFonts w:ascii="Times New Roman" w:hAnsi="Times New Roman"/>
          <w:sz w:val="24"/>
          <w:shd w:val="clear" w:color="auto" w:fill="FFFFFF"/>
        </w:rPr>
        <w:t>is not the distinction between IACs and NIACs</w:t>
      </w:r>
      <w:r w:rsidR="0050655F">
        <w:rPr>
          <w:rFonts w:ascii="Times New Roman" w:hAnsi="Times New Roman"/>
          <w:sz w:val="24"/>
          <w:shd w:val="clear" w:color="auto" w:fill="FFFFFF"/>
        </w:rPr>
        <w:t xml:space="preserve">. Instead, the key to unravelling the knot of the potentially </w:t>
      </w:r>
      <w:r w:rsidR="0068163B">
        <w:rPr>
          <w:rFonts w:ascii="Times New Roman" w:hAnsi="Times New Roman"/>
          <w:sz w:val="24"/>
          <w:shd w:val="clear" w:color="auto" w:fill="FFFFFF"/>
        </w:rPr>
        <w:t>‘</w:t>
      </w:r>
      <w:r w:rsidR="0050655F">
        <w:rPr>
          <w:rFonts w:ascii="Times New Roman" w:hAnsi="Times New Roman"/>
          <w:sz w:val="24"/>
          <w:shd w:val="clear" w:color="auto" w:fill="FFFFFF"/>
        </w:rPr>
        <w:t>freckle</w:t>
      </w:r>
      <w:r w:rsidR="0068163B">
        <w:rPr>
          <w:rFonts w:ascii="Times New Roman" w:hAnsi="Times New Roman"/>
          <w:sz w:val="24"/>
          <w:shd w:val="clear" w:color="auto" w:fill="FFFFFF"/>
        </w:rPr>
        <w:t>’</w:t>
      </w:r>
      <w:r w:rsidR="0050655F">
        <w:rPr>
          <w:rFonts w:ascii="Times New Roman" w:hAnsi="Times New Roman"/>
          <w:sz w:val="24"/>
          <w:shd w:val="clear" w:color="auto" w:fill="FFFFFF"/>
        </w:rPr>
        <w:t xml:space="preserve"> threshold lies in </w:t>
      </w:r>
      <w:r w:rsidR="00D14187">
        <w:rPr>
          <w:rFonts w:ascii="Times New Roman" w:hAnsi="Times New Roman"/>
          <w:sz w:val="24"/>
          <w:shd w:val="clear" w:color="auto" w:fill="FFFFFF"/>
        </w:rPr>
        <w:t xml:space="preserve">the specific context and phase in which an armed group finds itself, and the divergent purposes </w:t>
      </w:r>
      <w:r w:rsidR="00D273F4">
        <w:rPr>
          <w:rFonts w:ascii="Times New Roman" w:hAnsi="Times New Roman"/>
          <w:sz w:val="24"/>
          <w:shd w:val="clear" w:color="auto" w:fill="FFFFFF"/>
        </w:rPr>
        <w:t xml:space="preserve">for </w:t>
      </w:r>
      <w:r w:rsidR="00D14187">
        <w:rPr>
          <w:rFonts w:ascii="Times New Roman" w:hAnsi="Times New Roman"/>
          <w:sz w:val="24"/>
          <w:shd w:val="clear" w:color="auto" w:fill="FFFFFF"/>
        </w:rPr>
        <w:t xml:space="preserve">which </w:t>
      </w:r>
      <w:r w:rsidR="000126C8">
        <w:rPr>
          <w:rFonts w:ascii="Times New Roman" w:hAnsi="Times New Roman"/>
          <w:sz w:val="24"/>
          <w:shd w:val="clear" w:color="auto" w:fill="FFFFFF"/>
        </w:rPr>
        <w:t>the</w:t>
      </w:r>
      <w:r w:rsidR="00D14187">
        <w:rPr>
          <w:rFonts w:ascii="Times New Roman" w:hAnsi="Times New Roman"/>
          <w:sz w:val="24"/>
          <w:shd w:val="clear" w:color="auto" w:fill="FFFFFF"/>
        </w:rPr>
        <w:t xml:space="preserve"> requirement </w:t>
      </w:r>
      <w:r w:rsidR="000126C8">
        <w:rPr>
          <w:rFonts w:ascii="Times New Roman" w:hAnsi="Times New Roman"/>
          <w:sz w:val="24"/>
          <w:shd w:val="clear" w:color="auto" w:fill="FFFFFF"/>
        </w:rPr>
        <w:t xml:space="preserve">of organization </w:t>
      </w:r>
      <w:r w:rsidR="00D14187">
        <w:rPr>
          <w:rFonts w:ascii="Times New Roman" w:hAnsi="Times New Roman"/>
          <w:sz w:val="24"/>
          <w:shd w:val="clear" w:color="auto" w:fill="FFFFFF"/>
        </w:rPr>
        <w:t xml:space="preserve">is purported to </w:t>
      </w:r>
      <w:r w:rsidR="00D273F4">
        <w:rPr>
          <w:rFonts w:ascii="Times New Roman" w:hAnsi="Times New Roman"/>
          <w:sz w:val="24"/>
          <w:shd w:val="clear" w:color="auto" w:fill="FFFFFF"/>
        </w:rPr>
        <w:t>serve</w:t>
      </w:r>
      <w:r w:rsidR="00D14187">
        <w:rPr>
          <w:rFonts w:ascii="Times New Roman" w:hAnsi="Times New Roman"/>
          <w:sz w:val="24"/>
          <w:shd w:val="clear" w:color="auto" w:fill="FFFFFF"/>
        </w:rPr>
        <w:t>.</w:t>
      </w:r>
      <w:r w:rsidR="00D14187">
        <w:rPr>
          <w:rFonts w:ascii="Times New Roman" w:hAnsi="Times New Roman" w:hint="eastAsia"/>
          <w:sz w:val="24"/>
        </w:rPr>
        <w:t xml:space="preserve"> </w:t>
      </w:r>
      <w:r w:rsidR="00632FA7">
        <w:rPr>
          <w:rFonts w:ascii="Times New Roman" w:hAnsi="Times New Roman"/>
          <w:sz w:val="24"/>
          <w:shd w:val="clear" w:color="auto" w:fill="FFFFFF"/>
        </w:rPr>
        <w:t xml:space="preserve">In </w:t>
      </w:r>
      <w:r w:rsidR="002B082A">
        <w:rPr>
          <w:rFonts w:ascii="Times New Roman" w:hAnsi="Times New Roman"/>
          <w:sz w:val="24"/>
          <w:shd w:val="clear" w:color="auto" w:fill="FFFFFF"/>
        </w:rPr>
        <w:t xml:space="preserve">case </w:t>
      </w:r>
      <w:r w:rsidR="00632FA7">
        <w:rPr>
          <w:rFonts w:ascii="Times New Roman" w:hAnsi="Times New Roman"/>
          <w:sz w:val="24"/>
          <w:shd w:val="clear" w:color="auto" w:fill="FFFFFF"/>
        </w:rPr>
        <w:t>where the confl</w:t>
      </w:r>
      <w:r w:rsidR="00D14187">
        <w:rPr>
          <w:rFonts w:ascii="Times New Roman" w:hAnsi="Times New Roman"/>
          <w:sz w:val="24"/>
          <w:shd w:val="clear" w:color="auto" w:fill="FFFFFF"/>
        </w:rPr>
        <w:t>i</w:t>
      </w:r>
      <w:r w:rsidR="00632FA7">
        <w:rPr>
          <w:rFonts w:ascii="Times New Roman" w:hAnsi="Times New Roman"/>
          <w:sz w:val="24"/>
          <w:shd w:val="clear" w:color="auto" w:fill="FFFFFF"/>
        </w:rPr>
        <w:t xml:space="preserve">ct classification switches from a NIAC to </w:t>
      </w:r>
      <w:r w:rsidR="00632FA7">
        <w:rPr>
          <w:rFonts w:ascii="Times New Roman" w:hAnsi="Times New Roman"/>
          <w:sz w:val="24"/>
          <w:shd w:val="clear" w:color="auto" w:fill="FFFFFF"/>
        </w:rPr>
        <w:lastRenderedPageBreak/>
        <w:t xml:space="preserve">an IAC due to an ‘overall control’ </w:t>
      </w:r>
      <w:r w:rsidR="000126C8">
        <w:rPr>
          <w:rFonts w:ascii="Times New Roman" w:hAnsi="Times New Roman"/>
          <w:sz w:val="24"/>
          <w:shd w:val="clear" w:color="auto" w:fill="FFFFFF"/>
        </w:rPr>
        <w:t xml:space="preserve">that comes progressively to be </w:t>
      </w:r>
      <w:r w:rsidR="00632FA7">
        <w:rPr>
          <w:rFonts w:ascii="Times New Roman" w:hAnsi="Times New Roman"/>
          <w:sz w:val="24"/>
          <w:shd w:val="clear" w:color="auto" w:fill="FFFFFF"/>
        </w:rPr>
        <w:t xml:space="preserve">exerted by a foreign State over an armed group involved in a NIAC, this paper has argued that the </w:t>
      </w:r>
      <w:r w:rsidR="00D273F4">
        <w:rPr>
          <w:rFonts w:ascii="Times New Roman" w:hAnsi="Times New Roman"/>
          <w:sz w:val="24"/>
          <w:shd w:val="clear" w:color="auto" w:fill="FFFFFF"/>
        </w:rPr>
        <w:t xml:space="preserve">earlier </w:t>
      </w:r>
      <w:r w:rsidR="00632FA7">
        <w:rPr>
          <w:rFonts w:ascii="Times New Roman" w:hAnsi="Times New Roman"/>
          <w:sz w:val="24"/>
          <w:shd w:val="clear" w:color="auto" w:fill="FFFFFF"/>
        </w:rPr>
        <w:t xml:space="preserve">finding that the armed group </w:t>
      </w:r>
      <w:r w:rsidR="0068163B">
        <w:rPr>
          <w:rFonts w:ascii="Times New Roman" w:hAnsi="Times New Roman"/>
          <w:sz w:val="24"/>
          <w:shd w:val="clear" w:color="auto" w:fill="FFFFFF"/>
        </w:rPr>
        <w:t>has been</w:t>
      </w:r>
      <w:r w:rsidR="00632FA7">
        <w:rPr>
          <w:rFonts w:ascii="Times New Roman" w:hAnsi="Times New Roman"/>
          <w:sz w:val="24"/>
          <w:shd w:val="clear" w:color="auto" w:fill="FFFFFF"/>
        </w:rPr>
        <w:t xml:space="preserve"> sufficiently organized to trigger a NIAC </w:t>
      </w:r>
      <w:r w:rsidR="00E25441">
        <w:rPr>
          <w:rFonts w:ascii="Times New Roman" w:hAnsi="Times New Roman"/>
          <w:sz w:val="24"/>
          <w:shd w:val="clear" w:color="auto" w:fill="FFFFFF"/>
        </w:rPr>
        <w:t>should remain</w:t>
      </w:r>
      <w:r w:rsidR="00632FA7">
        <w:rPr>
          <w:rFonts w:ascii="Times New Roman" w:hAnsi="Times New Roman"/>
          <w:sz w:val="24"/>
          <w:shd w:val="clear" w:color="auto" w:fill="FFFFFF"/>
        </w:rPr>
        <w:t xml:space="preserve"> safely </w:t>
      </w:r>
      <w:r w:rsidR="00E25441">
        <w:rPr>
          <w:rFonts w:ascii="Times New Roman" w:hAnsi="Times New Roman"/>
          <w:sz w:val="24"/>
          <w:shd w:val="clear" w:color="auto" w:fill="FFFFFF"/>
        </w:rPr>
        <w:t xml:space="preserve">unaffected and </w:t>
      </w:r>
      <w:r w:rsidR="00D273F4">
        <w:rPr>
          <w:rFonts w:ascii="Times New Roman" w:hAnsi="Times New Roman"/>
          <w:sz w:val="24"/>
          <w:shd w:val="clear" w:color="auto" w:fill="FFFFFF"/>
        </w:rPr>
        <w:t>prevail</w:t>
      </w:r>
      <w:r w:rsidR="00632FA7">
        <w:rPr>
          <w:rFonts w:ascii="Times New Roman" w:hAnsi="Times New Roman"/>
          <w:sz w:val="24"/>
          <w:shd w:val="clear" w:color="auto" w:fill="FFFFFF"/>
        </w:rPr>
        <w:t xml:space="preserve">. </w:t>
      </w:r>
      <w:r w:rsidR="00C1735C">
        <w:rPr>
          <w:rFonts w:ascii="Times New Roman" w:hAnsi="Times New Roman"/>
          <w:sz w:val="24"/>
          <w:shd w:val="clear" w:color="auto" w:fill="FFFFFF"/>
        </w:rPr>
        <w:t xml:space="preserve">This </w:t>
      </w:r>
      <w:r w:rsidR="00D273F4">
        <w:rPr>
          <w:rFonts w:ascii="Times New Roman" w:hAnsi="Times New Roman"/>
          <w:sz w:val="24"/>
          <w:shd w:val="clear" w:color="auto" w:fill="FFFFFF"/>
        </w:rPr>
        <w:t xml:space="preserve">should hold true </w:t>
      </w:r>
      <w:r w:rsidR="00D14187">
        <w:rPr>
          <w:rFonts w:ascii="Times New Roman" w:hAnsi="Times New Roman"/>
          <w:sz w:val="24"/>
          <w:shd w:val="clear" w:color="auto" w:fill="FFFFFF"/>
        </w:rPr>
        <w:t>not least</w:t>
      </w:r>
      <w:r w:rsidR="00C1735C">
        <w:rPr>
          <w:rFonts w:ascii="Times New Roman" w:hAnsi="Times New Roman"/>
          <w:sz w:val="24"/>
          <w:shd w:val="clear" w:color="auto" w:fill="FFFFFF"/>
        </w:rPr>
        <w:t xml:space="preserve"> </w:t>
      </w:r>
      <w:r w:rsidR="00D14187">
        <w:rPr>
          <w:rFonts w:ascii="Times New Roman" w:hAnsi="Times New Roman"/>
          <w:sz w:val="24"/>
          <w:shd w:val="clear" w:color="auto" w:fill="FFFFFF"/>
        </w:rPr>
        <w:t xml:space="preserve">because </w:t>
      </w:r>
      <w:r w:rsidR="000126C8">
        <w:rPr>
          <w:rFonts w:ascii="Times New Roman" w:hAnsi="Times New Roman"/>
          <w:sz w:val="24"/>
          <w:shd w:val="clear" w:color="auto" w:fill="FFFFFF"/>
        </w:rPr>
        <w:t>going through</w:t>
      </w:r>
      <w:r w:rsidR="00C1735C">
        <w:rPr>
          <w:rFonts w:ascii="Times New Roman" w:hAnsi="Times New Roman"/>
          <w:sz w:val="24"/>
          <w:shd w:val="clear" w:color="auto" w:fill="FFFFFF"/>
        </w:rPr>
        <w:t xml:space="preserve"> the requirement of organization in the IAC context is </w:t>
      </w:r>
      <w:r w:rsidR="00D14187">
        <w:rPr>
          <w:rFonts w:ascii="Times New Roman" w:hAnsi="Times New Roman"/>
          <w:sz w:val="24"/>
          <w:shd w:val="clear" w:color="auto" w:fill="FFFFFF"/>
        </w:rPr>
        <w:t xml:space="preserve">generally considered </w:t>
      </w:r>
      <w:r w:rsidR="00C1735C">
        <w:rPr>
          <w:rFonts w:ascii="Times New Roman" w:hAnsi="Times New Roman"/>
          <w:sz w:val="24"/>
          <w:shd w:val="clear" w:color="auto" w:fill="FFFFFF"/>
        </w:rPr>
        <w:t>an ‘easy passage’</w:t>
      </w:r>
      <w:r w:rsidR="00E25441">
        <w:rPr>
          <w:rFonts w:ascii="Times New Roman" w:hAnsi="Times New Roman"/>
          <w:sz w:val="24"/>
          <w:shd w:val="clear" w:color="auto" w:fill="FFFFFF"/>
        </w:rPr>
        <w:t xml:space="preserve">. This </w:t>
      </w:r>
      <w:r w:rsidR="0068163B">
        <w:rPr>
          <w:rFonts w:ascii="Times New Roman" w:hAnsi="Times New Roman"/>
          <w:sz w:val="24"/>
          <w:shd w:val="clear" w:color="auto" w:fill="FFFFFF"/>
        </w:rPr>
        <w:t xml:space="preserve">requirement </w:t>
      </w:r>
      <w:r w:rsidR="00E25441">
        <w:rPr>
          <w:rFonts w:ascii="Times New Roman" w:hAnsi="Times New Roman"/>
          <w:sz w:val="24"/>
          <w:shd w:val="clear" w:color="auto" w:fill="FFFFFF"/>
        </w:rPr>
        <w:t>is</w:t>
      </w:r>
      <w:r w:rsidR="00D14187">
        <w:rPr>
          <w:rFonts w:ascii="Times New Roman" w:hAnsi="Times New Roman"/>
          <w:sz w:val="24"/>
          <w:shd w:val="clear" w:color="auto" w:fill="FFFFFF"/>
        </w:rPr>
        <w:t xml:space="preserve"> a prelude to the more searching scrutiny in respect of the four POW conditions</w:t>
      </w:r>
      <w:r w:rsidR="00D14187" w:rsidRPr="00D14187">
        <w:rPr>
          <w:rFonts w:ascii="Times New Roman" w:hAnsi="Times New Roman"/>
          <w:sz w:val="24"/>
          <w:shd w:val="clear" w:color="auto" w:fill="FFFFFF"/>
        </w:rPr>
        <w:t xml:space="preserve"> </w:t>
      </w:r>
      <w:r w:rsidR="00D14187">
        <w:rPr>
          <w:rFonts w:ascii="Times New Roman" w:hAnsi="Times New Roman"/>
          <w:sz w:val="24"/>
          <w:shd w:val="clear" w:color="auto" w:fill="FFFFFF"/>
        </w:rPr>
        <w:t>laid down in Article 4</w:t>
      </w:r>
      <w:proofErr w:type="gramStart"/>
      <w:r w:rsidR="00D14187">
        <w:rPr>
          <w:rFonts w:ascii="Times New Roman" w:hAnsi="Times New Roman"/>
          <w:sz w:val="24"/>
          <w:shd w:val="clear" w:color="auto" w:fill="FFFFFF"/>
        </w:rPr>
        <w:t>A(</w:t>
      </w:r>
      <w:proofErr w:type="gramEnd"/>
      <w:r w:rsidR="00D14187">
        <w:rPr>
          <w:rFonts w:ascii="Times New Roman" w:hAnsi="Times New Roman"/>
          <w:sz w:val="24"/>
          <w:shd w:val="clear" w:color="auto" w:fill="FFFFFF"/>
        </w:rPr>
        <w:t>2) of the Geneva Convention III.</w:t>
      </w:r>
      <w:r w:rsidR="00C1735C">
        <w:rPr>
          <w:rFonts w:ascii="Times New Roman" w:hAnsi="Times New Roman"/>
          <w:sz w:val="24"/>
          <w:shd w:val="clear" w:color="auto" w:fill="FFFFFF"/>
        </w:rPr>
        <w:t xml:space="preserve"> </w:t>
      </w:r>
    </w:p>
    <w:p w14:paraId="48FDE57A" w14:textId="77777777" w:rsidR="000126C8" w:rsidRDefault="000126C8" w:rsidP="00E01082">
      <w:pPr>
        <w:rPr>
          <w:rFonts w:ascii="Times New Roman" w:hAnsi="Times New Roman"/>
          <w:sz w:val="24"/>
          <w:shd w:val="clear" w:color="auto" w:fill="FFFFFF"/>
        </w:rPr>
      </w:pPr>
    </w:p>
    <w:p w14:paraId="33BB3071" w14:textId="4BEDA083" w:rsidR="00066898" w:rsidRDefault="00632FA7" w:rsidP="00E01082">
      <w:pPr>
        <w:rPr>
          <w:rFonts w:ascii="Times New Roman" w:hAnsi="Times New Roman"/>
          <w:sz w:val="24"/>
          <w:shd w:val="clear" w:color="auto" w:fill="FFFFFF"/>
        </w:rPr>
      </w:pPr>
      <w:r>
        <w:rPr>
          <w:rFonts w:ascii="Times New Roman" w:hAnsi="Times New Roman"/>
          <w:sz w:val="24"/>
          <w:shd w:val="clear" w:color="auto" w:fill="FFFFFF"/>
        </w:rPr>
        <w:t xml:space="preserve">Yet, </w:t>
      </w:r>
      <w:r w:rsidR="00D273F4">
        <w:rPr>
          <w:rFonts w:ascii="Times New Roman" w:hAnsi="Times New Roman"/>
          <w:sz w:val="24"/>
          <w:shd w:val="clear" w:color="auto" w:fill="FFFFFF"/>
        </w:rPr>
        <w:t>such a presumption in favour of valid</w:t>
      </w:r>
      <w:r w:rsidR="00E25441">
        <w:rPr>
          <w:rFonts w:ascii="Times New Roman" w:hAnsi="Times New Roman"/>
          <w:sz w:val="24"/>
          <w:shd w:val="clear" w:color="auto" w:fill="FFFFFF"/>
        </w:rPr>
        <w:t xml:space="preserve">ating </w:t>
      </w:r>
      <w:r w:rsidR="00D273F4">
        <w:rPr>
          <w:rFonts w:ascii="Times New Roman" w:hAnsi="Times New Roman"/>
          <w:sz w:val="24"/>
          <w:shd w:val="clear" w:color="auto" w:fill="FFFFFF"/>
        </w:rPr>
        <w:t xml:space="preserve">the earlier finding on </w:t>
      </w:r>
      <w:r w:rsidR="0068163B">
        <w:rPr>
          <w:rFonts w:ascii="Times New Roman" w:hAnsi="Times New Roman"/>
          <w:sz w:val="24"/>
          <w:shd w:val="clear" w:color="auto" w:fill="FFFFFF"/>
        </w:rPr>
        <w:t xml:space="preserve">the </w:t>
      </w:r>
      <w:r w:rsidR="00D273F4">
        <w:rPr>
          <w:rFonts w:ascii="Times New Roman" w:hAnsi="Times New Roman"/>
          <w:sz w:val="24"/>
          <w:shd w:val="clear" w:color="auto" w:fill="FFFFFF"/>
        </w:rPr>
        <w:t xml:space="preserve">organized level of an armed group may be overturned in </w:t>
      </w:r>
      <w:r w:rsidR="00AB61B4">
        <w:rPr>
          <w:rFonts w:ascii="Times New Roman" w:hAnsi="Times New Roman"/>
          <w:sz w:val="24"/>
          <w:shd w:val="clear" w:color="auto" w:fill="FFFFFF"/>
        </w:rPr>
        <w:t xml:space="preserve">circumstances where </w:t>
      </w:r>
      <w:r>
        <w:rPr>
          <w:rFonts w:ascii="Times New Roman" w:hAnsi="Times New Roman"/>
          <w:sz w:val="24"/>
          <w:shd w:val="clear" w:color="auto" w:fill="FFFFFF"/>
        </w:rPr>
        <w:t>the</w:t>
      </w:r>
      <w:r w:rsidR="00C1735C">
        <w:rPr>
          <w:rFonts w:ascii="Times New Roman" w:hAnsi="Times New Roman"/>
          <w:sz w:val="24"/>
          <w:shd w:val="clear" w:color="auto" w:fill="FFFFFF"/>
        </w:rPr>
        <w:t xml:space="preserve"> group’s </w:t>
      </w:r>
      <w:r w:rsidR="002B082A">
        <w:rPr>
          <w:rFonts w:ascii="Times New Roman" w:hAnsi="Times New Roman"/>
          <w:sz w:val="24"/>
          <w:shd w:val="clear" w:color="auto" w:fill="FFFFFF"/>
        </w:rPr>
        <w:t xml:space="preserve">seemingly doubtful </w:t>
      </w:r>
      <w:r w:rsidR="00C1735C">
        <w:rPr>
          <w:rFonts w:ascii="Times New Roman" w:hAnsi="Times New Roman"/>
          <w:sz w:val="24"/>
          <w:shd w:val="clear" w:color="auto" w:fill="FFFFFF"/>
        </w:rPr>
        <w:t>organizational level</w:t>
      </w:r>
      <w:r w:rsidR="002B082A">
        <w:rPr>
          <w:rFonts w:ascii="Times New Roman" w:hAnsi="Times New Roman"/>
          <w:sz w:val="24"/>
          <w:shd w:val="clear" w:color="auto" w:fill="FFFFFF"/>
        </w:rPr>
        <w:t xml:space="preserve"> </w:t>
      </w:r>
      <w:r w:rsidR="00D273F4">
        <w:rPr>
          <w:rFonts w:ascii="Times New Roman" w:hAnsi="Times New Roman"/>
          <w:sz w:val="24"/>
          <w:shd w:val="clear" w:color="auto" w:fill="FFFFFF"/>
        </w:rPr>
        <w:t>has been</w:t>
      </w:r>
      <w:r w:rsidR="000126C8">
        <w:rPr>
          <w:rFonts w:ascii="Times New Roman" w:hAnsi="Times New Roman"/>
          <w:sz w:val="24"/>
          <w:shd w:val="clear" w:color="auto" w:fill="FFFFFF"/>
        </w:rPr>
        <w:t xml:space="preserve"> </w:t>
      </w:r>
      <w:r w:rsidR="002B082A">
        <w:rPr>
          <w:rFonts w:ascii="Times New Roman" w:hAnsi="Times New Roman"/>
          <w:sz w:val="24"/>
          <w:shd w:val="clear" w:color="auto" w:fill="FFFFFF"/>
        </w:rPr>
        <w:t xml:space="preserve">finessed </w:t>
      </w:r>
      <w:r w:rsidR="00066898">
        <w:rPr>
          <w:rFonts w:ascii="Times New Roman" w:hAnsi="Times New Roman"/>
          <w:sz w:val="24"/>
          <w:shd w:val="clear" w:color="auto" w:fill="FFFFFF"/>
        </w:rPr>
        <w:t xml:space="preserve">by </w:t>
      </w:r>
      <w:r w:rsidR="00C1735C">
        <w:rPr>
          <w:rFonts w:ascii="Times New Roman" w:hAnsi="Times New Roman"/>
          <w:sz w:val="24"/>
          <w:shd w:val="clear" w:color="auto" w:fill="FFFFFF"/>
        </w:rPr>
        <w:t>the ‘compensatory model’</w:t>
      </w:r>
      <w:r w:rsidR="009E4BB2">
        <w:rPr>
          <w:rFonts w:ascii="Times New Roman" w:hAnsi="Times New Roman"/>
          <w:sz w:val="24"/>
          <w:shd w:val="clear" w:color="auto" w:fill="FFFFFF"/>
        </w:rPr>
        <w:t xml:space="preserve">. As explained above, </w:t>
      </w:r>
      <w:r w:rsidR="00D273F4">
        <w:rPr>
          <w:rFonts w:ascii="Times New Roman" w:hAnsi="Times New Roman"/>
          <w:sz w:val="24"/>
          <w:shd w:val="clear" w:color="auto" w:fill="FFFFFF"/>
        </w:rPr>
        <w:t xml:space="preserve">this model </w:t>
      </w:r>
      <w:r w:rsidR="00D669AE">
        <w:rPr>
          <w:rFonts w:ascii="Times New Roman" w:hAnsi="Times New Roman"/>
          <w:sz w:val="24"/>
          <w:shd w:val="clear" w:color="auto" w:fill="FFFFFF"/>
        </w:rPr>
        <w:t xml:space="preserve">has been proposed </w:t>
      </w:r>
      <w:r w:rsidR="00066898">
        <w:rPr>
          <w:rFonts w:ascii="Times New Roman" w:hAnsi="Times New Roman"/>
          <w:sz w:val="24"/>
          <w:shd w:val="clear" w:color="auto" w:fill="FFFFFF"/>
        </w:rPr>
        <w:t xml:space="preserve">as a mechanism </w:t>
      </w:r>
      <w:r w:rsidR="000126C8">
        <w:rPr>
          <w:rFonts w:ascii="Times New Roman" w:hAnsi="Times New Roman"/>
          <w:sz w:val="24"/>
          <w:shd w:val="clear" w:color="auto" w:fill="FFFFFF"/>
        </w:rPr>
        <w:t>to rationaliz</w:t>
      </w:r>
      <w:r w:rsidR="00066898">
        <w:rPr>
          <w:rFonts w:ascii="Times New Roman" w:hAnsi="Times New Roman"/>
          <w:sz w:val="24"/>
          <w:shd w:val="clear" w:color="auto" w:fill="FFFFFF"/>
        </w:rPr>
        <w:t>e</w:t>
      </w:r>
      <w:r w:rsidR="000126C8">
        <w:rPr>
          <w:rFonts w:ascii="Times New Roman" w:hAnsi="Times New Roman"/>
          <w:sz w:val="24"/>
          <w:shd w:val="clear" w:color="auto" w:fill="FFFFFF"/>
        </w:rPr>
        <w:t xml:space="preserve"> a sliding scale of the </w:t>
      </w:r>
      <w:r w:rsidR="00066898">
        <w:rPr>
          <w:rFonts w:ascii="Times New Roman" w:hAnsi="Times New Roman"/>
          <w:sz w:val="24"/>
          <w:shd w:val="clear" w:color="auto" w:fill="FFFFFF"/>
        </w:rPr>
        <w:t xml:space="preserve">standard for </w:t>
      </w:r>
      <w:r w:rsidR="002B082A">
        <w:rPr>
          <w:rFonts w:ascii="Times New Roman" w:hAnsi="Times New Roman"/>
          <w:sz w:val="24"/>
          <w:shd w:val="clear" w:color="auto" w:fill="FFFFFF"/>
        </w:rPr>
        <w:t>the</w:t>
      </w:r>
      <w:r w:rsidR="00066898">
        <w:rPr>
          <w:rFonts w:ascii="Times New Roman" w:hAnsi="Times New Roman"/>
          <w:sz w:val="24"/>
          <w:shd w:val="clear" w:color="auto" w:fill="FFFFFF"/>
        </w:rPr>
        <w:t xml:space="preserve"> </w:t>
      </w:r>
      <w:r w:rsidR="000126C8">
        <w:rPr>
          <w:rFonts w:ascii="Times New Roman" w:hAnsi="Times New Roman"/>
          <w:sz w:val="24"/>
          <w:shd w:val="clear" w:color="auto" w:fill="FFFFFF"/>
        </w:rPr>
        <w:t>requirement</w:t>
      </w:r>
      <w:r w:rsidR="002B082A">
        <w:rPr>
          <w:rFonts w:ascii="Times New Roman" w:hAnsi="Times New Roman"/>
          <w:sz w:val="24"/>
          <w:shd w:val="clear" w:color="auto" w:fill="FFFFFF"/>
        </w:rPr>
        <w:t xml:space="preserve"> of organization</w:t>
      </w:r>
      <w:r w:rsidR="000126C8">
        <w:rPr>
          <w:rFonts w:ascii="Times New Roman" w:hAnsi="Times New Roman"/>
          <w:sz w:val="24"/>
          <w:shd w:val="clear" w:color="auto" w:fill="FFFFFF"/>
        </w:rPr>
        <w:t xml:space="preserve">. </w:t>
      </w:r>
      <w:r w:rsidR="002B082A">
        <w:rPr>
          <w:rFonts w:ascii="Times New Roman" w:hAnsi="Times New Roman"/>
          <w:sz w:val="24"/>
          <w:shd w:val="clear" w:color="auto" w:fill="FFFFFF"/>
        </w:rPr>
        <w:t xml:space="preserve">It is submitted that </w:t>
      </w:r>
      <w:r w:rsidR="00D273F4">
        <w:rPr>
          <w:rFonts w:ascii="Times New Roman" w:hAnsi="Times New Roman"/>
          <w:sz w:val="24"/>
          <w:shd w:val="clear" w:color="auto" w:fill="FFFFFF"/>
        </w:rPr>
        <w:t xml:space="preserve">upon the shift in the legal classification of the ongoing conflict </w:t>
      </w:r>
      <w:r w:rsidR="00D669AE">
        <w:rPr>
          <w:rFonts w:ascii="Times New Roman" w:hAnsi="Times New Roman"/>
          <w:sz w:val="24"/>
          <w:shd w:val="clear" w:color="auto" w:fill="FFFFFF"/>
        </w:rPr>
        <w:t xml:space="preserve">from a NIAC </w:t>
      </w:r>
      <w:r w:rsidR="00D273F4">
        <w:rPr>
          <w:rFonts w:ascii="Times New Roman" w:hAnsi="Times New Roman"/>
          <w:sz w:val="24"/>
          <w:shd w:val="clear" w:color="auto" w:fill="FFFFFF"/>
        </w:rPr>
        <w:t xml:space="preserve">to an IAC, </w:t>
      </w:r>
      <w:r w:rsidR="00C1735C">
        <w:rPr>
          <w:rFonts w:ascii="Times New Roman" w:hAnsi="Times New Roman"/>
          <w:sz w:val="24"/>
          <w:shd w:val="clear" w:color="auto" w:fill="FFFFFF"/>
        </w:rPr>
        <w:t>the question of the group’s organizational level</w:t>
      </w:r>
      <w:r w:rsidR="00D669AE">
        <w:rPr>
          <w:rFonts w:ascii="Times New Roman" w:hAnsi="Times New Roman"/>
          <w:sz w:val="24"/>
          <w:shd w:val="clear" w:color="auto" w:fill="FFFFFF"/>
        </w:rPr>
        <w:t xml:space="preserve"> that has been </w:t>
      </w:r>
      <w:r w:rsidR="0079167D">
        <w:rPr>
          <w:rFonts w:ascii="Times New Roman" w:hAnsi="Times New Roman"/>
          <w:sz w:val="24"/>
          <w:shd w:val="clear" w:color="auto" w:fill="FFFFFF"/>
        </w:rPr>
        <w:t xml:space="preserve">assessed by a lenient standard </w:t>
      </w:r>
      <w:proofErr w:type="spellStart"/>
      <w:r w:rsidR="0068163B">
        <w:rPr>
          <w:rFonts w:ascii="Times New Roman" w:hAnsi="Times New Roman"/>
          <w:sz w:val="24"/>
          <w:shd w:val="clear" w:color="auto" w:fill="FFFFFF"/>
        </w:rPr>
        <w:t>rationazlied</w:t>
      </w:r>
      <w:proofErr w:type="spellEnd"/>
      <w:r w:rsidR="0068163B">
        <w:rPr>
          <w:rFonts w:ascii="Times New Roman" w:hAnsi="Times New Roman"/>
          <w:sz w:val="24"/>
          <w:shd w:val="clear" w:color="auto" w:fill="FFFFFF"/>
        </w:rPr>
        <w:t xml:space="preserve"> by</w:t>
      </w:r>
      <w:r w:rsidR="0079167D">
        <w:rPr>
          <w:rFonts w:ascii="Times New Roman" w:hAnsi="Times New Roman"/>
          <w:sz w:val="24"/>
          <w:shd w:val="clear" w:color="auto" w:fill="FFFFFF"/>
        </w:rPr>
        <w:t xml:space="preserve"> </w:t>
      </w:r>
      <w:r w:rsidR="00D669AE">
        <w:rPr>
          <w:rFonts w:ascii="Times New Roman" w:hAnsi="Times New Roman"/>
          <w:sz w:val="24"/>
          <w:shd w:val="clear" w:color="auto" w:fill="FFFFFF"/>
        </w:rPr>
        <w:t>this model</w:t>
      </w:r>
      <w:r w:rsidR="00C1735C">
        <w:rPr>
          <w:rFonts w:ascii="Times New Roman" w:hAnsi="Times New Roman"/>
          <w:sz w:val="24"/>
          <w:shd w:val="clear" w:color="auto" w:fill="FFFFFF"/>
        </w:rPr>
        <w:t xml:space="preserve"> needs to be carefully</w:t>
      </w:r>
      <w:r w:rsidR="002B082A">
        <w:rPr>
          <w:rFonts w:ascii="Times New Roman" w:hAnsi="Times New Roman"/>
          <w:sz w:val="24"/>
          <w:shd w:val="clear" w:color="auto" w:fill="FFFFFF"/>
        </w:rPr>
        <w:t xml:space="preserve"> </w:t>
      </w:r>
      <w:r w:rsidR="0029255A">
        <w:rPr>
          <w:rFonts w:ascii="Times New Roman" w:hAnsi="Times New Roman"/>
          <w:sz w:val="24"/>
          <w:shd w:val="clear" w:color="auto" w:fill="FFFFFF"/>
        </w:rPr>
        <w:t>probed</w:t>
      </w:r>
      <w:r w:rsidR="00C1735C">
        <w:rPr>
          <w:rFonts w:ascii="Times New Roman" w:hAnsi="Times New Roman"/>
          <w:sz w:val="24"/>
          <w:shd w:val="clear" w:color="auto" w:fill="FFFFFF"/>
        </w:rPr>
        <w:t xml:space="preserve"> </w:t>
      </w:r>
      <w:r w:rsidR="00E25441">
        <w:rPr>
          <w:rFonts w:ascii="Times New Roman" w:hAnsi="Times New Roman"/>
          <w:sz w:val="24"/>
          <w:shd w:val="clear" w:color="auto" w:fill="FFFFFF"/>
        </w:rPr>
        <w:t xml:space="preserve">by reference to </w:t>
      </w:r>
      <w:r w:rsidR="00C1735C">
        <w:rPr>
          <w:rFonts w:ascii="Times New Roman" w:hAnsi="Times New Roman"/>
          <w:sz w:val="24"/>
          <w:shd w:val="clear" w:color="auto" w:fill="FFFFFF"/>
        </w:rPr>
        <w:t xml:space="preserve">its ability to meet the </w:t>
      </w:r>
      <w:r w:rsidR="00D14187">
        <w:rPr>
          <w:rFonts w:ascii="Times New Roman" w:hAnsi="Times New Roman"/>
          <w:sz w:val="24"/>
          <w:shd w:val="clear" w:color="auto" w:fill="FFFFFF"/>
        </w:rPr>
        <w:t xml:space="preserve">other POW </w:t>
      </w:r>
      <w:r w:rsidR="00C1735C">
        <w:rPr>
          <w:rFonts w:ascii="Times New Roman" w:hAnsi="Times New Roman"/>
          <w:sz w:val="24"/>
          <w:shd w:val="clear" w:color="auto" w:fill="FFFFFF"/>
        </w:rPr>
        <w:t xml:space="preserve">conditions. </w:t>
      </w:r>
      <w:r w:rsidR="00E25441">
        <w:rPr>
          <w:rFonts w:ascii="Times New Roman" w:hAnsi="Times New Roman"/>
          <w:sz w:val="24"/>
          <w:shd w:val="clear" w:color="auto" w:fill="FFFFFF"/>
        </w:rPr>
        <w:t xml:space="preserve">In the event that </w:t>
      </w:r>
      <w:r w:rsidR="009759F6">
        <w:rPr>
          <w:rFonts w:ascii="Times New Roman" w:hAnsi="Times New Roman"/>
          <w:sz w:val="24"/>
          <w:shd w:val="clear" w:color="auto" w:fill="FFFFFF"/>
        </w:rPr>
        <w:t xml:space="preserve">the external power that has </w:t>
      </w:r>
      <w:r w:rsidR="00066898">
        <w:rPr>
          <w:rFonts w:ascii="Times New Roman" w:hAnsi="Times New Roman"/>
          <w:sz w:val="24"/>
          <w:shd w:val="clear" w:color="auto" w:fill="FFFFFF"/>
        </w:rPr>
        <w:t>come to control</w:t>
      </w:r>
      <w:r w:rsidR="009759F6">
        <w:rPr>
          <w:rFonts w:ascii="Times New Roman" w:hAnsi="Times New Roman"/>
          <w:sz w:val="24"/>
          <w:shd w:val="clear" w:color="auto" w:fill="FFFFFF"/>
        </w:rPr>
        <w:t xml:space="preserve"> </w:t>
      </w:r>
      <w:r w:rsidR="00C61EC7">
        <w:rPr>
          <w:rFonts w:ascii="Times New Roman" w:hAnsi="Times New Roman"/>
          <w:sz w:val="24"/>
          <w:shd w:val="clear" w:color="auto" w:fill="FFFFFF"/>
        </w:rPr>
        <w:t>the</w:t>
      </w:r>
      <w:r w:rsidR="009759F6">
        <w:rPr>
          <w:rFonts w:ascii="Times New Roman" w:hAnsi="Times New Roman"/>
          <w:sz w:val="24"/>
          <w:shd w:val="clear" w:color="auto" w:fill="FFFFFF"/>
        </w:rPr>
        <w:t xml:space="preserve"> armed group</w:t>
      </w:r>
      <w:r w:rsidR="00C61EC7">
        <w:rPr>
          <w:rFonts w:ascii="Times New Roman" w:hAnsi="Times New Roman"/>
          <w:sz w:val="24"/>
          <w:shd w:val="clear" w:color="auto" w:fill="FFFFFF"/>
        </w:rPr>
        <w:t xml:space="preserve"> fails to deploy its own troops</w:t>
      </w:r>
      <w:r w:rsidR="009759F6">
        <w:rPr>
          <w:rFonts w:ascii="Times New Roman" w:hAnsi="Times New Roman"/>
          <w:sz w:val="24"/>
          <w:shd w:val="clear" w:color="auto" w:fill="FFFFFF"/>
        </w:rPr>
        <w:t xml:space="preserve">, this </w:t>
      </w:r>
      <w:r w:rsidR="00D52B3E">
        <w:rPr>
          <w:rFonts w:ascii="Times New Roman" w:hAnsi="Times New Roman"/>
          <w:sz w:val="24"/>
          <w:shd w:val="clear" w:color="auto" w:fill="FFFFFF"/>
        </w:rPr>
        <w:t xml:space="preserve">paper rejects </w:t>
      </w:r>
      <w:r w:rsidR="00415530">
        <w:rPr>
          <w:rFonts w:ascii="Times New Roman" w:hAnsi="Times New Roman"/>
          <w:sz w:val="24"/>
          <w:shd w:val="clear" w:color="auto" w:fill="FFFFFF"/>
        </w:rPr>
        <w:t>an otherwise insightful</w:t>
      </w:r>
      <w:r w:rsidR="00D52B3E">
        <w:rPr>
          <w:rFonts w:ascii="Times New Roman" w:hAnsi="Times New Roman"/>
          <w:sz w:val="24"/>
          <w:shd w:val="clear" w:color="auto" w:fill="FFFFFF"/>
        </w:rPr>
        <w:t xml:space="preserve"> suggestion that such an armed group be considered </w:t>
      </w:r>
      <w:r w:rsidR="009E4BB2">
        <w:rPr>
          <w:rFonts w:ascii="Times New Roman" w:hAnsi="Times New Roman"/>
          <w:sz w:val="24"/>
          <w:shd w:val="clear" w:color="auto" w:fill="FFFFFF"/>
        </w:rPr>
        <w:t>an integrated component</w:t>
      </w:r>
      <w:r w:rsidR="00D52B3E">
        <w:rPr>
          <w:rFonts w:ascii="Times New Roman" w:hAnsi="Times New Roman"/>
          <w:sz w:val="24"/>
          <w:shd w:val="clear" w:color="auto" w:fill="FFFFFF"/>
        </w:rPr>
        <w:t xml:space="preserve"> of a State Party to an IAC </w:t>
      </w:r>
      <w:r w:rsidR="009E4BB2" w:rsidRPr="00066403">
        <w:rPr>
          <w:rFonts w:ascii="Times New Roman" w:hAnsi="Times New Roman"/>
          <w:i/>
          <w:iCs/>
          <w:sz w:val="24"/>
          <w:shd w:val="clear" w:color="auto" w:fill="FFFFFF"/>
        </w:rPr>
        <w:t>per</w:t>
      </w:r>
      <w:r w:rsidR="009E4BB2">
        <w:rPr>
          <w:rFonts w:ascii="Times New Roman" w:hAnsi="Times New Roman"/>
          <w:sz w:val="24"/>
          <w:shd w:val="clear" w:color="auto" w:fill="FFFFFF"/>
        </w:rPr>
        <w:t xml:space="preserve"> </w:t>
      </w:r>
      <w:r w:rsidR="00D52B3E">
        <w:rPr>
          <w:rFonts w:ascii="Times New Roman" w:hAnsi="Times New Roman"/>
          <w:sz w:val="24"/>
          <w:shd w:val="clear" w:color="auto" w:fill="FFFFFF"/>
        </w:rPr>
        <w:t xml:space="preserve">Article 4A(1) of </w:t>
      </w:r>
      <w:r w:rsidR="00E25441">
        <w:rPr>
          <w:rFonts w:ascii="Times New Roman" w:hAnsi="Times New Roman"/>
          <w:sz w:val="24"/>
          <w:shd w:val="clear" w:color="auto" w:fill="FFFFFF"/>
        </w:rPr>
        <w:t>the Third Geneva</w:t>
      </w:r>
      <w:r w:rsidR="00C61EC7">
        <w:rPr>
          <w:rFonts w:ascii="Times New Roman" w:hAnsi="Times New Roman"/>
          <w:sz w:val="24"/>
          <w:shd w:val="clear" w:color="auto" w:fill="FFFFFF"/>
        </w:rPr>
        <w:t xml:space="preserve"> Convention</w:t>
      </w:r>
      <w:r w:rsidR="00D52B3E">
        <w:rPr>
          <w:rFonts w:ascii="Times New Roman" w:hAnsi="Times New Roman"/>
          <w:sz w:val="24"/>
          <w:shd w:val="clear" w:color="auto" w:fill="FFFFFF"/>
        </w:rPr>
        <w:t>.</w:t>
      </w:r>
      <w:r w:rsidR="00415530">
        <w:rPr>
          <w:rFonts w:ascii="Times New Roman" w:hAnsi="Times New Roman"/>
          <w:sz w:val="24"/>
          <w:shd w:val="clear" w:color="auto" w:fill="FFFFFF"/>
        </w:rPr>
        <w:t xml:space="preserve"> </w:t>
      </w:r>
    </w:p>
    <w:p w14:paraId="01ABEDE9" w14:textId="77777777" w:rsidR="00066898" w:rsidRDefault="00066898" w:rsidP="00E01082">
      <w:pPr>
        <w:rPr>
          <w:rFonts w:ascii="Times New Roman" w:hAnsi="Times New Roman"/>
          <w:sz w:val="24"/>
          <w:shd w:val="clear" w:color="auto" w:fill="FFFFFF"/>
        </w:rPr>
      </w:pPr>
    </w:p>
    <w:p w14:paraId="69D6EB94" w14:textId="4CF1C556" w:rsidR="00632FA7" w:rsidRPr="00066403" w:rsidRDefault="0079167D" w:rsidP="00E01082">
      <w:pPr>
        <w:rPr>
          <w:rFonts w:ascii="Times New Roman" w:hAnsi="Times New Roman"/>
          <w:sz w:val="24"/>
        </w:rPr>
      </w:pPr>
      <w:r>
        <w:rPr>
          <w:rFonts w:ascii="Times New Roman" w:hAnsi="Times New Roman"/>
          <w:sz w:val="24"/>
          <w:shd w:val="clear" w:color="auto" w:fill="FFFFFF"/>
        </w:rPr>
        <w:t xml:space="preserve">It has been </w:t>
      </w:r>
      <w:proofErr w:type="spellStart"/>
      <w:r>
        <w:rPr>
          <w:rFonts w:ascii="Times New Roman" w:hAnsi="Times New Roman"/>
          <w:sz w:val="24"/>
          <w:shd w:val="clear" w:color="auto" w:fill="FFFFFF"/>
        </w:rPr>
        <w:t>sugested</w:t>
      </w:r>
      <w:proofErr w:type="spellEnd"/>
      <w:r w:rsidR="00415530">
        <w:rPr>
          <w:rFonts w:ascii="Times New Roman" w:hAnsi="Times New Roman"/>
          <w:sz w:val="24"/>
          <w:shd w:val="clear" w:color="auto" w:fill="FFFFFF"/>
        </w:rPr>
        <w:t xml:space="preserve"> that the </w:t>
      </w:r>
      <w:r w:rsidR="00D273F4">
        <w:rPr>
          <w:rFonts w:ascii="Times New Roman" w:hAnsi="Times New Roman"/>
          <w:sz w:val="24"/>
          <w:shd w:val="clear" w:color="auto" w:fill="FFFFFF"/>
        </w:rPr>
        <w:t xml:space="preserve">transition from </w:t>
      </w:r>
      <w:r w:rsidR="00E25441">
        <w:rPr>
          <w:rFonts w:ascii="Times New Roman" w:hAnsi="Times New Roman"/>
          <w:sz w:val="24"/>
          <w:shd w:val="clear" w:color="auto" w:fill="FFFFFF"/>
        </w:rPr>
        <w:t>an</w:t>
      </w:r>
      <w:r w:rsidR="00D273F4">
        <w:rPr>
          <w:rFonts w:ascii="Times New Roman" w:hAnsi="Times New Roman"/>
          <w:sz w:val="24"/>
          <w:shd w:val="clear" w:color="auto" w:fill="FFFFFF"/>
        </w:rPr>
        <w:t xml:space="preserve"> IAC to a NIAC is another situation in which </w:t>
      </w:r>
      <w:r w:rsidR="0089444B">
        <w:rPr>
          <w:rFonts w:ascii="Times New Roman" w:hAnsi="Times New Roman"/>
          <w:sz w:val="24"/>
          <w:shd w:val="clear" w:color="auto" w:fill="FFFFFF"/>
        </w:rPr>
        <w:t>the proposed</w:t>
      </w:r>
      <w:r w:rsidR="00D273F4">
        <w:rPr>
          <w:rFonts w:ascii="Times New Roman" w:hAnsi="Times New Roman"/>
          <w:sz w:val="24"/>
          <w:shd w:val="clear" w:color="auto" w:fill="FFFFFF"/>
        </w:rPr>
        <w:t xml:space="preserve"> </w:t>
      </w:r>
      <w:r w:rsidR="00C61EC7">
        <w:rPr>
          <w:rFonts w:ascii="Times New Roman" w:hAnsi="Times New Roman"/>
          <w:sz w:val="24"/>
          <w:shd w:val="clear" w:color="auto" w:fill="FFFFFF"/>
        </w:rPr>
        <w:t>‘</w:t>
      </w:r>
      <w:r w:rsidR="00415530">
        <w:rPr>
          <w:rFonts w:ascii="Times New Roman" w:hAnsi="Times New Roman"/>
          <w:sz w:val="24"/>
          <w:shd w:val="clear" w:color="auto" w:fill="FFFFFF"/>
        </w:rPr>
        <w:t>compensatory model</w:t>
      </w:r>
      <w:r w:rsidR="00C61EC7">
        <w:rPr>
          <w:rFonts w:ascii="Times New Roman" w:hAnsi="Times New Roman"/>
          <w:sz w:val="24"/>
          <w:shd w:val="clear" w:color="auto" w:fill="FFFFFF"/>
        </w:rPr>
        <w:t>’</w:t>
      </w:r>
      <w:r w:rsidR="00415530">
        <w:rPr>
          <w:rFonts w:ascii="Times New Roman" w:hAnsi="Times New Roman"/>
          <w:sz w:val="24"/>
          <w:shd w:val="clear" w:color="auto" w:fill="FFFFFF"/>
        </w:rPr>
        <w:t xml:space="preserve"> </w:t>
      </w:r>
      <w:r>
        <w:rPr>
          <w:rFonts w:ascii="Times New Roman" w:hAnsi="Times New Roman"/>
          <w:sz w:val="24"/>
          <w:shd w:val="clear" w:color="auto" w:fill="FFFFFF"/>
        </w:rPr>
        <w:t>may</w:t>
      </w:r>
      <w:r w:rsidR="00415530">
        <w:rPr>
          <w:rFonts w:ascii="Times New Roman" w:hAnsi="Times New Roman"/>
          <w:sz w:val="24"/>
          <w:shd w:val="clear" w:color="auto" w:fill="FFFFFF"/>
        </w:rPr>
        <w:t xml:space="preserve"> be tacitly </w:t>
      </w:r>
      <w:r>
        <w:rPr>
          <w:rFonts w:ascii="Times New Roman" w:hAnsi="Times New Roman"/>
          <w:sz w:val="24"/>
          <w:shd w:val="clear" w:color="auto" w:fill="FFFFFF"/>
        </w:rPr>
        <w:t>in operation</w:t>
      </w:r>
      <w:r w:rsidR="00D273F4">
        <w:rPr>
          <w:rFonts w:ascii="Times New Roman" w:hAnsi="Times New Roman"/>
          <w:sz w:val="24"/>
          <w:shd w:val="clear" w:color="auto" w:fill="FFFFFF"/>
        </w:rPr>
        <w:t>. Insofar</w:t>
      </w:r>
      <w:r w:rsidR="00C61EC7">
        <w:rPr>
          <w:rFonts w:ascii="Times New Roman" w:hAnsi="Times New Roman"/>
          <w:sz w:val="24"/>
          <w:shd w:val="clear" w:color="auto" w:fill="FFFFFF"/>
        </w:rPr>
        <w:t xml:space="preserve"> as</w:t>
      </w:r>
      <w:r w:rsidR="009242A2">
        <w:rPr>
          <w:rFonts w:ascii="Times New Roman" w:hAnsi="Times New Roman"/>
          <w:sz w:val="24"/>
          <w:shd w:val="clear" w:color="auto" w:fill="FFFFFF"/>
        </w:rPr>
        <w:t xml:space="preserve"> violence </w:t>
      </w:r>
      <w:r w:rsidR="009E4BB2">
        <w:rPr>
          <w:rFonts w:ascii="Times New Roman" w:hAnsi="Times New Roman"/>
          <w:sz w:val="24"/>
          <w:shd w:val="clear" w:color="auto" w:fill="FFFFFF"/>
        </w:rPr>
        <w:t xml:space="preserve">orchestrated by an armed group </w:t>
      </w:r>
      <w:r w:rsidR="009242A2">
        <w:rPr>
          <w:rFonts w:ascii="Times New Roman" w:hAnsi="Times New Roman"/>
          <w:sz w:val="24"/>
          <w:shd w:val="clear" w:color="auto" w:fill="FFFFFF"/>
        </w:rPr>
        <w:t xml:space="preserve">is </w:t>
      </w:r>
      <w:r w:rsidR="00C61EC7">
        <w:rPr>
          <w:rFonts w:ascii="Times New Roman" w:hAnsi="Times New Roman"/>
          <w:sz w:val="24"/>
          <w:shd w:val="clear" w:color="auto" w:fill="FFFFFF"/>
        </w:rPr>
        <w:t>of considerable magnitude</w:t>
      </w:r>
      <w:r w:rsidR="009242A2">
        <w:rPr>
          <w:rFonts w:ascii="Times New Roman" w:hAnsi="Times New Roman"/>
          <w:sz w:val="24"/>
          <w:shd w:val="clear" w:color="auto" w:fill="FFFFFF"/>
        </w:rPr>
        <w:t xml:space="preserve">, </w:t>
      </w:r>
      <w:r w:rsidR="00415530">
        <w:rPr>
          <w:rFonts w:ascii="Times New Roman" w:hAnsi="Times New Roman"/>
          <w:sz w:val="24"/>
          <w:shd w:val="clear" w:color="auto" w:fill="FFFFFF"/>
        </w:rPr>
        <w:t xml:space="preserve">the threshold for </w:t>
      </w:r>
      <w:r w:rsidR="009E4BB2">
        <w:rPr>
          <w:rFonts w:ascii="Times New Roman" w:hAnsi="Times New Roman"/>
          <w:sz w:val="24"/>
          <w:shd w:val="clear" w:color="auto" w:fill="FFFFFF"/>
        </w:rPr>
        <w:t>its</w:t>
      </w:r>
      <w:r w:rsidR="00415530">
        <w:rPr>
          <w:rFonts w:ascii="Times New Roman" w:hAnsi="Times New Roman"/>
          <w:sz w:val="24"/>
          <w:shd w:val="clear" w:color="auto" w:fill="FFFFFF"/>
        </w:rPr>
        <w:t xml:space="preserve"> organization may be</w:t>
      </w:r>
      <w:r w:rsidR="009E4BB2">
        <w:rPr>
          <w:rFonts w:ascii="Times New Roman" w:hAnsi="Times New Roman"/>
          <w:sz w:val="24"/>
          <w:shd w:val="clear" w:color="auto" w:fill="FFFFFF"/>
        </w:rPr>
        <w:t xml:space="preserve"> set lower</w:t>
      </w:r>
      <w:r w:rsidR="00415530">
        <w:rPr>
          <w:rFonts w:ascii="Times New Roman" w:hAnsi="Times New Roman"/>
          <w:sz w:val="24"/>
          <w:shd w:val="clear" w:color="auto" w:fill="FFFFFF"/>
        </w:rPr>
        <w:t xml:space="preserve"> than </w:t>
      </w:r>
      <w:r w:rsidR="009E4BB2">
        <w:rPr>
          <w:rFonts w:ascii="Times New Roman" w:hAnsi="Times New Roman"/>
          <w:sz w:val="24"/>
          <w:shd w:val="clear" w:color="auto" w:fill="FFFFFF"/>
        </w:rPr>
        <w:t xml:space="preserve">that for ascertaining </w:t>
      </w:r>
      <w:r w:rsidR="00415530">
        <w:rPr>
          <w:rFonts w:ascii="Times New Roman" w:hAnsi="Times New Roman"/>
          <w:sz w:val="24"/>
          <w:shd w:val="clear" w:color="auto" w:fill="FFFFFF"/>
        </w:rPr>
        <w:t xml:space="preserve">the onset of a NIAC. </w:t>
      </w:r>
      <w:r w:rsidR="00D273F4">
        <w:rPr>
          <w:rFonts w:ascii="Times New Roman" w:hAnsi="Times New Roman"/>
          <w:sz w:val="24"/>
          <w:shd w:val="clear" w:color="auto" w:fill="FFFFFF"/>
        </w:rPr>
        <w:t xml:space="preserve">In </w:t>
      </w:r>
      <w:r w:rsidR="00415530">
        <w:rPr>
          <w:rFonts w:ascii="Times New Roman" w:hAnsi="Times New Roman"/>
          <w:sz w:val="24"/>
          <w:shd w:val="clear" w:color="auto" w:fill="FFFFFF"/>
        </w:rPr>
        <w:t>the liminal situation where a NIAC is found to come to a close</w:t>
      </w:r>
      <w:r w:rsidR="00D273F4">
        <w:rPr>
          <w:rFonts w:ascii="Times New Roman" w:hAnsi="Times New Roman"/>
          <w:sz w:val="24"/>
          <w:shd w:val="clear" w:color="auto" w:fill="FFFFFF"/>
        </w:rPr>
        <w:t>,</w:t>
      </w:r>
      <w:r w:rsidR="009242A2">
        <w:rPr>
          <w:rFonts w:ascii="Times New Roman" w:hAnsi="Times New Roman"/>
          <w:sz w:val="24"/>
          <w:shd w:val="clear" w:color="auto" w:fill="FFFFFF"/>
        </w:rPr>
        <w:t xml:space="preserve"> </w:t>
      </w:r>
      <w:r w:rsidR="00D273F4">
        <w:rPr>
          <w:rFonts w:ascii="Times New Roman" w:hAnsi="Times New Roman"/>
          <w:sz w:val="24"/>
          <w:shd w:val="clear" w:color="auto" w:fill="FFFFFF"/>
        </w:rPr>
        <w:t xml:space="preserve">this paper has suggested that </w:t>
      </w:r>
      <w:r w:rsidR="009242A2">
        <w:rPr>
          <w:rFonts w:ascii="Times New Roman" w:hAnsi="Times New Roman"/>
          <w:sz w:val="24"/>
          <w:shd w:val="clear" w:color="auto" w:fill="FFFFFF"/>
        </w:rPr>
        <w:t xml:space="preserve">the </w:t>
      </w:r>
      <w:r w:rsidR="002B6A72">
        <w:rPr>
          <w:rFonts w:ascii="Times New Roman" w:hAnsi="Times New Roman"/>
          <w:sz w:val="24"/>
          <w:shd w:val="clear" w:color="auto" w:fill="FFFFFF"/>
        </w:rPr>
        <w:t xml:space="preserve">operational modality of the </w:t>
      </w:r>
      <w:r w:rsidR="009004DC">
        <w:rPr>
          <w:rFonts w:ascii="Times New Roman" w:hAnsi="Times New Roman"/>
          <w:sz w:val="24"/>
          <w:shd w:val="clear" w:color="auto" w:fill="FFFFFF"/>
        </w:rPr>
        <w:t>‘</w:t>
      </w:r>
      <w:r w:rsidR="009242A2">
        <w:rPr>
          <w:rFonts w:ascii="Times New Roman" w:hAnsi="Times New Roman"/>
          <w:sz w:val="24"/>
          <w:shd w:val="clear" w:color="auto" w:fill="FFFFFF"/>
        </w:rPr>
        <w:t>compensatory model</w:t>
      </w:r>
      <w:r w:rsidR="009004DC">
        <w:rPr>
          <w:rFonts w:ascii="Times New Roman" w:hAnsi="Times New Roman"/>
          <w:sz w:val="24"/>
          <w:shd w:val="clear" w:color="auto" w:fill="FFFFFF"/>
        </w:rPr>
        <w:t>’</w:t>
      </w:r>
      <w:r w:rsidR="009242A2">
        <w:rPr>
          <w:rFonts w:ascii="Times New Roman" w:hAnsi="Times New Roman"/>
          <w:sz w:val="24"/>
          <w:shd w:val="clear" w:color="auto" w:fill="FFFFFF"/>
        </w:rPr>
        <w:t xml:space="preserve"> </w:t>
      </w:r>
      <w:r w:rsidR="002B6A72">
        <w:rPr>
          <w:rFonts w:ascii="Times New Roman" w:hAnsi="Times New Roman"/>
          <w:sz w:val="24"/>
          <w:shd w:val="clear" w:color="auto" w:fill="FFFFFF"/>
        </w:rPr>
        <w:t xml:space="preserve">may </w:t>
      </w:r>
      <w:r w:rsidR="00066898">
        <w:rPr>
          <w:rFonts w:ascii="Times New Roman" w:hAnsi="Times New Roman"/>
          <w:sz w:val="24"/>
          <w:shd w:val="clear" w:color="auto" w:fill="FFFFFF"/>
        </w:rPr>
        <w:t>present a picture</w:t>
      </w:r>
      <w:r w:rsidR="00D273F4">
        <w:rPr>
          <w:rFonts w:ascii="Times New Roman" w:hAnsi="Times New Roman"/>
          <w:sz w:val="24"/>
          <w:shd w:val="clear" w:color="auto" w:fill="FFFFFF"/>
        </w:rPr>
        <w:t xml:space="preserve"> different from that discernible in the opening and intermittent phases of a NIAC</w:t>
      </w:r>
      <w:r w:rsidR="00066898">
        <w:rPr>
          <w:rFonts w:ascii="Times New Roman" w:hAnsi="Times New Roman"/>
          <w:sz w:val="24"/>
          <w:shd w:val="clear" w:color="auto" w:fill="FFFFFF"/>
        </w:rPr>
        <w:t xml:space="preserve">. </w:t>
      </w:r>
      <w:r w:rsidR="009403AA">
        <w:rPr>
          <w:rFonts w:ascii="Times New Roman" w:hAnsi="Times New Roman"/>
          <w:sz w:val="24"/>
          <w:shd w:val="clear" w:color="auto" w:fill="FFFFFF"/>
        </w:rPr>
        <w:t xml:space="preserve">It is the requirement of organization that </w:t>
      </w:r>
      <w:r w:rsidR="00E25441">
        <w:rPr>
          <w:rFonts w:ascii="Times New Roman" w:hAnsi="Times New Roman"/>
          <w:sz w:val="24"/>
          <w:shd w:val="clear" w:color="auto" w:fill="FFFFFF"/>
        </w:rPr>
        <w:t>may be</w:t>
      </w:r>
      <w:r w:rsidR="009403AA">
        <w:rPr>
          <w:rFonts w:ascii="Times New Roman" w:hAnsi="Times New Roman"/>
          <w:sz w:val="24"/>
          <w:shd w:val="clear" w:color="auto" w:fill="FFFFFF"/>
        </w:rPr>
        <w:t xml:space="preserve"> factored into the equation as the dominant force</w:t>
      </w:r>
      <w:r w:rsidR="00B85169">
        <w:rPr>
          <w:rFonts w:ascii="Times New Roman" w:hAnsi="Times New Roman"/>
          <w:sz w:val="24"/>
          <w:shd w:val="clear" w:color="auto" w:fill="FFFFFF"/>
        </w:rPr>
        <w:t xml:space="preserve">. This requirement </w:t>
      </w:r>
      <w:r w:rsidR="00E25441">
        <w:rPr>
          <w:rFonts w:ascii="Times New Roman" w:hAnsi="Times New Roman"/>
          <w:sz w:val="24"/>
          <w:shd w:val="clear" w:color="auto" w:fill="FFFFFF"/>
        </w:rPr>
        <w:t xml:space="preserve">may </w:t>
      </w:r>
      <w:r w:rsidR="00B85169">
        <w:rPr>
          <w:rFonts w:ascii="Times New Roman" w:hAnsi="Times New Roman"/>
          <w:sz w:val="24"/>
          <w:shd w:val="clear" w:color="auto" w:fill="FFFFFF"/>
        </w:rPr>
        <w:t xml:space="preserve">serve as the central vehicle for </w:t>
      </w:r>
      <w:r w:rsidR="009403AA">
        <w:rPr>
          <w:rFonts w:ascii="Times New Roman" w:hAnsi="Times New Roman"/>
          <w:sz w:val="24"/>
          <w:shd w:val="clear" w:color="auto" w:fill="FFFFFF"/>
        </w:rPr>
        <w:t xml:space="preserve">determining if </w:t>
      </w:r>
      <w:r w:rsidR="00A43DEF">
        <w:rPr>
          <w:rFonts w:ascii="Times New Roman" w:hAnsi="Times New Roman"/>
          <w:sz w:val="24"/>
          <w:shd w:val="clear" w:color="auto" w:fill="FFFFFF"/>
        </w:rPr>
        <w:t>the waning violence is of such nature as to be still categorized as a NIAC</w:t>
      </w:r>
      <w:r w:rsidR="00E25441">
        <w:rPr>
          <w:rFonts w:ascii="Times New Roman" w:hAnsi="Times New Roman"/>
          <w:sz w:val="24"/>
          <w:shd w:val="clear" w:color="auto" w:fill="FFFFFF"/>
        </w:rPr>
        <w:t>. Alternatively, this may assist in declaring</w:t>
      </w:r>
      <w:r w:rsidR="00A43DEF">
        <w:rPr>
          <w:rFonts w:ascii="Times New Roman" w:hAnsi="Times New Roman"/>
          <w:sz w:val="24"/>
          <w:shd w:val="clear" w:color="auto" w:fill="FFFFFF"/>
        </w:rPr>
        <w:t xml:space="preserve"> that the </w:t>
      </w:r>
      <w:r w:rsidR="00EE0609">
        <w:rPr>
          <w:rFonts w:ascii="Times New Roman" w:hAnsi="Times New Roman"/>
          <w:sz w:val="24"/>
          <w:shd w:val="clear" w:color="auto" w:fill="FFFFFF"/>
        </w:rPr>
        <w:t xml:space="preserve">normative change </w:t>
      </w:r>
      <w:r w:rsidR="009004DC">
        <w:rPr>
          <w:rFonts w:ascii="Times New Roman" w:hAnsi="Times New Roman"/>
          <w:sz w:val="24"/>
          <w:shd w:val="clear" w:color="auto" w:fill="FFFFFF"/>
        </w:rPr>
        <w:t xml:space="preserve">should </w:t>
      </w:r>
      <w:r w:rsidR="00A43DEF">
        <w:rPr>
          <w:rFonts w:ascii="Times New Roman" w:hAnsi="Times New Roman"/>
          <w:sz w:val="24"/>
          <w:shd w:val="clear" w:color="auto" w:fill="FFFFFF"/>
        </w:rPr>
        <w:t xml:space="preserve">be </w:t>
      </w:r>
      <w:r w:rsidR="009004DC">
        <w:rPr>
          <w:rFonts w:ascii="Times New Roman" w:hAnsi="Times New Roman"/>
          <w:sz w:val="24"/>
          <w:shd w:val="clear" w:color="auto" w:fill="FFFFFF"/>
        </w:rPr>
        <w:t>shifted</w:t>
      </w:r>
      <w:r w:rsidR="00A43DEF">
        <w:rPr>
          <w:rFonts w:ascii="Times New Roman" w:hAnsi="Times New Roman"/>
          <w:sz w:val="24"/>
          <w:shd w:val="clear" w:color="auto" w:fill="FFFFFF"/>
        </w:rPr>
        <w:t xml:space="preserve"> </w:t>
      </w:r>
      <w:r w:rsidR="00EE0609">
        <w:rPr>
          <w:rFonts w:ascii="Times New Roman" w:hAnsi="Times New Roman"/>
          <w:sz w:val="24"/>
          <w:shd w:val="clear" w:color="auto" w:fill="FFFFFF"/>
        </w:rPr>
        <w:t xml:space="preserve">from the IHL to the law-enforcement regime. </w:t>
      </w:r>
    </w:p>
    <w:p w14:paraId="3BCDE63F" w14:textId="0FB8C0B8" w:rsidR="009B73C6" w:rsidRDefault="009B73C6" w:rsidP="00E01082">
      <w:pPr>
        <w:rPr>
          <w:rFonts w:ascii="Times New Roman" w:hAnsi="Times New Roman"/>
          <w:sz w:val="24"/>
          <w:shd w:val="clear" w:color="auto" w:fill="FFFFFF"/>
        </w:rPr>
      </w:pPr>
    </w:p>
    <w:sectPr w:rsidR="009B73C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302F3" w14:textId="77777777" w:rsidR="002C7195" w:rsidRDefault="002C7195" w:rsidP="00652309">
      <w:r>
        <w:separator/>
      </w:r>
    </w:p>
  </w:endnote>
  <w:endnote w:type="continuationSeparator" w:id="0">
    <w:p w14:paraId="3E4EAC69" w14:textId="77777777" w:rsidR="002C7195" w:rsidRDefault="002C7195" w:rsidP="0065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Proforma-Book">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264291"/>
      <w:docPartObj>
        <w:docPartGallery w:val="Page Numbers (Bottom of Page)"/>
        <w:docPartUnique/>
      </w:docPartObj>
    </w:sdtPr>
    <w:sdtContent>
      <w:p w14:paraId="06FEE82E" w14:textId="22B83165" w:rsidR="004F2CB8" w:rsidRDefault="004F2CB8">
        <w:pPr>
          <w:pStyle w:val="a7"/>
          <w:jc w:val="center"/>
        </w:pPr>
        <w:r>
          <w:fldChar w:fldCharType="begin"/>
        </w:r>
        <w:r>
          <w:instrText>PAGE   \* MERGEFORMAT</w:instrText>
        </w:r>
        <w:r>
          <w:fldChar w:fldCharType="separate"/>
        </w:r>
        <w:r>
          <w:rPr>
            <w:lang w:val="ja-JP"/>
          </w:rPr>
          <w:t>2</w:t>
        </w:r>
        <w:r>
          <w:fldChar w:fldCharType="end"/>
        </w:r>
      </w:p>
    </w:sdtContent>
  </w:sdt>
  <w:p w14:paraId="33D58069" w14:textId="77777777" w:rsidR="004F2CB8" w:rsidRDefault="004F2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B8FC9" w14:textId="77777777" w:rsidR="002C7195" w:rsidRDefault="002C7195" w:rsidP="00652309">
      <w:r>
        <w:separator/>
      </w:r>
    </w:p>
  </w:footnote>
  <w:footnote w:type="continuationSeparator" w:id="0">
    <w:p w14:paraId="648A1E22" w14:textId="77777777" w:rsidR="002C7195" w:rsidRDefault="002C7195" w:rsidP="00652309">
      <w:r>
        <w:continuationSeparator/>
      </w:r>
    </w:p>
  </w:footnote>
  <w:footnote w:id="1">
    <w:p w14:paraId="688C4F91" w14:textId="33429EEF"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t>*</w:t>
      </w:r>
      <w:r w:rsidRPr="006B6544">
        <w:rPr>
          <w:rFonts w:ascii="Times New Roman" w:hAnsi="Times New Roman"/>
          <w:sz w:val="20"/>
          <w:szCs w:val="20"/>
        </w:rPr>
        <w:t xml:space="preserve"> Professor of International Human Rights Law, University of Kent, Brussels</w:t>
      </w:r>
      <w:r>
        <w:rPr>
          <w:rFonts w:ascii="Times New Roman" w:hAnsi="Times New Roman" w:hint="eastAsia"/>
          <w:sz w:val="20"/>
          <w:szCs w:val="20"/>
        </w:rPr>
        <w:t xml:space="preserve"> </w:t>
      </w:r>
      <w:r>
        <w:rPr>
          <w:rFonts w:ascii="Times New Roman" w:hAnsi="Times New Roman"/>
          <w:sz w:val="20"/>
          <w:szCs w:val="20"/>
        </w:rPr>
        <w:t>(BSIS), Belgium [y.arai@kent.ac.uk].</w:t>
      </w:r>
      <w:r w:rsidRPr="006B6544">
        <w:rPr>
          <w:rFonts w:ascii="Times New Roman" w:hAnsi="Times New Roman"/>
          <w:sz w:val="20"/>
          <w:szCs w:val="20"/>
        </w:rPr>
        <w:t xml:space="preserve"> Special thanks to Prof. Robert Kolb</w:t>
      </w:r>
      <w:r>
        <w:rPr>
          <w:rFonts w:ascii="Times New Roman" w:hAnsi="Times New Roman"/>
          <w:sz w:val="20"/>
          <w:szCs w:val="20"/>
        </w:rPr>
        <w:t xml:space="preserve"> (Professor </w:t>
      </w:r>
      <w:r w:rsidRPr="006B6544">
        <w:rPr>
          <w:rFonts w:ascii="Times New Roman" w:hAnsi="Times New Roman"/>
          <w:sz w:val="20"/>
          <w:szCs w:val="20"/>
        </w:rPr>
        <w:t>at University of Geneva</w:t>
      </w:r>
      <w:r>
        <w:rPr>
          <w:rFonts w:ascii="Times New Roman" w:hAnsi="Times New Roman"/>
          <w:sz w:val="20"/>
          <w:szCs w:val="20"/>
        </w:rPr>
        <w:t>)</w:t>
      </w:r>
      <w:r w:rsidRPr="006B6544">
        <w:rPr>
          <w:rFonts w:ascii="Times New Roman" w:hAnsi="Times New Roman"/>
          <w:sz w:val="20"/>
          <w:szCs w:val="20"/>
        </w:rPr>
        <w:t xml:space="preserve"> </w:t>
      </w:r>
      <w:r>
        <w:rPr>
          <w:rFonts w:ascii="Times New Roman" w:hAnsi="Times New Roman"/>
          <w:sz w:val="20"/>
          <w:szCs w:val="20"/>
        </w:rPr>
        <w:t xml:space="preserve">for his comments on the earlier version of this paper </w:t>
      </w:r>
      <w:r w:rsidRPr="006B6544">
        <w:rPr>
          <w:rFonts w:ascii="Times New Roman" w:hAnsi="Times New Roman"/>
          <w:sz w:val="20"/>
          <w:szCs w:val="20"/>
        </w:rPr>
        <w:t xml:space="preserve">and to anonymous reviewers for their </w:t>
      </w:r>
      <w:r>
        <w:rPr>
          <w:rFonts w:ascii="Times New Roman" w:hAnsi="Times New Roman"/>
          <w:sz w:val="20"/>
          <w:szCs w:val="20"/>
        </w:rPr>
        <w:t xml:space="preserve">very </w:t>
      </w:r>
      <w:r w:rsidRPr="006B6544">
        <w:rPr>
          <w:rFonts w:ascii="Times New Roman" w:hAnsi="Times New Roman"/>
          <w:sz w:val="20"/>
          <w:szCs w:val="20"/>
        </w:rPr>
        <w:t xml:space="preserve">helpful </w:t>
      </w:r>
      <w:r>
        <w:rPr>
          <w:rFonts w:ascii="Times New Roman" w:hAnsi="Times New Roman"/>
          <w:sz w:val="20"/>
          <w:szCs w:val="20"/>
        </w:rPr>
        <w:t>suggestions</w:t>
      </w:r>
      <w:r w:rsidRPr="006B6544">
        <w:rPr>
          <w:rFonts w:ascii="Times New Roman" w:hAnsi="Times New Roman"/>
          <w:sz w:val="20"/>
          <w:szCs w:val="20"/>
        </w:rPr>
        <w:t>.</w:t>
      </w:r>
      <w:r w:rsidRPr="006B6544">
        <w:rPr>
          <w:rFonts w:ascii="Times New Roman" w:hAnsi="Times New Roman"/>
          <w:sz w:val="20"/>
          <w:szCs w:val="20"/>
          <w:lang w:val="en-CA"/>
        </w:rPr>
        <w:t xml:space="preserve"> </w:t>
      </w:r>
    </w:p>
  </w:footnote>
  <w:footnote w:id="2">
    <w:p w14:paraId="5202DAFB" w14:textId="00BCBB91"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Black’s law dictionary.</w:t>
      </w:r>
    </w:p>
  </w:footnote>
  <w:footnote w:id="3">
    <w:p w14:paraId="61D84B73" w14:textId="2C4B6091"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G. </w:t>
      </w:r>
      <w:proofErr w:type="spellStart"/>
      <w:r w:rsidRPr="006B6544">
        <w:rPr>
          <w:rFonts w:ascii="Times New Roman" w:hAnsi="Times New Roman"/>
          <w:sz w:val="20"/>
          <w:szCs w:val="20"/>
        </w:rPr>
        <w:t>Werle</w:t>
      </w:r>
      <w:proofErr w:type="spellEnd"/>
      <w:r w:rsidRPr="006B6544">
        <w:rPr>
          <w:rFonts w:ascii="Times New Roman" w:hAnsi="Times New Roman"/>
          <w:sz w:val="20"/>
          <w:szCs w:val="20"/>
        </w:rPr>
        <w:t xml:space="preserve"> and B. Burghardt, ‘Do Crimes against Humanity Require the Participation of a State or a “State-like” Organization?’, (2012) 10 </w:t>
      </w:r>
      <w:r w:rsidRPr="006B6544">
        <w:rPr>
          <w:rFonts w:ascii="Times New Roman" w:hAnsi="Times New Roman"/>
          <w:i/>
          <w:iCs/>
          <w:sz w:val="20"/>
          <w:szCs w:val="20"/>
        </w:rPr>
        <w:t xml:space="preserve">Journal of International Criminal Justice </w:t>
      </w:r>
      <w:r w:rsidRPr="006B6544">
        <w:rPr>
          <w:rFonts w:ascii="Times New Roman" w:hAnsi="Times New Roman"/>
          <w:sz w:val="20"/>
          <w:szCs w:val="20"/>
        </w:rPr>
        <w:t xml:space="preserve">1151 at 1156-1157. For the case-law, see International Criminal Court (ICC), </w:t>
      </w:r>
      <w:r w:rsidRPr="006B6544">
        <w:rPr>
          <w:rFonts w:ascii="Times New Roman" w:hAnsi="Times New Roman"/>
          <w:i/>
          <w:iCs/>
          <w:sz w:val="20"/>
          <w:szCs w:val="20"/>
        </w:rPr>
        <w:t xml:space="preserve">Prosecutor v. Katanga, </w:t>
      </w:r>
      <w:r w:rsidRPr="006B6544">
        <w:rPr>
          <w:rFonts w:ascii="Times New Roman" w:hAnsi="Times New Roman"/>
          <w:sz w:val="20"/>
          <w:szCs w:val="20"/>
        </w:rPr>
        <w:t>Trial Judgment, ICC-01/04-01/07, 7 March 2014</w:t>
      </w:r>
      <w:r>
        <w:rPr>
          <w:rFonts w:ascii="Times New Roman" w:hAnsi="Times New Roman"/>
          <w:sz w:val="20"/>
          <w:szCs w:val="20"/>
        </w:rPr>
        <w:t xml:space="preserve">, </w:t>
      </w:r>
      <w:r w:rsidRPr="006B6544">
        <w:rPr>
          <w:rFonts w:ascii="Times New Roman" w:hAnsi="Times New Roman"/>
          <w:sz w:val="20"/>
          <w:szCs w:val="20"/>
        </w:rPr>
        <w:t xml:space="preserve">para. 1119; and </w:t>
      </w:r>
      <w:proofErr w:type="spellStart"/>
      <w:r w:rsidRPr="006B6544">
        <w:rPr>
          <w:rFonts w:ascii="Times New Roman" w:hAnsi="Times New Roman"/>
          <w:sz w:val="20"/>
          <w:szCs w:val="20"/>
        </w:rPr>
        <w:t>Cour</w:t>
      </w:r>
      <w:proofErr w:type="spellEnd"/>
      <w:r w:rsidRPr="006B6544">
        <w:rPr>
          <w:rFonts w:ascii="Times New Roman" w:hAnsi="Times New Roman"/>
          <w:sz w:val="20"/>
          <w:szCs w:val="20"/>
        </w:rPr>
        <w:t xml:space="preserve"> of Justice of the European Union (CJEU), General Court, </w:t>
      </w:r>
      <w:r w:rsidRPr="006B6544">
        <w:rPr>
          <w:rFonts w:ascii="Times New Roman" w:hAnsi="Times New Roman"/>
          <w:i/>
          <w:iCs/>
          <w:sz w:val="20"/>
          <w:szCs w:val="20"/>
        </w:rPr>
        <w:t xml:space="preserve">Al-Aqsa, Case T-348/07, </w:t>
      </w:r>
      <w:r w:rsidRPr="006B6544">
        <w:rPr>
          <w:rFonts w:ascii="Times New Roman" w:hAnsi="Times New Roman"/>
          <w:sz w:val="20"/>
          <w:szCs w:val="20"/>
        </w:rPr>
        <w:t>Judgment, 9 September 2010, para. 58</w:t>
      </w:r>
      <w:r w:rsidRPr="006B6544">
        <w:rPr>
          <w:rFonts w:ascii="Times New Roman" w:hAnsi="Times New Roman"/>
          <w:sz w:val="20"/>
          <w:szCs w:val="20"/>
          <w:shd w:val="clear" w:color="auto" w:fill="FFFFFF"/>
        </w:rPr>
        <w:t>.</w:t>
      </w:r>
      <w:r w:rsidRPr="006B6544">
        <w:rPr>
          <w:rFonts w:ascii="Times New Roman" w:hAnsi="Times New Roman"/>
          <w:sz w:val="20"/>
          <w:szCs w:val="20"/>
        </w:rPr>
        <w:t xml:space="preserve"> See also Article 2 of the UN Convention against Transnational Organized Crime.</w:t>
      </w:r>
    </w:p>
  </w:footnote>
  <w:footnote w:id="4">
    <w:p w14:paraId="41D36CD2" w14:textId="4BE04EAD"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G.I.A.D. Draper, ‘The Status of Combatants and the Question of Guerrilla Warfare’, (1971) 45 </w:t>
      </w:r>
      <w:r w:rsidRPr="006B6544">
        <w:rPr>
          <w:rFonts w:ascii="Times New Roman" w:hAnsi="Times New Roman"/>
          <w:i/>
          <w:iCs/>
          <w:sz w:val="20"/>
          <w:szCs w:val="20"/>
        </w:rPr>
        <w:t xml:space="preserve">British Yearbook of International Law </w:t>
      </w:r>
      <w:r w:rsidRPr="006B6544">
        <w:rPr>
          <w:rFonts w:ascii="Times New Roman" w:hAnsi="Times New Roman"/>
          <w:sz w:val="20"/>
          <w:szCs w:val="20"/>
        </w:rPr>
        <w:t xml:space="preserve">173 at 188. See also Article 5(2)(a) of the Seville Agreement on the Organization of the International Activities of the Components of the International Red Cross and Red Crescent Movement, (1998) No. 322 </w:t>
      </w:r>
      <w:r w:rsidRPr="006B6544">
        <w:rPr>
          <w:rFonts w:ascii="Times New Roman" w:hAnsi="Times New Roman"/>
          <w:i/>
          <w:iCs/>
          <w:sz w:val="20"/>
          <w:szCs w:val="20"/>
        </w:rPr>
        <w:t xml:space="preserve">International Review of the Red Cross </w:t>
      </w:r>
      <w:r w:rsidRPr="006B6544">
        <w:rPr>
          <w:rFonts w:ascii="Times New Roman" w:hAnsi="Times New Roman"/>
          <w:sz w:val="20"/>
          <w:szCs w:val="20"/>
        </w:rPr>
        <w:t>159</w:t>
      </w:r>
    </w:p>
  </w:footnote>
  <w:footnote w:id="5">
    <w:p w14:paraId="15B971EE" w14:textId="4754985F"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Draper, </w:t>
      </w:r>
      <w:r w:rsidRPr="006B6544">
        <w:rPr>
          <w:rFonts w:ascii="Times New Roman" w:hAnsi="Times New Roman"/>
          <w:i/>
          <w:iCs/>
          <w:sz w:val="20"/>
          <w:szCs w:val="20"/>
        </w:rPr>
        <w:t>ibid</w:t>
      </w:r>
      <w:r w:rsidRPr="006B6544">
        <w:rPr>
          <w:rFonts w:ascii="Times New Roman" w:hAnsi="Times New Roman"/>
          <w:sz w:val="20"/>
          <w:szCs w:val="20"/>
        </w:rPr>
        <w:t xml:space="preserve">., at 188. </w:t>
      </w:r>
    </w:p>
  </w:footnote>
  <w:footnote w:id="6">
    <w:p w14:paraId="065463BF" w14:textId="676B97FB" w:rsidR="004F2CB8" w:rsidRPr="006B6544" w:rsidRDefault="004F2CB8" w:rsidP="006B6544">
      <w:pPr>
        <w:pStyle w:val="a3"/>
        <w:jc w:val="both"/>
        <w:rPr>
          <w:rFonts w:ascii="Times New Roman" w:hAnsi="Times New Roman"/>
          <w:sz w:val="20"/>
          <w:szCs w:val="20"/>
          <w:lang w:val="en-US"/>
        </w:rPr>
      </w:pPr>
      <w:r w:rsidRPr="006B6544">
        <w:rPr>
          <w:rStyle w:val="a5"/>
          <w:rFonts w:ascii="Times New Roman" w:hAnsi="Times New Roman"/>
          <w:sz w:val="20"/>
          <w:szCs w:val="20"/>
        </w:rPr>
        <w:footnoteRef/>
      </w:r>
      <w:r w:rsidRPr="006B6544">
        <w:rPr>
          <w:rFonts w:ascii="Times New Roman" w:hAnsi="Times New Roman"/>
          <w:sz w:val="20"/>
          <w:szCs w:val="20"/>
          <w:lang w:val="en-US"/>
        </w:rPr>
        <w:t xml:space="preserve"> Y. </w:t>
      </w:r>
      <w:proofErr w:type="spellStart"/>
      <w:r w:rsidRPr="006B6544">
        <w:rPr>
          <w:rFonts w:ascii="Times New Roman" w:hAnsi="Times New Roman"/>
          <w:sz w:val="20"/>
          <w:szCs w:val="20"/>
          <w:lang w:val="en-US"/>
        </w:rPr>
        <w:t>Dinstein</w:t>
      </w:r>
      <w:proofErr w:type="spellEnd"/>
      <w:r w:rsidRPr="006B6544">
        <w:rPr>
          <w:rFonts w:ascii="Times New Roman" w:hAnsi="Times New Roman"/>
          <w:sz w:val="20"/>
          <w:szCs w:val="20"/>
          <w:lang w:val="en-US"/>
        </w:rPr>
        <w:t xml:space="preserve">, </w:t>
      </w:r>
      <w:r w:rsidRPr="006B6544">
        <w:rPr>
          <w:rFonts w:ascii="Times New Roman" w:hAnsi="Times New Roman"/>
          <w:i/>
          <w:iCs/>
          <w:sz w:val="20"/>
          <w:szCs w:val="20"/>
          <w:lang w:val="en-US"/>
        </w:rPr>
        <w:t xml:space="preserve">The Conduct of Hostilities under the Law of International Armed Conflict </w:t>
      </w:r>
      <w:r w:rsidRPr="006B6544">
        <w:rPr>
          <w:rFonts w:ascii="Times New Roman" w:hAnsi="Times New Roman"/>
          <w:sz w:val="20"/>
          <w:szCs w:val="20"/>
          <w:lang w:val="en-US"/>
        </w:rPr>
        <w:t>(Cambridge University Press, 2016), 3</w:t>
      </w:r>
      <w:r w:rsidRPr="006B6544">
        <w:rPr>
          <w:rFonts w:ascii="Times New Roman" w:hAnsi="Times New Roman"/>
          <w:sz w:val="20"/>
          <w:szCs w:val="20"/>
          <w:vertAlign w:val="superscript"/>
          <w:lang w:val="en-US"/>
        </w:rPr>
        <w:t>rd</w:t>
      </w:r>
      <w:r w:rsidRPr="006B6544">
        <w:rPr>
          <w:rFonts w:ascii="Times New Roman" w:hAnsi="Times New Roman"/>
          <w:sz w:val="20"/>
          <w:szCs w:val="20"/>
          <w:lang w:val="en-US"/>
        </w:rPr>
        <w:t xml:space="preserve"> ed., para 108.</w:t>
      </w:r>
    </w:p>
  </w:footnote>
  <w:footnote w:id="7">
    <w:p w14:paraId="78F70292" w14:textId="77777777"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r w:rsidRPr="006B6544">
        <w:rPr>
          <w:rFonts w:ascii="Times New Roman" w:hAnsi="Times New Roman"/>
          <w:i/>
          <w:iCs/>
          <w:sz w:val="20"/>
          <w:szCs w:val="20"/>
          <w:shd w:val="clear" w:color="auto" w:fill="FFFFFF"/>
        </w:rPr>
        <w:t>Final Record of the Diplomatic Conference</w:t>
      </w:r>
      <w:r w:rsidRPr="006B6544">
        <w:rPr>
          <w:rFonts w:ascii="Times New Roman" w:hAnsi="Times New Roman"/>
          <w:i/>
          <w:iCs/>
          <w:sz w:val="20"/>
          <w:szCs w:val="20"/>
        </w:rPr>
        <w:t xml:space="preserve"> </w:t>
      </w:r>
      <w:r w:rsidRPr="006B6544">
        <w:rPr>
          <w:rFonts w:ascii="Times New Roman" w:hAnsi="Times New Roman"/>
          <w:i/>
          <w:iCs/>
          <w:sz w:val="20"/>
          <w:szCs w:val="20"/>
          <w:shd w:val="clear" w:color="auto" w:fill="FFFFFF"/>
        </w:rPr>
        <w:t>of Geneva, 1949 (</w:t>
      </w:r>
      <w:r w:rsidRPr="006B6544">
        <w:rPr>
          <w:rFonts w:ascii="Times New Roman" w:hAnsi="Times New Roman"/>
          <w:sz w:val="20"/>
          <w:szCs w:val="20"/>
          <w:shd w:val="clear" w:color="auto" w:fill="FFFFFF"/>
        </w:rPr>
        <w:t xml:space="preserve">hereinafter, </w:t>
      </w:r>
      <w:r w:rsidRPr="006B6544">
        <w:rPr>
          <w:rFonts w:ascii="Times New Roman" w:hAnsi="Times New Roman"/>
          <w:i/>
          <w:iCs/>
          <w:sz w:val="20"/>
          <w:szCs w:val="20"/>
          <w:shd w:val="clear" w:color="auto" w:fill="FFFFFF"/>
        </w:rPr>
        <w:t xml:space="preserve">Final Record), </w:t>
      </w:r>
      <w:r w:rsidRPr="006B6544">
        <w:rPr>
          <w:rFonts w:ascii="Times New Roman" w:hAnsi="Times New Roman"/>
          <w:sz w:val="20"/>
          <w:szCs w:val="20"/>
        </w:rPr>
        <w:t xml:space="preserve">Vol. II-B, at 335 (Switzerland emphasized ‘a rebellion involving a certain degree of organization’ to differentiated it from ‘individual </w:t>
      </w:r>
      <w:proofErr w:type="spellStart"/>
      <w:r w:rsidRPr="006B6544">
        <w:rPr>
          <w:rFonts w:ascii="Times New Roman" w:hAnsi="Times New Roman"/>
          <w:sz w:val="20"/>
          <w:szCs w:val="20"/>
        </w:rPr>
        <w:t>banditism</w:t>
      </w:r>
      <w:proofErr w:type="spellEnd"/>
      <w:r w:rsidRPr="006B6544">
        <w:rPr>
          <w:rFonts w:ascii="Times New Roman" w:hAnsi="Times New Roman"/>
          <w:sz w:val="20"/>
          <w:szCs w:val="20"/>
        </w:rPr>
        <w:t>’ or a mere riot).</w:t>
      </w:r>
    </w:p>
  </w:footnote>
  <w:footnote w:id="8">
    <w:p w14:paraId="318EBEDB" w14:textId="13665027"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For a limited reference to this requirement, see Draper (1971) (n. 2), at 195-196, and 199-200; A. Rosas, </w:t>
      </w:r>
      <w:r w:rsidRPr="006B6544">
        <w:rPr>
          <w:rFonts w:ascii="Times New Roman" w:hAnsi="Times New Roman"/>
          <w:i/>
          <w:iCs/>
          <w:sz w:val="20"/>
          <w:szCs w:val="20"/>
        </w:rPr>
        <w:t>The Legal Status of Prisoners of War</w:t>
      </w:r>
      <w:r w:rsidRPr="006B6544">
        <w:rPr>
          <w:rFonts w:ascii="Times New Roman" w:hAnsi="Times New Roman"/>
          <w:sz w:val="20"/>
          <w:szCs w:val="20"/>
        </w:rPr>
        <w:t xml:space="preserve">, (Institute for Human Rights/Abo </w:t>
      </w:r>
      <w:proofErr w:type="spellStart"/>
      <w:r w:rsidRPr="006B6544">
        <w:rPr>
          <w:rFonts w:ascii="Times New Roman" w:hAnsi="Times New Roman"/>
          <w:sz w:val="20"/>
          <w:szCs w:val="20"/>
        </w:rPr>
        <w:t>Akademi</w:t>
      </w:r>
      <w:proofErr w:type="spellEnd"/>
      <w:r w:rsidRPr="006B6544">
        <w:rPr>
          <w:rFonts w:ascii="Times New Roman" w:hAnsi="Times New Roman"/>
          <w:sz w:val="20"/>
          <w:szCs w:val="20"/>
        </w:rPr>
        <w:t xml:space="preserve"> University, originally published in 1976 and reprinted in 2005), at 326 and 340; </w:t>
      </w:r>
      <w:proofErr w:type="spellStart"/>
      <w:r w:rsidRPr="006B6544">
        <w:rPr>
          <w:rFonts w:ascii="Times New Roman" w:hAnsi="Times New Roman"/>
          <w:sz w:val="20"/>
          <w:szCs w:val="20"/>
        </w:rPr>
        <w:t>Dinstein</w:t>
      </w:r>
      <w:proofErr w:type="spellEnd"/>
      <w:r w:rsidRPr="006B6544">
        <w:rPr>
          <w:rFonts w:ascii="Times New Roman" w:hAnsi="Times New Roman"/>
          <w:sz w:val="20"/>
          <w:szCs w:val="20"/>
        </w:rPr>
        <w:t xml:space="preserve"> (2016) (n. 5), para. 100; and E. </w:t>
      </w:r>
      <w:proofErr w:type="spellStart"/>
      <w:r w:rsidRPr="006B6544">
        <w:rPr>
          <w:rFonts w:ascii="Times New Roman" w:hAnsi="Times New Roman"/>
          <w:sz w:val="20"/>
          <w:szCs w:val="20"/>
        </w:rPr>
        <w:t>Debuf</w:t>
      </w:r>
      <w:proofErr w:type="spellEnd"/>
      <w:r w:rsidRPr="006B6544">
        <w:rPr>
          <w:rFonts w:ascii="Times New Roman" w:hAnsi="Times New Roman"/>
          <w:sz w:val="20"/>
          <w:szCs w:val="20"/>
        </w:rPr>
        <w:t xml:space="preserve">, </w:t>
      </w:r>
      <w:r w:rsidRPr="006B6544">
        <w:rPr>
          <w:rFonts w:ascii="Times New Roman" w:hAnsi="Times New Roman"/>
          <w:i/>
          <w:iCs/>
          <w:sz w:val="20"/>
          <w:szCs w:val="20"/>
        </w:rPr>
        <w:t>Captured in War:  Lawful internment in Armed Conflict</w:t>
      </w:r>
      <w:r w:rsidRPr="006B6544">
        <w:rPr>
          <w:rFonts w:ascii="Times New Roman" w:hAnsi="Times New Roman"/>
          <w:sz w:val="20"/>
          <w:szCs w:val="20"/>
        </w:rPr>
        <w:t>, (</w:t>
      </w:r>
      <w:proofErr w:type="spellStart"/>
      <w:r w:rsidRPr="006B6544">
        <w:rPr>
          <w:rFonts w:ascii="Times New Roman" w:hAnsi="Times New Roman"/>
          <w:sz w:val="20"/>
          <w:szCs w:val="20"/>
        </w:rPr>
        <w:t>Pedone</w:t>
      </w:r>
      <w:proofErr w:type="spellEnd"/>
      <w:r w:rsidRPr="006B6544">
        <w:rPr>
          <w:rFonts w:ascii="Times New Roman" w:hAnsi="Times New Roman"/>
          <w:sz w:val="20"/>
          <w:szCs w:val="20"/>
        </w:rPr>
        <w:t>/Hart, 2013), at 191.</w:t>
      </w:r>
    </w:p>
  </w:footnote>
  <w:footnote w:id="9">
    <w:p w14:paraId="435ADF60" w14:textId="26C070EA"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lang w:val="en-US"/>
        </w:rPr>
        <w:t xml:space="preserve"> See Draper (1971) (n. 3), at 196; </w:t>
      </w:r>
      <w:proofErr w:type="spellStart"/>
      <w:r w:rsidRPr="006B6544">
        <w:rPr>
          <w:rFonts w:ascii="Times New Roman" w:hAnsi="Times New Roman"/>
          <w:sz w:val="20"/>
          <w:szCs w:val="20"/>
        </w:rPr>
        <w:t>Mallison</w:t>
      </w:r>
      <w:proofErr w:type="spellEnd"/>
      <w:r w:rsidRPr="006B6544">
        <w:rPr>
          <w:rFonts w:ascii="Times New Roman" w:hAnsi="Times New Roman"/>
          <w:sz w:val="20"/>
          <w:szCs w:val="20"/>
        </w:rPr>
        <w:t xml:space="preserve"> and </w:t>
      </w:r>
      <w:proofErr w:type="spellStart"/>
      <w:r w:rsidRPr="006B6544">
        <w:rPr>
          <w:rFonts w:ascii="Times New Roman" w:hAnsi="Times New Roman"/>
          <w:sz w:val="20"/>
          <w:szCs w:val="20"/>
        </w:rPr>
        <w:t>Mallison</w:t>
      </w:r>
      <w:proofErr w:type="spellEnd"/>
      <w:r w:rsidRPr="006B6544">
        <w:rPr>
          <w:rFonts w:ascii="Times New Roman" w:hAnsi="Times New Roman"/>
          <w:sz w:val="20"/>
          <w:szCs w:val="20"/>
        </w:rPr>
        <w:t xml:space="preserve">, ‘The Juridical Status of Irregular Combatants under the International Humanitarian Law of Armed Conflict’, (1977) 9 </w:t>
      </w:r>
      <w:r w:rsidRPr="006B6544">
        <w:rPr>
          <w:rFonts w:ascii="Times New Roman" w:hAnsi="Times New Roman"/>
          <w:i/>
          <w:iCs/>
          <w:sz w:val="20"/>
          <w:szCs w:val="20"/>
        </w:rPr>
        <w:t xml:space="preserve">Case Western Reserve Journal of International Law </w:t>
      </w:r>
      <w:r w:rsidRPr="006B6544">
        <w:rPr>
          <w:rFonts w:ascii="Times New Roman" w:hAnsi="Times New Roman"/>
          <w:sz w:val="20"/>
          <w:szCs w:val="20"/>
        </w:rPr>
        <w:t>39, at 50; Rosas (n. 7), at 340.</w:t>
      </w:r>
    </w:p>
  </w:footnote>
  <w:footnote w:id="10">
    <w:p w14:paraId="62FC0ADC" w14:textId="3FB8983A"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r w:rsidRPr="006B6544">
        <w:rPr>
          <w:rFonts w:ascii="Times New Roman" w:hAnsi="Times New Roman"/>
          <w:i/>
          <w:iCs/>
          <w:sz w:val="20"/>
          <w:szCs w:val="20"/>
        </w:rPr>
        <w:t>Final Record (</w:t>
      </w:r>
      <w:r w:rsidRPr="006B6544">
        <w:rPr>
          <w:rFonts w:ascii="Times New Roman" w:hAnsi="Times New Roman"/>
          <w:sz w:val="20"/>
          <w:szCs w:val="20"/>
        </w:rPr>
        <w:t xml:space="preserve">n. 6), Vol. II-B, at 326. See also the </w:t>
      </w:r>
      <w:r w:rsidRPr="006B6544">
        <w:rPr>
          <w:rFonts w:ascii="Times New Roman" w:hAnsi="Times New Roman"/>
          <w:i/>
          <w:iCs/>
          <w:sz w:val="20"/>
          <w:szCs w:val="20"/>
        </w:rPr>
        <w:t xml:space="preserve">ICRC’s Commentary to the Geneva Convention I </w:t>
      </w:r>
      <w:r w:rsidRPr="006B6544">
        <w:rPr>
          <w:rFonts w:ascii="Times New Roman" w:hAnsi="Times New Roman"/>
          <w:sz w:val="20"/>
          <w:szCs w:val="20"/>
        </w:rPr>
        <w:t>(2016), para. 356; and ICRC’s revised Commentary to GC III (2020), para. 390.</w:t>
      </w:r>
    </w:p>
  </w:footnote>
  <w:footnote w:id="11">
    <w:p w14:paraId="4D170FE9" w14:textId="27B4AD08"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ICJ, </w:t>
      </w:r>
      <w:r w:rsidRPr="006B6544">
        <w:rPr>
          <w:rFonts w:ascii="Times New Roman" w:hAnsi="Times New Roman"/>
          <w:i/>
          <w:iCs/>
          <w:sz w:val="20"/>
          <w:szCs w:val="20"/>
        </w:rPr>
        <w:t xml:space="preserve">Military and Paramilitary Activities </w:t>
      </w:r>
      <w:proofErr w:type="gramStart"/>
      <w:r w:rsidRPr="006B6544">
        <w:rPr>
          <w:rFonts w:ascii="Times New Roman" w:hAnsi="Times New Roman"/>
          <w:i/>
          <w:iCs/>
          <w:sz w:val="20"/>
          <w:szCs w:val="20"/>
        </w:rPr>
        <w:t>In</w:t>
      </w:r>
      <w:proofErr w:type="gramEnd"/>
      <w:r w:rsidRPr="006B6544">
        <w:rPr>
          <w:rFonts w:ascii="Times New Roman" w:hAnsi="Times New Roman"/>
          <w:i/>
          <w:iCs/>
          <w:sz w:val="20"/>
          <w:szCs w:val="20"/>
        </w:rPr>
        <w:t xml:space="preserve"> and Against Nicaragua (Nicaragua v. United States of America), </w:t>
      </w:r>
      <w:r w:rsidRPr="006B6544">
        <w:rPr>
          <w:rFonts w:ascii="Times New Roman" w:hAnsi="Times New Roman"/>
          <w:sz w:val="20"/>
          <w:szCs w:val="20"/>
        </w:rPr>
        <w:t>(1986) ICJ Rep 14, para. 218; ICRC’s revised Commentary to GC III (2020), para. 539.</w:t>
      </w:r>
    </w:p>
  </w:footnote>
  <w:footnote w:id="12">
    <w:p w14:paraId="0D0EB3FD" w14:textId="7C7AABA4"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L. Moir, </w:t>
      </w:r>
      <w:r w:rsidRPr="006B6544">
        <w:rPr>
          <w:rFonts w:ascii="Times New Roman" w:hAnsi="Times New Roman"/>
          <w:i/>
          <w:iCs/>
          <w:sz w:val="20"/>
          <w:szCs w:val="20"/>
        </w:rPr>
        <w:t xml:space="preserve">The Law of Internal Armed Conflict, </w:t>
      </w:r>
      <w:r w:rsidRPr="006B6544">
        <w:rPr>
          <w:rFonts w:ascii="Times New Roman" w:hAnsi="Times New Roman"/>
          <w:sz w:val="20"/>
          <w:szCs w:val="20"/>
        </w:rPr>
        <w:t xml:space="preserve">(Cambridge University Press, 2002), at 32; J. </w:t>
      </w:r>
      <w:proofErr w:type="spellStart"/>
      <w:r w:rsidRPr="006B6544">
        <w:rPr>
          <w:rFonts w:ascii="Times New Roman" w:hAnsi="Times New Roman"/>
          <w:sz w:val="20"/>
          <w:szCs w:val="20"/>
        </w:rPr>
        <w:t>Pejić</w:t>
      </w:r>
      <w:proofErr w:type="spellEnd"/>
      <w:r w:rsidRPr="006B6544">
        <w:rPr>
          <w:rFonts w:ascii="Times New Roman" w:hAnsi="Times New Roman"/>
          <w:sz w:val="20"/>
          <w:szCs w:val="20"/>
        </w:rPr>
        <w:t xml:space="preserve">, ‘Status of Armed Conflicts’, in E. Wilmshurst and S. </w:t>
      </w:r>
      <w:proofErr w:type="spellStart"/>
      <w:r w:rsidRPr="006B6544">
        <w:rPr>
          <w:rFonts w:ascii="Times New Roman" w:hAnsi="Times New Roman"/>
          <w:sz w:val="20"/>
          <w:szCs w:val="20"/>
        </w:rPr>
        <w:t>Breau</w:t>
      </w:r>
      <w:proofErr w:type="spellEnd"/>
      <w:r w:rsidRPr="006B6544">
        <w:rPr>
          <w:rFonts w:ascii="Times New Roman" w:hAnsi="Times New Roman"/>
          <w:sz w:val="20"/>
          <w:szCs w:val="20"/>
        </w:rPr>
        <w:t xml:space="preserve"> (eds.), </w:t>
      </w:r>
      <w:r w:rsidRPr="006B6544">
        <w:rPr>
          <w:rFonts w:ascii="Times New Roman" w:hAnsi="Times New Roman"/>
          <w:i/>
          <w:iCs/>
          <w:sz w:val="20"/>
          <w:szCs w:val="20"/>
        </w:rPr>
        <w:t xml:space="preserve">Perspectives on the ICRC Study on Customary International Humanitarian Law, </w:t>
      </w:r>
      <w:r w:rsidRPr="006B6544">
        <w:rPr>
          <w:rFonts w:ascii="Times New Roman" w:hAnsi="Times New Roman"/>
          <w:sz w:val="20"/>
          <w:szCs w:val="20"/>
        </w:rPr>
        <w:t>(Cambridge University Press, 2007) 77, at 85.</w:t>
      </w:r>
    </w:p>
  </w:footnote>
  <w:footnote w:id="13">
    <w:p w14:paraId="68DCF734" w14:textId="595EDC14" w:rsidR="004F2CB8" w:rsidRPr="006B6544" w:rsidRDefault="004F2CB8" w:rsidP="006B6544">
      <w:pPr>
        <w:pStyle w:val="a3"/>
        <w:jc w:val="both"/>
        <w:rPr>
          <w:rFonts w:ascii="Times New Roman" w:hAnsi="Times New Roman"/>
          <w:sz w:val="20"/>
          <w:szCs w:val="20"/>
          <w:lang w:val="en-US"/>
        </w:rPr>
      </w:pPr>
      <w:r w:rsidRPr="006B6544">
        <w:rPr>
          <w:rStyle w:val="a5"/>
          <w:rFonts w:ascii="Times New Roman" w:hAnsi="Times New Roman"/>
          <w:sz w:val="20"/>
          <w:szCs w:val="20"/>
        </w:rPr>
        <w:footnoteRef/>
      </w:r>
      <w:r w:rsidRPr="006B6544">
        <w:rPr>
          <w:rFonts w:ascii="Times New Roman" w:hAnsi="Times New Roman"/>
          <w:sz w:val="20"/>
          <w:szCs w:val="20"/>
          <w:lang w:val="en-US"/>
        </w:rPr>
        <w:t xml:space="preserve"> ICTY, Appeals Chamber, </w:t>
      </w:r>
      <w:r w:rsidRPr="00066403">
        <w:rPr>
          <w:rFonts w:ascii="Times New Roman" w:hAnsi="Times New Roman"/>
          <w:i/>
          <w:iCs/>
          <w:sz w:val="20"/>
          <w:szCs w:val="20"/>
          <w:lang w:val="en-US"/>
        </w:rPr>
        <w:t xml:space="preserve">Prosecutor v. Tadic, </w:t>
      </w:r>
      <w:r w:rsidRPr="006B6544">
        <w:rPr>
          <w:rFonts w:ascii="Times New Roman" w:hAnsi="Times New Roman"/>
          <w:sz w:val="20"/>
          <w:szCs w:val="20"/>
          <w:lang w:val="en-US"/>
        </w:rPr>
        <w:t xml:space="preserve">Decision on the </w:t>
      </w:r>
      <w:proofErr w:type="spellStart"/>
      <w:r w:rsidRPr="006B6544">
        <w:rPr>
          <w:rFonts w:ascii="Times New Roman" w:hAnsi="Times New Roman"/>
          <w:sz w:val="20"/>
          <w:szCs w:val="20"/>
          <w:lang w:val="en-US"/>
        </w:rPr>
        <w:t>Defence</w:t>
      </w:r>
      <w:proofErr w:type="spellEnd"/>
      <w:r w:rsidRPr="006B6544">
        <w:rPr>
          <w:rFonts w:ascii="Times New Roman" w:hAnsi="Times New Roman"/>
          <w:sz w:val="20"/>
          <w:szCs w:val="20"/>
          <w:lang w:val="en-US"/>
        </w:rPr>
        <w:t xml:space="preserve"> Motion for Interlocutory Appeal on Jurisdiction, 2 October 1995 </w:t>
      </w:r>
      <w:r w:rsidRPr="006B6544">
        <w:rPr>
          <w:rFonts w:ascii="Times New Roman" w:hAnsi="Times New Roman"/>
          <w:sz w:val="20"/>
          <w:szCs w:val="20"/>
        </w:rPr>
        <w:t>(hereinafter,</w:t>
      </w:r>
      <w:r w:rsidRPr="006B6544">
        <w:rPr>
          <w:rFonts w:ascii="Times New Roman" w:hAnsi="Times New Roman"/>
          <w:i/>
          <w:iCs/>
          <w:sz w:val="20"/>
          <w:szCs w:val="20"/>
        </w:rPr>
        <w:t xml:space="preserve"> </w:t>
      </w:r>
      <w:proofErr w:type="spellStart"/>
      <w:r w:rsidRPr="006B6544">
        <w:rPr>
          <w:rFonts w:ascii="Times New Roman" w:hAnsi="Times New Roman"/>
          <w:i/>
          <w:iCs/>
          <w:sz w:val="20"/>
          <w:szCs w:val="20"/>
        </w:rPr>
        <w:t>Tadić</w:t>
      </w:r>
      <w:proofErr w:type="spellEnd"/>
      <w:r w:rsidRPr="006B6544">
        <w:rPr>
          <w:rFonts w:ascii="Times New Roman" w:hAnsi="Times New Roman"/>
          <w:i/>
          <w:iCs/>
          <w:sz w:val="20"/>
          <w:szCs w:val="20"/>
        </w:rPr>
        <w:t xml:space="preserve"> </w:t>
      </w:r>
      <w:r w:rsidRPr="006B6544">
        <w:rPr>
          <w:rFonts w:ascii="Times New Roman" w:hAnsi="Times New Roman"/>
          <w:sz w:val="20"/>
          <w:szCs w:val="20"/>
        </w:rPr>
        <w:t>Appeals Chamber’s Decision on the Defence Motion for Interlocutory Appeal on Jurisdiction)</w:t>
      </w:r>
      <w:r w:rsidRPr="006B6544">
        <w:rPr>
          <w:rFonts w:ascii="Times New Roman" w:hAnsi="Times New Roman"/>
          <w:sz w:val="20"/>
          <w:szCs w:val="20"/>
          <w:lang w:val="en-US"/>
        </w:rPr>
        <w:t xml:space="preserve">, para. 70; and Trial Judgment, 7 May 1997, </w:t>
      </w:r>
      <w:r w:rsidRPr="00066403">
        <w:rPr>
          <w:rFonts w:ascii="Times New Roman" w:hAnsi="Times New Roman"/>
          <w:sz w:val="20"/>
          <w:szCs w:val="20"/>
        </w:rPr>
        <w:t xml:space="preserve">IT-94-1-T, </w:t>
      </w:r>
      <w:r w:rsidRPr="006B6544">
        <w:rPr>
          <w:rFonts w:ascii="Times New Roman" w:hAnsi="Times New Roman"/>
          <w:sz w:val="20"/>
          <w:szCs w:val="20"/>
          <w:lang w:val="en-US"/>
        </w:rPr>
        <w:t xml:space="preserve">para. 562; Special Court for Sierra Leone (SCSL), Trial Chamber, </w:t>
      </w:r>
      <w:r w:rsidRPr="00066403">
        <w:rPr>
          <w:rFonts w:ascii="Times New Roman" w:hAnsi="Times New Roman"/>
          <w:i/>
          <w:iCs/>
          <w:sz w:val="20"/>
          <w:szCs w:val="20"/>
          <w:lang w:val="en-US"/>
        </w:rPr>
        <w:t xml:space="preserve">Prosecutor v. Sesay, </w:t>
      </w:r>
      <w:proofErr w:type="spellStart"/>
      <w:r w:rsidRPr="00066403">
        <w:rPr>
          <w:rFonts w:ascii="Times New Roman" w:hAnsi="Times New Roman"/>
          <w:i/>
          <w:iCs/>
          <w:sz w:val="20"/>
          <w:szCs w:val="20"/>
          <w:lang w:val="en-US"/>
        </w:rPr>
        <w:t>Kallon</w:t>
      </w:r>
      <w:proofErr w:type="spellEnd"/>
      <w:r w:rsidRPr="00066403">
        <w:rPr>
          <w:rFonts w:ascii="Times New Roman" w:hAnsi="Times New Roman"/>
          <w:i/>
          <w:iCs/>
          <w:sz w:val="20"/>
          <w:szCs w:val="20"/>
          <w:lang w:val="en-US"/>
        </w:rPr>
        <w:t xml:space="preserve"> and </w:t>
      </w:r>
      <w:proofErr w:type="spellStart"/>
      <w:r w:rsidRPr="00066403">
        <w:rPr>
          <w:rFonts w:ascii="Times New Roman" w:hAnsi="Times New Roman"/>
          <w:i/>
          <w:iCs/>
          <w:sz w:val="20"/>
          <w:szCs w:val="20"/>
          <w:lang w:val="en-US"/>
        </w:rPr>
        <w:t>Gbao</w:t>
      </w:r>
      <w:proofErr w:type="spellEnd"/>
      <w:r w:rsidRPr="00066403">
        <w:rPr>
          <w:rFonts w:ascii="Times New Roman" w:hAnsi="Times New Roman"/>
          <w:i/>
          <w:iCs/>
          <w:sz w:val="20"/>
          <w:szCs w:val="20"/>
          <w:lang w:val="en-US"/>
        </w:rPr>
        <w:t xml:space="preserve">, </w:t>
      </w:r>
      <w:r w:rsidRPr="006B6544">
        <w:rPr>
          <w:rFonts w:ascii="Times New Roman" w:hAnsi="Times New Roman"/>
          <w:sz w:val="20"/>
          <w:szCs w:val="20"/>
          <w:lang w:val="en-US"/>
        </w:rPr>
        <w:t xml:space="preserve">Judgment, 2 March 2009, </w:t>
      </w:r>
      <w:r w:rsidRPr="00066403">
        <w:rPr>
          <w:rFonts w:ascii="Times New Roman" w:hAnsi="Times New Roman"/>
          <w:sz w:val="20"/>
          <w:szCs w:val="20"/>
        </w:rPr>
        <w:t xml:space="preserve">SCSL-04-15-T, </w:t>
      </w:r>
      <w:r w:rsidRPr="006B6544">
        <w:rPr>
          <w:rFonts w:ascii="Times New Roman" w:hAnsi="Times New Roman"/>
          <w:sz w:val="20"/>
          <w:szCs w:val="20"/>
          <w:lang w:val="en-US"/>
        </w:rPr>
        <w:t xml:space="preserve">para. 95; ICC, </w:t>
      </w:r>
      <w:r w:rsidRPr="00066403">
        <w:rPr>
          <w:rFonts w:ascii="Times New Roman" w:hAnsi="Times New Roman"/>
          <w:i/>
          <w:iCs/>
          <w:sz w:val="20"/>
          <w:szCs w:val="20"/>
          <w:lang w:val="en-US"/>
        </w:rPr>
        <w:t>Prosecutor v. Bemba</w:t>
      </w:r>
      <w:r w:rsidRPr="006B6544">
        <w:rPr>
          <w:rFonts w:ascii="Times New Roman" w:hAnsi="Times New Roman"/>
          <w:sz w:val="20"/>
          <w:szCs w:val="20"/>
          <w:lang w:val="en-US"/>
        </w:rPr>
        <w:t>, Decision on the Confirmation of Charges,</w:t>
      </w:r>
      <w:r w:rsidRPr="00066403">
        <w:rPr>
          <w:rFonts w:ascii="Times New Roman" w:hAnsi="Times New Roman"/>
          <w:sz w:val="20"/>
          <w:szCs w:val="20"/>
        </w:rPr>
        <w:t xml:space="preserve"> ICC-01/05-01/08, 15 June</w:t>
      </w:r>
      <w:r w:rsidRPr="006B6544">
        <w:rPr>
          <w:rFonts w:ascii="Times New Roman" w:hAnsi="Times New Roman"/>
          <w:sz w:val="20"/>
          <w:szCs w:val="20"/>
          <w:lang w:val="en-US"/>
        </w:rPr>
        <w:t xml:space="preserve"> 2009, para. 231, and Trial Chamber, Judgment, 21 March 2016, para. 128; ICRC, ‘Humanitarian aid to the victims of internal conflicts. Meeting of a Commission of Experts in Geneva, 25-30 October 1962, Report’, in (1963) 3 (No. 23) IRRC 79, at 82-83; </w:t>
      </w:r>
      <w:r w:rsidRPr="00066403">
        <w:rPr>
          <w:rFonts w:ascii="Times New Roman" w:hAnsi="Times New Roman"/>
          <w:i/>
          <w:iCs/>
          <w:sz w:val="20"/>
          <w:szCs w:val="20"/>
          <w:lang w:val="en-US"/>
        </w:rPr>
        <w:t xml:space="preserve">ICRC’s revised Commentary to the Third Geneva Convention </w:t>
      </w:r>
      <w:r w:rsidRPr="006B6544">
        <w:rPr>
          <w:rFonts w:ascii="Times New Roman" w:hAnsi="Times New Roman"/>
          <w:sz w:val="20"/>
          <w:szCs w:val="20"/>
          <w:lang w:val="en-US"/>
        </w:rPr>
        <w:t xml:space="preserve">(2020, hereinafter, ICRC’s revised Commentary to GC III), paras 457, 469, 485, 508, 512. For the doctrines, see D. </w:t>
      </w:r>
      <w:r w:rsidRPr="006B6544">
        <w:rPr>
          <w:rFonts w:ascii="Times New Roman" w:hAnsi="Times New Roman"/>
          <w:sz w:val="20"/>
          <w:szCs w:val="20"/>
          <w:shd w:val="clear" w:color="auto" w:fill="FFFFFF"/>
        </w:rPr>
        <w:t xml:space="preserve">Schindler, ‘The Different Types of Armed Conflicts According to the Geneva Conventions and Protocols’, (1979) 163 </w:t>
      </w:r>
      <w:r w:rsidRPr="006B6544">
        <w:rPr>
          <w:rFonts w:ascii="Times New Roman" w:hAnsi="Times New Roman"/>
          <w:i/>
          <w:iCs/>
          <w:sz w:val="20"/>
          <w:szCs w:val="20"/>
          <w:shd w:val="clear" w:color="auto" w:fill="FFFFFF"/>
        </w:rPr>
        <w:t>Collected Courses of the Hague Academy of International Law</w:t>
      </w:r>
      <w:r w:rsidRPr="006B6544">
        <w:rPr>
          <w:rFonts w:ascii="Times New Roman" w:hAnsi="Times New Roman"/>
          <w:sz w:val="20"/>
          <w:szCs w:val="20"/>
          <w:shd w:val="clear" w:color="auto" w:fill="FFFFFF"/>
        </w:rPr>
        <w:t xml:space="preserve"> 117 </w:t>
      </w:r>
      <w:r w:rsidRPr="006B6544">
        <w:rPr>
          <w:rFonts w:ascii="Times New Roman" w:hAnsi="Times New Roman"/>
          <w:sz w:val="20"/>
          <w:szCs w:val="20"/>
          <w:lang w:val="en-US"/>
        </w:rPr>
        <w:t xml:space="preserve">at 146-147; </w:t>
      </w:r>
      <w:r w:rsidRPr="006B6544">
        <w:rPr>
          <w:rFonts w:ascii="Times New Roman" w:hAnsi="Times New Roman"/>
          <w:sz w:val="20"/>
          <w:szCs w:val="20"/>
        </w:rPr>
        <w:t xml:space="preserve">E. La Haye, </w:t>
      </w:r>
      <w:r w:rsidRPr="006B6544">
        <w:rPr>
          <w:rFonts w:ascii="Times New Roman" w:hAnsi="Times New Roman"/>
          <w:i/>
          <w:iCs/>
          <w:sz w:val="20"/>
          <w:szCs w:val="20"/>
        </w:rPr>
        <w:t xml:space="preserve">War Crimes in Internal Armed Conflicts </w:t>
      </w:r>
      <w:r w:rsidRPr="006B6544">
        <w:rPr>
          <w:rFonts w:ascii="Times New Roman" w:hAnsi="Times New Roman"/>
          <w:sz w:val="20"/>
          <w:szCs w:val="20"/>
        </w:rPr>
        <w:t xml:space="preserve">(Cambridge University Press, 2008), </w:t>
      </w:r>
      <w:r w:rsidRPr="006B6544">
        <w:rPr>
          <w:rFonts w:ascii="Times New Roman" w:hAnsi="Times New Roman"/>
          <w:sz w:val="20"/>
          <w:szCs w:val="20"/>
          <w:lang w:val="en-US"/>
        </w:rPr>
        <w:t xml:space="preserve">at 13; S. Sivakumaran, </w:t>
      </w:r>
      <w:r w:rsidRPr="00066403">
        <w:rPr>
          <w:rFonts w:ascii="Times New Roman" w:hAnsi="Times New Roman"/>
          <w:i/>
          <w:iCs/>
          <w:sz w:val="20"/>
          <w:szCs w:val="20"/>
          <w:lang w:val="en-US"/>
        </w:rPr>
        <w:t xml:space="preserve">The Law of Non-International Armed Conflict </w:t>
      </w:r>
      <w:r w:rsidRPr="006B6544">
        <w:rPr>
          <w:rFonts w:ascii="Times New Roman" w:hAnsi="Times New Roman"/>
          <w:sz w:val="20"/>
          <w:szCs w:val="20"/>
          <w:lang w:val="en-US"/>
        </w:rPr>
        <w:t xml:space="preserve">(Oxford University Press, 2012) at 166; Y. </w:t>
      </w:r>
      <w:proofErr w:type="spellStart"/>
      <w:r w:rsidRPr="006B6544">
        <w:rPr>
          <w:rFonts w:ascii="Times New Roman" w:hAnsi="Times New Roman"/>
          <w:sz w:val="20"/>
          <w:szCs w:val="20"/>
          <w:lang w:val="en-US"/>
        </w:rPr>
        <w:t>Dinstein</w:t>
      </w:r>
      <w:proofErr w:type="spellEnd"/>
      <w:r w:rsidRPr="006B6544">
        <w:rPr>
          <w:rFonts w:ascii="Times New Roman" w:hAnsi="Times New Roman"/>
          <w:sz w:val="20"/>
          <w:szCs w:val="20"/>
          <w:lang w:val="en-US"/>
        </w:rPr>
        <w:t xml:space="preserve">, </w:t>
      </w:r>
      <w:r w:rsidRPr="006B6544">
        <w:rPr>
          <w:rFonts w:ascii="Times New Roman" w:hAnsi="Times New Roman"/>
          <w:i/>
          <w:iCs/>
          <w:sz w:val="20"/>
          <w:szCs w:val="20"/>
          <w:lang w:val="en-US"/>
        </w:rPr>
        <w:t xml:space="preserve">Non-International Armed Conflicts in International Law, </w:t>
      </w:r>
      <w:r w:rsidRPr="006B6544">
        <w:rPr>
          <w:rFonts w:ascii="Times New Roman" w:hAnsi="Times New Roman"/>
          <w:sz w:val="20"/>
          <w:szCs w:val="20"/>
          <w:lang w:val="en-US"/>
        </w:rPr>
        <w:t>(Cambridge University Press, 2014), at 30-36, paras 90-109.</w:t>
      </w:r>
    </w:p>
  </w:footnote>
  <w:footnote w:id="14">
    <w:p w14:paraId="081BA2BE" w14:textId="23FA96F2"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J.K. </w:t>
      </w:r>
      <w:proofErr w:type="spellStart"/>
      <w:r w:rsidRPr="006B6544">
        <w:rPr>
          <w:rFonts w:ascii="Times New Roman" w:hAnsi="Times New Roman"/>
          <w:sz w:val="20"/>
          <w:szCs w:val="20"/>
        </w:rPr>
        <w:t>Kleffner</w:t>
      </w:r>
      <w:proofErr w:type="spellEnd"/>
      <w:r w:rsidRPr="006B6544">
        <w:rPr>
          <w:rFonts w:ascii="Times New Roman" w:hAnsi="Times New Roman"/>
          <w:sz w:val="20"/>
          <w:szCs w:val="20"/>
        </w:rPr>
        <w:t xml:space="preserve">, ‘From “Belligerents” to “Fighters” and Civilians Directly Participating in Hostilities – on the Principle of Distinction in Non-International Armed Conflicts One Hundred Years after the Second Hague Peace Conference’, (2007) 54 </w:t>
      </w:r>
      <w:r w:rsidRPr="006B6544">
        <w:rPr>
          <w:rFonts w:ascii="Times New Roman" w:hAnsi="Times New Roman"/>
          <w:i/>
          <w:iCs/>
          <w:sz w:val="20"/>
          <w:szCs w:val="20"/>
        </w:rPr>
        <w:t xml:space="preserve">Netherlands International Law Review </w:t>
      </w:r>
      <w:r w:rsidRPr="006B6544">
        <w:rPr>
          <w:rFonts w:ascii="Times New Roman" w:hAnsi="Times New Roman"/>
          <w:sz w:val="20"/>
          <w:szCs w:val="20"/>
        </w:rPr>
        <w:t xml:space="preserve">315 at 324; </w:t>
      </w:r>
      <w:proofErr w:type="spellStart"/>
      <w:r w:rsidRPr="006B6544">
        <w:rPr>
          <w:rFonts w:ascii="Times New Roman" w:hAnsi="Times New Roman"/>
          <w:sz w:val="20"/>
          <w:szCs w:val="20"/>
        </w:rPr>
        <w:t>Pejić</w:t>
      </w:r>
      <w:proofErr w:type="spellEnd"/>
      <w:r w:rsidRPr="006B6544">
        <w:rPr>
          <w:rFonts w:ascii="Times New Roman" w:hAnsi="Times New Roman"/>
          <w:sz w:val="20"/>
          <w:szCs w:val="20"/>
        </w:rPr>
        <w:t xml:space="preserve"> (2007) (n. 11), at 85; J. </w:t>
      </w:r>
      <w:proofErr w:type="spellStart"/>
      <w:r w:rsidRPr="006B6544">
        <w:rPr>
          <w:rFonts w:ascii="Times New Roman" w:hAnsi="Times New Roman"/>
          <w:sz w:val="20"/>
          <w:szCs w:val="20"/>
        </w:rPr>
        <w:t>Pejić</w:t>
      </w:r>
      <w:proofErr w:type="spellEnd"/>
      <w:r w:rsidRPr="006B6544">
        <w:rPr>
          <w:rFonts w:ascii="Times New Roman" w:hAnsi="Times New Roman"/>
          <w:sz w:val="20"/>
          <w:szCs w:val="20"/>
        </w:rPr>
        <w:t xml:space="preserve">, ‘The protective scope of Common Article 3: more than meets the eye’, (2011) 93 </w:t>
      </w:r>
      <w:r w:rsidRPr="006B6544">
        <w:rPr>
          <w:rFonts w:ascii="Times New Roman" w:hAnsi="Times New Roman"/>
          <w:i/>
          <w:iCs/>
          <w:sz w:val="20"/>
          <w:szCs w:val="20"/>
        </w:rPr>
        <w:t xml:space="preserve">International Review of the Red Cross </w:t>
      </w:r>
      <w:r w:rsidRPr="006B6544">
        <w:rPr>
          <w:rFonts w:ascii="Times New Roman" w:hAnsi="Times New Roman"/>
          <w:sz w:val="20"/>
          <w:szCs w:val="20"/>
        </w:rPr>
        <w:t xml:space="preserve">1, at 3; N. </w:t>
      </w:r>
      <w:proofErr w:type="spellStart"/>
      <w:r w:rsidRPr="006B6544">
        <w:rPr>
          <w:rFonts w:ascii="Times New Roman" w:hAnsi="Times New Roman"/>
          <w:sz w:val="20"/>
          <w:szCs w:val="20"/>
        </w:rPr>
        <w:t>Lubell</w:t>
      </w:r>
      <w:proofErr w:type="spellEnd"/>
      <w:r w:rsidRPr="006B6544">
        <w:rPr>
          <w:rFonts w:ascii="Times New Roman" w:hAnsi="Times New Roman"/>
          <w:sz w:val="20"/>
          <w:szCs w:val="20"/>
        </w:rPr>
        <w:t xml:space="preserve">, </w:t>
      </w:r>
      <w:r w:rsidRPr="00066403">
        <w:rPr>
          <w:rFonts w:ascii="Times New Roman" w:hAnsi="Times New Roman"/>
          <w:i/>
          <w:iCs/>
          <w:sz w:val="20"/>
          <w:szCs w:val="20"/>
        </w:rPr>
        <w:t xml:space="preserve">Extraterritorial Use of Force against Non-State Actors, </w:t>
      </w:r>
      <w:r w:rsidRPr="006B6544">
        <w:rPr>
          <w:rFonts w:ascii="Times New Roman" w:hAnsi="Times New Roman"/>
          <w:sz w:val="20"/>
          <w:szCs w:val="20"/>
        </w:rPr>
        <w:t xml:space="preserve">(Oxford:  Oxford University Press, 2010), at 105-106; D. Akande, ‘Classification of Armed Conflicts:  Relevant Legal Concepts’, E. Wilmshurst (ed.), </w:t>
      </w:r>
      <w:r w:rsidRPr="006B6544">
        <w:rPr>
          <w:rFonts w:ascii="Times New Roman" w:hAnsi="Times New Roman"/>
          <w:i/>
          <w:iCs/>
          <w:sz w:val="20"/>
          <w:szCs w:val="20"/>
        </w:rPr>
        <w:t xml:space="preserve">International Law and the Classification of Conflicts, </w:t>
      </w:r>
      <w:r w:rsidRPr="006B6544">
        <w:rPr>
          <w:rFonts w:ascii="Times New Roman" w:hAnsi="Times New Roman"/>
          <w:sz w:val="20"/>
          <w:szCs w:val="20"/>
        </w:rPr>
        <w:t xml:space="preserve">(Oxford University Press, 2012), 32, at 51. See also R. Bartels, ‘Terrorist Groups as Parties to an Armed Conflict’, in: </w:t>
      </w:r>
      <w:r w:rsidRPr="006B6544">
        <w:rPr>
          <w:rFonts w:ascii="Times New Roman" w:hAnsi="Times New Roman"/>
          <w:i/>
          <w:iCs/>
          <w:sz w:val="20"/>
          <w:szCs w:val="20"/>
        </w:rPr>
        <w:t>Proceedings of the Bruges Colloquium, Terrorism, Counter-Terrorism and International Humanitarian Law, 17</w:t>
      </w:r>
      <w:r w:rsidRPr="006B6544">
        <w:rPr>
          <w:rFonts w:ascii="Times New Roman" w:hAnsi="Times New Roman"/>
          <w:i/>
          <w:iCs/>
          <w:sz w:val="20"/>
          <w:szCs w:val="20"/>
          <w:vertAlign w:val="superscript"/>
        </w:rPr>
        <w:t>th</w:t>
      </w:r>
      <w:r w:rsidRPr="006B6544">
        <w:rPr>
          <w:rFonts w:ascii="Times New Roman" w:hAnsi="Times New Roman"/>
          <w:i/>
          <w:iCs/>
          <w:sz w:val="20"/>
          <w:szCs w:val="20"/>
        </w:rPr>
        <w:t xml:space="preserve"> Bruges Colloquium 20-21 October 2016, </w:t>
      </w:r>
      <w:r w:rsidRPr="006B6544">
        <w:rPr>
          <w:rFonts w:ascii="Times New Roman" w:hAnsi="Times New Roman"/>
          <w:sz w:val="20"/>
          <w:szCs w:val="20"/>
        </w:rPr>
        <w:t>(Bruges:  College of Europe/ICRC, 2016), at 63.</w:t>
      </w:r>
    </w:p>
  </w:footnote>
  <w:footnote w:id="15">
    <w:p w14:paraId="0FA0FF75" w14:textId="6D913207"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Moir (2002) (n. 11), at 36; </w:t>
      </w:r>
      <w:proofErr w:type="spellStart"/>
      <w:r w:rsidRPr="006B6544">
        <w:rPr>
          <w:rFonts w:ascii="Times New Roman" w:hAnsi="Times New Roman"/>
          <w:sz w:val="20"/>
          <w:szCs w:val="20"/>
        </w:rPr>
        <w:t>Kleffner</w:t>
      </w:r>
      <w:proofErr w:type="spellEnd"/>
      <w:r w:rsidRPr="006B6544">
        <w:rPr>
          <w:rFonts w:ascii="Times New Roman" w:hAnsi="Times New Roman"/>
          <w:sz w:val="20"/>
          <w:szCs w:val="20"/>
        </w:rPr>
        <w:t xml:space="preserve"> (2007) ibid., at 324; K. Higuchi, ‘Kokusai-Jindo-ho no </w:t>
      </w:r>
      <w:proofErr w:type="spellStart"/>
      <w:r w:rsidRPr="006B6544">
        <w:rPr>
          <w:rFonts w:ascii="Times New Roman" w:hAnsi="Times New Roman"/>
          <w:sz w:val="20"/>
          <w:szCs w:val="20"/>
        </w:rPr>
        <w:t>Tekiyo-niokeru</w:t>
      </w:r>
      <w:proofErr w:type="spellEnd"/>
      <w:r w:rsidRPr="006B6544">
        <w:rPr>
          <w:rFonts w:ascii="Times New Roman" w:hAnsi="Times New Roman"/>
          <w:sz w:val="20"/>
          <w:szCs w:val="20"/>
        </w:rPr>
        <w:t xml:space="preserve"> “</w:t>
      </w:r>
      <w:proofErr w:type="spellStart"/>
      <w:r w:rsidRPr="006B6544">
        <w:rPr>
          <w:rFonts w:ascii="Times New Roman" w:hAnsi="Times New Roman"/>
          <w:sz w:val="20"/>
          <w:szCs w:val="20"/>
        </w:rPr>
        <w:t>Buryoku-funso</w:t>
      </w:r>
      <w:proofErr w:type="spellEnd"/>
      <w:r w:rsidRPr="006B6544">
        <w:rPr>
          <w:rFonts w:ascii="Times New Roman" w:hAnsi="Times New Roman"/>
          <w:sz w:val="20"/>
          <w:szCs w:val="20"/>
        </w:rPr>
        <w:t xml:space="preserve">” no </w:t>
      </w:r>
      <w:proofErr w:type="spellStart"/>
      <w:r w:rsidRPr="006B6544">
        <w:rPr>
          <w:rFonts w:ascii="Times New Roman" w:hAnsi="Times New Roman"/>
          <w:sz w:val="20"/>
          <w:szCs w:val="20"/>
        </w:rPr>
        <w:t>Sonzai</w:t>
      </w:r>
      <w:proofErr w:type="spellEnd"/>
      <w:r w:rsidRPr="006B6544">
        <w:rPr>
          <w:rFonts w:ascii="Times New Roman" w:hAnsi="Times New Roman"/>
          <w:sz w:val="20"/>
          <w:szCs w:val="20"/>
        </w:rPr>
        <w:t xml:space="preserve">’, in S. </w:t>
      </w:r>
      <w:proofErr w:type="spellStart"/>
      <w:r w:rsidRPr="006B6544">
        <w:rPr>
          <w:rFonts w:ascii="Times New Roman" w:hAnsi="Times New Roman"/>
          <w:sz w:val="20"/>
          <w:szCs w:val="20"/>
        </w:rPr>
        <w:t>Murase</w:t>
      </w:r>
      <w:proofErr w:type="spellEnd"/>
      <w:r w:rsidRPr="006B6544">
        <w:rPr>
          <w:rFonts w:ascii="Times New Roman" w:hAnsi="Times New Roman"/>
          <w:sz w:val="20"/>
          <w:szCs w:val="20"/>
        </w:rPr>
        <w:t xml:space="preserve"> and Z. </w:t>
      </w:r>
      <w:proofErr w:type="spellStart"/>
      <w:r w:rsidRPr="006B6544">
        <w:rPr>
          <w:rFonts w:ascii="Times New Roman" w:hAnsi="Times New Roman"/>
          <w:sz w:val="20"/>
          <w:szCs w:val="20"/>
        </w:rPr>
        <w:t>Mayama</w:t>
      </w:r>
      <w:proofErr w:type="spellEnd"/>
      <w:r w:rsidRPr="006B6544">
        <w:rPr>
          <w:rFonts w:ascii="Times New Roman" w:hAnsi="Times New Roman"/>
          <w:sz w:val="20"/>
          <w:szCs w:val="20"/>
        </w:rPr>
        <w:t xml:space="preserve"> (eds), </w:t>
      </w:r>
      <w:proofErr w:type="spellStart"/>
      <w:r w:rsidRPr="006B6544">
        <w:rPr>
          <w:rFonts w:ascii="Times New Roman" w:hAnsi="Times New Roman"/>
          <w:i/>
          <w:iCs/>
          <w:sz w:val="20"/>
          <w:szCs w:val="20"/>
        </w:rPr>
        <w:t>Buryoku-funso</w:t>
      </w:r>
      <w:proofErr w:type="spellEnd"/>
      <w:r w:rsidRPr="006B6544">
        <w:rPr>
          <w:rFonts w:ascii="Times New Roman" w:hAnsi="Times New Roman"/>
          <w:i/>
          <w:iCs/>
          <w:sz w:val="20"/>
          <w:szCs w:val="20"/>
        </w:rPr>
        <w:t xml:space="preserve"> no Kokusai-ho</w:t>
      </w:r>
      <w:r w:rsidRPr="006B6544">
        <w:rPr>
          <w:rFonts w:ascii="Times New Roman" w:hAnsi="Times New Roman"/>
          <w:sz w:val="20"/>
          <w:szCs w:val="20"/>
        </w:rPr>
        <w:t>, (</w:t>
      </w:r>
      <w:proofErr w:type="spellStart"/>
      <w:r w:rsidRPr="006B6544">
        <w:rPr>
          <w:rFonts w:ascii="Times New Roman" w:hAnsi="Times New Roman"/>
          <w:sz w:val="20"/>
          <w:szCs w:val="20"/>
        </w:rPr>
        <w:t>Toshin</w:t>
      </w:r>
      <w:proofErr w:type="spellEnd"/>
      <w:r w:rsidRPr="006B6544">
        <w:rPr>
          <w:rFonts w:ascii="Times New Roman" w:hAnsi="Times New Roman"/>
          <w:sz w:val="20"/>
          <w:szCs w:val="20"/>
        </w:rPr>
        <w:t>-do, 2004), 121, at 133-135.</w:t>
      </w:r>
    </w:p>
  </w:footnote>
  <w:footnote w:id="16">
    <w:p w14:paraId="4580EC76" w14:textId="0B88D40D"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For a proposal for </w:t>
      </w:r>
      <w:r w:rsidRPr="006B6544">
        <w:rPr>
          <w:rFonts w:ascii="Times New Roman" w:hAnsi="Times New Roman"/>
          <w:i/>
          <w:iCs/>
          <w:sz w:val="20"/>
          <w:szCs w:val="20"/>
        </w:rPr>
        <w:t>subjective</w:t>
      </w:r>
      <w:r w:rsidRPr="006B6544">
        <w:rPr>
          <w:rFonts w:ascii="Times New Roman" w:hAnsi="Times New Roman"/>
          <w:sz w:val="20"/>
          <w:szCs w:val="20"/>
        </w:rPr>
        <w:t xml:space="preserve"> analyses that focus on the purpose pursued by an armed group, see International Law Association, </w:t>
      </w:r>
      <w:r w:rsidRPr="006B6544">
        <w:rPr>
          <w:rFonts w:ascii="Times New Roman" w:hAnsi="Times New Roman"/>
          <w:i/>
          <w:iCs/>
          <w:sz w:val="20"/>
          <w:szCs w:val="20"/>
        </w:rPr>
        <w:t xml:space="preserve">Final Report on the Meaning of Armed Conflict in International Law </w:t>
      </w:r>
      <w:r w:rsidRPr="006B6544">
        <w:rPr>
          <w:rFonts w:ascii="Times New Roman" w:hAnsi="Times New Roman"/>
          <w:sz w:val="20"/>
          <w:szCs w:val="20"/>
        </w:rPr>
        <w:t xml:space="preserve">(The Hague, 2010), at 28. For discussions on this matter, see:  R. </w:t>
      </w:r>
      <w:proofErr w:type="spellStart"/>
      <w:r w:rsidRPr="006B6544">
        <w:rPr>
          <w:rFonts w:ascii="Times New Roman" w:hAnsi="Times New Roman"/>
          <w:sz w:val="20"/>
          <w:szCs w:val="20"/>
        </w:rPr>
        <w:t>Geiß</w:t>
      </w:r>
      <w:proofErr w:type="spellEnd"/>
      <w:r w:rsidRPr="006B6544">
        <w:rPr>
          <w:rFonts w:ascii="Times New Roman" w:hAnsi="Times New Roman"/>
          <w:sz w:val="20"/>
          <w:szCs w:val="20"/>
        </w:rPr>
        <w:t xml:space="preserve">, ‘Armed Violence in Fragile States:  Low Intensity Conflicts, Spill Over Conflicts and Sporadic Law Enforcement Operations by External Actors’, (2009) 91 </w:t>
      </w:r>
      <w:r w:rsidRPr="006B6544">
        <w:rPr>
          <w:rFonts w:ascii="Times New Roman" w:hAnsi="Times New Roman"/>
          <w:i/>
          <w:iCs/>
          <w:sz w:val="20"/>
          <w:szCs w:val="20"/>
        </w:rPr>
        <w:t xml:space="preserve">International Review of the Red Cross </w:t>
      </w:r>
      <w:r w:rsidRPr="006B6544">
        <w:rPr>
          <w:rFonts w:ascii="Times New Roman" w:hAnsi="Times New Roman"/>
          <w:sz w:val="20"/>
          <w:szCs w:val="20"/>
        </w:rPr>
        <w:t xml:space="preserve">127 </w:t>
      </w:r>
      <w:r w:rsidRPr="006B6544">
        <w:rPr>
          <w:rFonts w:ascii="Times New Roman" w:hAnsi="Times New Roman"/>
          <w:sz w:val="20"/>
          <w:szCs w:val="20"/>
          <w:lang w:val="en-US"/>
        </w:rPr>
        <w:t>at 136</w:t>
      </w:r>
      <w:r w:rsidRPr="006B6544">
        <w:rPr>
          <w:rFonts w:ascii="Times New Roman" w:hAnsi="Times New Roman"/>
          <w:color w:val="2A2A2A"/>
          <w:sz w:val="20"/>
          <w:szCs w:val="20"/>
          <w:shd w:val="clear" w:color="auto" w:fill="FFFFFF"/>
        </w:rPr>
        <w:t xml:space="preserve">; ICRC’s revised Commentary to GCIII (2020), para. 482. </w:t>
      </w:r>
    </w:p>
  </w:footnote>
  <w:footnote w:id="17">
    <w:p w14:paraId="7DFC5377" w14:textId="493F5F82"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ICTY, Trial Chamber, </w:t>
      </w:r>
      <w:r w:rsidRPr="006B6544">
        <w:rPr>
          <w:rFonts w:ascii="Times New Roman" w:hAnsi="Times New Roman"/>
          <w:i/>
          <w:iCs/>
          <w:sz w:val="20"/>
          <w:szCs w:val="20"/>
        </w:rPr>
        <w:t xml:space="preserve">Prosecutor v. </w:t>
      </w:r>
      <w:proofErr w:type="spellStart"/>
      <w:r w:rsidRPr="006B6544">
        <w:rPr>
          <w:rFonts w:ascii="Times New Roman" w:hAnsi="Times New Roman"/>
          <w:i/>
          <w:iCs/>
          <w:sz w:val="20"/>
          <w:szCs w:val="20"/>
        </w:rPr>
        <w:t>Haradinaj</w:t>
      </w:r>
      <w:proofErr w:type="spellEnd"/>
      <w:r w:rsidRPr="006B6544">
        <w:rPr>
          <w:rFonts w:ascii="Times New Roman" w:hAnsi="Times New Roman"/>
          <w:i/>
          <w:iCs/>
          <w:sz w:val="20"/>
          <w:szCs w:val="20"/>
        </w:rPr>
        <w:t xml:space="preserve"> et al.</w:t>
      </w:r>
      <w:r w:rsidRPr="006B6544">
        <w:rPr>
          <w:rFonts w:ascii="Times New Roman" w:hAnsi="Times New Roman"/>
          <w:sz w:val="20"/>
          <w:szCs w:val="20"/>
        </w:rPr>
        <w:t xml:space="preserve">, IT-04-84-T, 3 April 2008 (hereinafter </w:t>
      </w:r>
      <w:proofErr w:type="spellStart"/>
      <w:r w:rsidRPr="006B6544">
        <w:rPr>
          <w:rFonts w:ascii="Times New Roman" w:hAnsi="Times New Roman"/>
          <w:i/>
          <w:iCs/>
          <w:sz w:val="20"/>
          <w:szCs w:val="20"/>
        </w:rPr>
        <w:t>Haradinaj</w:t>
      </w:r>
      <w:proofErr w:type="spellEnd"/>
      <w:r w:rsidRPr="006B6544">
        <w:rPr>
          <w:rFonts w:ascii="Times New Roman" w:hAnsi="Times New Roman"/>
          <w:i/>
          <w:iCs/>
          <w:sz w:val="20"/>
          <w:szCs w:val="20"/>
        </w:rPr>
        <w:t xml:space="preserve"> </w:t>
      </w:r>
      <w:r w:rsidRPr="006B6544">
        <w:rPr>
          <w:rFonts w:ascii="Times New Roman" w:hAnsi="Times New Roman"/>
          <w:sz w:val="20"/>
          <w:szCs w:val="20"/>
        </w:rPr>
        <w:t xml:space="preserve">Trial Judgment), para. 60. See also N. </w:t>
      </w:r>
      <w:proofErr w:type="spellStart"/>
      <w:r w:rsidRPr="006B6544">
        <w:rPr>
          <w:rFonts w:ascii="Times New Roman" w:hAnsi="Times New Roman"/>
          <w:sz w:val="20"/>
          <w:szCs w:val="20"/>
        </w:rPr>
        <w:t>Lubell</w:t>
      </w:r>
      <w:proofErr w:type="spellEnd"/>
      <w:r w:rsidRPr="006B6544">
        <w:rPr>
          <w:rFonts w:ascii="Times New Roman" w:hAnsi="Times New Roman"/>
          <w:sz w:val="20"/>
          <w:szCs w:val="20"/>
        </w:rPr>
        <w:t xml:space="preserve"> and Nathan </w:t>
      </w:r>
      <w:proofErr w:type="spellStart"/>
      <w:r w:rsidRPr="006B6544">
        <w:rPr>
          <w:rFonts w:ascii="Times New Roman" w:hAnsi="Times New Roman"/>
          <w:sz w:val="20"/>
          <w:szCs w:val="20"/>
        </w:rPr>
        <w:t>Derejko</w:t>
      </w:r>
      <w:proofErr w:type="spellEnd"/>
      <w:r w:rsidRPr="006B6544">
        <w:rPr>
          <w:rFonts w:ascii="Times New Roman" w:hAnsi="Times New Roman"/>
          <w:sz w:val="20"/>
          <w:szCs w:val="20"/>
        </w:rPr>
        <w:t>, ‘A Global Battlefield? – Drones and the Geographical Scope of Armed Conflict’, (2013) 11 JICJ 65, at (contending that ‘[t]</w:t>
      </w:r>
      <w:r w:rsidRPr="00066403">
        <w:rPr>
          <w:rFonts w:ascii="Times New Roman" w:hAnsi="Times New Roman"/>
          <w:sz w:val="20"/>
          <w:szCs w:val="20"/>
        </w:rPr>
        <w:t>he armed group must itself be an active party in the conflict; like a tango, it takes two to war’)</w:t>
      </w:r>
      <w:r w:rsidRPr="006B6544">
        <w:rPr>
          <w:rFonts w:ascii="Times New Roman" w:hAnsi="Times New Roman"/>
          <w:sz w:val="20"/>
          <w:szCs w:val="20"/>
        </w:rPr>
        <w:t>.</w:t>
      </w:r>
    </w:p>
  </w:footnote>
  <w:footnote w:id="18">
    <w:p w14:paraId="5F64B294" w14:textId="1B3BB3F1" w:rsidR="004F2CB8" w:rsidRPr="006B6544" w:rsidRDefault="004F2CB8" w:rsidP="006B6544">
      <w:pPr>
        <w:pStyle w:val="1"/>
        <w:shd w:val="clear" w:color="auto" w:fill="FFFFFF"/>
        <w:spacing w:before="0" w:beforeAutospacing="0" w:after="0" w:afterAutospacing="0" w:line="480" w:lineRule="atLeast"/>
        <w:jc w:val="both"/>
        <w:textAlignment w:val="baseline"/>
        <w:rPr>
          <w:rFonts w:ascii="Times New Roman" w:hAnsi="Times New Roman" w:cs="Times New Roman"/>
          <w:b w:val="0"/>
          <w:bCs w:val="0"/>
          <w:color w:val="333333"/>
          <w:sz w:val="20"/>
          <w:szCs w:val="20"/>
        </w:rPr>
      </w:pPr>
      <w:r w:rsidRPr="006B6544">
        <w:rPr>
          <w:rStyle w:val="a5"/>
          <w:rFonts w:ascii="Times New Roman" w:hAnsi="Times New Roman" w:cs="Times New Roman"/>
          <w:b w:val="0"/>
          <w:bCs w:val="0"/>
          <w:sz w:val="20"/>
          <w:szCs w:val="20"/>
        </w:rPr>
        <w:footnoteRef/>
      </w:r>
      <w:r w:rsidRPr="006B6544">
        <w:rPr>
          <w:rFonts w:ascii="Times New Roman" w:hAnsi="Times New Roman" w:cs="Times New Roman"/>
          <w:b w:val="0"/>
          <w:bCs w:val="0"/>
          <w:sz w:val="20"/>
          <w:szCs w:val="20"/>
        </w:rPr>
        <w:t xml:space="preserve"> </w:t>
      </w:r>
      <w:proofErr w:type="spellStart"/>
      <w:r w:rsidRPr="006B6544">
        <w:rPr>
          <w:rFonts w:ascii="Times New Roman" w:hAnsi="Times New Roman" w:cs="Times New Roman"/>
          <w:b w:val="0"/>
          <w:bCs w:val="0"/>
          <w:sz w:val="20"/>
          <w:szCs w:val="20"/>
        </w:rPr>
        <w:t>Dinstein</w:t>
      </w:r>
      <w:proofErr w:type="spellEnd"/>
      <w:r w:rsidRPr="006B6544">
        <w:rPr>
          <w:rFonts w:ascii="Times New Roman" w:hAnsi="Times New Roman" w:cs="Times New Roman"/>
          <w:b w:val="0"/>
          <w:bCs w:val="0"/>
          <w:sz w:val="20"/>
          <w:szCs w:val="20"/>
        </w:rPr>
        <w:t xml:space="preserve"> (2014) (n. 12), at 31, para. 93. For this axiom, see H. </w:t>
      </w:r>
      <w:proofErr w:type="spellStart"/>
      <w:r w:rsidRPr="006B6544">
        <w:rPr>
          <w:rFonts w:ascii="Times New Roman" w:hAnsi="Times New Roman" w:cs="Times New Roman"/>
          <w:b w:val="0"/>
          <w:bCs w:val="0"/>
          <w:sz w:val="20"/>
          <w:szCs w:val="20"/>
        </w:rPr>
        <w:t>Meyrowitz</w:t>
      </w:r>
      <w:proofErr w:type="spellEnd"/>
      <w:r w:rsidRPr="006B6544">
        <w:rPr>
          <w:rFonts w:ascii="Times New Roman" w:hAnsi="Times New Roman" w:cs="Times New Roman"/>
          <w:b w:val="0"/>
          <w:bCs w:val="0"/>
          <w:sz w:val="20"/>
          <w:szCs w:val="20"/>
        </w:rPr>
        <w:t xml:space="preserve">, </w:t>
      </w:r>
      <w:r w:rsidRPr="006B6544">
        <w:rPr>
          <w:rStyle w:val="italic"/>
          <w:rFonts w:ascii="Times New Roman" w:hAnsi="Times New Roman" w:cs="Times New Roman"/>
          <w:b w:val="0"/>
          <w:bCs w:val="0"/>
          <w:i/>
          <w:iCs/>
          <w:color w:val="333333"/>
          <w:sz w:val="20"/>
          <w:szCs w:val="20"/>
          <w:bdr w:val="none" w:sz="0" w:space="0" w:color="auto" w:frame="1"/>
        </w:rPr>
        <w:t xml:space="preserve">Le </w:t>
      </w:r>
      <w:proofErr w:type="spellStart"/>
      <w:r w:rsidRPr="006B6544">
        <w:rPr>
          <w:rStyle w:val="italic"/>
          <w:rFonts w:ascii="Times New Roman" w:hAnsi="Times New Roman" w:cs="Times New Roman"/>
          <w:b w:val="0"/>
          <w:bCs w:val="0"/>
          <w:i/>
          <w:iCs/>
          <w:color w:val="333333"/>
          <w:sz w:val="20"/>
          <w:szCs w:val="20"/>
          <w:bdr w:val="none" w:sz="0" w:space="0" w:color="auto" w:frame="1"/>
        </w:rPr>
        <w:t>principe</w:t>
      </w:r>
      <w:proofErr w:type="spellEnd"/>
      <w:r w:rsidRPr="006B6544">
        <w:rPr>
          <w:rStyle w:val="italic"/>
          <w:rFonts w:ascii="Times New Roman" w:hAnsi="Times New Roman" w:cs="Times New Roman"/>
          <w:b w:val="0"/>
          <w:bCs w:val="0"/>
          <w:i/>
          <w:iCs/>
          <w:color w:val="333333"/>
          <w:sz w:val="20"/>
          <w:szCs w:val="20"/>
          <w:bdr w:val="none" w:sz="0" w:space="0" w:color="auto" w:frame="1"/>
        </w:rPr>
        <w:t xml:space="preserve"> de </w:t>
      </w:r>
      <w:proofErr w:type="spellStart"/>
      <w:r w:rsidRPr="006B6544">
        <w:rPr>
          <w:rStyle w:val="italic"/>
          <w:rFonts w:ascii="Times New Roman" w:hAnsi="Times New Roman" w:cs="Times New Roman"/>
          <w:b w:val="0"/>
          <w:bCs w:val="0"/>
          <w:i/>
          <w:iCs/>
          <w:color w:val="333333"/>
          <w:sz w:val="20"/>
          <w:szCs w:val="20"/>
          <w:bdr w:val="none" w:sz="0" w:space="0" w:color="auto" w:frame="1"/>
        </w:rPr>
        <w:t>l'égalité</w:t>
      </w:r>
      <w:proofErr w:type="spellEnd"/>
      <w:r w:rsidRPr="006B6544">
        <w:rPr>
          <w:rStyle w:val="italic"/>
          <w:rFonts w:ascii="Times New Roman" w:hAnsi="Times New Roman" w:cs="Times New Roman"/>
          <w:b w:val="0"/>
          <w:bCs w:val="0"/>
          <w:i/>
          <w:iCs/>
          <w:color w:val="333333"/>
          <w:sz w:val="20"/>
          <w:szCs w:val="20"/>
          <w:bdr w:val="none" w:sz="0" w:space="0" w:color="auto" w:frame="1"/>
        </w:rPr>
        <w:t xml:space="preserve"> des </w:t>
      </w:r>
      <w:proofErr w:type="spellStart"/>
      <w:r w:rsidRPr="006B6544">
        <w:rPr>
          <w:rStyle w:val="italic"/>
          <w:rFonts w:ascii="Times New Roman" w:hAnsi="Times New Roman" w:cs="Times New Roman"/>
          <w:b w:val="0"/>
          <w:bCs w:val="0"/>
          <w:i/>
          <w:iCs/>
          <w:color w:val="333333"/>
          <w:sz w:val="20"/>
          <w:szCs w:val="20"/>
          <w:bdr w:val="none" w:sz="0" w:space="0" w:color="auto" w:frame="1"/>
        </w:rPr>
        <w:t>belligérants</w:t>
      </w:r>
      <w:proofErr w:type="spellEnd"/>
      <w:r w:rsidRPr="006B6544">
        <w:rPr>
          <w:rStyle w:val="italic"/>
          <w:rFonts w:ascii="Times New Roman" w:hAnsi="Times New Roman" w:cs="Times New Roman"/>
          <w:b w:val="0"/>
          <w:bCs w:val="0"/>
          <w:i/>
          <w:iCs/>
          <w:color w:val="333333"/>
          <w:sz w:val="20"/>
          <w:szCs w:val="20"/>
          <w:bdr w:val="none" w:sz="0" w:space="0" w:color="auto" w:frame="1"/>
        </w:rPr>
        <w:t xml:space="preserve"> </w:t>
      </w:r>
      <w:proofErr w:type="spellStart"/>
      <w:r w:rsidRPr="006B6544">
        <w:rPr>
          <w:rStyle w:val="italic"/>
          <w:rFonts w:ascii="Times New Roman" w:hAnsi="Times New Roman" w:cs="Times New Roman"/>
          <w:b w:val="0"/>
          <w:bCs w:val="0"/>
          <w:i/>
          <w:iCs/>
          <w:color w:val="333333"/>
          <w:sz w:val="20"/>
          <w:szCs w:val="20"/>
          <w:bdr w:val="none" w:sz="0" w:space="0" w:color="auto" w:frame="1"/>
        </w:rPr>
        <w:t>devant</w:t>
      </w:r>
      <w:proofErr w:type="spellEnd"/>
      <w:r w:rsidRPr="006B6544">
        <w:rPr>
          <w:rStyle w:val="italic"/>
          <w:rFonts w:ascii="Times New Roman" w:hAnsi="Times New Roman" w:cs="Times New Roman"/>
          <w:b w:val="0"/>
          <w:bCs w:val="0"/>
          <w:i/>
          <w:iCs/>
          <w:color w:val="333333"/>
          <w:sz w:val="20"/>
          <w:szCs w:val="20"/>
          <w:bdr w:val="none" w:sz="0" w:space="0" w:color="auto" w:frame="1"/>
        </w:rPr>
        <w:t xml:space="preserve"> le droit de la guerre”</w:t>
      </w:r>
      <w:r w:rsidRPr="006B6544">
        <w:rPr>
          <w:rFonts w:ascii="Times New Roman" w:hAnsi="Times New Roman" w:cs="Times New Roman"/>
          <w:b w:val="0"/>
          <w:bCs w:val="0"/>
          <w:color w:val="333333"/>
          <w:sz w:val="20"/>
          <w:szCs w:val="20"/>
        </w:rPr>
        <w:t>, (</w:t>
      </w:r>
      <w:proofErr w:type="spellStart"/>
      <w:r w:rsidRPr="006B6544">
        <w:rPr>
          <w:rFonts w:ascii="Times New Roman" w:hAnsi="Times New Roman" w:cs="Times New Roman"/>
          <w:b w:val="0"/>
          <w:bCs w:val="0"/>
          <w:color w:val="333333"/>
          <w:sz w:val="20"/>
          <w:szCs w:val="20"/>
        </w:rPr>
        <w:t>Pédone</w:t>
      </w:r>
      <w:proofErr w:type="spellEnd"/>
      <w:r w:rsidRPr="006B6544">
        <w:rPr>
          <w:rFonts w:ascii="Times New Roman" w:hAnsi="Times New Roman" w:cs="Times New Roman"/>
          <w:b w:val="0"/>
          <w:bCs w:val="0"/>
          <w:color w:val="333333"/>
          <w:sz w:val="20"/>
          <w:szCs w:val="20"/>
        </w:rPr>
        <w:t>, 1970)</w:t>
      </w:r>
      <w:r w:rsidRPr="006B6544">
        <w:rPr>
          <w:rFonts w:ascii="Times New Roman" w:hAnsi="Times New Roman" w:cs="Times New Roman"/>
          <w:b w:val="0"/>
          <w:bCs w:val="0"/>
          <w:sz w:val="20"/>
          <w:szCs w:val="20"/>
        </w:rPr>
        <w:t xml:space="preserve">; and also M. </w:t>
      </w:r>
      <w:proofErr w:type="spellStart"/>
      <w:r w:rsidRPr="006B6544">
        <w:rPr>
          <w:rFonts w:ascii="Times New Roman" w:hAnsi="Times New Roman" w:cs="Times New Roman"/>
          <w:b w:val="0"/>
          <w:bCs w:val="0"/>
          <w:sz w:val="20"/>
          <w:szCs w:val="20"/>
        </w:rPr>
        <w:t>Sassòli</w:t>
      </w:r>
      <w:proofErr w:type="spellEnd"/>
      <w:r w:rsidRPr="006B6544">
        <w:rPr>
          <w:rFonts w:ascii="Times New Roman" w:hAnsi="Times New Roman" w:cs="Times New Roman"/>
          <w:b w:val="0"/>
          <w:bCs w:val="0"/>
          <w:sz w:val="20"/>
          <w:szCs w:val="20"/>
        </w:rPr>
        <w:t xml:space="preserve">, ‘Introducing a Sliding Scale of Obligations to Address the Fundamental Inequality between Armed Groups and States?’, (2011) </w:t>
      </w:r>
      <w:r w:rsidRPr="006B6544">
        <w:rPr>
          <w:rFonts w:ascii="Times New Roman" w:hAnsi="Times New Roman" w:cs="Times New Roman"/>
          <w:b w:val="0"/>
          <w:bCs w:val="0"/>
          <w:i/>
          <w:iCs/>
          <w:sz w:val="20"/>
          <w:szCs w:val="20"/>
        </w:rPr>
        <w:t xml:space="preserve">93 International Review of the Red Cross </w:t>
      </w:r>
      <w:r w:rsidRPr="006B6544">
        <w:rPr>
          <w:rFonts w:ascii="Times New Roman" w:hAnsi="Times New Roman" w:cs="Times New Roman"/>
          <w:b w:val="0"/>
          <w:bCs w:val="0"/>
          <w:sz w:val="20"/>
          <w:szCs w:val="20"/>
        </w:rPr>
        <w:t>426, at 427-431.</w:t>
      </w:r>
    </w:p>
  </w:footnote>
  <w:footnote w:id="19">
    <w:p w14:paraId="58AB4654" w14:textId="2B270DAD"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proofErr w:type="gramStart"/>
      <w:r w:rsidRPr="006B6544">
        <w:rPr>
          <w:rFonts w:ascii="Times New Roman" w:hAnsi="Times New Roman"/>
          <w:sz w:val="20"/>
          <w:szCs w:val="20"/>
        </w:rPr>
        <w:t>ICRC,</w:t>
      </w:r>
      <w:proofErr w:type="gramEnd"/>
      <w:r w:rsidRPr="006B6544">
        <w:rPr>
          <w:rFonts w:ascii="Times New Roman" w:hAnsi="Times New Roman"/>
          <w:sz w:val="20"/>
          <w:szCs w:val="20"/>
        </w:rPr>
        <w:t xml:space="preserve"> </w:t>
      </w:r>
      <w:r w:rsidRPr="006B6544">
        <w:rPr>
          <w:rFonts w:ascii="Times New Roman" w:hAnsi="Times New Roman"/>
          <w:i/>
          <w:iCs/>
          <w:sz w:val="20"/>
          <w:szCs w:val="20"/>
        </w:rPr>
        <w:t>Revised and New Draft Conventions for the Protection of War Victims, Remarks and Proposals submitted by the International Committee of the Red Cross</w:t>
      </w:r>
      <w:r w:rsidRPr="006B6544">
        <w:rPr>
          <w:rFonts w:ascii="Times New Roman" w:hAnsi="Times New Roman"/>
          <w:i/>
          <w:sz w:val="20"/>
          <w:szCs w:val="20"/>
        </w:rPr>
        <w:t xml:space="preserve"> </w:t>
      </w:r>
      <w:r w:rsidRPr="006B6544">
        <w:rPr>
          <w:rFonts w:ascii="Times New Roman" w:hAnsi="Times New Roman"/>
          <w:sz w:val="20"/>
          <w:szCs w:val="20"/>
        </w:rPr>
        <w:t xml:space="preserve">(ICRC 1949) (hereinafter, </w:t>
      </w:r>
      <w:r w:rsidRPr="006B6544">
        <w:rPr>
          <w:rFonts w:ascii="Times New Roman" w:hAnsi="Times New Roman"/>
          <w:i/>
          <w:iCs/>
          <w:sz w:val="20"/>
          <w:szCs w:val="20"/>
        </w:rPr>
        <w:t>Revised and New Draft Conventions)</w:t>
      </w:r>
      <w:r w:rsidRPr="006B6544">
        <w:rPr>
          <w:rFonts w:ascii="Times New Roman" w:hAnsi="Times New Roman"/>
          <w:sz w:val="20"/>
          <w:szCs w:val="20"/>
        </w:rPr>
        <w:t>, at 38.</w:t>
      </w:r>
    </w:p>
  </w:footnote>
  <w:footnote w:id="20">
    <w:p w14:paraId="3DB5E240" w14:textId="7E479115"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In NIACs, there has been a parallel debate on how much of comparability or analogy to the armed forces of a government should be demanded of armed groups</w:t>
      </w:r>
      <w:r w:rsidRPr="006B6544">
        <w:rPr>
          <w:rFonts w:ascii="Times New Roman" w:hAnsi="Times New Roman"/>
          <w:i/>
          <w:iCs/>
          <w:sz w:val="20"/>
          <w:szCs w:val="20"/>
        </w:rPr>
        <w:t>:  Official Records of the Diplomatic Conference on the Reaffirmation and Development of International Humanitarian Law Applicable in Armed Conflict 1974-77</w:t>
      </w:r>
      <w:r w:rsidRPr="006B6544">
        <w:rPr>
          <w:rFonts w:ascii="Times New Roman" w:hAnsi="Times New Roman"/>
          <w:sz w:val="20"/>
          <w:szCs w:val="20"/>
        </w:rPr>
        <w:t>, Vol. 8, 204, para 15.</w:t>
      </w:r>
    </w:p>
  </w:footnote>
  <w:footnote w:id="21">
    <w:p w14:paraId="619DB270" w14:textId="3F239BB4"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When analogies are drawn to fill ‘unregulated areas’ in IACs, contextual disparities between IACs and NIACs that remain in place should be </w:t>
      </w:r>
      <w:proofErr w:type="gramStart"/>
      <w:r w:rsidRPr="006B6544">
        <w:rPr>
          <w:rFonts w:ascii="Times New Roman" w:hAnsi="Times New Roman"/>
          <w:sz w:val="20"/>
          <w:szCs w:val="20"/>
        </w:rPr>
        <w:t>duly noted</w:t>
      </w:r>
      <w:proofErr w:type="gramEnd"/>
      <w:r w:rsidRPr="006B6544">
        <w:rPr>
          <w:rFonts w:ascii="Times New Roman" w:hAnsi="Times New Roman"/>
          <w:sz w:val="20"/>
          <w:szCs w:val="20"/>
        </w:rPr>
        <w:t xml:space="preserve">. See K.J. Heller, ‘The Use and Abuse of Analogy in IHL’, in J. Ohlin, </w:t>
      </w:r>
      <w:r w:rsidRPr="00066403">
        <w:rPr>
          <w:rFonts w:ascii="Times New Roman" w:hAnsi="Times New Roman"/>
          <w:i/>
          <w:iCs/>
          <w:sz w:val="20"/>
          <w:szCs w:val="20"/>
        </w:rPr>
        <w:t>Theoretical Boundaries of Armed Conflict and Human Rights</w:t>
      </w:r>
      <w:r w:rsidRPr="006B6544">
        <w:rPr>
          <w:rFonts w:ascii="Times New Roman" w:hAnsi="Times New Roman"/>
          <w:sz w:val="20"/>
          <w:szCs w:val="20"/>
        </w:rPr>
        <w:t xml:space="preserve">, (Oxford University Press, 2016), 232, </w:t>
      </w:r>
      <w:proofErr w:type="gramStart"/>
      <w:r w:rsidRPr="006B6544">
        <w:rPr>
          <w:rFonts w:ascii="Times New Roman" w:hAnsi="Times New Roman"/>
          <w:sz w:val="20"/>
          <w:szCs w:val="20"/>
        </w:rPr>
        <w:t>in particular 262-275</w:t>
      </w:r>
      <w:proofErr w:type="gramEnd"/>
      <w:r w:rsidRPr="006B6544">
        <w:rPr>
          <w:rFonts w:ascii="Times New Roman" w:hAnsi="Times New Roman"/>
          <w:sz w:val="20"/>
          <w:szCs w:val="20"/>
        </w:rPr>
        <w:t xml:space="preserve">. In a more general legal context, see N. </w:t>
      </w:r>
      <w:proofErr w:type="spellStart"/>
      <w:r w:rsidRPr="006B6544">
        <w:rPr>
          <w:rFonts w:ascii="Times New Roman" w:hAnsi="Times New Roman"/>
          <w:sz w:val="20"/>
          <w:szCs w:val="20"/>
        </w:rPr>
        <w:t>MacCormick</w:t>
      </w:r>
      <w:proofErr w:type="spellEnd"/>
      <w:r w:rsidRPr="006B6544">
        <w:rPr>
          <w:rFonts w:ascii="Times New Roman" w:hAnsi="Times New Roman"/>
          <w:sz w:val="20"/>
          <w:szCs w:val="20"/>
        </w:rPr>
        <w:t xml:space="preserve">, </w:t>
      </w:r>
      <w:r w:rsidRPr="006B6544">
        <w:rPr>
          <w:rFonts w:ascii="Times New Roman" w:hAnsi="Times New Roman"/>
          <w:i/>
          <w:iCs/>
          <w:sz w:val="20"/>
          <w:szCs w:val="20"/>
        </w:rPr>
        <w:t xml:space="preserve">Rhetoric and the Rule of Law -A Theory of Legal Reasoning, </w:t>
      </w:r>
      <w:r w:rsidRPr="006B6544">
        <w:rPr>
          <w:rFonts w:ascii="Times New Roman" w:hAnsi="Times New Roman"/>
          <w:sz w:val="20"/>
          <w:szCs w:val="20"/>
        </w:rPr>
        <w:t>(Oxford University Press, 2005), at 206-207.</w:t>
      </w:r>
    </w:p>
  </w:footnote>
  <w:footnote w:id="22">
    <w:p w14:paraId="6AC9ED01" w14:textId="541920F4"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ICTY, Trial Chamber, </w:t>
      </w:r>
      <w:r w:rsidRPr="006B6544">
        <w:rPr>
          <w:rFonts w:ascii="Times New Roman" w:hAnsi="Times New Roman"/>
          <w:i/>
          <w:iCs/>
          <w:sz w:val="20"/>
          <w:szCs w:val="20"/>
        </w:rPr>
        <w:t xml:space="preserve">Prosecutor v. </w:t>
      </w:r>
      <w:proofErr w:type="spellStart"/>
      <w:r w:rsidRPr="006B6544">
        <w:rPr>
          <w:rFonts w:ascii="Times New Roman" w:hAnsi="Times New Roman"/>
          <w:i/>
          <w:iCs/>
          <w:sz w:val="20"/>
          <w:szCs w:val="20"/>
        </w:rPr>
        <w:t>Boškoski</w:t>
      </w:r>
      <w:proofErr w:type="spellEnd"/>
      <w:r w:rsidRPr="006B6544">
        <w:rPr>
          <w:rFonts w:ascii="Times New Roman" w:hAnsi="Times New Roman"/>
          <w:i/>
          <w:iCs/>
          <w:sz w:val="20"/>
          <w:szCs w:val="20"/>
        </w:rPr>
        <w:t xml:space="preserve"> and </w:t>
      </w:r>
      <w:proofErr w:type="spellStart"/>
      <w:r w:rsidRPr="006B6544">
        <w:rPr>
          <w:rFonts w:ascii="Times New Roman" w:hAnsi="Times New Roman"/>
          <w:i/>
          <w:iCs/>
          <w:sz w:val="20"/>
          <w:szCs w:val="20"/>
        </w:rPr>
        <w:t>Tarčulovski</w:t>
      </w:r>
      <w:proofErr w:type="spellEnd"/>
      <w:r w:rsidRPr="006B6544">
        <w:rPr>
          <w:rFonts w:ascii="Times New Roman" w:hAnsi="Times New Roman"/>
          <w:sz w:val="20"/>
          <w:szCs w:val="20"/>
        </w:rPr>
        <w:t xml:space="preserve">, IT-04-82-T, Judgment,10 July 2008 (hereinafter </w:t>
      </w:r>
      <w:proofErr w:type="spellStart"/>
      <w:r w:rsidRPr="006B6544">
        <w:rPr>
          <w:rFonts w:ascii="Times New Roman" w:hAnsi="Times New Roman"/>
          <w:i/>
          <w:iCs/>
          <w:sz w:val="20"/>
          <w:szCs w:val="20"/>
        </w:rPr>
        <w:t>Boškoski</w:t>
      </w:r>
      <w:proofErr w:type="spellEnd"/>
      <w:r w:rsidRPr="006B6544">
        <w:rPr>
          <w:rFonts w:ascii="Times New Roman" w:hAnsi="Times New Roman"/>
          <w:i/>
          <w:iCs/>
          <w:sz w:val="20"/>
          <w:szCs w:val="20"/>
        </w:rPr>
        <w:t xml:space="preserve"> </w:t>
      </w:r>
      <w:r w:rsidRPr="006B6544">
        <w:rPr>
          <w:rFonts w:ascii="Times New Roman" w:hAnsi="Times New Roman"/>
          <w:sz w:val="20"/>
          <w:szCs w:val="20"/>
        </w:rPr>
        <w:t>Trial Judgment</w:t>
      </w:r>
      <w:r w:rsidRPr="006B6544">
        <w:rPr>
          <w:rFonts w:ascii="Times New Roman" w:hAnsi="Times New Roman"/>
          <w:i/>
          <w:iCs/>
          <w:sz w:val="20"/>
          <w:szCs w:val="20"/>
        </w:rPr>
        <w:t>)</w:t>
      </w:r>
      <w:r w:rsidRPr="006B6544">
        <w:rPr>
          <w:rFonts w:ascii="Times New Roman" w:hAnsi="Times New Roman"/>
          <w:sz w:val="20"/>
          <w:szCs w:val="20"/>
        </w:rPr>
        <w:t xml:space="preserve">, paras 194-206; and 250-291. See also </w:t>
      </w:r>
      <w:proofErr w:type="spellStart"/>
      <w:r w:rsidRPr="006B6544">
        <w:rPr>
          <w:rFonts w:ascii="Times New Roman" w:hAnsi="Times New Roman"/>
          <w:i/>
          <w:iCs/>
          <w:sz w:val="20"/>
          <w:szCs w:val="20"/>
          <w:lang w:val="en-US"/>
        </w:rPr>
        <w:t>Haradinaj</w:t>
      </w:r>
      <w:proofErr w:type="spellEnd"/>
      <w:r w:rsidRPr="006B6544">
        <w:rPr>
          <w:rFonts w:ascii="Times New Roman" w:hAnsi="Times New Roman"/>
          <w:i/>
          <w:iCs/>
          <w:sz w:val="20"/>
          <w:szCs w:val="20"/>
          <w:lang w:val="en-US"/>
        </w:rPr>
        <w:t xml:space="preserve"> </w:t>
      </w:r>
      <w:r w:rsidRPr="006B6544">
        <w:rPr>
          <w:rFonts w:ascii="Times New Roman" w:hAnsi="Times New Roman"/>
          <w:sz w:val="20"/>
          <w:szCs w:val="20"/>
          <w:lang w:val="en-US"/>
        </w:rPr>
        <w:t>Trial</w:t>
      </w:r>
      <w:r w:rsidRPr="006B6544">
        <w:rPr>
          <w:rFonts w:ascii="Times New Roman" w:hAnsi="Times New Roman"/>
          <w:i/>
          <w:iCs/>
          <w:sz w:val="20"/>
          <w:szCs w:val="20"/>
          <w:lang w:val="en-US"/>
        </w:rPr>
        <w:t xml:space="preserve"> </w:t>
      </w:r>
      <w:r w:rsidRPr="006B6544">
        <w:rPr>
          <w:rFonts w:ascii="Times New Roman" w:hAnsi="Times New Roman"/>
          <w:sz w:val="20"/>
          <w:szCs w:val="20"/>
          <w:lang w:val="en-US"/>
        </w:rPr>
        <w:t>Judgment (n. 1</w:t>
      </w:r>
      <w:r>
        <w:rPr>
          <w:rFonts w:ascii="Times New Roman" w:hAnsi="Times New Roman"/>
          <w:sz w:val="20"/>
          <w:szCs w:val="20"/>
          <w:lang w:val="en-US"/>
        </w:rPr>
        <w:t>6</w:t>
      </w:r>
      <w:r w:rsidRPr="006B6544">
        <w:rPr>
          <w:rFonts w:ascii="Times New Roman" w:hAnsi="Times New Roman"/>
          <w:sz w:val="20"/>
          <w:szCs w:val="20"/>
          <w:lang w:val="en-US"/>
        </w:rPr>
        <w:t>), paras 60.</w:t>
      </w:r>
    </w:p>
  </w:footnote>
  <w:footnote w:id="23">
    <w:p w14:paraId="5F963812" w14:textId="6312254D"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proofErr w:type="spellStart"/>
      <w:r w:rsidRPr="006B6544">
        <w:rPr>
          <w:rFonts w:ascii="Times New Roman" w:hAnsi="Times New Roman"/>
          <w:i/>
          <w:iCs/>
          <w:sz w:val="20"/>
          <w:szCs w:val="20"/>
        </w:rPr>
        <w:t>Boškoski</w:t>
      </w:r>
      <w:proofErr w:type="spellEnd"/>
      <w:r w:rsidRPr="006B6544">
        <w:rPr>
          <w:rFonts w:ascii="Times New Roman" w:hAnsi="Times New Roman"/>
          <w:i/>
          <w:iCs/>
          <w:sz w:val="20"/>
          <w:szCs w:val="20"/>
        </w:rPr>
        <w:t xml:space="preserve"> </w:t>
      </w:r>
      <w:r w:rsidRPr="006B6544">
        <w:rPr>
          <w:rFonts w:ascii="Times New Roman" w:hAnsi="Times New Roman"/>
          <w:sz w:val="20"/>
          <w:szCs w:val="20"/>
        </w:rPr>
        <w:t>Trial</w:t>
      </w:r>
      <w:r w:rsidRPr="006B6544">
        <w:rPr>
          <w:rFonts w:ascii="Times New Roman" w:hAnsi="Times New Roman"/>
          <w:i/>
          <w:iCs/>
          <w:sz w:val="20"/>
          <w:szCs w:val="20"/>
        </w:rPr>
        <w:t xml:space="preserve"> </w:t>
      </w:r>
      <w:r w:rsidRPr="006B6544">
        <w:rPr>
          <w:rFonts w:ascii="Times New Roman" w:hAnsi="Times New Roman"/>
          <w:sz w:val="20"/>
          <w:szCs w:val="20"/>
        </w:rPr>
        <w:t>Judgment, ibid., para. 199 (‘</w:t>
      </w:r>
      <w:r w:rsidRPr="00066403">
        <w:rPr>
          <w:rFonts w:ascii="Times New Roman" w:hAnsi="Times New Roman"/>
          <w:sz w:val="20"/>
          <w:szCs w:val="20"/>
        </w:rPr>
        <w:t xml:space="preserve">establishment of a general staff or high command which appoints and gives directions to commanders’), footnote omitted. </w:t>
      </w:r>
    </w:p>
  </w:footnote>
  <w:footnote w:id="24">
    <w:p w14:paraId="20F1FC5B" w14:textId="77777777"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r w:rsidRPr="006B6544">
        <w:rPr>
          <w:rFonts w:ascii="Times New Roman" w:hAnsi="Times New Roman"/>
          <w:i/>
          <w:iCs/>
          <w:sz w:val="20"/>
          <w:szCs w:val="20"/>
        </w:rPr>
        <w:t>Ibid</w:t>
      </w:r>
      <w:r w:rsidRPr="006B6544">
        <w:rPr>
          <w:rFonts w:ascii="Times New Roman" w:hAnsi="Times New Roman"/>
          <w:sz w:val="20"/>
          <w:szCs w:val="20"/>
        </w:rPr>
        <w:t>., para. 200.</w:t>
      </w:r>
    </w:p>
  </w:footnote>
  <w:footnote w:id="25">
    <w:p w14:paraId="7E6B0586" w14:textId="77777777" w:rsidR="004F2CB8" w:rsidRPr="006B6544" w:rsidRDefault="004F2CB8" w:rsidP="006B6544">
      <w:pPr>
        <w:pStyle w:val="a3"/>
        <w:tabs>
          <w:tab w:val="left" w:pos="3261"/>
        </w:tabs>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r w:rsidRPr="006B6544">
        <w:rPr>
          <w:rFonts w:ascii="Times New Roman" w:hAnsi="Times New Roman"/>
          <w:i/>
          <w:iCs/>
          <w:sz w:val="20"/>
          <w:szCs w:val="20"/>
        </w:rPr>
        <w:t>Ibid</w:t>
      </w:r>
      <w:r w:rsidRPr="006B6544">
        <w:rPr>
          <w:rFonts w:ascii="Times New Roman" w:hAnsi="Times New Roman"/>
          <w:sz w:val="20"/>
          <w:szCs w:val="20"/>
        </w:rPr>
        <w:t xml:space="preserve">., para. 201. </w:t>
      </w:r>
    </w:p>
  </w:footnote>
  <w:footnote w:id="26">
    <w:p w14:paraId="6ABFD70B" w14:textId="77777777" w:rsidR="004F2CB8" w:rsidRPr="006B6544" w:rsidRDefault="004F2CB8" w:rsidP="006B6544">
      <w:pPr>
        <w:pStyle w:val="a3"/>
        <w:tabs>
          <w:tab w:val="left" w:pos="3261"/>
        </w:tabs>
        <w:jc w:val="both"/>
        <w:rPr>
          <w:rFonts w:ascii="Times New Roman" w:hAnsi="Times New Roman"/>
          <w:sz w:val="20"/>
          <w:szCs w:val="20"/>
          <w:lang w:val="en-US"/>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r w:rsidRPr="006B6544">
        <w:rPr>
          <w:rFonts w:ascii="Times New Roman" w:hAnsi="Times New Roman"/>
          <w:i/>
          <w:iCs/>
          <w:sz w:val="20"/>
          <w:szCs w:val="20"/>
        </w:rPr>
        <w:t>Ibid</w:t>
      </w:r>
      <w:r w:rsidRPr="006B6544">
        <w:rPr>
          <w:rFonts w:ascii="Times New Roman" w:hAnsi="Times New Roman"/>
          <w:sz w:val="20"/>
          <w:szCs w:val="20"/>
        </w:rPr>
        <w:t xml:space="preserve">., para. </w:t>
      </w:r>
      <w:r w:rsidRPr="006B6544">
        <w:rPr>
          <w:rFonts w:ascii="Times New Roman" w:hAnsi="Times New Roman"/>
          <w:sz w:val="20"/>
          <w:szCs w:val="20"/>
          <w:lang w:val="en-US"/>
        </w:rPr>
        <w:t>202.</w:t>
      </w:r>
    </w:p>
  </w:footnote>
  <w:footnote w:id="27">
    <w:p w14:paraId="5CA9BA74" w14:textId="4A2DF40E" w:rsidR="004F2CB8" w:rsidRPr="006B6544" w:rsidRDefault="004F2CB8" w:rsidP="006B6544">
      <w:pPr>
        <w:pStyle w:val="a3"/>
        <w:tabs>
          <w:tab w:val="left" w:pos="3261"/>
        </w:tabs>
        <w:jc w:val="both"/>
        <w:rPr>
          <w:rFonts w:ascii="Times New Roman" w:hAnsi="Times New Roman"/>
          <w:sz w:val="20"/>
          <w:szCs w:val="20"/>
          <w:lang w:val="en-US"/>
        </w:rPr>
      </w:pPr>
      <w:r w:rsidRPr="006B6544">
        <w:rPr>
          <w:rStyle w:val="a5"/>
          <w:rFonts w:ascii="Times New Roman" w:hAnsi="Times New Roman"/>
          <w:sz w:val="20"/>
          <w:szCs w:val="20"/>
        </w:rPr>
        <w:footnoteRef/>
      </w:r>
      <w:r w:rsidRPr="006B6544">
        <w:rPr>
          <w:rFonts w:ascii="Times New Roman" w:hAnsi="Times New Roman"/>
          <w:sz w:val="20"/>
          <w:szCs w:val="20"/>
          <w:lang w:val="en-US"/>
        </w:rPr>
        <w:t xml:space="preserve"> </w:t>
      </w:r>
      <w:r w:rsidRPr="006B6544">
        <w:rPr>
          <w:rFonts w:ascii="Times New Roman" w:hAnsi="Times New Roman"/>
          <w:i/>
          <w:iCs/>
          <w:sz w:val="20"/>
          <w:szCs w:val="20"/>
        </w:rPr>
        <w:t>Ibid</w:t>
      </w:r>
      <w:r w:rsidRPr="006B6544">
        <w:rPr>
          <w:rFonts w:ascii="Times New Roman" w:hAnsi="Times New Roman"/>
          <w:sz w:val="20"/>
          <w:szCs w:val="20"/>
        </w:rPr>
        <w:t xml:space="preserve">., </w:t>
      </w:r>
      <w:r w:rsidRPr="006B6544">
        <w:rPr>
          <w:rFonts w:ascii="Times New Roman" w:hAnsi="Times New Roman"/>
          <w:sz w:val="20"/>
          <w:szCs w:val="20"/>
          <w:lang w:val="en-US"/>
        </w:rPr>
        <w:t xml:space="preserve">para. 203. See also </w:t>
      </w:r>
      <w:r w:rsidRPr="006B6544">
        <w:rPr>
          <w:rFonts w:ascii="Times New Roman" w:hAnsi="Times New Roman"/>
          <w:sz w:val="20"/>
          <w:szCs w:val="20"/>
        </w:rPr>
        <w:t xml:space="preserve">ICTY, Trial Chamber, </w:t>
      </w:r>
      <w:r w:rsidRPr="006B6544">
        <w:rPr>
          <w:rFonts w:ascii="Times New Roman" w:hAnsi="Times New Roman"/>
          <w:i/>
          <w:iCs/>
          <w:sz w:val="20"/>
          <w:szCs w:val="20"/>
        </w:rPr>
        <w:t xml:space="preserve">Prosecutor v. </w:t>
      </w:r>
      <w:proofErr w:type="spellStart"/>
      <w:r w:rsidRPr="006B6544">
        <w:rPr>
          <w:rFonts w:ascii="Times New Roman" w:hAnsi="Times New Roman"/>
          <w:i/>
          <w:iCs/>
          <w:sz w:val="20"/>
          <w:szCs w:val="20"/>
        </w:rPr>
        <w:t>Limaj</w:t>
      </w:r>
      <w:proofErr w:type="spellEnd"/>
      <w:r w:rsidRPr="006B6544">
        <w:rPr>
          <w:rFonts w:ascii="Times New Roman" w:hAnsi="Times New Roman"/>
          <w:i/>
          <w:iCs/>
          <w:sz w:val="20"/>
          <w:szCs w:val="20"/>
        </w:rPr>
        <w:t xml:space="preserve"> et al., </w:t>
      </w:r>
      <w:r w:rsidRPr="006B6544">
        <w:rPr>
          <w:rFonts w:ascii="Times New Roman" w:hAnsi="Times New Roman"/>
          <w:sz w:val="20"/>
          <w:szCs w:val="20"/>
        </w:rPr>
        <w:t xml:space="preserve">Judgement, 30 November 2005, IT-03-66-T (hereinafter </w:t>
      </w:r>
      <w:proofErr w:type="spellStart"/>
      <w:r w:rsidRPr="006B6544">
        <w:rPr>
          <w:rFonts w:ascii="Times New Roman" w:hAnsi="Times New Roman"/>
          <w:i/>
          <w:iCs/>
          <w:sz w:val="20"/>
          <w:szCs w:val="20"/>
        </w:rPr>
        <w:t>Limaj</w:t>
      </w:r>
      <w:proofErr w:type="spellEnd"/>
      <w:r w:rsidRPr="006B6544">
        <w:rPr>
          <w:rFonts w:ascii="Times New Roman" w:hAnsi="Times New Roman"/>
          <w:i/>
          <w:iCs/>
          <w:sz w:val="20"/>
          <w:szCs w:val="20"/>
        </w:rPr>
        <w:t xml:space="preserve"> </w:t>
      </w:r>
      <w:r w:rsidRPr="006B6544">
        <w:rPr>
          <w:rFonts w:ascii="Times New Roman" w:hAnsi="Times New Roman"/>
          <w:sz w:val="20"/>
          <w:szCs w:val="20"/>
        </w:rPr>
        <w:t xml:space="preserve">Trial Judgment), paras 44-46, 94-134; </w:t>
      </w:r>
      <w:proofErr w:type="spellStart"/>
      <w:r w:rsidRPr="006B6544">
        <w:rPr>
          <w:rFonts w:ascii="Times New Roman" w:hAnsi="Times New Roman"/>
          <w:i/>
          <w:iCs/>
          <w:sz w:val="20"/>
          <w:szCs w:val="20"/>
        </w:rPr>
        <w:t>Haradinaj</w:t>
      </w:r>
      <w:proofErr w:type="spellEnd"/>
      <w:r w:rsidRPr="006B6544">
        <w:rPr>
          <w:rFonts w:ascii="Times New Roman" w:hAnsi="Times New Roman"/>
          <w:i/>
          <w:iCs/>
          <w:sz w:val="20"/>
          <w:szCs w:val="20"/>
        </w:rPr>
        <w:t xml:space="preserve"> </w:t>
      </w:r>
      <w:r w:rsidRPr="006B6544">
        <w:rPr>
          <w:rFonts w:ascii="Times New Roman" w:hAnsi="Times New Roman"/>
          <w:sz w:val="20"/>
          <w:szCs w:val="20"/>
          <w:lang w:val="en-US"/>
        </w:rPr>
        <w:t>Trial Chamber (n. 1</w:t>
      </w:r>
      <w:r>
        <w:rPr>
          <w:rFonts w:ascii="Times New Roman" w:hAnsi="Times New Roman"/>
          <w:sz w:val="20"/>
          <w:szCs w:val="20"/>
          <w:lang w:val="en-US"/>
        </w:rPr>
        <w:t>6</w:t>
      </w:r>
      <w:r w:rsidRPr="006B6544">
        <w:rPr>
          <w:rFonts w:ascii="Times New Roman" w:hAnsi="Times New Roman"/>
          <w:sz w:val="20"/>
          <w:szCs w:val="20"/>
          <w:lang w:val="en-US"/>
        </w:rPr>
        <w:t xml:space="preserve">), 3 April 2008, </w:t>
      </w:r>
      <w:r w:rsidRPr="006B6544">
        <w:rPr>
          <w:rFonts w:ascii="Times New Roman" w:hAnsi="Times New Roman"/>
          <w:sz w:val="20"/>
          <w:szCs w:val="20"/>
        </w:rPr>
        <w:t xml:space="preserve">IT-04-84-T, </w:t>
      </w:r>
      <w:r w:rsidRPr="006B6544">
        <w:rPr>
          <w:rFonts w:ascii="Times New Roman" w:hAnsi="Times New Roman"/>
          <w:sz w:val="20"/>
          <w:szCs w:val="20"/>
          <w:lang w:val="en-US"/>
        </w:rPr>
        <w:t>paras 60 and 63-90</w:t>
      </w:r>
      <w:r w:rsidRPr="006B6544">
        <w:rPr>
          <w:rFonts w:ascii="Times New Roman" w:hAnsi="Times New Roman"/>
          <w:sz w:val="20"/>
          <w:szCs w:val="20"/>
        </w:rPr>
        <w:t xml:space="preserve">.  </w:t>
      </w:r>
    </w:p>
  </w:footnote>
  <w:footnote w:id="28">
    <w:p w14:paraId="7662DED6" w14:textId="2E219E07" w:rsidR="004F2CB8" w:rsidRPr="006B6544" w:rsidRDefault="004F2CB8" w:rsidP="006B6544">
      <w:pPr>
        <w:pStyle w:val="a3"/>
        <w:jc w:val="both"/>
        <w:rPr>
          <w:rFonts w:ascii="Times New Roman" w:hAnsi="Times New Roman"/>
          <w:sz w:val="20"/>
          <w:szCs w:val="20"/>
          <w:lang w:val="en-US"/>
        </w:rPr>
      </w:pPr>
      <w:r w:rsidRPr="006B6544">
        <w:rPr>
          <w:rStyle w:val="a5"/>
          <w:rFonts w:ascii="Times New Roman" w:hAnsi="Times New Roman"/>
          <w:sz w:val="20"/>
          <w:szCs w:val="20"/>
        </w:rPr>
        <w:footnoteRef/>
      </w:r>
      <w:r w:rsidRPr="006B6544">
        <w:rPr>
          <w:rFonts w:ascii="Times New Roman" w:hAnsi="Times New Roman"/>
          <w:sz w:val="20"/>
          <w:szCs w:val="20"/>
          <w:lang w:val="en-US"/>
        </w:rPr>
        <w:t xml:space="preserve"> ICC, Trial Chamber, </w:t>
      </w:r>
      <w:r w:rsidRPr="006B6544">
        <w:rPr>
          <w:rFonts w:ascii="Times New Roman" w:hAnsi="Times New Roman"/>
          <w:i/>
          <w:iCs/>
          <w:sz w:val="20"/>
          <w:szCs w:val="20"/>
          <w:lang w:val="en-US"/>
        </w:rPr>
        <w:t xml:space="preserve">Prosecutor. v. Thomas Lubanga </w:t>
      </w:r>
      <w:proofErr w:type="spellStart"/>
      <w:r w:rsidRPr="006B6544">
        <w:rPr>
          <w:rFonts w:ascii="Times New Roman" w:hAnsi="Times New Roman"/>
          <w:i/>
          <w:iCs/>
          <w:sz w:val="20"/>
          <w:szCs w:val="20"/>
          <w:lang w:val="en-US"/>
        </w:rPr>
        <w:t>Dyilo</w:t>
      </w:r>
      <w:proofErr w:type="spellEnd"/>
      <w:r w:rsidRPr="006B6544">
        <w:rPr>
          <w:rFonts w:ascii="Times New Roman" w:hAnsi="Times New Roman"/>
          <w:sz w:val="20"/>
          <w:szCs w:val="20"/>
          <w:lang w:val="en-US"/>
        </w:rPr>
        <w:t>, Judgment</w:t>
      </w:r>
      <w:r>
        <w:rPr>
          <w:rFonts w:ascii="Times New Roman" w:hAnsi="Times New Roman"/>
          <w:sz w:val="20"/>
          <w:szCs w:val="20"/>
          <w:lang w:val="en-US"/>
        </w:rPr>
        <w:t xml:space="preserve"> pursuant to Article 74 of the Statute,</w:t>
      </w:r>
      <w:r w:rsidRPr="006B6544">
        <w:rPr>
          <w:rFonts w:ascii="Times New Roman" w:hAnsi="Times New Roman"/>
          <w:sz w:val="20"/>
          <w:szCs w:val="20"/>
          <w:lang w:val="en-US"/>
        </w:rPr>
        <w:t xml:space="preserve"> 14 March 2012 </w:t>
      </w:r>
      <w:r w:rsidRPr="009B3959">
        <w:rPr>
          <w:rFonts w:ascii="Times New Roman" w:hAnsi="Times New Roman"/>
          <w:sz w:val="20"/>
          <w:szCs w:val="20"/>
          <w:lang w:val="en-US"/>
        </w:rPr>
        <w:t xml:space="preserve">(hereinafter </w:t>
      </w:r>
      <w:r w:rsidRPr="009B3959">
        <w:rPr>
          <w:rFonts w:ascii="Times New Roman" w:hAnsi="Times New Roman"/>
          <w:i/>
          <w:iCs/>
          <w:sz w:val="20"/>
          <w:szCs w:val="20"/>
          <w:lang w:val="en-US"/>
        </w:rPr>
        <w:t>Lubanga</w:t>
      </w:r>
      <w:r w:rsidRPr="009B3959">
        <w:rPr>
          <w:rFonts w:ascii="Times New Roman" w:hAnsi="Times New Roman"/>
          <w:sz w:val="20"/>
          <w:szCs w:val="20"/>
          <w:lang w:val="en-US"/>
        </w:rPr>
        <w:t xml:space="preserve"> </w:t>
      </w:r>
      <w:r>
        <w:rPr>
          <w:rFonts w:ascii="Times New Roman" w:hAnsi="Times New Roman"/>
          <w:sz w:val="20"/>
          <w:szCs w:val="20"/>
          <w:lang w:val="en-US"/>
        </w:rPr>
        <w:t xml:space="preserve">Trial </w:t>
      </w:r>
      <w:r w:rsidRPr="009B3959">
        <w:rPr>
          <w:rFonts w:ascii="Times New Roman" w:hAnsi="Times New Roman"/>
          <w:sz w:val="20"/>
          <w:szCs w:val="20"/>
          <w:lang w:val="en-US"/>
        </w:rPr>
        <w:t>Judgment pursuant to Article 74),</w:t>
      </w:r>
      <w:r>
        <w:rPr>
          <w:rFonts w:ascii="Times New Roman" w:hAnsi="Times New Roman"/>
          <w:sz w:val="20"/>
          <w:szCs w:val="20"/>
          <w:lang w:val="en-US"/>
        </w:rPr>
        <w:t xml:space="preserve"> </w:t>
      </w:r>
      <w:r w:rsidRPr="006B6544">
        <w:rPr>
          <w:rFonts w:ascii="Times New Roman" w:hAnsi="Times New Roman"/>
          <w:sz w:val="20"/>
          <w:szCs w:val="20"/>
        </w:rPr>
        <w:t>ICC-01/04-01/06</w:t>
      </w:r>
      <w:r w:rsidRPr="006B6544">
        <w:rPr>
          <w:rFonts w:ascii="Times New Roman" w:hAnsi="Times New Roman"/>
          <w:sz w:val="20"/>
          <w:szCs w:val="20"/>
          <w:lang w:val="en-US"/>
        </w:rPr>
        <w:t>, paras 537-538;</w:t>
      </w:r>
      <w:r w:rsidRPr="006B6544">
        <w:rPr>
          <w:rFonts w:ascii="Times New Roman" w:hAnsi="Times New Roman"/>
          <w:i/>
          <w:iCs/>
          <w:sz w:val="20"/>
          <w:szCs w:val="20"/>
        </w:rPr>
        <w:t xml:space="preserve"> Katanga </w:t>
      </w:r>
      <w:r w:rsidRPr="006B6544">
        <w:rPr>
          <w:rFonts w:ascii="Times New Roman" w:hAnsi="Times New Roman"/>
          <w:sz w:val="20"/>
          <w:szCs w:val="20"/>
        </w:rPr>
        <w:t xml:space="preserve">Trial Judgment (n. 2), para 1186. Compare </w:t>
      </w:r>
      <w:r w:rsidRPr="006B6544">
        <w:rPr>
          <w:rFonts w:ascii="Times New Roman" w:hAnsi="Times New Roman"/>
          <w:i/>
          <w:iCs/>
          <w:sz w:val="20"/>
          <w:szCs w:val="20"/>
        </w:rPr>
        <w:t>ibid</w:t>
      </w:r>
      <w:r w:rsidRPr="006B6544">
        <w:rPr>
          <w:rFonts w:ascii="Times New Roman" w:hAnsi="Times New Roman"/>
          <w:sz w:val="20"/>
          <w:szCs w:val="20"/>
        </w:rPr>
        <w:t xml:space="preserve">, para. 1119; </w:t>
      </w:r>
      <w:r w:rsidRPr="00066403">
        <w:rPr>
          <w:rFonts w:ascii="Times New Roman" w:hAnsi="Times New Roman"/>
          <w:i/>
          <w:iCs/>
          <w:sz w:val="20"/>
          <w:szCs w:val="20"/>
        </w:rPr>
        <w:t>Prosecutor v. Bemba</w:t>
      </w:r>
      <w:r w:rsidRPr="006B6544">
        <w:rPr>
          <w:rFonts w:ascii="Times New Roman" w:hAnsi="Times New Roman"/>
          <w:sz w:val="20"/>
          <w:szCs w:val="20"/>
        </w:rPr>
        <w:t xml:space="preserve">, Judgment, 21 March 2016, </w:t>
      </w:r>
      <w:r w:rsidRPr="00066403">
        <w:rPr>
          <w:rFonts w:ascii="Times New Roman" w:hAnsi="Times New Roman"/>
          <w:sz w:val="20"/>
          <w:szCs w:val="20"/>
        </w:rPr>
        <w:t xml:space="preserve">ICC-01/05-01/08, </w:t>
      </w:r>
      <w:r w:rsidRPr="006B6544">
        <w:rPr>
          <w:rFonts w:ascii="Times New Roman" w:hAnsi="Times New Roman"/>
          <w:sz w:val="20"/>
          <w:szCs w:val="20"/>
        </w:rPr>
        <w:t xml:space="preserve">para. 134; </w:t>
      </w:r>
      <w:r w:rsidRPr="00066403">
        <w:rPr>
          <w:rFonts w:ascii="Times New Roman" w:hAnsi="Times New Roman"/>
          <w:i/>
          <w:iCs/>
          <w:sz w:val="20"/>
          <w:szCs w:val="20"/>
        </w:rPr>
        <w:t>Prosecutor v. Ntaganda</w:t>
      </w:r>
      <w:r w:rsidRPr="006B6544">
        <w:rPr>
          <w:rFonts w:ascii="Times New Roman" w:hAnsi="Times New Roman"/>
          <w:sz w:val="20"/>
          <w:szCs w:val="20"/>
        </w:rPr>
        <w:t xml:space="preserve">, Judgment, 8 July 2019, </w:t>
      </w:r>
      <w:r w:rsidRPr="00066403">
        <w:rPr>
          <w:rFonts w:ascii="Times New Roman" w:hAnsi="Times New Roman"/>
          <w:sz w:val="20"/>
          <w:szCs w:val="20"/>
        </w:rPr>
        <w:t xml:space="preserve">ICC-01/04-02/06, </w:t>
      </w:r>
      <w:r w:rsidRPr="006B6544">
        <w:rPr>
          <w:rFonts w:ascii="Times New Roman" w:hAnsi="Times New Roman"/>
          <w:sz w:val="20"/>
          <w:szCs w:val="20"/>
        </w:rPr>
        <w:t xml:space="preserve">para. 704. </w:t>
      </w:r>
      <w:r w:rsidRPr="006B6544">
        <w:rPr>
          <w:rFonts w:ascii="Times New Roman" w:hAnsi="Times New Roman"/>
          <w:sz w:val="20"/>
          <w:szCs w:val="20"/>
          <w:lang w:val="en-US"/>
        </w:rPr>
        <w:t xml:space="preserve">The ICC Trial Chamber expressly referred to the ICTY case-law: </w:t>
      </w:r>
      <w:proofErr w:type="spellStart"/>
      <w:r w:rsidRPr="006B6544">
        <w:rPr>
          <w:rFonts w:ascii="Times New Roman" w:hAnsi="Times New Roman"/>
          <w:i/>
          <w:iCs/>
          <w:sz w:val="20"/>
          <w:szCs w:val="20"/>
        </w:rPr>
        <w:t>Limaj</w:t>
      </w:r>
      <w:proofErr w:type="spellEnd"/>
      <w:r w:rsidRPr="006B6544">
        <w:rPr>
          <w:rFonts w:ascii="Times New Roman" w:hAnsi="Times New Roman"/>
          <w:i/>
          <w:iCs/>
          <w:sz w:val="20"/>
          <w:szCs w:val="20"/>
        </w:rPr>
        <w:t xml:space="preserve"> </w:t>
      </w:r>
      <w:r w:rsidRPr="006B6544">
        <w:rPr>
          <w:rFonts w:ascii="Times New Roman" w:hAnsi="Times New Roman"/>
          <w:sz w:val="20"/>
          <w:szCs w:val="20"/>
        </w:rPr>
        <w:t xml:space="preserve">Trial Judgment (n. 25), para 90; </w:t>
      </w:r>
      <w:proofErr w:type="spellStart"/>
      <w:r w:rsidRPr="006B6544">
        <w:rPr>
          <w:rFonts w:ascii="Times New Roman" w:hAnsi="Times New Roman"/>
          <w:i/>
          <w:iCs/>
          <w:sz w:val="20"/>
          <w:szCs w:val="20"/>
        </w:rPr>
        <w:t>Haradinaj</w:t>
      </w:r>
      <w:proofErr w:type="spellEnd"/>
      <w:r w:rsidRPr="006B6544">
        <w:rPr>
          <w:rFonts w:ascii="Times New Roman" w:hAnsi="Times New Roman"/>
          <w:i/>
          <w:iCs/>
          <w:sz w:val="20"/>
          <w:szCs w:val="20"/>
        </w:rPr>
        <w:t xml:space="preserve"> </w:t>
      </w:r>
      <w:r w:rsidRPr="006B6544">
        <w:rPr>
          <w:rFonts w:ascii="Times New Roman" w:hAnsi="Times New Roman"/>
          <w:sz w:val="20"/>
          <w:szCs w:val="20"/>
        </w:rPr>
        <w:t>Trial Chamber (n. 1</w:t>
      </w:r>
      <w:r>
        <w:rPr>
          <w:rFonts w:ascii="Times New Roman" w:hAnsi="Times New Roman"/>
          <w:sz w:val="20"/>
          <w:szCs w:val="20"/>
        </w:rPr>
        <w:t>6</w:t>
      </w:r>
      <w:r w:rsidRPr="006B6544">
        <w:rPr>
          <w:rFonts w:ascii="Times New Roman" w:hAnsi="Times New Roman"/>
          <w:sz w:val="20"/>
          <w:szCs w:val="20"/>
        </w:rPr>
        <w:t xml:space="preserve">), para. 60; </w:t>
      </w:r>
      <w:proofErr w:type="spellStart"/>
      <w:r w:rsidRPr="006B6544">
        <w:rPr>
          <w:rFonts w:ascii="Times New Roman" w:hAnsi="Times New Roman"/>
          <w:i/>
          <w:iCs/>
          <w:sz w:val="20"/>
          <w:szCs w:val="20"/>
        </w:rPr>
        <w:t>Boškoski</w:t>
      </w:r>
      <w:proofErr w:type="spellEnd"/>
      <w:r w:rsidRPr="006B6544">
        <w:rPr>
          <w:rFonts w:ascii="Times New Roman" w:hAnsi="Times New Roman"/>
          <w:i/>
          <w:iCs/>
          <w:sz w:val="20"/>
          <w:szCs w:val="20"/>
        </w:rPr>
        <w:t xml:space="preserve"> </w:t>
      </w:r>
      <w:r w:rsidRPr="006B6544">
        <w:rPr>
          <w:rFonts w:ascii="Times New Roman" w:hAnsi="Times New Roman"/>
          <w:sz w:val="20"/>
          <w:szCs w:val="20"/>
        </w:rPr>
        <w:t>Trial Judgment (n. 2</w:t>
      </w:r>
      <w:r>
        <w:rPr>
          <w:rFonts w:ascii="Times New Roman" w:hAnsi="Times New Roman"/>
          <w:sz w:val="20"/>
          <w:szCs w:val="20"/>
        </w:rPr>
        <w:t>1</w:t>
      </w:r>
      <w:r w:rsidRPr="006B6544">
        <w:rPr>
          <w:rFonts w:ascii="Times New Roman" w:hAnsi="Times New Roman"/>
          <w:sz w:val="20"/>
          <w:szCs w:val="20"/>
        </w:rPr>
        <w:t>), paras 199 – 203.</w:t>
      </w:r>
    </w:p>
  </w:footnote>
  <w:footnote w:id="29">
    <w:p w14:paraId="3CA2A76C" w14:textId="4730E3D0"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r w:rsidRPr="006B6544">
        <w:rPr>
          <w:rFonts w:ascii="Times New Roman" w:hAnsi="Times New Roman"/>
          <w:i/>
          <w:iCs/>
          <w:sz w:val="20"/>
          <w:szCs w:val="20"/>
          <w:lang w:val="en-US"/>
        </w:rPr>
        <w:t xml:space="preserve">Lubanga </w:t>
      </w:r>
      <w:r w:rsidRPr="006B6544">
        <w:rPr>
          <w:rFonts w:ascii="Times New Roman" w:hAnsi="Times New Roman"/>
          <w:sz w:val="20"/>
          <w:szCs w:val="20"/>
          <w:lang w:val="en-US"/>
        </w:rPr>
        <w:t xml:space="preserve">Trial Judgments (n. 26), </w:t>
      </w:r>
      <w:r w:rsidRPr="006B6544">
        <w:rPr>
          <w:rFonts w:ascii="Times New Roman" w:hAnsi="Times New Roman"/>
          <w:sz w:val="20"/>
          <w:szCs w:val="20"/>
        </w:rPr>
        <w:t xml:space="preserve">para. 537; and </w:t>
      </w:r>
      <w:r w:rsidRPr="006B6544">
        <w:rPr>
          <w:rFonts w:ascii="Times New Roman" w:hAnsi="Times New Roman"/>
          <w:i/>
          <w:iCs/>
          <w:sz w:val="20"/>
          <w:szCs w:val="20"/>
        </w:rPr>
        <w:t xml:space="preserve">Katanga </w:t>
      </w:r>
      <w:r w:rsidRPr="006B6544">
        <w:rPr>
          <w:rFonts w:ascii="Times New Roman" w:hAnsi="Times New Roman"/>
          <w:sz w:val="20"/>
          <w:szCs w:val="20"/>
        </w:rPr>
        <w:t xml:space="preserve">Trial Judgment (n. 2), para. 1186. See also ICC, </w:t>
      </w:r>
      <w:r w:rsidRPr="006B6544">
        <w:rPr>
          <w:rFonts w:ascii="Times New Roman" w:hAnsi="Times New Roman"/>
          <w:i/>
          <w:iCs/>
          <w:sz w:val="20"/>
          <w:szCs w:val="20"/>
        </w:rPr>
        <w:t xml:space="preserve">Bemba </w:t>
      </w:r>
      <w:r w:rsidRPr="00066403">
        <w:rPr>
          <w:rFonts w:ascii="Times New Roman" w:hAnsi="Times New Roman"/>
          <w:sz w:val="20"/>
          <w:szCs w:val="20"/>
        </w:rPr>
        <w:t>Trial</w:t>
      </w:r>
      <w:r>
        <w:rPr>
          <w:rFonts w:ascii="Times New Roman" w:hAnsi="Times New Roman"/>
          <w:i/>
          <w:iCs/>
          <w:sz w:val="20"/>
          <w:szCs w:val="20"/>
        </w:rPr>
        <w:t xml:space="preserve"> </w:t>
      </w:r>
      <w:r w:rsidRPr="006B6544">
        <w:rPr>
          <w:rFonts w:ascii="Times New Roman" w:hAnsi="Times New Roman"/>
          <w:sz w:val="20"/>
          <w:szCs w:val="20"/>
        </w:rPr>
        <w:t>Judgment</w:t>
      </w:r>
      <w:r>
        <w:rPr>
          <w:rFonts w:ascii="Times New Roman" w:hAnsi="Times New Roman"/>
          <w:sz w:val="20"/>
          <w:szCs w:val="20"/>
        </w:rPr>
        <w:t xml:space="preserve"> (n. 12), </w:t>
      </w:r>
      <w:r w:rsidRPr="006B6544">
        <w:rPr>
          <w:rFonts w:ascii="Times New Roman" w:hAnsi="Times New Roman"/>
          <w:sz w:val="20"/>
          <w:szCs w:val="20"/>
        </w:rPr>
        <w:t>para. 134.</w:t>
      </w:r>
    </w:p>
  </w:footnote>
  <w:footnote w:id="30">
    <w:p w14:paraId="46FDB6FF" w14:textId="457D57A9"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J.K. </w:t>
      </w:r>
      <w:proofErr w:type="spellStart"/>
      <w:r w:rsidRPr="006B6544">
        <w:rPr>
          <w:rFonts w:ascii="Times New Roman" w:hAnsi="Times New Roman"/>
          <w:sz w:val="20"/>
          <w:szCs w:val="20"/>
        </w:rPr>
        <w:t>Kleffner</w:t>
      </w:r>
      <w:proofErr w:type="spellEnd"/>
      <w:r w:rsidRPr="006B6544">
        <w:rPr>
          <w:rFonts w:ascii="Times New Roman" w:hAnsi="Times New Roman"/>
          <w:sz w:val="20"/>
          <w:szCs w:val="20"/>
        </w:rPr>
        <w:t xml:space="preserve">, ‘The Legal Fog of an Illusion: Three Reflections on “Organization” and “Intensity” as Criteria for the Temporal Scope of the Law of Non-International Armed Conflict’, (2019) 95 </w:t>
      </w:r>
      <w:r w:rsidRPr="006B6544">
        <w:rPr>
          <w:rFonts w:ascii="Times New Roman" w:hAnsi="Times New Roman"/>
          <w:i/>
          <w:iCs/>
          <w:sz w:val="20"/>
          <w:szCs w:val="20"/>
        </w:rPr>
        <w:t xml:space="preserve">International Law Studies </w:t>
      </w:r>
      <w:r w:rsidRPr="006B6544">
        <w:rPr>
          <w:rFonts w:ascii="Times New Roman" w:hAnsi="Times New Roman"/>
          <w:sz w:val="20"/>
          <w:szCs w:val="20"/>
        </w:rPr>
        <w:t xml:space="preserve">161, at 168. </w:t>
      </w:r>
    </w:p>
  </w:footnote>
  <w:footnote w:id="31">
    <w:p w14:paraId="0E622989" w14:textId="39A07E33"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w:t>
      </w:r>
      <w:proofErr w:type="spellStart"/>
      <w:r w:rsidRPr="006B6544">
        <w:rPr>
          <w:rFonts w:ascii="Times New Roman" w:hAnsi="Times New Roman"/>
          <w:sz w:val="20"/>
          <w:szCs w:val="20"/>
        </w:rPr>
        <w:t>Debuf</w:t>
      </w:r>
      <w:proofErr w:type="spellEnd"/>
      <w:r w:rsidRPr="006B6544">
        <w:rPr>
          <w:rFonts w:ascii="Times New Roman" w:hAnsi="Times New Roman"/>
          <w:sz w:val="20"/>
          <w:szCs w:val="20"/>
        </w:rPr>
        <w:t xml:space="preserve"> (n. 7), at 191-192. See also </w:t>
      </w:r>
      <w:proofErr w:type="spellStart"/>
      <w:r w:rsidRPr="006B6544">
        <w:rPr>
          <w:rFonts w:ascii="Times New Roman" w:hAnsi="Times New Roman"/>
          <w:sz w:val="20"/>
          <w:szCs w:val="20"/>
        </w:rPr>
        <w:t>Lubell</w:t>
      </w:r>
      <w:proofErr w:type="spellEnd"/>
      <w:r w:rsidRPr="006B6544">
        <w:rPr>
          <w:rFonts w:ascii="Times New Roman" w:hAnsi="Times New Roman"/>
          <w:sz w:val="20"/>
          <w:szCs w:val="20"/>
        </w:rPr>
        <w:t xml:space="preserve"> (2010), (n. 13), at 110 (suggesting that the minimum should include ‘the ability to command and control members of the </w:t>
      </w:r>
      <w:proofErr w:type="gramStart"/>
      <w:r w:rsidRPr="006B6544">
        <w:rPr>
          <w:rFonts w:ascii="Times New Roman" w:hAnsi="Times New Roman"/>
          <w:sz w:val="20"/>
          <w:szCs w:val="20"/>
        </w:rPr>
        <w:t>group, and</w:t>
      </w:r>
      <w:proofErr w:type="gramEnd"/>
      <w:r w:rsidRPr="006B6544">
        <w:rPr>
          <w:rFonts w:ascii="Times New Roman" w:hAnsi="Times New Roman"/>
          <w:sz w:val="20"/>
          <w:szCs w:val="20"/>
        </w:rPr>
        <w:t xml:space="preserve"> carry out the group’s operations’).</w:t>
      </w:r>
    </w:p>
  </w:footnote>
  <w:footnote w:id="32">
    <w:p w14:paraId="66E01887" w14:textId="5D1649FC"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See </w:t>
      </w:r>
      <w:proofErr w:type="spellStart"/>
      <w:r w:rsidRPr="006B6544">
        <w:rPr>
          <w:rFonts w:ascii="Times New Roman" w:hAnsi="Times New Roman"/>
          <w:sz w:val="20"/>
          <w:szCs w:val="20"/>
        </w:rPr>
        <w:t>Pejić</w:t>
      </w:r>
      <w:proofErr w:type="spellEnd"/>
      <w:r w:rsidRPr="006B6544">
        <w:rPr>
          <w:rFonts w:ascii="Times New Roman" w:hAnsi="Times New Roman"/>
          <w:sz w:val="20"/>
          <w:szCs w:val="20"/>
        </w:rPr>
        <w:t xml:space="preserve"> (2007) (n. 11), at 85.</w:t>
      </w:r>
    </w:p>
  </w:footnote>
  <w:footnote w:id="33">
    <w:p w14:paraId="3E19CFE1" w14:textId="7D68F5B0" w:rsidR="004F2CB8" w:rsidRPr="006B6544" w:rsidRDefault="004F2CB8" w:rsidP="006B6544">
      <w:pPr>
        <w:pStyle w:val="a3"/>
        <w:jc w:val="both"/>
        <w:rPr>
          <w:rFonts w:ascii="Times New Roman" w:hAnsi="Times New Roman"/>
          <w:sz w:val="20"/>
          <w:szCs w:val="20"/>
        </w:rPr>
      </w:pPr>
      <w:r w:rsidRPr="006B6544">
        <w:rPr>
          <w:rStyle w:val="a5"/>
          <w:rFonts w:ascii="Times New Roman" w:hAnsi="Times New Roman"/>
          <w:sz w:val="20"/>
          <w:szCs w:val="20"/>
        </w:rPr>
        <w:footnoteRef/>
      </w:r>
      <w:r w:rsidRPr="006B6544">
        <w:rPr>
          <w:rFonts w:ascii="Times New Roman" w:hAnsi="Times New Roman"/>
          <w:sz w:val="20"/>
          <w:szCs w:val="20"/>
        </w:rPr>
        <w:t xml:space="preserve"> A. </w:t>
      </w:r>
      <w:proofErr w:type="spellStart"/>
      <w:r w:rsidRPr="006B6544">
        <w:rPr>
          <w:rFonts w:ascii="Times New Roman" w:hAnsi="Times New Roman"/>
          <w:sz w:val="20"/>
          <w:szCs w:val="20"/>
        </w:rPr>
        <w:t>Rodiles</w:t>
      </w:r>
      <w:proofErr w:type="spellEnd"/>
      <w:r w:rsidRPr="006B6544">
        <w:rPr>
          <w:rFonts w:ascii="Times New Roman" w:hAnsi="Times New Roman"/>
          <w:sz w:val="20"/>
          <w:szCs w:val="20"/>
        </w:rPr>
        <w:t xml:space="preserve">, ‘Law and Violence in the Global South: The Legal Framing of Mexico’s ‘NARCO WAR’, (2018) 23 </w:t>
      </w:r>
      <w:r w:rsidRPr="006B6544">
        <w:rPr>
          <w:rStyle w:val="af5"/>
          <w:rFonts w:ascii="Times New Roman" w:hAnsi="Times New Roman"/>
          <w:color w:val="2A2A2A"/>
          <w:sz w:val="20"/>
          <w:szCs w:val="20"/>
          <w:bdr w:val="none" w:sz="0" w:space="0" w:color="auto" w:frame="1"/>
          <w:shd w:val="clear" w:color="auto" w:fill="FFFFFF"/>
        </w:rPr>
        <w:t>Journal of Conflict and Security Law</w:t>
      </w:r>
      <w:r w:rsidRPr="006B6544">
        <w:rPr>
          <w:rFonts w:ascii="Times New Roman" w:hAnsi="Times New Roman"/>
          <w:color w:val="2A2A2A"/>
          <w:sz w:val="20"/>
          <w:szCs w:val="20"/>
          <w:shd w:val="clear" w:color="auto" w:fill="FFFFFF"/>
        </w:rPr>
        <w:t xml:space="preserve"> 269–281</w:t>
      </w:r>
      <w:r w:rsidRPr="006B6544">
        <w:rPr>
          <w:rFonts w:ascii="Times New Roman" w:hAnsi="Times New Roman"/>
          <w:sz w:val="20"/>
          <w:szCs w:val="20"/>
        </w:rPr>
        <w:t>, at 277.</w:t>
      </w:r>
    </w:p>
  </w:footnote>
  <w:footnote w:id="34">
    <w:p w14:paraId="1BEA322A" w14:textId="77777777" w:rsidR="004F2CB8" w:rsidRPr="006B6544" w:rsidRDefault="004F2CB8" w:rsidP="006B6544">
      <w:pPr>
        <w:pStyle w:val="a3"/>
        <w:tabs>
          <w:tab w:val="left" w:pos="3261"/>
        </w:tabs>
        <w:jc w:val="both"/>
        <w:rPr>
          <w:rFonts w:ascii="Times New Roman" w:hAnsi="Times New Roman"/>
          <w:sz w:val="20"/>
          <w:szCs w:val="20"/>
          <w:u w:val="single"/>
        </w:rPr>
      </w:pPr>
      <w:r w:rsidRPr="006B6544">
        <w:rPr>
          <w:rStyle w:val="a5"/>
          <w:rFonts w:ascii="Times New Roman" w:hAnsi="Times New Roman"/>
          <w:sz w:val="20"/>
          <w:szCs w:val="20"/>
        </w:rPr>
        <w:footnoteRef/>
      </w:r>
      <w:r w:rsidRPr="006B6544">
        <w:rPr>
          <w:rFonts w:ascii="Times New Roman" w:hAnsi="Times New Roman"/>
          <w:sz w:val="20"/>
          <w:szCs w:val="20"/>
        </w:rPr>
        <w:t xml:space="preserve"> ICRC, Draft Additional Protocols to the Geneva Conventions of August 12, 1949:  Commentary (October 1973), 132.</w:t>
      </w:r>
    </w:p>
  </w:footnote>
  <w:footnote w:id="35">
    <w:p w14:paraId="0293231E" w14:textId="3B21321F" w:rsidR="004F2CB8" w:rsidRPr="009B3959" w:rsidRDefault="004F2CB8" w:rsidP="006B6544">
      <w:pPr>
        <w:pStyle w:val="a3"/>
        <w:jc w:val="both"/>
        <w:rPr>
          <w:rFonts w:ascii="Times New Roman" w:hAnsi="Times New Roman"/>
          <w:sz w:val="20"/>
          <w:szCs w:val="20"/>
          <w:shd w:val="clear" w:color="auto" w:fill="FFFFFF"/>
        </w:rPr>
      </w:pPr>
      <w:r w:rsidRPr="006B6544">
        <w:rPr>
          <w:rStyle w:val="a5"/>
          <w:rFonts w:ascii="Times New Roman" w:hAnsi="Times New Roman"/>
          <w:sz w:val="20"/>
          <w:szCs w:val="20"/>
        </w:rPr>
        <w:footnoteRef/>
      </w:r>
      <w:r w:rsidRPr="006B6544">
        <w:rPr>
          <w:rFonts w:ascii="Times New Roman" w:hAnsi="Times New Roman"/>
          <w:sz w:val="20"/>
          <w:szCs w:val="20"/>
        </w:rPr>
        <w:t xml:space="preserve"> ICTY, </w:t>
      </w:r>
      <w:r w:rsidRPr="006B6544">
        <w:rPr>
          <w:rFonts w:ascii="Times New Roman" w:hAnsi="Times New Roman"/>
          <w:i/>
          <w:iCs/>
          <w:sz w:val="20"/>
          <w:szCs w:val="20"/>
        </w:rPr>
        <w:t xml:space="preserve">Prosecutor v. </w:t>
      </w:r>
      <w:proofErr w:type="spellStart"/>
      <w:r w:rsidRPr="006B6544">
        <w:rPr>
          <w:rFonts w:ascii="Times New Roman" w:hAnsi="Times New Roman"/>
          <w:i/>
          <w:iCs/>
          <w:sz w:val="20"/>
          <w:szCs w:val="20"/>
        </w:rPr>
        <w:t>Hadžihasanović,Alagić,and</w:t>
      </w:r>
      <w:proofErr w:type="spellEnd"/>
      <w:r w:rsidRPr="006B6544">
        <w:rPr>
          <w:rFonts w:ascii="Times New Roman" w:hAnsi="Times New Roman"/>
          <w:i/>
          <w:iCs/>
          <w:sz w:val="20"/>
          <w:szCs w:val="20"/>
        </w:rPr>
        <w:t xml:space="preserve"> </w:t>
      </w:r>
      <w:proofErr w:type="spellStart"/>
      <w:r w:rsidRPr="006B6544">
        <w:rPr>
          <w:rFonts w:ascii="Times New Roman" w:hAnsi="Times New Roman"/>
          <w:i/>
          <w:iCs/>
          <w:sz w:val="20"/>
          <w:szCs w:val="20"/>
        </w:rPr>
        <w:t>Kubura</w:t>
      </w:r>
      <w:proofErr w:type="spellEnd"/>
      <w:r w:rsidRPr="006B6544">
        <w:rPr>
          <w:rFonts w:ascii="Times New Roman" w:hAnsi="Times New Roman"/>
          <w:i/>
          <w:iCs/>
          <w:sz w:val="20"/>
          <w:szCs w:val="20"/>
        </w:rPr>
        <w:t>,</w:t>
      </w:r>
      <w:r w:rsidRPr="006B6544">
        <w:rPr>
          <w:rFonts w:ascii="Times New Roman" w:hAnsi="Times New Roman"/>
          <w:sz w:val="20"/>
          <w:szCs w:val="20"/>
        </w:rPr>
        <w:t xml:space="preserve"> IT-01-47-AR72, Decision on Interlocutory Appeal Challenging Jurisdiction in relation to Command Responsibility, 16 July 2003, paras 16-17</w:t>
      </w:r>
      <w:r w:rsidRPr="006B6544">
        <w:rPr>
          <w:rFonts w:ascii="Times New Roman" w:hAnsi="Times New Roman"/>
          <w:sz w:val="20"/>
          <w:szCs w:val="20"/>
          <w:shd w:val="clear" w:color="auto" w:fill="FFFFFF"/>
        </w:rPr>
        <w:t xml:space="preserve">  (though this point was made in the specific context of assessing if </w:t>
      </w:r>
      <w:r w:rsidRPr="00066403">
        <w:rPr>
          <w:rFonts w:ascii="Times New Roman" w:eastAsia="メイリオ" w:hAnsi="Times New Roman"/>
          <w:sz w:val="20"/>
          <w:szCs w:val="20"/>
          <w:shd w:val="clear" w:color="auto" w:fill="FFFFFF"/>
        </w:rPr>
        <w:t>customary international law recognized command responsibility in NIACs</w:t>
      </w:r>
      <w:r w:rsidRPr="009B3959">
        <w:rPr>
          <w:rFonts w:ascii="Times New Roman" w:eastAsia="メイリオ" w:hAnsi="Times New Roman"/>
          <w:sz w:val="20"/>
          <w:szCs w:val="20"/>
          <w:shd w:val="clear" w:color="auto" w:fill="FFFFFF"/>
        </w:rPr>
        <w:t>)</w:t>
      </w:r>
      <w:r w:rsidRPr="00066403">
        <w:rPr>
          <w:rFonts w:ascii="Times New Roman" w:eastAsia="メイリオ" w:hAnsi="Times New Roman"/>
          <w:sz w:val="20"/>
          <w:szCs w:val="20"/>
          <w:shd w:val="clear" w:color="auto" w:fill="FFFFFF"/>
        </w:rPr>
        <w:t xml:space="preserve">. </w:t>
      </w:r>
    </w:p>
  </w:footnote>
  <w:footnote w:id="36">
    <w:p w14:paraId="5A45C226" w14:textId="038CA67B"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w:t>
      </w:r>
      <w:proofErr w:type="spellStart"/>
      <w:r w:rsidRPr="009B3959">
        <w:rPr>
          <w:rFonts w:ascii="Times New Roman" w:hAnsi="Times New Roman"/>
          <w:sz w:val="20"/>
          <w:szCs w:val="20"/>
        </w:rPr>
        <w:t>Cout</w:t>
      </w:r>
      <w:proofErr w:type="spellEnd"/>
      <w:r w:rsidRPr="009B3959">
        <w:rPr>
          <w:rFonts w:ascii="Times New Roman" w:hAnsi="Times New Roman"/>
          <w:sz w:val="20"/>
          <w:szCs w:val="20"/>
        </w:rPr>
        <w:t xml:space="preserve"> of Justice of European Union (CJEU), Case C-285/12, </w:t>
      </w:r>
      <w:proofErr w:type="spellStart"/>
      <w:r w:rsidRPr="009B3959">
        <w:rPr>
          <w:rFonts w:ascii="Times New Roman" w:hAnsi="Times New Roman"/>
          <w:i/>
          <w:iCs/>
          <w:sz w:val="20"/>
          <w:szCs w:val="20"/>
        </w:rPr>
        <w:t>Aboubacar</w:t>
      </w:r>
      <w:proofErr w:type="spellEnd"/>
      <w:r w:rsidRPr="009B3959">
        <w:rPr>
          <w:rFonts w:ascii="Times New Roman" w:hAnsi="Times New Roman"/>
          <w:i/>
          <w:iCs/>
          <w:sz w:val="20"/>
          <w:szCs w:val="20"/>
        </w:rPr>
        <w:t xml:space="preserve"> Diakité v. Commissaire </w:t>
      </w:r>
      <w:proofErr w:type="spellStart"/>
      <w:r w:rsidRPr="009B3959">
        <w:rPr>
          <w:rFonts w:ascii="Times New Roman" w:hAnsi="Times New Roman"/>
          <w:i/>
          <w:iCs/>
          <w:sz w:val="20"/>
          <w:szCs w:val="20"/>
        </w:rPr>
        <w:t>général</w:t>
      </w:r>
      <w:proofErr w:type="spellEnd"/>
      <w:r w:rsidRPr="009B3959">
        <w:rPr>
          <w:rFonts w:ascii="Times New Roman" w:hAnsi="Times New Roman"/>
          <w:i/>
          <w:iCs/>
          <w:sz w:val="20"/>
          <w:szCs w:val="20"/>
        </w:rPr>
        <w:t xml:space="preserve"> aux </w:t>
      </w:r>
      <w:proofErr w:type="spellStart"/>
      <w:r w:rsidRPr="009B3959">
        <w:rPr>
          <w:rFonts w:ascii="Times New Roman" w:hAnsi="Times New Roman"/>
          <w:i/>
          <w:iCs/>
          <w:sz w:val="20"/>
          <w:szCs w:val="20"/>
        </w:rPr>
        <w:t>réfugiés</w:t>
      </w:r>
      <w:proofErr w:type="spellEnd"/>
      <w:r w:rsidRPr="009B3959">
        <w:rPr>
          <w:rFonts w:ascii="Times New Roman" w:hAnsi="Times New Roman"/>
          <w:i/>
          <w:iCs/>
          <w:sz w:val="20"/>
          <w:szCs w:val="20"/>
        </w:rPr>
        <w:t xml:space="preserve"> et aux </w:t>
      </w:r>
      <w:proofErr w:type="spellStart"/>
      <w:r w:rsidRPr="009B3959">
        <w:rPr>
          <w:rFonts w:ascii="Times New Roman" w:hAnsi="Times New Roman"/>
          <w:i/>
          <w:iCs/>
          <w:sz w:val="20"/>
          <w:szCs w:val="20"/>
        </w:rPr>
        <w:t>apatrides</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opinion of Advocate General </w:t>
      </w:r>
      <w:proofErr w:type="spellStart"/>
      <w:r w:rsidRPr="009B3959">
        <w:rPr>
          <w:rFonts w:ascii="Times New Roman" w:hAnsi="Times New Roman"/>
          <w:sz w:val="20"/>
          <w:szCs w:val="20"/>
        </w:rPr>
        <w:t>Mengozzi</w:t>
      </w:r>
      <w:proofErr w:type="spellEnd"/>
      <w:r w:rsidRPr="009B3959">
        <w:rPr>
          <w:rFonts w:ascii="Times New Roman" w:hAnsi="Times New Roman"/>
          <w:sz w:val="20"/>
          <w:szCs w:val="20"/>
        </w:rPr>
        <w:t xml:space="preserve">, </w:t>
      </w:r>
      <w:r w:rsidRPr="009B3959">
        <w:rPr>
          <w:rFonts w:ascii="Times New Roman" w:hAnsi="Times New Roman"/>
          <w:sz w:val="20"/>
          <w:szCs w:val="20"/>
          <w:lang w:val="en-US"/>
        </w:rPr>
        <w:t>53.</w:t>
      </w:r>
    </w:p>
  </w:footnote>
  <w:footnote w:id="37">
    <w:p w14:paraId="6549EFFC" w14:textId="45DB80A5" w:rsidR="004F2CB8" w:rsidRPr="009B3959" w:rsidRDefault="004F2CB8" w:rsidP="009B3959">
      <w:pPr>
        <w:rPr>
          <w:rFonts w:ascii="Times New Roman" w:hAnsi="Times New Roman"/>
          <w:sz w:val="20"/>
          <w:szCs w:val="20"/>
          <w:shd w:val="clear" w:color="auto" w:fill="FFFFFF"/>
        </w:rPr>
      </w:pPr>
      <w:r w:rsidRPr="009B3959">
        <w:rPr>
          <w:rStyle w:val="a5"/>
          <w:rFonts w:ascii="Times New Roman" w:hAnsi="Times New Roman"/>
          <w:sz w:val="20"/>
          <w:szCs w:val="20"/>
        </w:rPr>
        <w:footnoteRef/>
      </w:r>
      <w:r w:rsidRPr="009B3959">
        <w:rPr>
          <w:rFonts w:ascii="Times New Roman" w:hAnsi="Times New Roman"/>
          <w:sz w:val="20"/>
          <w:szCs w:val="20"/>
        </w:rPr>
        <w:t xml:space="preserve"> ICRC’s Commentary to A</w:t>
      </w:r>
      <w:r>
        <w:rPr>
          <w:rFonts w:ascii="Times New Roman" w:hAnsi="Times New Roman"/>
          <w:sz w:val="20"/>
          <w:szCs w:val="20"/>
        </w:rPr>
        <w:t>dditional Protocol</w:t>
      </w:r>
      <w:r w:rsidRPr="009B3959">
        <w:rPr>
          <w:rFonts w:ascii="Times New Roman" w:hAnsi="Times New Roman"/>
          <w:sz w:val="20"/>
          <w:szCs w:val="20"/>
        </w:rPr>
        <w:t>s, para. 4463.</w:t>
      </w:r>
      <w:r w:rsidRPr="009B3959">
        <w:rPr>
          <w:rFonts w:ascii="Times New Roman" w:hAnsi="Times New Roman"/>
          <w:sz w:val="20"/>
          <w:szCs w:val="20"/>
          <w:shd w:val="clear" w:color="auto" w:fill="FFFFFF"/>
        </w:rPr>
        <w:t xml:space="preserve"> See also </w:t>
      </w:r>
      <w:r w:rsidRPr="009B3959">
        <w:rPr>
          <w:rFonts w:ascii="Times New Roman" w:hAnsi="Times New Roman"/>
          <w:sz w:val="20"/>
          <w:szCs w:val="20"/>
        </w:rPr>
        <w:t xml:space="preserve">M. </w:t>
      </w:r>
      <w:proofErr w:type="spellStart"/>
      <w:r w:rsidRPr="009B3959">
        <w:rPr>
          <w:rFonts w:ascii="Times New Roman" w:hAnsi="Times New Roman"/>
          <w:sz w:val="20"/>
          <w:szCs w:val="20"/>
        </w:rPr>
        <w:t>Osiel</w:t>
      </w:r>
      <w:proofErr w:type="spellEnd"/>
      <w:r w:rsidRPr="009B3959">
        <w:rPr>
          <w:rFonts w:ascii="Times New Roman" w:hAnsi="Times New Roman"/>
          <w:sz w:val="20"/>
          <w:szCs w:val="20"/>
        </w:rPr>
        <w:t xml:space="preserve">, ‘The Banality of Good:  Aligning Incentives Against Mass Atrocity’, (2005) 105 </w:t>
      </w:r>
      <w:r w:rsidRPr="009B3959">
        <w:rPr>
          <w:rFonts w:ascii="Times New Roman" w:hAnsi="Times New Roman"/>
          <w:i/>
          <w:iCs/>
          <w:sz w:val="20"/>
          <w:szCs w:val="20"/>
        </w:rPr>
        <w:t xml:space="preserve">Columbia Law Review </w:t>
      </w:r>
      <w:r w:rsidRPr="009B3959">
        <w:rPr>
          <w:rFonts w:ascii="Times New Roman" w:hAnsi="Times New Roman"/>
          <w:sz w:val="20"/>
          <w:szCs w:val="20"/>
        </w:rPr>
        <w:t xml:space="preserve">1751, </w:t>
      </w:r>
      <w:proofErr w:type="gramStart"/>
      <w:r w:rsidRPr="009B3959">
        <w:rPr>
          <w:rFonts w:ascii="Times New Roman" w:hAnsi="Times New Roman"/>
          <w:sz w:val="20"/>
          <w:szCs w:val="20"/>
        </w:rPr>
        <w:t>at</w:t>
      </w:r>
      <w:proofErr w:type="gramEnd"/>
      <w:r w:rsidRPr="009B3959">
        <w:rPr>
          <w:rFonts w:ascii="Times New Roman" w:hAnsi="Times New Roman"/>
          <w:sz w:val="20"/>
          <w:szCs w:val="20"/>
        </w:rPr>
        <w:t xml:space="preserve"> 1778.</w:t>
      </w:r>
    </w:p>
  </w:footnote>
  <w:footnote w:id="38">
    <w:p w14:paraId="6088746E" w14:textId="0CA06662"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Sassòli</w:t>
      </w:r>
      <w:proofErr w:type="spellEnd"/>
      <w:r w:rsidRPr="009B3959">
        <w:rPr>
          <w:rFonts w:ascii="Times New Roman" w:hAnsi="Times New Roman"/>
          <w:sz w:val="20"/>
          <w:szCs w:val="20"/>
        </w:rPr>
        <w:t xml:space="preserve"> (2011) (n. 17), at 429-430; Sivakumaran (2012) (n. 12) at 176.</w:t>
      </w:r>
    </w:p>
  </w:footnote>
  <w:footnote w:id="39">
    <w:p w14:paraId="706CCF18" w14:textId="77777777"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Talinn</w:t>
      </w:r>
      <w:proofErr w:type="spellEnd"/>
      <w:r w:rsidRPr="009B3959">
        <w:rPr>
          <w:rFonts w:ascii="Times New Roman" w:hAnsi="Times New Roman"/>
          <w:sz w:val="20"/>
          <w:szCs w:val="20"/>
        </w:rPr>
        <w:t xml:space="preserve"> Manual explains that:</w:t>
      </w:r>
    </w:p>
    <w:p w14:paraId="1951B153" w14:textId="77777777" w:rsidR="004F2CB8" w:rsidRPr="009B3959" w:rsidRDefault="004F2CB8" w:rsidP="009B3959">
      <w:pPr>
        <w:pStyle w:val="a3"/>
        <w:jc w:val="both"/>
        <w:rPr>
          <w:rFonts w:ascii="Times New Roman" w:hAnsi="Times New Roman"/>
          <w:sz w:val="20"/>
          <w:szCs w:val="20"/>
        </w:rPr>
      </w:pPr>
    </w:p>
    <w:p w14:paraId="6E0C7C50" w14:textId="77777777" w:rsidR="004F2CB8" w:rsidRPr="009B3959" w:rsidRDefault="004F2CB8" w:rsidP="009B3959">
      <w:pPr>
        <w:pStyle w:val="a3"/>
        <w:ind w:leftChars="67" w:left="141"/>
        <w:jc w:val="both"/>
        <w:rPr>
          <w:rFonts w:ascii="Times New Roman" w:hAnsi="Times New Roman"/>
          <w:sz w:val="20"/>
          <w:szCs w:val="20"/>
        </w:rPr>
      </w:pPr>
      <w:r w:rsidRPr="009B3959">
        <w:rPr>
          <w:rFonts w:ascii="Times New Roman" w:hAnsi="Times New Roman"/>
          <w:sz w:val="20"/>
          <w:szCs w:val="20"/>
        </w:rPr>
        <w:t>It is ‘organised’ if it is under an established command structure and can conduct sustained military operations. The extent of organisation does not have to reach the level of a conventional militarily disciplined unit. However, cyber operations and computer attacks by private individuals do not suffice. Even small groups of hackers are unlikely to meet the requirement of organisation. Whether or not a given group is organised must be determined on a case-by-case basis.</w:t>
      </w:r>
    </w:p>
    <w:p w14:paraId="700A0DFC" w14:textId="77777777" w:rsidR="004F2CB8" w:rsidRPr="009B3959" w:rsidRDefault="004F2CB8" w:rsidP="009B3959">
      <w:pPr>
        <w:pStyle w:val="a3"/>
        <w:jc w:val="both"/>
        <w:rPr>
          <w:rFonts w:ascii="Times New Roman" w:hAnsi="Times New Roman"/>
          <w:sz w:val="20"/>
          <w:szCs w:val="20"/>
        </w:rPr>
      </w:pPr>
    </w:p>
    <w:p w14:paraId="4CC75F60" w14:textId="60620378" w:rsidR="004F2CB8" w:rsidRPr="009B3959" w:rsidRDefault="004F2CB8" w:rsidP="009B3959">
      <w:pPr>
        <w:pStyle w:val="a3"/>
        <w:jc w:val="both"/>
        <w:rPr>
          <w:rFonts w:ascii="Times New Roman" w:hAnsi="Times New Roman"/>
          <w:sz w:val="20"/>
          <w:szCs w:val="20"/>
        </w:rPr>
      </w:pPr>
      <w:r w:rsidRPr="009B3959">
        <w:rPr>
          <w:rFonts w:ascii="Times New Roman" w:hAnsi="Times New Roman"/>
          <w:sz w:val="20"/>
          <w:szCs w:val="20"/>
        </w:rPr>
        <w:t xml:space="preserve">M. Schmitt (ed), </w:t>
      </w:r>
      <w:r w:rsidRPr="009B3959">
        <w:rPr>
          <w:rFonts w:ascii="Times New Roman" w:hAnsi="Times New Roman"/>
          <w:i/>
          <w:iCs/>
          <w:sz w:val="20"/>
          <w:szCs w:val="20"/>
        </w:rPr>
        <w:t xml:space="preserve">Tallinn Manual 2.0 on the International Law Applicable to Cyber Operations, </w:t>
      </w:r>
      <w:r w:rsidRPr="009B3959">
        <w:rPr>
          <w:rFonts w:ascii="Times New Roman" w:hAnsi="Times New Roman"/>
          <w:sz w:val="20"/>
          <w:szCs w:val="20"/>
        </w:rPr>
        <w:t>2</w:t>
      </w:r>
      <w:r w:rsidRPr="009B3959">
        <w:rPr>
          <w:rFonts w:ascii="Times New Roman" w:hAnsi="Times New Roman"/>
          <w:sz w:val="20"/>
          <w:szCs w:val="20"/>
          <w:vertAlign w:val="superscript"/>
        </w:rPr>
        <w:t>nd</w:t>
      </w:r>
      <w:r w:rsidRPr="009B3959">
        <w:rPr>
          <w:rFonts w:ascii="Times New Roman" w:hAnsi="Times New Roman"/>
          <w:sz w:val="20"/>
          <w:szCs w:val="20"/>
        </w:rPr>
        <w:t xml:space="preserve"> ed., (Cambridge:  Cambridge University Press, 2017), Rule 83, at 389, para. 11, footnote omitted. See also ibid., at 389-391, paras. 12-15. Compare R. </w:t>
      </w:r>
      <w:proofErr w:type="spellStart"/>
      <w:r w:rsidRPr="009B3959">
        <w:rPr>
          <w:rFonts w:ascii="Times New Roman" w:hAnsi="Times New Roman"/>
          <w:sz w:val="20"/>
          <w:szCs w:val="20"/>
        </w:rPr>
        <w:t>Gei</w:t>
      </w:r>
      <w:r w:rsidRPr="00066403">
        <w:rPr>
          <w:rFonts w:ascii="Times New Roman" w:hAnsi="Times New Roman" w:hint="eastAsia"/>
          <w:sz w:val="20"/>
          <w:szCs w:val="20"/>
        </w:rPr>
        <w:t>ß</w:t>
      </w:r>
      <w:proofErr w:type="spellEnd"/>
      <w:r w:rsidRPr="009B3959">
        <w:rPr>
          <w:rFonts w:ascii="Times New Roman" w:hAnsi="Times New Roman"/>
          <w:sz w:val="20"/>
          <w:szCs w:val="20"/>
        </w:rPr>
        <w:t xml:space="preserve">, ‘Cyber Warfare:  Implications for Non-international Armed Conflicts’, (2013) 89 </w:t>
      </w:r>
      <w:r w:rsidRPr="009B3959">
        <w:rPr>
          <w:rFonts w:ascii="Times New Roman" w:hAnsi="Times New Roman"/>
          <w:i/>
          <w:iCs/>
          <w:sz w:val="20"/>
          <w:szCs w:val="20"/>
        </w:rPr>
        <w:t xml:space="preserve">International Law Studies </w:t>
      </w:r>
      <w:r w:rsidRPr="009B3959">
        <w:rPr>
          <w:rFonts w:ascii="Times New Roman" w:hAnsi="Times New Roman"/>
          <w:sz w:val="20"/>
          <w:szCs w:val="20"/>
        </w:rPr>
        <w:t>627, at 636-637 (excluding ‘a decentralized virtual group’ from qualifying as an organized armed group).</w:t>
      </w:r>
    </w:p>
  </w:footnote>
  <w:footnote w:id="40">
    <w:p w14:paraId="36F0256B" w14:textId="213183EE"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C. </w:t>
      </w:r>
      <w:proofErr w:type="spellStart"/>
      <w:r w:rsidRPr="00066403">
        <w:rPr>
          <w:rFonts w:ascii="Times New Roman" w:hAnsi="Times New Roman"/>
          <w:sz w:val="20"/>
          <w:szCs w:val="20"/>
        </w:rPr>
        <w:t>Dr</w:t>
      </w:r>
      <w:r w:rsidRPr="00066403">
        <w:rPr>
          <w:rFonts w:ascii="Times New Roman" w:hAnsi="Times New Roman" w:hint="eastAsia"/>
          <w:sz w:val="20"/>
          <w:szCs w:val="20"/>
        </w:rPr>
        <w:t>ö</w:t>
      </w:r>
      <w:r w:rsidRPr="00066403">
        <w:rPr>
          <w:rFonts w:ascii="Times New Roman" w:hAnsi="Times New Roman"/>
          <w:sz w:val="20"/>
          <w:szCs w:val="20"/>
        </w:rPr>
        <w:t>ge</w:t>
      </w:r>
      <w:proofErr w:type="spellEnd"/>
      <w:r w:rsidRPr="00066403">
        <w:rPr>
          <w:rFonts w:ascii="Times New Roman" w:hAnsi="Times New Roman"/>
          <w:sz w:val="20"/>
          <w:szCs w:val="20"/>
        </w:rPr>
        <w:t>, ‘Get off My Cloud:  Cyber Warfare, International Humanitarian Law, and the Protection of Civilians’, (2012) 94 (No. 886) IRRC 533 at 549-550. See also ICRC’s revised Commentary to GC III (2020), para. 471.</w:t>
      </w:r>
    </w:p>
  </w:footnote>
  <w:footnote w:id="41">
    <w:p w14:paraId="016ECF01" w14:textId="00846E3C" w:rsidR="004F2CB8" w:rsidRPr="009B3959" w:rsidRDefault="004F2CB8" w:rsidP="009B3959">
      <w:pPr>
        <w:pStyle w:val="a3"/>
        <w:jc w:val="both"/>
        <w:rPr>
          <w:rFonts w:ascii="Times New Roman" w:hAnsi="Times New Roman"/>
          <w:sz w:val="20"/>
          <w:szCs w:val="20"/>
          <w:lang w:val="fr-FR"/>
        </w:rPr>
      </w:pPr>
      <w:r w:rsidRPr="009B3959">
        <w:rPr>
          <w:rStyle w:val="a5"/>
          <w:rFonts w:ascii="Times New Roman" w:hAnsi="Times New Roman"/>
          <w:sz w:val="20"/>
          <w:szCs w:val="20"/>
        </w:rPr>
        <w:footnoteRef/>
      </w:r>
      <w:r w:rsidRPr="009B3959">
        <w:rPr>
          <w:rStyle w:val="a5"/>
          <w:rFonts w:ascii="Times New Roman" w:hAnsi="Times New Roman"/>
          <w:sz w:val="20"/>
          <w:szCs w:val="20"/>
        </w:rPr>
        <w:t xml:space="preserve"> </w:t>
      </w:r>
      <w:r w:rsidRPr="009B3959">
        <w:rPr>
          <w:rFonts w:ascii="Times New Roman" w:hAnsi="Times New Roman"/>
          <w:sz w:val="20"/>
          <w:szCs w:val="20"/>
          <w:lang w:val="en-US"/>
        </w:rPr>
        <w:t xml:space="preserve">International Criminal Tribunal Rwanda </w:t>
      </w:r>
      <w:r>
        <w:rPr>
          <w:rFonts w:ascii="Times New Roman" w:hAnsi="Times New Roman"/>
          <w:sz w:val="20"/>
          <w:szCs w:val="20"/>
          <w:lang w:val="en-US"/>
        </w:rPr>
        <w:t>(</w:t>
      </w:r>
      <w:r w:rsidRPr="009B3959">
        <w:rPr>
          <w:rFonts w:ascii="Times New Roman" w:hAnsi="Times New Roman"/>
          <w:sz w:val="20"/>
          <w:szCs w:val="20"/>
        </w:rPr>
        <w:t>ICTR</w:t>
      </w:r>
      <w:r>
        <w:rPr>
          <w:rFonts w:ascii="Times New Roman" w:hAnsi="Times New Roman"/>
          <w:sz w:val="20"/>
          <w:szCs w:val="20"/>
        </w:rPr>
        <w:t>)</w:t>
      </w:r>
      <w:r w:rsidRPr="009B3959">
        <w:rPr>
          <w:rFonts w:ascii="Times New Roman" w:hAnsi="Times New Roman"/>
          <w:sz w:val="20"/>
          <w:szCs w:val="20"/>
        </w:rPr>
        <w:t xml:space="preserve">, Trial Chamber, </w:t>
      </w:r>
      <w:r w:rsidRPr="009B3959">
        <w:rPr>
          <w:rFonts w:ascii="Times New Roman" w:hAnsi="Times New Roman"/>
          <w:i/>
          <w:iCs/>
          <w:sz w:val="20"/>
          <w:szCs w:val="20"/>
        </w:rPr>
        <w:t xml:space="preserve">Prosecutor v. Jean-Paul </w:t>
      </w:r>
      <w:proofErr w:type="spellStart"/>
      <w:r w:rsidRPr="009B3959">
        <w:rPr>
          <w:rFonts w:ascii="Times New Roman" w:hAnsi="Times New Roman"/>
          <w:i/>
          <w:iCs/>
          <w:sz w:val="20"/>
          <w:szCs w:val="20"/>
        </w:rPr>
        <w:t>Akayesu</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Case No ICTR-96-4-T, Judgment, 2 September 1998, para. 626; ICC, Pre-Trial Chamber I, </w:t>
      </w:r>
      <w:r w:rsidRPr="009B3959">
        <w:rPr>
          <w:rFonts w:ascii="Times New Roman" w:hAnsi="Times New Roman"/>
          <w:i/>
          <w:iCs/>
          <w:sz w:val="20"/>
          <w:szCs w:val="20"/>
        </w:rPr>
        <w:t xml:space="preserve">Prosecutor v. Lubanga </w:t>
      </w:r>
      <w:proofErr w:type="spellStart"/>
      <w:r w:rsidRPr="009B3959">
        <w:rPr>
          <w:rFonts w:ascii="Times New Roman" w:hAnsi="Times New Roman"/>
          <w:i/>
          <w:iCs/>
          <w:sz w:val="20"/>
          <w:szCs w:val="20"/>
        </w:rPr>
        <w:t>Dyilo</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Case No. ICC-01/04-01/06-803, Decision on the confirmation of charges, 29 January 2007 (hereinafter </w:t>
      </w:r>
      <w:r w:rsidRPr="009B3959">
        <w:rPr>
          <w:rFonts w:ascii="Times New Roman" w:hAnsi="Times New Roman"/>
          <w:i/>
          <w:iCs/>
          <w:sz w:val="20"/>
          <w:szCs w:val="20"/>
        </w:rPr>
        <w:t>Lubanga</w:t>
      </w:r>
      <w:r w:rsidRPr="009B3959">
        <w:rPr>
          <w:rFonts w:ascii="Times New Roman" w:hAnsi="Times New Roman"/>
          <w:sz w:val="20"/>
          <w:szCs w:val="20"/>
        </w:rPr>
        <w:t xml:space="preserve"> Pre-Trial Decision), para. </w:t>
      </w:r>
      <w:r w:rsidRPr="009B3959">
        <w:rPr>
          <w:rFonts w:ascii="Times New Roman" w:hAnsi="Times New Roman"/>
          <w:sz w:val="20"/>
          <w:szCs w:val="20"/>
          <w:lang w:val="fr-FR"/>
        </w:rPr>
        <w:t xml:space="preserve">234. See also </w:t>
      </w:r>
      <w:r w:rsidRPr="009B3959">
        <w:rPr>
          <w:rFonts w:ascii="Times New Roman" w:hAnsi="Times New Roman"/>
          <w:sz w:val="20"/>
          <w:szCs w:val="20"/>
          <w:shd w:val="clear" w:color="auto" w:fill="FFFFFF"/>
          <w:lang w:val="fr-FR"/>
        </w:rPr>
        <w:t xml:space="preserve">R.J. </w:t>
      </w:r>
      <w:r w:rsidRPr="009B3959">
        <w:rPr>
          <w:rFonts w:ascii="Times New Roman" w:hAnsi="Times New Roman"/>
          <w:sz w:val="20"/>
          <w:szCs w:val="20"/>
          <w:lang w:val="fr-FR"/>
        </w:rPr>
        <w:t xml:space="preserve">Wilhelm, ‘Problèmes relatifs à la protection de la personne humaine par le droit international dans les conflits armés ne présentant pas un caractère </w:t>
      </w:r>
      <w:r>
        <w:rPr>
          <w:rFonts w:ascii="Times New Roman" w:hAnsi="Times New Roman"/>
          <w:sz w:val="20"/>
          <w:szCs w:val="20"/>
          <w:lang w:val="fr-FR"/>
        </w:rPr>
        <w:t>i</w:t>
      </w:r>
      <w:r w:rsidRPr="009B3959">
        <w:rPr>
          <w:rFonts w:ascii="Times New Roman" w:hAnsi="Times New Roman"/>
          <w:sz w:val="20"/>
          <w:szCs w:val="20"/>
          <w:lang w:val="fr-FR"/>
        </w:rPr>
        <w:t xml:space="preserve">nternational’, (1972-III) 137 </w:t>
      </w:r>
      <w:r w:rsidRPr="009B3959">
        <w:rPr>
          <w:rFonts w:ascii="Times New Roman" w:hAnsi="Times New Roman"/>
          <w:i/>
          <w:iCs/>
          <w:sz w:val="20"/>
          <w:szCs w:val="20"/>
          <w:lang w:val="fr-FR"/>
        </w:rPr>
        <w:t xml:space="preserve">Recueil des Cours </w:t>
      </w:r>
      <w:r w:rsidRPr="009B3959">
        <w:rPr>
          <w:rFonts w:ascii="Times New Roman" w:hAnsi="Times New Roman"/>
          <w:sz w:val="20"/>
          <w:szCs w:val="20"/>
          <w:lang w:val="fr-FR"/>
        </w:rPr>
        <w:t>at 348 (</w:t>
      </w:r>
      <w:r w:rsidRPr="009B3959">
        <w:rPr>
          <w:rFonts w:ascii="Times New Roman" w:hAnsi="Times New Roman"/>
          <w:sz w:val="20"/>
          <w:szCs w:val="20"/>
          <w:shd w:val="clear" w:color="auto" w:fill="FFFFFF"/>
          <w:lang w:val="fr-FR"/>
        </w:rPr>
        <w:t xml:space="preserve">considering it </w:t>
      </w:r>
      <w:r w:rsidRPr="009B3959">
        <w:rPr>
          <w:rFonts w:ascii="Times New Roman" w:hAnsi="Times New Roman"/>
          <w:sz w:val="20"/>
          <w:szCs w:val="20"/>
          <w:lang w:val="fr-FR"/>
        </w:rPr>
        <w:t>amenable to an ‘objective’ assessment</w:t>
      </w:r>
      <w:r w:rsidRPr="009B3959">
        <w:rPr>
          <w:rFonts w:ascii="Times New Roman" w:hAnsi="Times New Roman"/>
          <w:sz w:val="20"/>
          <w:szCs w:val="20"/>
          <w:shd w:val="clear" w:color="auto" w:fill="FFFFFF"/>
          <w:lang w:val="fr-FR"/>
        </w:rPr>
        <w:t>).</w:t>
      </w:r>
    </w:p>
  </w:footnote>
  <w:footnote w:id="42">
    <w:p w14:paraId="346BE21A" w14:textId="7385A2D9"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 </w:t>
      </w:r>
      <w:proofErr w:type="spellStart"/>
      <w:r w:rsidRPr="009B3959">
        <w:rPr>
          <w:rFonts w:ascii="Times New Roman" w:hAnsi="Times New Roman"/>
          <w:sz w:val="20"/>
          <w:szCs w:val="20"/>
        </w:rPr>
        <w:t>Vité</w:t>
      </w:r>
      <w:proofErr w:type="spellEnd"/>
      <w:r w:rsidRPr="009B3959">
        <w:rPr>
          <w:rFonts w:ascii="Times New Roman" w:hAnsi="Times New Roman"/>
          <w:sz w:val="20"/>
          <w:szCs w:val="20"/>
        </w:rPr>
        <w:t xml:space="preserve">, ‘Typology of Armed Conflicts in International Humanitarian law:  Legal Concepts and Actual Situations’, (2009) 91 </w:t>
      </w:r>
      <w:r w:rsidRPr="009B3959">
        <w:rPr>
          <w:rFonts w:ascii="Times New Roman" w:hAnsi="Times New Roman"/>
          <w:i/>
          <w:iCs/>
          <w:sz w:val="20"/>
          <w:szCs w:val="20"/>
        </w:rPr>
        <w:t xml:space="preserve">International Review of the Red Cross </w:t>
      </w:r>
      <w:r w:rsidRPr="009B3959">
        <w:rPr>
          <w:rFonts w:ascii="Times New Roman" w:hAnsi="Times New Roman"/>
          <w:sz w:val="20"/>
          <w:szCs w:val="20"/>
        </w:rPr>
        <w:t xml:space="preserve">69 </w:t>
      </w:r>
      <w:r w:rsidRPr="009B3959">
        <w:rPr>
          <w:rFonts w:ascii="Times New Roman" w:hAnsi="Times New Roman"/>
          <w:sz w:val="20"/>
          <w:szCs w:val="20"/>
          <w:lang w:val="en-US"/>
        </w:rPr>
        <w:t xml:space="preserve">at 77; </w:t>
      </w:r>
      <w:proofErr w:type="spellStart"/>
      <w:r w:rsidRPr="009B3959">
        <w:rPr>
          <w:rFonts w:ascii="Times New Roman" w:hAnsi="Times New Roman"/>
          <w:sz w:val="20"/>
          <w:szCs w:val="20"/>
        </w:rPr>
        <w:t>Rodiles</w:t>
      </w:r>
      <w:proofErr w:type="spellEnd"/>
      <w:r w:rsidRPr="009B3959">
        <w:rPr>
          <w:rFonts w:ascii="Times New Roman" w:hAnsi="Times New Roman"/>
          <w:sz w:val="20"/>
          <w:szCs w:val="20"/>
        </w:rPr>
        <w:t xml:space="preserve"> (n. 3</w:t>
      </w:r>
      <w:r>
        <w:rPr>
          <w:rFonts w:ascii="Times New Roman" w:hAnsi="Times New Roman"/>
          <w:sz w:val="20"/>
          <w:szCs w:val="20"/>
        </w:rPr>
        <w:t>2</w:t>
      </w:r>
      <w:r w:rsidRPr="009B3959">
        <w:rPr>
          <w:rFonts w:ascii="Times New Roman" w:hAnsi="Times New Roman"/>
          <w:sz w:val="20"/>
          <w:szCs w:val="20"/>
        </w:rPr>
        <w:t>), at 277.</w:t>
      </w:r>
    </w:p>
  </w:footnote>
  <w:footnote w:id="43">
    <w:p w14:paraId="29D5A0F1" w14:textId="7858B9F9"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For the criterion ‘continuous combat functions’, see ICRC, N. Melzer, </w:t>
      </w:r>
      <w:r w:rsidRPr="009B3959">
        <w:rPr>
          <w:rFonts w:ascii="Times New Roman" w:hAnsi="Times New Roman"/>
          <w:i/>
          <w:iCs/>
          <w:sz w:val="20"/>
          <w:szCs w:val="20"/>
        </w:rPr>
        <w:t xml:space="preserve">Interpretive Guidance on the Notion of Direct Participation in Hostilities under International Humanitarian Law </w:t>
      </w:r>
      <w:r w:rsidRPr="009B3959">
        <w:rPr>
          <w:rFonts w:ascii="Times New Roman" w:hAnsi="Times New Roman"/>
          <w:sz w:val="20"/>
          <w:szCs w:val="20"/>
        </w:rPr>
        <w:t xml:space="preserve">(Geneva:  ICRC, 2009, hereinafter ICRC, </w:t>
      </w:r>
      <w:r w:rsidRPr="00066403">
        <w:rPr>
          <w:rFonts w:ascii="Times New Roman" w:hAnsi="Times New Roman"/>
          <w:i/>
          <w:iCs/>
          <w:sz w:val="20"/>
          <w:szCs w:val="20"/>
        </w:rPr>
        <w:t xml:space="preserve">Interpretive Guidance on DPIH), </w:t>
      </w:r>
      <w:r w:rsidRPr="009B3959">
        <w:rPr>
          <w:rFonts w:ascii="Times New Roman" w:hAnsi="Times New Roman"/>
          <w:sz w:val="20"/>
          <w:szCs w:val="20"/>
        </w:rPr>
        <w:t>at 16, 17, 27, 33-36, 38-39, 45, 69-73, 83 and 85.</w:t>
      </w:r>
    </w:p>
  </w:footnote>
  <w:footnote w:id="44">
    <w:p w14:paraId="1A0AC7B9" w14:textId="7CB14A5D"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R. Bartels, ‘From </w:t>
      </w:r>
      <w:r w:rsidRPr="009B3959">
        <w:rPr>
          <w:rFonts w:ascii="Times New Roman" w:hAnsi="Times New Roman"/>
          <w:i/>
          <w:iCs/>
          <w:sz w:val="20"/>
          <w:szCs w:val="20"/>
        </w:rPr>
        <w:t xml:space="preserve">Jus In Bello </w:t>
      </w:r>
      <w:r w:rsidRPr="009B3959">
        <w:rPr>
          <w:rFonts w:ascii="Times New Roman" w:hAnsi="Times New Roman"/>
          <w:sz w:val="20"/>
          <w:szCs w:val="20"/>
        </w:rPr>
        <w:t xml:space="preserve">to </w:t>
      </w:r>
      <w:r w:rsidRPr="009B3959">
        <w:rPr>
          <w:rFonts w:ascii="Times New Roman" w:hAnsi="Times New Roman"/>
          <w:i/>
          <w:iCs/>
          <w:sz w:val="20"/>
          <w:szCs w:val="20"/>
        </w:rPr>
        <w:t>Jus Post Bellum</w:t>
      </w:r>
      <w:r w:rsidRPr="009B3959">
        <w:rPr>
          <w:rFonts w:ascii="Times New Roman" w:hAnsi="Times New Roman"/>
          <w:sz w:val="20"/>
          <w:szCs w:val="20"/>
        </w:rPr>
        <w:t xml:space="preserve">:  When do Non-International Armed Conflicts End?’, in:  C. </w:t>
      </w:r>
      <w:proofErr w:type="spellStart"/>
      <w:r w:rsidRPr="009B3959">
        <w:rPr>
          <w:rFonts w:ascii="Times New Roman" w:hAnsi="Times New Roman"/>
          <w:sz w:val="20"/>
          <w:szCs w:val="20"/>
        </w:rPr>
        <w:t>Stahn</w:t>
      </w:r>
      <w:proofErr w:type="spellEnd"/>
      <w:r w:rsidRPr="009B3959">
        <w:rPr>
          <w:rFonts w:ascii="Times New Roman" w:hAnsi="Times New Roman"/>
          <w:sz w:val="20"/>
          <w:szCs w:val="20"/>
        </w:rPr>
        <w:t xml:space="preserve">, J.S. </w:t>
      </w:r>
      <w:proofErr w:type="spellStart"/>
      <w:r w:rsidRPr="009B3959">
        <w:rPr>
          <w:rFonts w:ascii="Times New Roman" w:hAnsi="Times New Roman"/>
          <w:sz w:val="20"/>
          <w:szCs w:val="20"/>
        </w:rPr>
        <w:t>Easterday</w:t>
      </w:r>
      <w:proofErr w:type="spellEnd"/>
      <w:r w:rsidRPr="009B3959">
        <w:rPr>
          <w:rFonts w:ascii="Times New Roman" w:hAnsi="Times New Roman"/>
          <w:sz w:val="20"/>
          <w:szCs w:val="20"/>
        </w:rPr>
        <w:t xml:space="preserve"> and </w:t>
      </w:r>
      <w:proofErr w:type="spellStart"/>
      <w:r w:rsidRPr="009B3959">
        <w:rPr>
          <w:rFonts w:ascii="Times New Roman" w:hAnsi="Times New Roman"/>
          <w:sz w:val="20"/>
          <w:szCs w:val="20"/>
        </w:rPr>
        <w:t>J.Iverson</w:t>
      </w:r>
      <w:proofErr w:type="spellEnd"/>
      <w:r w:rsidRPr="009B3959">
        <w:rPr>
          <w:rFonts w:ascii="Times New Roman" w:hAnsi="Times New Roman"/>
          <w:sz w:val="20"/>
          <w:szCs w:val="20"/>
        </w:rPr>
        <w:t xml:space="preserve"> (eds), </w:t>
      </w:r>
      <w:r w:rsidRPr="009B3959">
        <w:rPr>
          <w:rFonts w:ascii="Times New Roman" w:hAnsi="Times New Roman"/>
          <w:i/>
          <w:iCs/>
          <w:sz w:val="20"/>
          <w:szCs w:val="20"/>
        </w:rPr>
        <w:t xml:space="preserve">Jus Post Bellum – Mapping the Normative Foundations, </w:t>
      </w:r>
      <w:r w:rsidRPr="009B3959">
        <w:rPr>
          <w:rFonts w:ascii="Times New Roman" w:hAnsi="Times New Roman"/>
          <w:sz w:val="20"/>
          <w:szCs w:val="20"/>
        </w:rPr>
        <w:t xml:space="preserve">(Oxford University Press, 2014), 297, </w:t>
      </w:r>
      <w:r w:rsidRPr="00066403">
        <w:rPr>
          <w:rFonts w:ascii="Times New Roman" w:hAnsi="Times New Roman"/>
          <w:sz w:val="20"/>
          <w:szCs w:val="20"/>
        </w:rPr>
        <w:t xml:space="preserve">at 312. The notion ‘hostilities’ is defined by the ICRC’s </w:t>
      </w:r>
      <w:r w:rsidRPr="009B3959">
        <w:rPr>
          <w:rFonts w:ascii="Times New Roman" w:hAnsi="Times New Roman"/>
          <w:i/>
          <w:iCs/>
          <w:sz w:val="20"/>
          <w:szCs w:val="20"/>
        </w:rPr>
        <w:t xml:space="preserve">Interpretive Guidance on DPIH) </w:t>
      </w:r>
      <w:r w:rsidRPr="00066403">
        <w:rPr>
          <w:rFonts w:ascii="Times New Roman" w:hAnsi="Times New Roman"/>
          <w:sz w:val="20"/>
          <w:szCs w:val="20"/>
        </w:rPr>
        <w:t xml:space="preserve">as ‘the (collective) resort by the parties to the conflict to means and methods of injuring the enemy’:  </w:t>
      </w:r>
      <w:r w:rsidRPr="009B3959">
        <w:rPr>
          <w:rFonts w:ascii="Times New Roman" w:hAnsi="Times New Roman"/>
          <w:i/>
          <w:iCs/>
          <w:sz w:val="20"/>
          <w:szCs w:val="20"/>
        </w:rPr>
        <w:t xml:space="preserve">Interpretive Guidance on DPIH, </w:t>
      </w:r>
      <w:r w:rsidRPr="00066403">
        <w:rPr>
          <w:rFonts w:ascii="Times New Roman" w:hAnsi="Times New Roman"/>
          <w:i/>
          <w:iCs/>
          <w:sz w:val="20"/>
          <w:szCs w:val="20"/>
        </w:rPr>
        <w:t>ibid</w:t>
      </w:r>
      <w:r w:rsidRPr="00066403">
        <w:rPr>
          <w:rFonts w:ascii="Times New Roman" w:hAnsi="Times New Roman"/>
          <w:sz w:val="20"/>
          <w:szCs w:val="20"/>
        </w:rPr>
        <w:t>., at 43.</w:t>
      </w:r>
      <w:r w:rsidRPr="009B3959">
        <w:rPr>
          <w:rFonts w:ascii="Times New Roman" w:hAnsi="Times New Roman"/>
          <w:sz w:val="20"/>
          <w:szCs w:val="20"/>
        </w:rPr>
        <w:t xml:space="preserve"> Yet, this author considers the</w:t>
      </w:r>
      <w:r w:rsidRPr="00066403">
        <w:rPr>
          <w:rFonts w:ascii="Times New Roman" w:hAnsi="Times New Roman"/>
          <w:sz w:val="20"/>
          <w:szCs w:val="20"/>
        </w:rPr>
        <w:t xml:space="preserve"> notion </w:t>
      </w:r>
      <w:r w:rsidRPr="009B3959">
        <w:rPr>
          <w:rFonts w:ascii="Times New Roman" w:hAnsi="Times New Roman"/>
          <w:sz w:val="20"/>
          <w:szCs w:val="20"/>
        </w:rPr>
        <w:t xml:space="preserve">‘hostilities’ </w:t>
      </w:r>
      <w:r w:rsidRPr="00066403">
        <w:rPr>
          <w:rFonts w:ascii="Times New Roman" w:hAnsi="Times New Roman"/>
          <w:sz w:val="20"/>
          <w:szCs w:val="20"/>
        </w:rPr>
        <w:t>broader than the notion ‘military operations’</w:t>
      </w:r>
      <w:r w:rsidRPr="009B3959">
        <w:rPr>
          <w:rFonts w:ascii="Times New Roman" w:hAnsi="Times New Roman"/>
          <w:sz w:val="20"/>
          <w:szCs w:val="20"/>
        </w:rPr>
        <w:t>, so that the incapacity to carry out military operations does not logically result in the end of the ‘continuous combat functions’ of members of an armed group.</w:t>
      </w:r>
    </w:p>
  </w:footnote>
  <w:footnote w:id="45">
    <w:p w14:paraId="5803138A" w14:textId="68C561BB"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M. </w:t>
      </w:r>
      <w:proofErr w:type="spellStart"/>
      <w:r w:rsidRPr="009B3959">
        <w:rPr>
          <w:rFonts w:ascii="Times New Roman" w:hAnsi="Times New Roman"/>
          <w:sz w:val="20"/>
          <w:szCs w:val="20"/>
        </w:rPr>
        <w:t>Sass</w:t>
      </w:r>
      <w:r w:rsidRPr="00066403">
        <w:rPr>
          <w:rFonts w:ascii="Times New Roman" w:hAnsi="Times New Roman" w:hint="eastAsia"/>
          <w:sz w:val="20"/>
          <w:szCs w:val="20"/>
        </w:rPr>
        <w:t>ò</w:t>
      </w:r>
      <w:r w:rsidRPr="009B3959">
        <w:rPr>
          <w:rFonts w:ascii="Times New Roman" w:hAnsi="Times New Roman"/>
          <w:sz w:val="20"/>
          <w:szCs w:val="20"/>
        </w:rPr>
        <w:t>li</w:t>
      </w:r>
      <w:proofErr w:type="spellEnd"/>
      <w:r w:rsidRPr="009B3959">
        <w:rPr>
          <w:rFonts w:ascii="Times New Roman" w:hAnsi="Times New Roman"/>
          <w:sz w:val="20"/>
          <w:szCs w:val="20"/>
        </w:rPr>
        <w:t xml:space="preserve">, ‘Transnational Armed groups and International Humanitarian Law’, Program on Humanitarian Policy and Conflict Research, Harvard University, Occasional Paper Series, No 6, Winter 2006, at 6-7 (criticizing that this criterion is not </w:t>
      </w:r>
      <w:r w:rsidRPr="00066403">
        <w:rPr>
          <w:rFonts w:ascii="Times New Roman" w:hAnsi="Times New Roman"/>
          <w:sz w:val="20"/>
          <w:szCs w:val="20"/>
        </w:rPr>
        <w:t>foreseeable at the outset of a conflict, and that to require this would entail a spurious consequence of making compliance with IHL obligatory only when hostilities are seen to become protracted)</w:t>
      </w:r>
      <w:r w:rsidRPr="009B3959">
        <w:rPr>
          <w:rFonts w:ascii="Times New Roman" w:hAnsi="Times New Roman"/>
          <w:sz w:val="20"/>
          <w:szCs w:val="20"/>
        </w:rPr>
        <w:t xml:space="preserve">. See also </w:t>
      </w:r>
      <w:proofErr w:type="spellStart"/>
      <w:r w:rsidRPr="009B3959">
        <w:rPr>
          <w:rFonts w:ascii="Times New Roman" w:hAnsi="Times New Roman"/>
          <w:sz w:val="20"/>
          <w:szCs w:val="20"/>
        </w:rPr>
        <w:t>Lubell</w:t>
      </w:r>
      <w:proofErr w:type="spellEnd"/>
      <w:r w:rsidRPr="009B3959">
        <w:rPr>
          <w:rFonts w:ascii="Times New Roman" w:hAnsi="Times New Roman"/>
          <w:sz w:val="20"/>
          <w:szCs w:val="20"/>
        </w:rPr>
        <w:t xml:space="preserve"> (2010) (n. 13), at 105-106; Sivakumaran (2012) (n. 12), at 177-178.</w:t>
      </w:r>
    </w:p>
  </w:footnote>
  <w:footnote w:id="46">
    <w:p w14:paraId="2F1F9D78" w14:textId="7416EAFB"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Advocate General </w:t>
      </w:r>
      <w:proofErr w:type="spellStart"/>
      <w:r w:rsidRPr="009B3959">
        <w:rPr>
          <w:rFonts w:ascii="Times New Roman" w:hAnsi="Times New Roman"/>
          <w:sz w:val="20"/>
          <w:szCs w:val="20"/>
        </w:rPr>
        <w:t>Mengozzi</w:t>
      </w:r>
      <w:proofErr w:type="spellEnd"/>
      <w:r w:rsidRPr="009B3959">
        <w:rPr>
          <w:rFonts w:ascii="Times New Roman" w:hAnsi="Times New Roman"/>
          <w:sz w:val="20"/>
          <w:szCs w:val="20"/>
        </w:rPr>
        <w:t xml:space="preserve"> in </w:t>
      </w:r>
      <w:r w:rsidRPr="009B3959">
        <w:rPr>
          <w:rFonts w:ascii="Times New Roman" w:hAnsi="Times New Roman"/>
          <w:i/>
          <w:iCs/>
          <w:sz w:val="20"/>
          <w:szCs w:val="20"/>
        </w:rPr>
        <w:t>Diakité</w:t>
      </w:r>
      <w:r w:rsidRPr="009B3959">
        <w:rPr>
          <w:rFonts w:ascii="Times New Roman" w:hAnsi="Times New Roman"/>
          <w:sz w:val="20"/>
          <w:szCs w:val="20"/>
        </w:rPr>
        <w:t xml:space="preserve"> when he ascertained the meaning of NIACs under IHL: CJEU, </w:t>
      </w:r>
      <w:r w:rsidRPr="009B3959">
        <w:rPr>
          <w:rFonts w:ascii="Times New Roman" w:hAnsi="Times New Roman"/>
          <w:i/>
          <w:iCs/>
          <w:sz w:val="20"/>
          <w:szCs w:val="20"/>
        </w:rPr>
        <w:t>Diakité</w:t>
      </w:r>
      <w:r w:rsidRPr="009B3959">
        <w:rPr>
          <w:rFonts w:ascii="Times New Roman" w:hAnsi="Times New Roman"/>
          <w:sz w:val="20"/>
          <w:szCs w:val="20"/>
        </w:rPr>
        <w:t xml:space="preserve"> (n. 3</w:t>
      </w:r>
      <w:r>
        <w:rPr>
          <w:rFonts w:ascii="Times New Roman" w:hAnsi="Times New Roman"/>
          <w:sz w:val="20"/>
          <w:szCs w:val="20"/>
        </w:rPr>
        <w:t>5</w:t>
      </w:r>
      <w:r w:rsidRPr="009B3959">
        <w:rPr>
          <w:rFonts w:ascii="Times New Roman" w:hAnsi="Times New Roman"/>
          <w:sz w:val="20"/>
          <w:szCs w:val="20"/>
        </w:rPr>
        <w:t>)</w:t>
      </w:r>
      <w:r w:rsidRPr="009B3959">
        <w:rPr>
          <w:rFonts w:ascii="Times New Roman" w:hAnsi="Times New Roman"/>
          <w:i/>
          <w:iCs/>
          <w:sz w:val="20"/>
          <w:szCs w:val="20"/>
        </w:rPr>
        <w:t xml:space="preserve">, </w:t>
      </w:r>
      <w:r w:rsidRPr="009B3959">
        <w:rPr>
          <w:rFonts w:ascii="Times New Roman" w:hAnsi="Times New Roman"/>
          <w:sz w:val="20"/>
          <w:szCs w:val="20"/>
        </w:rPr>
        <w:t xml:space="preserve">opinion of Advocate General </w:t>
      </w:r>
      <w:proofErr w:type="spellStart"/>
      <w:r w:rsidRPr="009B3959">
        <w:rPr>
          <w:rFonts w:ascii="Times New Roman" w:hAnsi="Times New Roman"/>
          <w:sz w:val="20"/>
          <w:szCs w:val="20"/>
        </w:rPr>
        <w:t>Mengozzi</w:t>
      </w:r>
      <w:proofErr w:type="spellEnd"/>
      <w:r w:rsidRPr="009B3959">
        <w:rPr>
          <w:rFonts w:ascii="Times New Roman" w:hAnsi="Times New Roman"/>
          <w:sz w:val="20"/>
          <w:szCs w:val="20"/>
        </w:rPr>
        <w:t xml:space="preserve">, para. </w:t>
      </w:r>
      <w:r w:rsidRPr="009B3959">
        <w:rPr>
          <w:rFonts w:ascii="Times New Roman" w:hAnsi="Times New Roman"/>
          <w:sz w:val="20"/>
          <w:szCs w:val="20"/>
          <w:lang w:val="en-US"/>
        </w:rPr>
        <w:t>51.</w:t>
      </w:r>
    </w:p>
  </w:footnote>
  <w:footnote w:id="47">
    <w:p w14:paraId="6AE8E147" w14:textId="77777777"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Annyssa</w:t>
      </w:r>
      <w:proofErr w:type="spellEnd"/>
      <w:r w:rsidRPr="009B3959">
        <w:rPr>
          <w:rFonts w:ascii="Times New Roman" w:hAnsi="Times New Roman"/>
          <w:sz w:val="20"/>
          <w:szCs w:val="20"/>
        </w:rPr>
        <w:t xml:space="preserve"> </w:t>
      </w:r>
      <w:proofErr w:type="spellStart"/>
      <w:r w:rsidRPr="009B3959">
        <w:rPr>
          <w:rFonts w:ascii="Times New Roman" w:hAnsi="Times New Roman"/>
          <w:sz w:val="20"/>
          <w:szCs w:val="20"/>
        </w:rPr>
        <w:t>Bellal</w:t>
      </w:r>
      <w:proofErr w:type="spellEnd"/>
      <w:r w:rsidRPr="009B3959">
        <w:rPr>
          <w:rFonts w:ascii="Times New Roman" w:hAnsi="Times New Roman"/>
          <w:sz w:val="20"/>
          <w:szCs w:val="20"/>
        </w:rPr>
        <w:t xml:space="preserve">, ‘ICRC Commentary of Common Article 3:  Some Questions Relating to Organized Armed Groups and the Applicability of IHL’, EJIL: </w:t>
      </w:r>
      <w:proofErr w:type="gramStart"/>
      <w:r w:rsidRPr="009B3959">
        <w:rPr>
          <w:rFonts w:ascii="Times New Roman" w:hAnsi="Times New Roman"/>
          <w:sz w:val="20"/>
          <w:szCs w:val="20"/>
        </w:rPr>
        <w:t>Talk!,</w:t>
      </w:r>
      <w:proofErr w:type="gramEnd"/>
      <w:r w:rsidRPr="009B3959">
        <w:rPr>
          <w:rFonts w:ascii="Times New Roman" w:hAnsi="Times New Roman"/>
          <w:sz w:val="20"/>
          <w:szCs w:val="20"/>
        </w:rPr>
        <w:t xml:space="preserve"> 5 October 2017.</w:t>
      </w:r>
    </w:p>
  </w:footnote>
  <w:footnote w:id="48">
    <w:p w14:paraId="3F344838" w14:textId="443DB0EE"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Sass</w:t>
      </w:r>
      <w:r w:rsidRPr="00066403">
        <w:rPr>
          <w:rFonts w:ascii="Times New Roman" w:hAnsi="Times New Roman" w:hint="eastAsia"/>
          <w:sz w:val="20"/>
          <w:szCs w:val="20"/>
        </w:rPr>
        <w:t>ò</w:t>
      </w:r>
      <w:r w:rsidRPr="009B3959">
        <w:rPr>
          <w:rFonts w:ascii="Times New Roman" w:hAnsi="Times New Roman"/>
          <w:sz w:val="20"/>
          <w:szCs w:val="20"/>
        </w:rPr>
        <w:t>li</w:t>
      </w:r>
      <w:proofErr w:type="spellEnd"/>
      <w:r w:rsidRPr="009B3959">
        <w:rPr>
          <w:rFonts w:ascii="Times New Roman" w:hAnsi="Times New Roman"/>
          <w:sz w:val="20"/>
          <w:szCs w:val="20"/>
        </w:rPr>
        <w:t xml:space="preserve"> (2011) (n. 17), at </w:t>
      </w:r>
      <w:r w:rsidRPr="009B3959">
        <w:rPr>
          <w:rFonts w:ascii="Times New Roman" w:hAnsi="Times New Roman"/>
          <w:sz w:val="20"/>
          <w:szCs w:val="20"/>
          <w:shd w:val="clear" w:color="auto" w:fill="FFFFFF"/>
        </w:rPr>
        <w:t xml:space="preserve">426-431 (proposing </w:t>
      </w:r>
      <w:r w:rsidRPr="00066403">
        <w:rPr>
          <w:rFonts w:ascii="Times New Roman" w:hAnsi="Times New Roman"/>
          <w:sz w:val="20"/>
          <w:szCs w:val="20"/>
        </w:rPr>
        <w:t>for a ‘sliding scale of obligations’ for parties to NIACs).</w:t>
      </w:r>
    </w:p>
  </w:footnote>
  <w:footnote w:id="49">
    <w:p w14:paraId="09118BA3" w14:textId="7933832B" w:rsidR="004F2CB8" w:rsidRPr="009B3959" w:rsidRDefault="004F2CB8" w:rsidP="009B3959">
      <w:pPr>
        <w:autoSpaceDE w:val="0"/>
        <w:autoSpaceDN w:val="0"/>
        <w:adjustRightInd w:val="0"/>
        <w:rPr>
          <w:rFonts w:ascii="Times New Roman" w:eastAsiaTheme="minorEastAsia" w:hAnsi="Times New Roman"/>
          <w:kern w:val="0"/>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rPr>
        <w:t xml:space="preserve"> Compare F. </w:t>
      </w:r>
      <w:proofErr w:type="spellStart"/>
      <w:r w:rsidRPr="009B3959">
        <w:rPr>
          <w:rFonts w:ascii="Times New Roman" w:hAnsi="Times New Roman"/>
          <w:sz w:val="20"/>
          <w:szCs w:val="20"/>
        </w:rPr>
        <w:t>Kalshoven</w:t>
      </w:r>
      <w:proofErr w:type="spellEnd"/>
      <w:r w:rsidRPr="009B3959">
        <w:rPr>
          <w:rFonts w:ascii="Times New Roman" w:hAnsi="Times New Roman"/>
          <w:sz w:val="20"/>
          <w:szCs w:val="20"/>
        </w:rPr>
        <w:t xml:space="preserve">, ‘The Position of Guerrilla Fighters under the law of War’, (1972) 11 </w:t>
      </w:r>
      <w:r w:rsidRPr="009B3959">
        <w:rPr>
          <w:rFonts w:ascii="Times New Roman" w:hAnsi="Times New Roman"/>
          <w:i/>
          <w:iCs/>
          <w:sz w:val="20"/>
          <w:szCs w:val="20"/>
        </w:rPr>
        <w:t xml:space="preserve">Military Law and Laws of War Review </w:t>
      </w:r>
      <w:r w:rsidRPr="009B3959">
        <w:rPr>
          <w:rFonts w:ascii="Times New Roman" w:hAnsi="Times New Roman"/>
          <w:sz w:val="20"/>
          <w:szCs w:val="20"/>
        </w:rPr>
        <w:t xml:space="preserve">55 at 87 (stressing </w:t>
      </w:r>
      <w:r w:rsidRPr="009B3959">
        <w:rPr>
          <w:rFonts w:ascii="Times New Roman" w:eastAsiaTheme="minorEastAsia" w:hAnsi="Times New Roman"/>
          <w:kern w:val="0"/>
          <w:sz w:val="20"/>
          <w:szCs w:val="20"/>
          <w:lang w:val="en-US"/>
        </w:rPr>
        <w:t>actual practice of the majority members).</w:t>
      </w:r>
    </w:p>
  </w:footnote>
  <w:footnote w:id="50">
    <w:p w14:paraId="5EBD574C" w14:textId="774334E5"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i/>
          <w:iCs/>
          <w:sz w:val="20"/>
          <w:szCs w:val="20"/>
        </w:rPr>
        <w:t>Limaj</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w:t>
      </w:r>
      <w:r w:rsidRPr="009B3959">
        <w:rPr>
          <w:rFonts w:ascii="Times New Roman" w:hAnsi="Times New Roman"/>
          <w:i/>
          <w:iCs/>
          <w:sz w:val="20"/>
          <w:szCs w:val="20"/>
        </w:rPr>
        <w:t xml:space="preserve"> </w:t>
      </w:r>
      <w:r w:rsidRPr="009B3959">
        <w:rPr>
          <w:rFonts w:ascii="Times New Roman" w:hAnsi="Times New Roman"/>
          <w:sz w:val="20"/>
          <w:szCs w:val="20"/>
        </w:rPr>
        <w:t>Judgment (n. 2</w:t>
      </w:r>
      <w:r>
        <w:rPr>
          <w:rFonts w:ascii="Times New Roman" w:hAnsi="Times New Roman"/>
          <w:sz w:val="20"/>
          <w:szCs w:val="20"/>
        </w:rPr>
        <w:t>6</w:t>
      </w:r>
      <w:r w:rsidRPr="009B3959">
        <w:rPr>
          <w:rFonts w:ascii="Times New Roman" w:hAnsi="Times New Roman"/>
          <w:sz w:val="20"/>
          <w:szCs w:val="20"/>
        </w:rPr>
        <w:t>), paras 125, 128-129, 171.</w:t>
      </w:r>
    </w:p>
  </w:footnote>
  <w:footnote w:id="51">
    <w:p w14:paraId="76E2F449" w14:textId="100F8322"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i/>
          <w:iCs/>
          <w:sz w:val="20"/>
          <w:szCs w:val="20"/>
        </w:rPr>
        <w:t>Report to the Committee on Foreign Relations of the United States Senate</w:t>
      </w:r>
      <w:r w:rsidRPr="009B3959">
        <w:rPr>
          <w:rFonts w:ascii="Times New Roman" w:hAnsi="Times New Roman"/>
          <w:sz w:val="20"/>
          <w:szCs w:val="20"/>
        </w:rPr>
        <w:t>, ‘Al Qaeda in Yemen and Somalia:  A ticking Bomb’, (111</w:t>
      </w:r>
      <w:r w:rsidRPr="009B3959">
        <w:rPr>
          <w:rFonts w:ascii="Times New Roman" w:hAnsi="Times New Roman"/>
          <w:sz w:val="20"/>
          <w:szCs w:val="20"/>
          <w:vertAlign w:val="superscript"/>
        </w:rPr>
        <w:t>th</w:t>
      </w:r>
      <w:r w:rsidRPr="009B3959">
        <w:rPr>
          <w:rFonts w:ascii="Times New Roman" w:hAnsi="Times New Roman"/>
          <w:sz w:val="20"/>
          <w:szCs w:val="20"/>
        </w:rPr>
        <w:t xml:space="preserve"> Congress, 2</w:t>
      </w:r>
      <w:r w:rsidRPr="009B3959">
        <w:rPr>
          <w:rFonts w:ascii="Times New Roman" w:hAnsi="Times New Roman"/>
          <w:sz w:val="20"/>
          <w:szCs w:val="20"/>
          <w:vertAlign w:val="superscript"/>
        </w:rPr>
        <w:t>nd</w:t>
      </w:r>
      <w:r w:rsidRPr="009B3959">
        <w:rPr>
          <w:rFonts w:ascii="Times New Roman" w:hAnsi="Times New Roman"/>
          <w:sz w:val="20"/>
          <w:szCs w:val="20"/>
        </w:rPr>
        <w:t xml:space="preserve"> session, 21 January 2010), p. 5. See also Bartels (2016) (n. 13), at 64.</w:t>
      </w:r>
    </w:p>
  </w:footnote>
  <w:footnote w:id="52">
    <w:p w14:paraId="38050DA6" w14:textId="3E265CC2" w:rsidR="004F2CB8" w:rsidRPr="009B3959" w:rsidRDefault="004F2CB8" w:rsidP="009B3959">
      <w:pPr>
        <w:pStyle w:val="a3"/>
        <w:tabs>
          <w:tab w:val="left" w:pos="3261"/>
        </w:tabs>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gramStart"/>
      <w:r w:rsidRPr="009B3959">
        <w:rPr>
          <w:rFonts w:ascii="Times New Roman" w:hAnsi="Times New Roman"/>
          <w:sz w:val="20"/>
          <w:szCs w:val="20"/>
        </w:rPr>
        <w:t>ICRC,</w:t>
      </w:r>
      <w:proofErr w:type="gramEnd"/>
      <w:r w:rsidRPr="009B3959">
        <w:rPr>
          <w:rFonts w:ascii="Times New Roman" w:hAnsi="Times New Roman"/>
          <w:sz w:val="20"/>
          <w:szCs w:val="20"/>
        </w:rPr>
        <w:t xml:space="preserve"> </w:t>
      </w:r>
      <w:r w:rsidRPr="009B3959">
        <w:rPr>
          <w:rFonts w:ascii="Times New Roman" w:hAnsi="Times New Roman"/>
          <w:i/>
          <w:iCs/>
          <w:sz w:val="20"/>
          <w:szCs w:val="20"/>
        </w:rPr>
        <w:t xml:space="preserve">Revised and New Draft Conventions </w:t>
      </w:r>
      <w:r w:rsidRPr="009B3959">
        <w:rPr>
          <w:rFonts w:ascii="Times New Roman" w:hAnsi="Times New Roman"/>
          <w:sz w:val="20"/>
          <w:szCs w:val="20"/>
        </w:rPr>
        <w:t>(n. 1</w:t>
      </w:r>
      <w:r>
        <w:rPr>
          <w:rFonts w:ascii="Times New Roman" w:hAnsi="Times New Roman"/>
          <w:sz w:val="20"/>
          <w:szCs w:val="20"/>
        </w:rPr>
        <w:t>8</w:t>
      </w:r>
      <w:r w:rsidRPr="009B3959">
        <w:rPr>
          <w:rFonts w:ascii="Times New Roman" w:hAnsi="Times New Roman"/>
          <w:sz w:val="20"/>
          <w:szCs w:val="20"/>
        </w:rPr>
        <w:t>), at 38.</w:t>
      </w:r>
    </w:p>
  </w:footnote>
  <w:footnote w:id="53">
    <w:p w14:paraId="7A38E337" w14:textId="77C4A705"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See the debates in Section 2A above.</w:t>
      </w:r>
    </w:p>
  </w:footnote>
  <w:footnote w:id="54">
    <w:p w14:paraId="5F3AE271" w14:textId="74D3282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Rosas (n. 7), at 340; </w:t>
      </w:r>
      <w:proofErr w:type="spellStart"/>
      <w:r w:rsidRPr="009B3959">
        <w:rPr>
          <w:rFonts w:ascii="Times New Roman" w:hAnsi="Times New Roman"/>
          <w:sz w:val="20"/>
          <w:szCs w:val="20"/>
        </w:rPr>
        <w:t>Mallison</w:t>
      </w:r>
      <w:proofErr w:type="spellEnd"/>
      <w:r w:rsidRPr="009B3959">
        <w:rPr>
          <w:rFonts w:ascii="Times New Roman" w:hAnsi="Times New Roman"/>
          <w:sz w:val="20"/>
          <w:szCs w:val="20"/>
        </w:rPr>
        <w:t xml:space="preserve"> and </w:t>
      </w:r>
      <w:proofErr w:type="spellStart"/>
      <w:r w:rsidRPr="009B3959">
        <w:rPr>
          <w:rFonts w:ascii="Times New Roman" w:hAnsi="Times New Roman"/>
          <w:sz w:val="20"/>
          <w:szCs w:val="20"/>
        </w:rPr>
        <w:t>Mallison</w:t>
      </w:r>
      <w:proofErr w:type="spellEnd"/>
      <w:r w:rsidRPr="009B3959">
        <w:rPr>
          <w:rFonts w:ascii="Times New Roman" w:hAnsi="Times New Roman"/>
          <w:sz w:val="20"/>
          <w:szCs w:val="20"/>
        </w:rPr>
        <w:t xml:space="preserve"> (n. </w:t>
      </w:r>
      <w:r>
        <w:rPr>
          <w:rFonts w:ascii="Times New Roman" w:hAnsi="Times New Roman"/>
          <w:sz w:val="20"/>
          <w:szCs w:val="20"/>
        </w:rPr>
        <w:t>8</w:t>
      </w:r>
      <w:r w:rsidRPr="009B3959">
        <w:rPr>
          <w:rFonts w:ascii="Times New Roman" w:hAnsi="Times New Roman"/>
          <w:sz w:val="20"/>
          <w:szCs w:val="20"/>
        </w:rPr>
        <w:t>), at 50 (‘the most rudimentary elements’).</w:t>
      </w:r>
    </w:p>
  </w:footnote>
  <w:footnote w:id="55">
    <w:p w14:paraId="5FA3A374" w14:textId="63B96951"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w:t>
      </w:r>
      <w:proofErr w:type="spellStart"/>
      <w:r w:rsidRPr="009B3959">
        <w:rPr>
          <w:rFonts w:ascii="Times New Roman" w:hAnsi="Times New Roman"/>
          <w:sz w:val="20"/>
          <w:szCs w:val="20"/>
          <w:lang w:val="en-US"/>
        </w:rPr>
        <w:t>Dinstein</w:t>
      </w:r>
      <w:proofErr w:type="spellEnd"/>
      <w:r w:rsidRPr="009B3959">
        <w:rPr>
          <w:rFonts w:ascii="Times New Roman" w:hAnsi="Times New Roman"/>
          <w:sz w:val="20"/>
          <w:szCs w:val="20"/>
          <w:lang w:val="en-US"/>
        </w:rPr>
        <w:t xml:space="preserve"> (2014) (n. 12), at 38-50, paras 115-160.</w:t>
      </w:r>
    </w:p>
  </w:footnote>
  <w:footnote w:id="56">
    <w:p w14:paraId="772EE86E" w14:textId="41B0899D"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Ibid., para. 133. </w:t>
      </w:r>
    </w:p>
  </w:footnote>
  <w:footnote w:id="57">
    <w:p w14:paraId="5D97AB10" w14:textId="7726FF23"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sz w:val="20"/>
          <w:szCs w:val="20"/>
          <w:lang w:val="en-US"/>
        </w:rPr>
        <w:t xml:space="preserve">Ibid., para. 418. </w:t>
      </w:r>
      <w:r w:rsidRPr="009B3959">
        <w:rPr>
          <w:rFonts w:ascii="Times New Roman" w:hAnsi="Times New Roman"/>
          <w:sz w:val="20"/>
          <w:szCs w:val="20"/>
        </w:rPr>
        <w:t xml:space="preserve">Compare GIAD Draper, ‘The Geneva Conventions of 1949’, (1965-I) 114 </w:t>
      </w:r>
      <w:proofErr w:type="spellStart"/>
      <w:r w:rsidRPr="009B3959">
        <w:rPr>
          <w:rFonts w:ascii="Times New Roman" w:hAnsi="Times New Roman"/>
          <w:i/>
          <w:iCs/>
          <w:sz w:val="20"/>
          <w:szCs w:val="20"/>
        </w:rPr>
        <w:t>Recueil</w:t>
      </w:r>
      <w:proofErr w:type="spellEnd"/>
      <w:r w:rsidRPr="009B3959">
        <w:rPr>
          <w:rFonts w:ascii="Times New Roman" w:hAnsi="Times New Roman"/>
          <w:i/>
          <w:iCs/>
          <w:sz w:val="20"/>
          <w:szCs w:val="20"/>
        </w:rPr>
        <w:t xml:space="preserve"> des </w:t>
      </w:r>
      <w:proofErr w:type="spellStart"/>
      <w:r w:rsidRPr="009B3959">
        <w:rPr>
          <w:rFonts w:ascii="Times New Roman" w:hAnsi="Times New Roman"/>
          <w:i/>
          <w:iCs/>
          <w:sz w:val="20"/>
          <w:szCs w:val="20"/>
        </w:rPr>
        <w:t>Cours</w:t>
      </w:r>
      <w:proofErr w:type="spellEnd"/>
      <w:r w:rsidRPr="009B3959">
        <w:rPr>
          <w:rFonts w:ascii="Times New Roman" w:hAnsi="Times New Roman"/>
          <w:i/>
          <w:iCs/>
          <w:sz w:val="20"/>
          <w:szCs w:val="20"/>
        </w:rPr>
        <w:t xml:space="preserve"> </w:t>
      </w:r>
      <w:r w:rsidRPr="009B3959">
        <w:rPr>
          <w:rFonts w:ascii="Times New Roman" w:hAnsi="Times New Roman"/>
          <w:sz w:val="20"/>
          <w:szCs w:val="20"/>
        </w:rPr>
        <w:t>63, at 90</w:t>
      </w:r>
      <w:r w:rsidRPr="009B3959">
        <w:rPr>
          <w:rFonts w:ascii="Times New Roman" w:hAnsi="Times New Roman"/>
          <w:sz w:val="20"/>
          <w:szCs w:val="20"/>
          <w:shd w:val="clear" w:color="auto" w:fill="FFFFFF"/>
        </w:rPr>
        <w:t xml:space="preserve"> (</w:t>
      </w:r>
      <w:r w:rsidRPr="009B3959">
        <w:rPr>
          <w:rFonts w:ascii="Times New Roman" w:hAnsi="Times New Roman"/>
          <w:sz w:val="20"/>
          <w:szCs w:val="20"/>
        </w:rPr>
        <w:t>reading such territorial control under common Article 3 of the Geneva Conventions).</w:t>
      </w:r>
    </w:p>
  </w:footnote>
  <w:footnote w:id="58">
    <w:p w14:paraId="05B5C3A3" w14:textId="19400723"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rPr>
        <w:t xml:space="preserve"> See </w:t>
      </w:r>
      <w:proofErr w:type="spellStart"/>
      <w:r w:rsidRPr="009B3959">
        <w:rPr>
          <w:rFonts w:ascii="Times New Roman" w:hAnsi="Times New Roman"/>
          <w:i/>
          <w:iCs/>
          <w:sz w:val="20"/>
          <w:szCs w:val="20"/>
        </w:rPr>
        <w:t>Boškoski</w:t>
      </w:r>
      <w:proofErr w:type="spellEnd"/>
      <w:r w:rsidRPr="009B3959">
        <w:rPr>
          <w:rFonts w:ascii="Times New Roman" w:hAnsi="Times New Roman"/>
          <w:sz w:val="20"/>
          <w:szCs w:val="20"/>
        </w:rPr>
        <w:t xml:space="preserve"> Trial Judgment (n. 20), para. </w:t>
      </w:r>
      <w:r w:rsidRPr="009B3959">
        <w:rPr>
          <w:rFonts w:ascii="Times New Roman" w:hAnsi="Times New Roman"/>
          <w:sz w:val="20"/>
          <w:szCs w:val="20"/>
          <w:lang w:val="en-US"/>
        </w:rPr>
        <w:t>197</w:t>
      </w:r>
      <w:r w:rsidRPr="009B3959">
        <w:rPr>
          <w:rFonts w:ascii="Times New Roman" w:hAnsi="Times New Roman"/>
          <w:sz w:val="20"/>
          <w:szCs w:val="20"/>
        </w:rPr>
        <w:t>.</w:t>
      </w:r>
    </w:p>
  </w:footnote>
  <w:footnote w:id="59">
    <w:p w14:paraId="648D9E21" w14:textId="161852C7"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Y.M. </w:t>
      </w:r>
      <w:proofErr w:type="spellStart"/>
      <w:r w:rsidRPr="009B3959">
        <w:rPr>
          <w:rFonts w:ascii="Times New Roman" w:hAnsi="Times New Roman"/>
          <w:sz w:val="20"/>
          <w:szCs w:val="20"/>
        </w:rPr>
        <w:t>Lootsteen</w:t>
      </w:r>
      <w:proofErr w:type="spellEnd"/>
      <w:r w:rsidRPr="009B3959">
        <w:rPr>
          <w:rFonts w:ascii="Times New Roman" w:hAnsi="Times New Roman"/>
          <w:sz w:val="20"/>
          <w:szCs w:val="20"/>
        </w:rPr>
        <w:t xml:space="preserve"> , ‘The Concept of Belligerency in International Law ’ (2000) 166 </w:t>
      </w:r>
      <w:r w:rsidRPr="009B3959">
        <w:rPr>
          <w:rFonts w:ascii="Times New Roman" w:hAnsi="Times New Roman"/>
          <w:i/>
          <w:iCs/>
          <w:sz w:val="20"/>
          <w:szCs w:val="20"/>
        </w:rPr>
        <w:t xml:space="preserve">Military Law Review </w:t>
      </w:r>
      <w:r w:rsidRPr="009B3959">
        <w:rPr>
          <w:rFonts w:ascii="Times New Roman" w:hAnsi="Times New Roman"/>
          <w:sz w:val="20"/>
          <w:szCs w:val="20"/>
        </w:rPr>
        <w:t xml:space="preserve">109, at 130; and R. Bartels, ‘Timelines, Borderlines and Conflicts:  The Historical Evolution of the Legal Divide between International and Non-International Armed Conflicts’, (2009) 91 </w:t>
      </w:r>
      <w:r w:rsidRPr="009B3959">
        <w:rPr>
          <w:rFonts w:ascii="Times New Roman" w:hAnsi="Times New Roman"/>
          <w:i/>
          <w:iCs/>
          <w:sz w:val="20"/>
          <w:szCs w:val="20"/>
        </w:rPr>
        <w:t>International Review of the Red Cross</w:t>
      </w:r>
      <w:r w:rsidRPr="009B3959">
        <w:rPr>
          <w:rFonts w:ascii="Times New Roman" w:hAnsi="Times New Roman"/>
          <w:sz w:val="20"/>
          <w:szCs w:val="20"/>
        </w:rPr>
        <w:t xml:space="preserve"> 35, at 65.</w:t>
      </w:r>
    </w:p>
  </w:footnote>
  <w:footnote w:id="60">
    <w:p w14:paraId="27F853D9" w14:textId="5722C8B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(2009), </w:t>
      </w:r>
      <w:r w:rsidRPr="009B3959">
        <w:rPr>
          <w:rFonts w:ascii="Times New Roman" w:hAnsi="Times New Roman"/>
          <w:i/>
          <w:iCs/>
          <w:sz w:val="20"/>
          <w:szCs w:val="20"/>
        </w:rPr>
        <w:t>ibid</w:t>
      </w:r>
      <w:r w:rsidRPr="009B3959">
        <w:rPr>
          <w:rFonts w:ascii="Times New Roman" w:hAnsi="Times New Roman"/>
          <w:sz w:val="20"/>
          <w:szCs w:val="20"/>
        </w:rPr>
        <w:t xml:space="preserve">., at 67. See also Y. </w:t>
      </w:r>
      <w:proofErr w:type="spellStart"/>
      <w:r w:rsidRPr="009B3959">
        <w:rPr>
          <w:rFonts w:ascii="Times New Roman" w:hAnsi="Times New Roman"/>
          <w:sz w:val="20"/>
          <w:szCs w:val="20"/>
        </w:rPr>
        <w:t>Lootsteen</w:t>
      </w:r>
      <w:proofErr w:type="spellEnd"/>
      <w:r w:rsidRPr="009B3959">
        <w:rPr>
          <w:rFonts w:ascii="Times New Roman" w:hAnsi="Times New Roman"/>
          <w:sz w:val="20"/>
          <w:szCs w:val="20"/>
        </w:rPr>
        <w:t xml:space="preserve">, </w:t>
      </w:r>
      <w:r w:rsidRPr="009B3959">
        <w:rPr>
          <w:rFonts w:ascii="Times New Roman" w:hAnsi="Times New Roman"/>
          <w:i/>
          <w:iCs/>
          <w:sz w:val="20"/>
          <w:szCs w:val="20"/>
        </w:rPr>
        <w:t>ibid.</w:t>
      </w:r>
      <w:r w:rsidRPr="009B3959">
        <w:rPr>
          <w:rFonts w:ascii="Times New Roman" w:hAnsi="Times New Roman"/>
          <w:sz w:val="20"/>
          <w:szCs w:val="20"/>
        </w:rPr>
        <w:t>at 130</w:t>
      </w:r>
    </w:p>
  </w:footnote>
  <w:footnote w:id="61">
    <w:p w14:paraId="4183D1B8" w14:textId="5B0A24F6"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For this doctrine, see S.C. Neff, </w:t>
      </w:r>
      <w:proofErr w:type="gramStart"/>
      <w:r w:rsidRPr="009B3959">
        <w:rPr>
          <w:rFonts w:ascii="Times New Roman" w:hAnsi="Times New Roman"/>
          <w:i/>
          <w:iCs/>
          <w:sz w:val="20"/>
          <w:szCs w:val="20"/>
        </w:rPr>
        <w:t>War</w:t>
      </w:r>
      <w:proofErr w:type="gramEnd"/>
      <w:r w:rsidRPr="009B3959">
        <w:rPr>
          <w:rFonts w:ascii="Times New Roman" w:hAnsi="Times New Roman"/>
          <w:i/>
          <w:iCs/>
          <w:sz w:val="20"/>
          <w:szCs w:val="20"/>
        </w:rPr>
        <w:t xml:space="preserve"> and the Law of Nations – A General History, </w:t>
      </w:r>
      <w:r w:rsidRPr="009B3959">
        <w:rPr>
          <w:rFonts w:ascii="Times New Roman" w:hAnsi="Times New Roman"/>
          <w:sz w:val="20"/>
          <w:szCs w:val="20"/>
        </w:rPr>
        <w:t xml:space="preserve">(Cambridge University Press, 2005), at 269;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12), at 113-114, paras 354-356. </w:t>
      </w:r>
    </w:p>
  </w:footnote>
  <w:footnote w:id="62">
    <w:p w14:paraId="7CB568F8" w14:textId="1559D436"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i/>
          <w:iCs/>
          <w:sz w:val="20"/>
          <w:szCs w:val="20"/>
          <w:shd w:val="clear" w:color="auto" w:fill="FFFFFF"/>
        </w:rPr>
        <w:t xml:space="preserve">Final Record </w:t>
      </w:r>
      <w:r w:rsidRPr="009B3959">
        <w:rPr>
          <w:rFonts w:ascii="Times New Roman" w:hAnsi="Times New Roman"/>
          <w:sz w:val="20"/>
          <w:szCs w:val="20"/>
          <w:shd w:val="clear" w:color="auto" w:fill="FFFFFF"/>
        </w:rPr>
        <w:t xml:space="preserve">(n. 5), Vol. II-B, p. 121; </w:t>
      </w:r>
      <w:proofErr w:type="spellStart"/>
      <w:r w:rsidRPr="009B3959">
        <w:rPr>
          <w:rFonts w:ascii="Times New Roman" w:hAnsi="Times New Roman"/>
          <w:i/>
          <w:iCs/>
          <w:sz w:val="20"/>
          <w:szCs w:val="20"/>
        </w:rPr>
        <w:t>Pictet’s</w:t>
      </w:r>
      <w:proofErr w:type="spellEnd"/>
      <w:r w:rsidRPr="009B3959">
        <w:rPr>
          <w:rFonts w:ascii="Times New Roman" w:hAnsi="Times New Roman"/>
          <w:i/>
          <w:iCs/>
          <w:sz w:val="20"/>
          <w:szCs w:val="20"/>
        </w:rPr>
        <w:t xml:space="preserve"> Commentary to Geneva Convention I, </w:t>
      </w:r>
      <w:r w:rsidRPr="009B3959">
        <w:rPr>
          <w:rFonts w:ascii="Times New Roman" w:hAnsi="Times New Roman"/>
          <w:sz w:val="20"/>
          <w:szCs w:val="20"/>
        </w:rPr>
        <w:t xml:space="preserve">at 49-50. </w:t>
      </w:r>
    </w:p>
  </w:footnote>
  <w:footnote w:id="63">
    <w:p w14:paraId="5A098073" w14:textId="2F38D7B8"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(2009) (n. </w:t>
      </w:r>
      <w:r>
        <w:rPr>
          <w:rFonts w:ascii="Times New Roman" w:hAnsi="Times New Roman"/>
          <w:sz w:val="20"/>
          <w:szCs w:val="20"/>
        </w:rPr>
        <w:t>58</w:t>
      </w:r>
      <w:r w:rsidRPr="009B3959">
        <w:rPr>
          <w:rFonts w:ascii="Times New Roman" w:hAnsi="Times New Roman"/>
          <w:sz w:val="20"/>
          <w:szCs w:val="20"/>
        </w:rPr>
        <w:t xml:space="preserve">), at 61-64; R. Bartels and K. Fortin, ‘Law, Justice and a Potential Security Gap:  The ‘Organization’ Requirement in International Humanitarian Law and International Criminal Law, (2016) 21 </w:t>
      </w:r>
      <w:r w:rsidRPr="009B3959">
        <w:rPr>
          <w:rFonts w:ascii="Times New Roman" w:hAnsi="Times New Roman"/>
          <w:i/>
          <w:iCs/>
          <w:sz w:val="20"/>
          <w:szCs w:val="20"/>
        </w:rPr>
        <w:t>Journal of Conflict and Security Law</w:t>
      </w:r>
      <w:r w:rsidRPr="009B3959">
        <w:rPr>
          <w:rFonts w:ascii="Times New Roman" w:hAnsi="Times New Roman"/>
          <w:sz w:val="20"/>
          <w:szCs w:val="20"/>
        </w:rPr>
        <w:t xml:space="preserve"> 29 at 31</w:t>
      </w:r>
      <w:r w:rsidRPr="009B3959">
        <w:rPr>
          <w:rFonts w:ascii="Times New Roman" w:hAnsi="Times New Roman"/>
          <w:sz w:val="20"/>
          <w:szCs w:val="20"/>
          <w:lang w:val="en-US"/>
        </w:rPr>
        <w:t>.</w:t>
      </w:r>
    </w:p>
  </w:footnote>
  <w:footnote w:id="64">
    <w:p w14:paraId="63C21A2B" w14:textId="6CEC4E3A"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Sivakumaran (2012) (n.12) at 162. </w:t>
      </w:r>
    </w:p>
  </w:footnote>
  <w:footnote w:id="65">
    <w:p w14:paraId="2872D7B0" w14:textId="4081ED7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w:t>
      </w:r>
      <w:proofErr w:type="spellStart"/>
      <w:r w:rsidRPr="009B3959">
        <w:rPr>
          <w:rFonts w:ascii="Times New Roman" w:hAnsi="Times New Roman"/>
          <w:sz w:val="20"/>
          <w:szCs w:val="20"/>
        </w:rPr>
        <w:t>Pictet’s</w:t>
      </w:r>
      <w:proofErr w:type="spellEnd"/>
      <w:r w:rsidRPr="009B3959">
        <w:rPr>
          <w:rFonts w:ascii="Times New Roman" w:hAnsi="Times New Roman"/>
          <w:sz w:val="20"/>
          <w:szCs w:val="20"/>
        </w:rPr>
        <w:t xml:space="preserve"> Commentary goes so far as to propose that the ambit of common Article 3 should be ‘as wide as possible’</w:t>
      </w:r>
      <w:r w:rsidRPr="009B3959">
        <w:rPr>
          <w:rStyle w:val="a5"/>
          <w:rFonts w:ascii="Times New Roman" w:hAnsi="Times New Roman"/>
          <w:sz w:val="20"/>
          <w:szCs w:val="20"/>
        </w:rPr>
        <w:t xml:space="preserve">: </w:t>
      </w:r>
      <w:r w:rsidRPr="009B3959">
        <w:rPr>
          <w:rFonts w:ascii="Times New Roman" w:hAnsi="Times New Roman"/>
          <w:sz w:val="20"/>
          <w:szCs w:val="20"/>
        </w:rPr>
        <w:t xml:space="preserve"> ICRC, </w:t>
      </w:r>
      <w:proofErr w:type="spellStart"/>
      <w:r w:rsidRPr="009B3959">
        <w:rPr>
          <w:rFonts w:ascii="Times New Roman" w:hAnsi="Times New Roman"/>
          <w:i/>
          <w:iCs/>
          <w:sz w:val="20"/>
          <w:szCs w:val="20"/>
        </w:rPr>
        <w:t>Pictet’s</w:t>
      </w:r>
      <w:proofErr w:type="spellEnd"/>
      <w:r w:rsidRPr="009B3959">
        <w:rPr>
          <w:rFonts w:ascii="Times New Roman" w:hAnsi="Times New Roman"/>
          <w:i/>
          <w:iCs/>
          <w:sz w:val="20"/>
          <w:szCs w:val="20"/>
        </w:rPr>
        <w:t xml:space="preserve"> Commentary to Geneva Convention IV, </w:t>
      </w:r>
      <w:r w:rsidRPr="009B3959">
        <w:rPr>
          <w:rFonts w:ascii="Times New Roman" w:hAnsi="Times New Roman"/>
          <w:sz w:val="20"/>
          <w:szCs w:val="20"/>
        </w:rPr>
        <w:t xml:space="preserve">at 36. However, this is far-fetched:  James E. Bond, ‘Internal Conflict and Article 3 of the Geneva Conventions’, (1971-72) 48 </w:t>
      </w:r>
      <w:r w:rsidRPr="009B3959">
        <w:rPr>
          <w:rFonts w:ascii="Times New Roman" w:hAnsi="Times New Roman"/>
          <w:i/>
          <w:iCs/>
          <w:sz w:val="20"/>
          <w:szCs w:val="20"/>
        </w:rPr>
        <w:t>Denver Law Journal</w:t>
      </w:r>
      <w:r w:rsidRPr="009B3959">
        <w:rPr>
          <w:rFonts w:ascii="Times New Roman" w:hAnsi="Times New Roman"/>
          <w:sz w:val="20"/>
          <w:szCs w:val="20"/>
        </w:rPr>
        <w:t xml:space="preserve"> 263 at 270</w:t>
      </w:r>
      <w:r w:rsidRPr="009B3959">
        <w:rPr>
          <w:rFonts w:ascii="Times New Roman" w:hAnsi="Times New Roman"/>
          <w:sz w:val="20"/>
          <w:szCs w:val="20"/>
          <w:lang w:val="en-US"/>
        </w:rPr>
        <w:t xml:space="preserve">; Moir (2002) (n. 11), at 36-38; </w:t>
      </w:r>
      <w:r w:rsidRPr="009B3959">
        <w:rPr>
          <w:rFonts w:ascii="Times New Roman" w:hAnsi="Times New Roman"/>
          <w:sz w:val="20"/>
          <w:szCs w:val="20"/>
        </w:rPr>
        <w:t xml:space="preserve">C. Kress, ‘Some Reflections on the International Legal Framework Governing Transnational Armed Conflicts’, (2010) 15 </w:t>
      </w:r>
      <w:r w:rsidRPr="009B3959">
        <w:rPr>
          <w:rFonts w:ascii="Times New Roman" w:hAnsi="Times New Roman"/>
          <w:i/>
          <w:iCs/>
          <w:sz w:val="20"/>
          <w:szCs w:val="20"/>
        </w:rPr>
        <w:t xml:space="preserve">Journal of Conflict and Security Law </w:t>
      </w:r>
      <w:r w:rsidRPr="009B3959">
        <w:rPr>
          <w:rFonts w:ascii="Times New Roman" w:hAnsi="Times New Roman"/>
          <w:sz w:val="20"/>
          <w:szCs w:val="20"/>
        </w:rPr>
        <w:t>245 at 261.</w:t>
      </w:r>
    </w:p>
  </w:footnote>
  <w:footnote w:id="66">
    <w:p w14:paraId="58C93C46" w14:textId="5D681C99" w:rsidR="004F2CB8" w:rsidRPr="009B3959" w:rsidRDefault="004F2CB8" w:rsidP="009B3959">
      <w:pPr>
        <w:pStyle w:val="a3"/>
        <w:jc w:val="both"/>
        <w:rPr>
          <w:rFonts w:ascii="Times New Roman" w:hAnsi="Times New Roman"/>
          <w:sz w:val="20"/>
          <w:szCs w:val="20"/>
          <w:lang w:val="fr-FR"/>
        </w:rPr>
      </w:pPr>
      <w:r w:rsidRPr="009B3959">
        <w:rPr>
          <w:rStyle w:val="a5"/>
          <w:rFonts w:ascii="Times New Roman" w:hAnsi="Times New Roman"/>
          <w:sz w:val="20"/>
          <w:szCs w:val="20"/>
        </w:rPr>
        <w:footnoteRef/>
      </w:r>
      <w:r w:rsidRPr="009B3959">
        <w:rPr>
          <w:rFonts w:ascii="Times New Roman" w:hAnsi="Times New Roman"/>
          <w:sz w:val="20"/>
          <w:szCs w:val="20"/>
          <w:lang w:val="fr-FR"/>
        </w:rPr>
        <w:t xml:space="preserve"> </w:t>
      </w:r>
      <w:r w:rsidRPr="009B3959">
        <w:rPr>
          <w:rFonts w:ascii="Times New Roman" w:hAnsi="Times New Roman"/>
          <w:sz w:val="20"/>
          <w:szCs w:val="20"/>
          <w:lang w:val="fr-FR"/>
        </w:rPr>
        <w:t xml:space="preserve">J. Fernandez, X. Pacreau and M. Ubéda-Saillard, </w:t>
      </w:r>
      <w:r w:rsidRPr="009B3959">
        <w:rPr>
          <w:rFonts w:ascii="Times New Roman" w:hAnsi="Times New Roman"/>
          <w:i/>
          <w:iCs/>
          <w:sz w:val="20"/>
          <w:szCs w:val="20"/>
          <w:lang w:val="fr-FR"/>
        </w:rPr>
        <w:t>Statut de Rome de la Cour pénale internationale – Commentaire article par article</w:t>
      </w:r>
      <w:r w:rsidRPr="009B3959">
        <w:rPr>
          <w:rFonts w:ascii="Times New Roman" w:hAnsi="Times New Roman"/>
          <w:sz w:val="20"/>
          <w:szCs w:val="20"/>
          <w:lang w:val="fr-FR"/>
        </w:rPr>
        <w:t>, 2</w:t>
      </w:r>
      <w:r w:rsidRPr="009B3959">
        <w:rPr>
          <w:rFonts w:ascii="Times New Roman" w:hAnsi="Times New Roman"/>
          <w:sz w:val="20"/>
          <w:szCs w:val="20"/>
          <w:vertAlign w:val="superscript"/>
          <w:lang w:val="fr-FR"/>
        </w:rPr>
        <w:t>nd</w:t>
      </w:r>
      <w:r w:rsidRPr="009B3959">
        <w:rPr>
          <w:rFonts w:ascii="Times New Roman" w:hAnsi="Times New Roman"/>
          <w:sz w:val="20"/>
          <w:szCs w:val="20"/>
          <w:lang w:val="fr-FR"/>
        </w:rPr>
        <w:t xml:space="preserve"> ed., (Pedone, 2019),</w:t>
      </w:r>
      <w:r w:rsidRPr="009B3959">
        <w:rPr>
          <w:rFonts w:ascii="Times New Roman" w:hAnsi="Times New Roman"/>
          <w:i/>
          <w:iCs/>
          <w:sz w:val="20"/>
          <w:szCs w:val="20"/>
          <w:lang w:val="fr-FR"/>
        </w:rPr>
        <w:t xml:space="preserve"> </w:t>
      </w:r>
      <w:r w:rsidRPr="009B3959">
        <w:rPr>
          <w:rFonts w:ascii="Times New Roman" w:hAnsi="Times New Roman"/>
          <w:sz w:val="20"/>
          <w:szCs w:val="20"/>
          <w:lang w:val="fr-FR"/>
        </w:rPr>
        <w:t>at 647.</w:t>
      </w:r>
    </w:p>
  </w:footnote>
  <w:footnote w:id="67">
    <w:p w14:paraId="7706C5DF" w14:textId="17E98652" w:rsidR="004F2CB8" w:rsidRPr="009B3959" w:rsidRDefault="004F2CB8" w:rsidP="009B3959">
      <w:pPr>
        <w:pStyle w:val="a3"/>
        <w:jc w:val="both"/>
        <w:rPr>
          <w:rFonts w:ascii="Times New Roman" w:hAnsi="Times New Roman"/>
          <w:sz w:val="20"/>
          <w:szCs w:val="20"/>
          <w:lang w:val="fr-FR"/>
        </w:rPr>
      </w:pPr>
      <w:r w:rsidRPr="009B3959">
        <w:rPr>
          <w:rStyle w:val="a5"/>
          <w:rFonts w:ascii="Times New Roman" w:hAnsi="Times New Roman"/>
          <w:sz w:val="20"/>
          <w:szCs w:val="20"/>
        </w:rPr>
        <w:footnoteRef/>
      </w:r>
      <w:r w:rsidRPr="009B3959">
        <w:rPr>
          <w:rFonts w:ascii="Times New Roman" w:hAnsi="Times New Roman"/>
          <w:sz w:val="20"/>
          <w:szCs w:val="20"/>
          <w:lang w:val="fr-FR"/>
        </w:rPr>
        <w:t xml:space="preserve"> </w:t>
      </w:r>
      <w:r w:rsidRPr="009B3959">
        <w:rPr>
          <w:rFonts w:ascii="Times New Roman" w:hAnsi="Times New Roman"/>
          <w:sz w:val="20"/>
          <w:szCs w:val="20"/>
          <w:lang w:val="fr-FR"/>
        </w:rPr>
        <w:t xml:space="preserve">La </w:t>
      </w:r>
      <w:r w:rsidRPr="009B3959">
        <w:rPr>
          <w:rFonts w:ascii="Times New Roman" w:hAnsi="Times New Roman"/>
          <w:sz w:val="20"/>
          <w:szCs w:val="20"/>
          <w:lang w:val="fr-FR"/>
        </w:rPr>
        <w:t>Haye (n. 12), at 13; Dinstein (2014) (n. 12), at 46, para. 147.</w:t>
      </w:r>
    </w:p>
  </w:footnote>
  <w:footnote w:id="68">
    <w:p w14:paraId="18FB774B" w14:textId="74D2B41A"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fr-FR"/>
        </w:rPr>
        <w:t xml:space="preserve"> </w:t>
      </w:r>
      <w:r w:rsidRPr="009B3959">
        <w:rPr>
          <w:rFonts w:ascii="Times New Roman" w:hAnsi="Times New Roman"/>
          <w:sz w:val="20"/>
          <w:szCs w:val="20"/>
          <w:lang w:val="fr-FR"/>
        </w:rPr>
        <w:t xml:space="preserve">Fernandez </w:t>
      </w:r>
      <w:r w:rsidRPr="009B3959">
        <w:rPr>
          <w:rFonts w:ascii="Times New Roman" w:hAnsi="Times New Roman"/>
          <w:sz w:val="20"/>
          <w:szCs w:val="20"/>
          <w:lang w:val="fr-FR"/>
        </w:rPr>
        <w:t xml:space="preserve">et al. </w:t>
      </w:r>
      <w:r w:rsidRPr="009B3959">
        <w:rPr>
          <w:rFonts w:ascii="Times New Roman" w:hAnsi="Times New Roman"/>
          <w:sz w:val="20"/>
          <w:szCs w:val="20"/>
          <w:lang w:val="en-US"/>
        </w:rPr>
        <w:t xml:space="preserve">(n. </w:t>
      </w:r>
      <w:r>
        <w:rPr>
          <w:rFonts w:ascii="Times New Roman" w:hAnsi="Times New Roman"/>
          <w:sz w:val="20"/>
          <w:szCs w:val="20"/>
          <w:lang w:val="en-US"/>
        </w:rPr>
        <w:t>65</w:t>
      </w:r>
      <w:r w:rsidRPr="009B3959">
        <w:rPr>
          <w:rFonts w:ascii="Times New Roman" w:hAnsi="Times New Roman"/>
          <w:sz w:val="20"/>
          <w:szCs w:val="20"/>
          <w:lang w:val="en-US"/>
        </w:rPr>
        <w:t>), at 647.</w:t>
      </w:r>
    </w:p>
  </w:footnote>
  <w:footnote w:id="69">
    <w:p w14:paraId="021C2894" w14:textId="287FC656"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Apart from the cases discussed here, see also ICC, </w:t>
      </w:r>
      <w:r w:rsidRPr="009B3959">
        <w:rPr>
          <w:rFonts w:ascii="Times New Roman" w:hAnsi="Times New Roman"/>
          <w:i/>
          <w:iCs/>
          <w:sz w:val="20"/>
          <w:szCs w:val="20"/>
          <w:lang w:val="en-US"/>
        </w:rPr>
        <w:t>Lubanga</w:t>
      </w:r>
      <w:r w:rsidRPr="009B3959">
        <w:rPr>
          <w:rFonts w:ascii="Times New Roman" w:hAnsi="Times New Roman"/>
          <w:sz w:val="20"/>
          <w:szCs w:val="20"/>
          <w:lang w:val="en-US"/>
        </w:rPr>
        <w:t xml:space="preserve"> </w:t>
      </w:r>
      <w:r>
        <w:rPr>
          <w:rFonts w:ascii="Times New Roman" w:hAnsi="Times New Roman"/>
          <w:sz w:val="20"/>
          <w:szCs w:val="20"/>
          <w:lang w:val="en-US"/>
        </w:rPr>
        <w:t xml:space="preserve">Trial </w:t>
      </w:r>
      <w:r w:rsidRPr="009B3959">
        <w:rPr>
          <w:rFonts w:ascii="Times New Roman" w:hAnsi="Times New Roman"/>
          <w:sz w:val="20"/>
          <w:szCs w:val="20"/>
          <w:lang w:val="en-US"/>
        </w:rPr>
        <w:t>Judgment pursuant to Article 74</w:t>
      </w:r>
      <w:r>
        <w:rPr>
          <w:rFonts w:ascii="Times New Roman" w:hAnsi="Times New Roman"/>
          <w:sz w:val="20"/>
          <w:szCs w:val="20"/>
          <w:lang w:val="en-US"/>
        </w:rPr>
        <w:t xml:space="preserve"> (n. 27)</w:t>
      </w:r>
      <w:r w:rsidRPr="009B3959">
        <w:rPr>
          <w:rFonts w:ascii="Times New Roman" w:hAnsi="Times New Roman"/>
          <w:sz w:val="20"/>
          <w:szCs w:val="20"/>
          <w:lang w:val="en-US"/>
        </w:rPr>
        <w:t xml:space="preserve">, para. </w:t>
      </w:r>
      <w:r w:rsidRPr="00066403">
        <w:rPr>
          <w:rFonts w:ascii="Times New Roman" w:hAnsi="Times New Roman"/>
          <w:sz w:val="20"/>
          <w:szCs w:val="20"/>
          <w:lang w:val="en-US"/>
        </w:rPr>
        <w:t xml:space="preserve">536. See also </w:t>
      </w:r>
      <w:r w:rsidRPr="009B3959">
        <w:rPr>
          <w:rFonts w:ascii="Times New Roman" w:hAnsi="Times New Roman"/>
          <w:sz w:val="20"/>
          <w:szCs w:val="20"/>
          <w:lang w:val="en-US"/>
        </w:rPr>
        <w:t xml:space="preserve">CJEU, </w:t>
      </w:r>
      <w:r w:rsidRPr="00066403">
        <w:rPr>
          <w:rFonts w:ascii="Times New Roman" w:hAnsi="Times New Roman"/>
          <w:i/>
          <w:iCs/>
          <w:sz w:val="20"/>
          <w:szCs w:val="20"/>
          <w:lang w:val="en-US"/>
        </w:rPr>
        <w:t xml:space="preserve">Diakité </w:t>
      </w:r>
      <w:r w:rsidRPr="00066403">
        <w:rPr>
          <w:rFonts w:ascii="Times New Roman" w:hAnsi="Times New Roman"/>
          <w:sz w:val="20"/>
          <w:szCs w:val="20"/>
          <w:lang w:val="en-US"/>
        </w:rPr>
        <w:t xml:space="preserve">(n. </w:t>
      </w:r>
      <w:r>
        <w:rPr>
          <w:rFonts w:ascii="Times New Roman" w:hAnsi="Times New Roman"/>
          <w:sz w:val="20"/>
          <w:szCs w:val="20"/>
          <w:lang w:val="en-US"/>
        </w:rPr>
        <w:t>35</w:t>
      </w:r>
      <w:r w:rsidRPr="00066403">
        <w:rPr>
          <w:rFonts w:ascii="Times New Roman" w:hAnsi="Times New Roman"/>
          <w:sz w:val="20"/>
          <w:szCs w:val="20"/>
          <w:lang w:val="en-US"/>
        </w:rPr>
        <w:t xml:space="preserve">), opinion of Advocate General </w:t>
      </w:r>
      <w:proofErr w:type="spellStart"/>
      <w:r w:rsidRPr="00066403">
        <w:rPr>
          <w:rFonts w:ascii="Times New Roman" w:hAnsi="Times New Roman"/>
          <w:sz w:val="20"/>
          <w:szCs w:val="20"/>
          <w:lang w:val="en-US"/>
        </w:rPr>
        <w:t>Mengozzi</w:t>
      </w:r>
      <w:proofErr w:type="spellEnd"/>
      <w:r w:rsidRPr="00066403">
        <w:rPr>
          <w:rFonts w:ascii="Times New Roman" w:hAnsi="Times New Roman"/>
          <w:sz w:val="20"/>
          <w:szCs w:val="20"/>
          <w:lang w:val="en-US"/>
        </w:rPr>
        <w:t xml:space="preserve">, para. </w:t>
      </w:r>
      <w:r w:rsidRPr="009B3959">
        <w:rPr>
          <w:rFonts w:ascii="Times New Roman" w:hAnsi="Times New Roman"/>
          <w:sz w:val="20"/>
          <w:szCs w:val="20"/>
          <w:lang w:val="en-US"/>
        </w:rPr>
        <w:t>44.</w:t>
      </w:r>
    </w:p>
  </w:footnote>
  <w:footnote w:id="70">
    <w:p w14:paraId="6EBD3F81" w14:textId="48E894FA"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i/>
          <w:iCs/>
          <w:sz w:val="20"/>
          <w:szCs w:val="20"/>
        </w:rPr>
        <w:t>Lubanga</w:t>
      </w:r>
      <w:r w:rsidRPr="009B3959">
        <w:rPr>
          <w:rFonts w:ascii="Times New Roman" w:hAnsi="Times New Roman"/>
          <w:sz w:val="20"/>
          <w:szCs w:val="20"/>
        </w:rPr>
        <w:t xml:space="preserve"> Pre-Trial Decision, (n. 4</w:t>
      </w:r>
      <w:r>
        <w:rPr>
          <w:rFonts w:ascii="Times New Roman" w:hAnsi="Times New Roman"/>
          <w:sz w:val="20"/>
          <w:szCs w:val="20"/>
        </w:rPr>
        <w:t>0</w:t>
      </w:r>
      <w:r w:rsidRPr="009B3959">
        <w:rPr>
          <w:rFonts w:ascii="Times New Roman" w:hAnsi="Times New Roman"/>
          <w:sz w:val="20"/>
          <w:szCs w:val="20"/>
        </w:rPr>
        <w:t xml:space="preserve">), paras. </w:t>
      </w:r>
      <w:r w:rsidRPr="009B3959">
        <w:rPr>
          <w:rFonts w:ascii="Times New Roman" w:hAnsi="Times New Roman"/>
          <w:sz w:val="20"/>
          <w:szCs w:val="20"/>
          <w:lang w:val="en-US"/>
        </w:rPr>
        <w:t>232-233</w:t>
      </w:r>
      <w:r w:rsidRPr="009B3959">
        <w:rPr>
          <w:rFonts w:ascii="Times New Roman" w:hAnsi="Times New Roman"/>
          <w:sz w:val="20"/>
          <w:szCs w:val="20"/>
        </w:rPr>
        <w:t>.</w:t>
      </w:r>
    </w:p>
  </w:footnote>
  <w:footnote w:id="71">
    <w:p w14:paraId="28FA6398" w14:textId="1DA81C74"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The Trial Chamber in </w:t>
      </w:r>
      <w:proofErr w:type="spellStart"/>
      <w:r w:rsidRPr="009B3959">
        <w:rPr>
          <w:rFonts w:ascii="Times New Roman" w:hAnsi="Times New Roman"/>
          <w:i/>
          <w:iCs/>
          <w:sz w:val="20"/>
          <w:szCs w:val="20"/>
        </w:rPr>
        <w:t>Boškoski</w:t>
      </w:r>
      <w:proofErr w:type="spellEnd"/>
      <w:r w:rsidRPr="009B3959">
        <w:rPr>
          <w:rFonts w:ascii="Times New Roman" w:hAnsi="Times New Roman"/>
          <w:sz w:val="20"/>
          <w:szCs w:val="20"/>
        </w:rPr>
        <w:t xml:space="preserve"> expressly recognized that ‘the degree of organisation required to engage in “protracted violence” is lower than the degree of organisation required to carry out “sustained and concerted military operations”’:  </w:t>
      </w:r>
      <w:proofErr w:type="spellStart"/>
      <w:r w:rsidRPr="009B3959">
        <w:rPr>
          <w:rFonts w:ascii="Times New Roman" w:hAnsi="Times New Roman"/>
          <w:i/>
          <w:iCs/>
          <w:sz w:val="20"/>
          <w:szCs w:val="20"/>
        </w:rPr>
        <w:t>Boškoski</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 Judgment (n. 21), para. 197.</w:t>
      </w:r>
    </w:p>
  </w:footnote>
  <w:footnote w:id="72">
    <w:p w14:paraId="5703E7DC" w14:textId="4719EC3D"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ICC</w:t>
      </w:r>
      <w:r w:rsidRPr="009B3959">
        <w:rPr>
          <w:rFonts w:ascii="Times New Roman" w:hAnsi="Times New Roman"/>
          <w:sz w:val="20"/>
          <w:szCs w:val="20"/>
        </w:rPr>
        <w:t xml:space="preserve">, Trial Chamber, </w:t>
      </w:r>
      <w:r w:rsidRPr="00066403">
        <w:rPr>
          <w:rFonts w:ascii="Times New Roman" w:hAnsi="Times New Roman"/>
          <w:i/>
          <w:iCs/>
          <w:sz w:val="20"/>
          <w:szCs w:val="20"/>
        </w:rPr>
        <w:t xml:space="preserve">Prosecutor v. Al-Mahdi, </w:t>
      </w:r>
      <w:r w:rsidRPr="009B3959">
        <w:rPr>
          <w:rFonts w:ascii="Times New Roman" w:hAnsi="Times New Roman"/>
          <w:sz w:val="20"/>
          <w:szCs w:val="20"/>
        </w:rPr>
        <w:t xml:space="preserve">Judgment, 27 September 2016, </w:t>
      </w:r>
      <w:r w:rsidRPr="00066403">
        <w:rPr>
          <w:rFonts w:ascii="Times New Roman" w:hAnsi="Times New Roman"/>
          <w:sz w:val="20"/>
          <w:szCs w:val="20"/>
        </w:rPr>
        <w:t>ICC-01/12-01/15,</w:t>
      </w:r>
      <w:r w:rsidRPr="009B3959">
        <w:rPr>
          <w:rFonts w:ascii="Times New Roman" w:hAnsi="Times New Roman"/>
          <w:sz w:val="20"/>
          <w:szCs w:val="20"/>
        </w:rPr>
        <w:t xml:space="preserve"> para. 49.</w:t>
      </w:r>
      <w:r w:rsidRPr="00066403">
        <w:rPr>
          <w:rFonts w:ascii="Times New Roman" w:hAnsi="Times New Roman"/>
          <w:sz w:val="20"/>
          <w:szCs w:val="20"/>
        </w:rPr>
        <w:t xml:space="preserve"> This was reasonable given that the occupation of the historic city of Timbuktu was decisive as a launching pad for sustained attacks. </w:t>
      </w:r>
      <w:r w:rsidRPr="009B3959">
        <w:rPr>
          <w:rFonts w:ascii="Times New Roman" w:hAnsi="Times New Roman"/>
          <w:sz w:val="20"/>
          <w:szCs w:val="20"/>
        </w:rPr>
        <w:t>The Trial Chamber held that ‘[</w:t>
      </w:r>
      <w:proofErr w:type="spellStart"/>
      <w:r w:rsidRPr="009B3959">
        <w:rPr>
          <w:rFonts w:ascii="Times New Roman" w:hAnsi="Times New Roman"/>
          <w:sz w:val="20"/>
          <w:szCs w:val="20"/>
        </w:rPr>
        <w:t>i</w:t>
      </w:r>
      <w:proofErr w:type="spellEnd"/>
      <w:r w:rsidRPr="009B3959">
        <w:rPr>
          <w:rFonts w:ascii="Times New Roman" w:hAnsi="Times New Roman"/>
          <w:sz w:val="20"/>
          <w:szCs w:val="20"/>
        </w:rPr>
        <w:t xml:space="preserve">]t would not have been possible for these armed groups to carry out the attack without their conquest of Timbuktu, and the justifications stated during the attack were the same as those advanced by the armed groups for taking over Timbuktu and Northern Mali more generally’:  </w:t>
      </w:r>
      <w:r w:rsidRPr="00066403">
        <w:rPr>
          <w:rFonts w:ascii="Times New Roman" w:hAnsi="Times New Roman"/>
          <w:i/>
          <w:iCs/>
          <w:sz w:val="20"/>
          <w:szCs w:val="20"/>
        </w:rPr>
        <w:t>ibid</w:t>
      </w:r>
      <w:r w:rsidRPr="009B3959">
        <w:rPr>
          <w:rFonts w:ascii="Times New Roman" w:hAnsi="Times New Roman"/>
          <w:sz w:val="20"/>
          <w:szCs w:val="20"/>
        </w:rPr>
        <w:t>.</w:t>
      </w:r>
    </w:p>
  </w:footnote>
  <w:footnote w:id="73">
    <w:p w14:paraId="1EDBAB40" w14:textId="17299487"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ICC</w:t>
      </w:r>
      <w:r>
        <w:rPr>
          <w:rFonts w:ascii="Times New Roman" w:hAnsi="Times New Roman"/>
          <w:sz w:val="20"/>
          <w:szCs w:val="20"/>
        </w:rPr>
        <w:t>,</w:t>
      </w:r>
      <w:r w:rsidRPr="009B3959">
        <w:rPr>
          <w:rFonts w:ascii="Times New Roman" w:hAnsi="Times New Roman"/>
          <w:sz w:val="20"/>
          <w:szCs w:val="20"/>
        </w:rPr>
        <w:t xml:space="preserve"> </w:t>
      </w:r>
      <w:r w:rsidRPr="009B3959">
        <w:rPr>
          <w:rFonts w:ascii="Times New Roman" w:hAnsi="Times New Roman"/>
          <w:i/>
          <w:iCs/>
          <w:sz w:val="20"/>
          <w:szCs w:val="20"/>
        </w:rPr>
        <w:t>Ntaganda</w:t>
      </w:r>
      <w:r w:rsidRPr="009B3959">
        <w:rPr>
          <w:rFonts w:ascii="Times New Roman" w:hAnsi="Times New Roman"/>
          <w:sz w:val="20"/>
          <w:szCs w:val="20"/>
        </w:rPr>
        <w:t xml:space="preserve"> </w:t>
      </w:r>
      <w:r>
        <w:rPr>
          <w:rFonts w:ascii="Times New Roman" w:hAnsi="Times New Roman"/>
          <w:sz w:val="20"/>
          <w:szCs w:val="20"/>
        </w:rPr>
        <w:t>Trial Judgment (n. 27),</w:t>
      </w:r>
      <w:r w:rsidRPr="009B3959">
        <w:rPr>
          <w:rFonts w:ascii="Times New Roman" w:hAnsi="Times New Roman"/>
          <w:sz w:val="20"/>
          <w:szCs w:val="20"/>
        </w:rPr>
        <w:t xml:space="preserve"> para.717, footnote omitted.</w:t>
      </w:r>
    </w:p>
  </w:footnote>
  <w:footnote w:id="74">
    <w:p w14:paraId="28867211" w14:textId="55585B9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ICRC, </w:t>
      </w:r>
      <w:r w:rsidRPr="009B3959">
        <w:rPr>
          <w:rFonts w:ascii="Times New Roman" w:hAnsi="Times New Roman"/>
          <w:i/>
          <w:iCs/>
          <w:sz w:val="20"/>
          <w:szCs w:val="20"/>
        </w:rPr>
        <w:t xml:space="preserve">Reaffirmation and Development of the Laws and Customs Applicable in Armed Conflicts </w:t>
      </w:r>
      <w:r w:rsidRPr="009B3959">
        <w:rPr>
          <w:rFonts w:ascii="Times New Roman" w:hAnsi="Times New Roman"/>
          <w:sz w:val="20"/>
          <w:szCs w:val="20"/>
        </w:rPr>
        <w:t>(1969), p. 116.</w:t>
      </w:r>
    </w:p>
  </w:footnote>
  <w:footnote w:id="75">
    <w:p w14:paraId="2CEE171B" w14:textId="2ADD3FA8"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ICTY, Appeals Chamber, </w:t>
      </w:r>
      <w:r w:rsidRPr="009B3959">
        <w:rPr>
          <w:rFonts w:ascii="Times New Roman" w:hAnsi="Times New Roman"/>
          <w:i/>
          <w:iCs/>
          <w:sz w:val="20"/>
          <w:szCs w:val="20"/>
        </w:rPr>
        <w:t xml:space="preserve">Prosecutor v. </w:t>
      </w:r>
      <w:proofErr w:type="spellStart"/>
      <w:r w:rsidRPr="009B3959">
        <w:rPr>
          <w:rFonts w:ascii="Times New Roman" w:hAnsi="Times New Roman"/>
          <w:i/>
          <w:iCs/>
          <w:sz w:val="20"/>
          <w:szCs w:val="20"/>
        </w:rPr>
        <w:t>Dusko</w:t>
      </w:r>
      <w:proofErr w:type="spellEnd"/>
      <w:r w:rsidRPr="009B3959">
        <w:rPr>
          <w:rFonts w:ascii="Times New Roman" w:hAnsi="Times New Roman"/>
          <w:i/>
          <w:iCs/>
          <w:sz w:val="20"/>
          <w:szCs w:val="20"/>
        </w:rPr>
        <w:t xml:space="preserve">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Case No. IT-94-1-A, Judgment, 15 July 1999 (hereinafter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Appeals Judgment), para. 120, 122-123, 128, 131, 141, 145, 146, 154-157, 162. See also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Appeals Chamber</w:t>
      </w:r>
      <w:r>
        <w:rPr>
          <w:rFonts w:ascii="Times New Roman" w:hAnsi="Times New Roman"/>
          <w:sz w:val="20"/>
          <w:szCs w:val="20"/>
        </w:rPr>
        <w:t xml:space="preserve">, </w:t>
      </w:r>
      <w:r w:rsidRPr="009B3959">
        <w:rPr>
          <w:rFonts w:ascii="Times New Roman" w:hAnsi="Times New Roman"/>
          <w:sz w:val="20"/>
          <w:szCs w:val="20"/>
        </w:rPr>
        <w:t>Decision on the Defence Motion for Interlocutory Appeal on Jurisdiction</w:t>
      </w:r>
      <w:r>
        <w:rPr>
          <w:rFonts w:ascii="Times New Roman" w:hAnsi="Times New Roman"/>
          <w:sz w:val="20"/>
          <w:szCs w:val="20"/>
        </w:rPr>
        <w:t xml:space="preserve"> (n. 12)</w:t>
      </w:r>
      <w:r w:rsidRPr="009B3959">
        <w:rPr>
          <w:rFonts w:ascii="Times New Roman" w:hAnsi="Times New Roman"/>
          <w:sz w:val="20"/>
          <w:szCs w:val="20"/>
        </w:rPr>
        <w:t xml:space="preserve">. The commentaries to the </w:t>
      </w:r>
      <w:proofErr w:type="spellStart"/>
      <w:r w:rsidRPr="009B3959">
        <w:rPr>
          <w:rFonts w:ascii="Times New Roman" w:hAnsi="Times New Roman"/>
          <w:i/>
          <w:iCs/>
          <w:sz w:val="20"/>
          <w:szCs w:val="20"/>
        </w:rPr>
        <w:t>Tadić</w:t>
      </w:r>
      <w:proofErr w:type="spellEnd"/>
      <w:r w:rsidRPr="009B3959">
        <w:rPr>
          <w:rFonts w:ascii="Times New Roman" w:hAnsi="Times New Roman"/>
          <w:sz w:val="20"/>
          <w:szCs w:val="20"/>
        </w:rPr>
        <w:t xml:space="preserve"> case are numerous. See, for instance, C. Greenwood, ‘International Humanitarian Law and the Tadic Case’, (1996) 7 </w:t>
      </w:r>
      <w:r w:rsidRPr="009B3959">
        <w:rPr>
          <w:rFonts w:ascii="Times New Roman" w:hAnsi="Times New Roman"/>
          <w:i/>
          <w:iCs/>
          <w:sz w:val="20"/>
          <w:szCs w:val="20"/>
        </w:rPr>
        <w:t xml:space="preserve">European Journal of International Law </w:t>
      </w:r>
      <w:r w:rsidRPr="009B3959">
        <w:rPr>
          <w:rFonts w:ascii="Times New Roman" w:hAnsi="Times New Roman"/>
          <w:sz w:val="20"/>
          <w:szCs w:val="20"/>
        </w:rPr>
        <w:t xml:space="preserve">265; M. </w:t>
      </w:r>
      <w:proofErr w:type="spellStart"/>
      <w:r w:rsidRPr="009B3959">
        <w:rPr>
          <w:rFonts w:ascii="Times New Roman" w:hAnsi="Times New Roman"/>
          <w:sz w:val="20"/>
          <w:szCs w:val="20"/>
        </w:rPr>
        <w:t>Sassòli</w:t>
      </w:r>
      <w:proofErr w:type="spellEnd"/>
      <w:r w:rsidRPr="009B3959">
        <w:rPr>
          <w:rFonts w:ascii="Times New Roman" w:hAnsi="Times New Roman"/>
          <w:sz w:val="20"/>
          <w:szCs w:val="20"/>
        </w:rPr>
        <w:t xml:space="preserve"> and L. Olsen, ‘The Judgment of the ICTY Appeals Chamber on the Merits in the Tadic Case’, (2000) 839 </w:t>
      </w:r>
      <w:r w:rsidRPr="009B3959">
        <w:rPr>
          <w:rFonts w:ascii="Times New Roman" w:hAnsi="Times New Roman"/>
          <w:i/>
          <w:iCs/>
          <w:sz w:val="20"/>
          <w:szCs w:val="20"/>
        </w:rPr>
        <w:t xml:space="preserve">International Review of the Red Cross </w:t>
      </w:r>
      <w:r w:rsidRPr="009B3959">
        <w:rPr>
          <w:rFonts w:ascii="Times New Roman" w:hAnsi="Times New Roman"/>
          <w:sz w:val="20"/>
          <w:szCs w:val="20"/>
        </w:rPr>
        <w:t>733.</w:t>
      </w:r>
    </w:p>
  </w:footnote>
  <w:footnote w:id="76">
    <w:p w14:paraId="0FB0E486" w14:textId="4C9803DD"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also </w:t>
      </w:r>
      <w:r w:rsidRPr="009B3959">
        <w:rPr>
          <w:rFonts w:ascii="Times New Roman" w:hAnsi="Times New Roman"/>
          <w:kern w:val="0"/>
          <w:sz w:val="20"/>
          <w:szCs w:val="20"/>
        </w:rPr>
        <w:t xml:space="preserve">Remy Jorritsma, ‘Where General International Law meets International Humanitarian </w:t>
      </w:r>
      <w:proofErr w:type="gramStart"/>
      <w:r w:rsidRPr="009B3959">
        <w:rPr>
          <w:rFonts w:ascii="Times New Roman" w:hAnsi="Times New Roman"/>
          <w:kern w:val="0"/>
          <w:sz w:val="20"/>
          <w:szCs w:val="20"/>
        </w:rPr>
        <w:t>Law;  Attribution</w:t>
      </w:r>
      <w:proofErr w:type="gramEnd"/>
      <w:r w:rsidRPr="009B3959">
        <w:rPr>
          <w:rFonts w:ascii="Times New Roman" w:hAnsi="Times New Roman"/>
          <w:kern w:val="0"/>
          <w:sz w:val="20"/>
          <w:szCs w:val="20"/>
        </w:rPr>
        <w:t xml:space="preserve"> of Conduct and the Classification of Armed Conflicts’, (2018) 23(3) JCLS 405, at 408.</w:t>
      </w:r>
    </w:p>
  </w:footnote>
  <w:footnote w:id="77">
    <w:p w14:paraId="706B499C" w14:textId="161C2488"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 Reisman, ‘Application of Humanitarian Law in </w:t>
      </w:r>
      <w:proofErr w:type="spellStart"/>
      <w:r w:rsidRPr="009B3959">
        <w:rPr>
          <w:rFonts w:ascii="Times New Roman" w:hAnsi="Times New Roman"/>
          <w:sz w:val="20"/>
          <w:szCs w:val="20"/>
        </w:rPr>
        <w:t>Noninternational</w:t>
      </w:r>
      <w:proofErr w:type="spellEnd"/>
      <w:r w:rsidRPr="009B3959">
        <w:rPr>
          <w:rFonts w:ascii="Times New Roman" w:hAnsi="Times New Roman"/>
          <w:sz w:val="20"/>
          <w:szCs w:val="20"/>
        </w:rPr>
        <w:t xml:space="preserve"> Armed Conﬂicts: Remarks by W. Michael Reisman’,(1991) 85 </w:t>
      </w:r>
      <w:r w:rsidRPr="009B3959">
        <w:rPr>
          <w:rFonts w:ascii="Times New Roman" w:hAnsi="Times New Roman"/>
          <w:i/>
          <w:iCs/>
          <w:sz w:val="20"/>
          <w:szCs w:val="20"/>
        </w:rPr>
        <w:t xml:space="preserve">Proceedings of the American Society of International Law </w:t>
      </w:r>
      <w:r w:rsidRPr="009B3959">
        <w:rPr>
          <w:rFonts w:ascii="Times New Roman" w:hAnsi="Times New Roman"/>
          <w:sz w:val="20"/>
          <w:szCs w:val="20"/>
        </w:rPr>
        <w:t xml:space="preserve">83, at 85; and G. Aldrich, ‘The Laws of War on Land’,(2000) 94 </w:t>
      </w:r>
      <w:r w:rsidRPr="009B3959">
        <w:rPr>
          <w:rFonts w:ascii="Times New Roman" w:hAnsi="Times New Roman"/>
          <w:i/>
          <w:iCs/>
          <w:sz w:val="20"/>
          <w:szCs w:val="20"/>
        </w:rPr>
        <w:t xml:space="preserve">American Journal of International Law </w:t>
      </w:r>
      <w:r w:rsidRPr="009B3959">
        <w:rPr>
          <w:rFonts w:ascii="Times New Roman" w:hAnsi="Times New Roman"/>
          <w:sz w:val="20"/>
          <w:szCs w:val="20"/>
        </w:rPr>
        <w:t>42, at 62.</w:t>
      </w:r>
    </w:p>
  </w:footnote>
  <w:footnote w:id="78">
    <w:p w14:paraId="5EF3E114" w14:textId="69D4AA0B"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For comments on such a proposition, see, for instance,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12), at 23-24, para. </w:t>
      </w:r>
      <w:r w:rsidRPr="009B3959">
        <w:rPr>
          <w:rFonts w:ascii="Times New Roman" w:hAnsi="Times New Roman"/>
          <w:sz w:val="20"/>
          <w:szCs w:val="20"/>
          <w:lang w:val="fr-FR"/>
        </w:rPr>
        <w:t xml:space="preserve">73; and E. David, </w:t>
      </w:r>
      <w:r w:rsidRPr="009B3959">
        <w:rPr>
          <w:rFonts w:ascii="Times New Roman" w:hAnsi="Times New Roman"/>
          <w:i/>
          <w:iCs/>
          <w:sz w:val="20"/>
          <w:szCs w:val="20"/>
          <w:lang w:val="fr-FR"/>
        </w:rPr>
        <w:t>Principes de Droit des Conflits Armés</w:t>
      </w:r>
      <w:r w:rsidRPr="009B3959">
        <w:rPr>
          <w:rFonts w:ascii="Times New Roman" w:hAnsi="Times New Roman"/>
          <w:sz w:val="20"/>
          <w:szCs w:val="20"/>
          <w:lang w:val="fr-FR"/>
        </w:rPr>
        <w:t xml:space="preserve"> 6th. ed., (Bruylant, 2019), para. </w:t>
      </w:r>
      <w:r w:rsidRPr="009B3959">
        <w:rPr>
          <w:rFonts w:ascii="Times New Roman" w:hAnsi="Times New Roman"/>
          <w:sz w:val="20"/>
          <w:szCs w:val="20"/>
        </w:rPr>
        <w:t>1.6.5. See also A.J. Carswell, ‘</w:t>
      </w:r>
      <w:r w:rsidRPr="00066403">
        <w:rPr>
          <w:rFonts w:ascii="Times New Roman" w:hAnsi="Times New Roman"/>
          <w:sz w:val="20"/>
          <w:szCs w:val="20"/>
        </w:rPr>
        <w:t>Classifying the conflict: a soldier’s dilemma</w:t>
      </w:r>
      <w:r w:rsidRPr="009B3959">
        <w:rPr>
          <w:rFonts w:ascii="Times New Roman" w:hAnsi="Times New Roman"/>
          <w:sz w:val="20"/>
          <w:szCs w:val="20"/>
        </w:rPr>
        <w:t xml:space="preserve">’, </w:t>
      </w:r>
      <w:r>
        <w:rPr>
          <w:rFonts w:ascii="Times New Roman" w:hAnsi="Times New Roman"/>
          <w:sz w:val="20"/>
          <w:szCs w:val="20"/>
        </w:rPr>
        <w:t xml:space="preserve">(2009) </w:t>
      </w:r>
      <w:r w:rsidRPr="00066403">
        <w:rPr>
          <w:rFonts w:ascii="Times New Roman" w:hAnsi="Times New Roman"/>
          <w:sz w:val="20"/>
          <w:szCs w:val="20"/>
        </w:rPr>
        <w:t xml:space="preserve">91 </w:t>
      </w:r>
      <w:r>
        <w:rPr>
          <w:rFonts w:ascii="Times New Roman" w:hAnsi="Times New Roman"/>
          <w:sz w:val="20"/>
          <w:szCs w:val="20"/>
        </w:rPr>
        <w:t xml:space="preserve">(No. </w:t>
      </w:r>
      <w:r w:rsidRPr="00066403">
        <w:rPr>
          <w:rFonts w:ascii="Times New Roman" w:hAnsi="Times New Roman"/>
          <w:sz w:val="20"/>
          <w:szCs w:val="20"/>
        </w:rPr>
        <w:t>873</w:t>
      </w:r>
      <w:r>
        <w:rPr>
          <w:rFonts w:ascii="Times New Roman" w:hAnsi="Times New Roman"/>
          <w:sz w:val="20"/>
          <w:szCs w:val="20"/>
        </w:rPr>
        <w:t xml:space="preserve">) </w:t>
      </w:r>
      <w:r w:rsidRPr="00066403">
        <w:rPr>
          <w:rFonts w:ascii="Times New Roman" w:hAnsi="Times New Roman"/>
          <w:i/>
          <w:iCs/>
          <w:sz w:val="20"/>
          <w:szCs w:val="20"/>
        </w:rPr>
        <w:t xml:space="preserve">International Review of the Red Cross </w:t>
      </w:r>
      <w:r w:rsidRPr="009B3959">
        <w:rPr>
          <w:rFonts w:ascii="Times New Roman" w:hAnsi="Times New Roman"/>
          <w:sz w:val="20"/>
          <w:szCs w:val="20"/>
        </w:rPr>
        <w:t>143, at 148-149.</w:t>
      </w:r>
    </w:p>
  </w:footnote>
  <w:footnote w:id="79">
    <w:p w14:paraId="4D0E9C66" w14:textId="1E8C5FBC"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E. Crawford, ‘</w:t>
      </w:r>
      <w:r w:rsidRPr="009B3959">
        <w:rPr>
          <w:rFonts w:ascii="Times New Roman" w:hAnsi="Times New Roman"/>
          <w:sz w:val="20"/>
          <w:szCs w:val="20"/>
          <w:bdr w:val="none" w:sz="0" w:space="0" w:color="auto" w:frame="1"/>
        </w:rPr>
        <w:t xml:space="preserve">Unequal before the Law: The Case for the Elimination of the Distinction between International and Non-international Armed Conflicts’, </w:t>
      </w:r>
      <w:r w:rsidRPr="009B3959">
        <w:rPr>
          <w:rFonts w:ascii="Times New Roman" w:hAnsi="Times New Roman"/>
          <w:sz w:val="20"/>
          <w:szCs w:val="20"/>
        </w:rPr>
        <w:t xml:space="preserve">(2002) 20 </w:t>
      </w:r>
      <w:r w:rsidRPr="009B3959">
        <w:rPr>
          <w:rFonts w:ascii="Times New Roman" w:hAnsi="Times New Roman"/>
          <w:i/>
          <w:iCs/>
          <w:sz w:val="20"/>
          <w:szCs w:val="20"/>
        </w:rPr>
        <w:t xml:space="preserve">Leiden Journal of International Law </w:t>
      </w:r>
      <w:r w:rsidRPr="009B3959">
        <w:rPr>
          <w:rFonts w:ascii="Times New Roman" w:hAnsi="Times New Roman"/>
          <w:sz w:val="20"/>
          <w:szCs w:val="20"/>
        </w:rPr>
        <w:t>441 at 448-52; J. G. Stewart, ‘</w:t>
      </w:r>
      <w:r w:rsidRPr="00066403">
        <w:rPr>
          <w:rFonts w:ascii="Times New Roman" w:hAnsi="Times New Roman"/>
          <w:sz w:val="20"/>
          <w:szCs w:val="20"/>
        </w:rPr>
        <w:t xml:space="preserve">Towards a Single Definition of Armed Conflict in International Humanitarian law: A Critique of Internationalized Armed Conflict’, (2003) 85 (No. 850) </w:t>
      </w:r>
      <w:r w:rsidRPr="00066403">
        <w:rPr>
          <w:rFonts w:ascii="Times New Roman" w:hAnsi="Times New Roman"/>
          <w:i/>
          <w:iCs/>
          <w:sz w:val="20"/>
          <w:szCs w:val="20"/>
        </w:rPr>
        <w:t>International Review of the Red Cross</w:t>
      </w:r>
      <w:r w:rsidRPr="00066403">
        <w:rPr>
          <w:rFonts w:ascii="Times New Roman" w:hAnsi="Times New Roman"/>
          <w:sz w:val="20"/>
          <w:szCs w:val="20"/>
        </w:rPr>
        <w:t xml:space="preserve"> 313 at 344-349.</w:t>
      </w:r>
    </w:p>
  </w:footnote>
  <w:footnote w:id="80">
    <w:p w14:paraId="4492D09E" w14:textId="0A416CD1"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and Fortin (n. </w:t>
      </w:r>
      <w:r>
        <w:rPr>
          <w:rFonts w:ascii="Times New Roman" w:hAnsi="Times New Roman"/>
          <w:sz w:val="20"/>
          <w:szCs w:val="20"/>
        </w:rPr>
        <w:t>62</w:t>
      </w:r>
      <w:r w:rsidRPr="009B3959">
        <w:rPr>
          <w:rFonts w:ascii="Times New Roman" w:hAnsi="Times New Roman"/>
          <w:sz w:val="20"/>
          <w:szCs w:val="20"/>
        </w:rPr>
        <w:t>), at 31.</w:t>
      </w:r>
    </w:p>
  </w:footnote>
  <w:footnote w:id="81">
    <w:p w14:paraId="4F5A15E3" w14:textId="67850EB1"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rPr>
        <w:t xml:space="preserve"> The rules relating to the personal status of combatants and ‘protected persons’ and to the law of occupation are absent in the IHL of NIAC:  D. </w:t>
      </w:r>
      <w:proofErr w:type="spellStart"/>
      <w:r w:rsidRPr="009B3959">
        <w:rPr>
          <w:rFonts w:ascii="Times New Roman" w:hAnsi="Times New Roman"/>
          <w:sz w:val="20"/>
          <w:szCs w:val="20"/>
        </w:rPr>
        <w:t>Kritsiotis</w:t>
      </w:r>
      <w:proofErr w:type="spellEnd"/>
      <w:r w:rsidRPr="009B3959">
        <w:rPr>
          <w:rFonts w:ascii="Times New Roman" w:hAnsi="Times New Roman"/>
          <w:sz w:val="20"/>
          <w:szCs w:val="20"/>
        </w:rPr>
        <w:t xml:space="preserve">, ‘The Tremors of Tadic’, (2010) 43 </w:t>
      </w:r>
      <w:r w:rsidRPr="009B3959">
        <w:rPr>
          <w:rFonts w:ascii="Times New Roman" w:hAnsi="Times New Roman"/>
          <w:i/>
          <w:iCs/>
          <w:sz w:val="20"/>
          <w:szCs w:val="20"/>
        </w:rPr>
        <w:t xml:space="preserve">Israel Law Review </w:t>
      </w:r>
      <w:r w:rsidRPr="009B3959">
        <w:rPr>
          <w:rFonts w:ascii="Times New Roman" w:hAnsi="Times New Roman"/>
          <w:sz w:val="20"/>
          <w:szCs w:val="20"/>
        </w:rPr>
        <w:t xml:space="preserve">262 at 299; </w:t>
      </w:r>
      <w:r w:rsidRPr="009B3959">
        <w:rPr>
          <w:rFonts w:ascii="Times New Roman" w:hAnsi="Times New Roman"/>
          <w:i/>
          <w:iCs/>
          <w:sz w:val="20"/>
          <w:szCs w:val="20"/>
        </w:rPr>
        <w:t xml:space="preserve">ICRC’s Revised Commentary to GC III </w:t>
      </w:r>
      <w:r w:rsidRPr="009B3959">
        <w:rPr>
          <w:rFonts w:ascii="Times New Roman" w:hAnsi="Times New Roman"/>
          <w:sz w:val="20"/>
          <w:szCs w:val="20"/>
        </w:rPr>
        <w:t>(2020), para. 425.</w:t>
      </w:r>
      <w:r>
        <w:rPr>
          <w:rFonts w:ascii="Times New Roman" w:hAnsi="Times New Roman"/>
          <w:sz w:val="20"/>
          <w:szCs w:val="20"/>
        </w:rPr>
        <w:t xml:space="preserve"> See also </w:t>
      </w:r>
      <w:proofErr w:type="spellStart"/>
      <w:r>
        <w:rPr>
          <w:rFonts w:ascii="Times New Roman" w:hAnsi="Times New Roman"/>
          <w:sz w:val="20"/>
          <w:szCs w:val="20"/>
        </w:rPr>
        <w:t>Lubell</w:t>
      </w:r>
      <w:proofErr w:type="spellEnd"/>
      <w:r>
        <w:rPr>
          <w:rFonts w:ascii="Times New Roman" w:hAnsi="Times New Roman"/>
          <w:sz w:val="20"/>
          <w:szCs w:val="20"/>
        </w:rPr>
        <w:t xml:space="preserve"> (2010) (n. 13) at 18-19.</w:t>
      </w:r>
    </w:p>
  </w:footnote>
  <w:footnote w:id="82">
    <w:p w14:paraId="7645FF56" w14:textId="0AF84647"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Kleffner</w:t>
      </w:r>
      <w:proofErr w:type="spellEnd"/>
      <w:r w:rsidRPr="009B3959">
        <w:rPr>
          <w:rFonts w:ascii="Times New Roman" w:hAnsi="Times New Roman"/>
          <w:sz w:val="20"/>
          <w:szCs w:val="20"/>
        </w:rPr>
        <w:t xml:space="preserve"> (2007) (n. 13), at 321-323.</w:t>
      </w:r>
    </w:p>
  </w:footnote>
  <w:footnote w:id="83">
    <w:p w14:paraId="76618A43" w14:textId="71ACB5A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12), at 220, para. 705</w:t>
      </w:r>
      <w:r w:rsidRPr="009B3959">
        <w:rPr>
          <w:rFonts w:ascii="Times New Roman" w:hAnsi="Times New Roman"/>
          <w:sz w:val="20"/>
          <w:szCs w:val="20"/>
          <w:lang w:val="en-US"/>
        </w:rPr>
        <w:t>.</w:t>
      </w:r>
    </w:p>
  </w:footnote>
  <w:footnote w:id="84">
    <w:p w14:paraId="49C41E9F" w14:textId="0CB2185B"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K. </w:t>
      </w:r>
      <w:proofErr w:type="spellStart"/>
      <w:r w:rsidRPr="009B3959">
        <w:rPr>
          <w:rFonts w:ascii="Times New Roman" w:hAnsi="Times New Roman"/>
          <w:sz w:val="20"/>
          <w:szCs w:val="20"/>
        </w:rPr>
        <w:t>Okimoto</w:t>
      </w:r>
      <w:proofErr w:type="spellEnd"/>
      <w:r w:rsidRPr="009B3959">
        <w:rPr>
          <w:rFonts w:ascii="Times New Roman" w:hAnsi="Times New Roman"/>
          <w:sz w:val="20"/>
          <w:szCs w:val="20"/>
        </w:rPr>
        <w:t xml:space="preserve">, ‘The Relationship Between a State and an Organised Armed Group and its Impact on the Classification of Armed Conflict’, (2013) 5 </w:t>
      </w:r>
      <w:r w:rsidRPr="009B3959">
        <w:rPr>
          <w:rFonts w:ascii="Times New Roman" w:hAnsi="Times New Roman"/>
          <w:i/>
          <w:iCs/>
          <w:sz w:val="20"/>
          <w:szCs w:val="20"/>
        </w:rPr>
        <w:t>Amsterdam Law Forum</w:t>
      </w:r>
      <w:r w:rsidRPr="009B3959">
        <w:rPr>
          <w:rFonts w:ascii="Times New Roman" w:hAnsi="Times New Roman"/>
          <w:sz w:val="20"/>
          <w:szCs w:val="20"/>
        </w:rPr>
        <w:t xml:space="preserve"> 33 at 38.</w:t>
      </w:r>
    </w:p>
  </w:footnote>
  <w:footnote w:id="85">
    <w:p w14:paraId="03D799D3" w14:textId="628E0FD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For the similar rationale to justify a low threshold for assessing the requirement of belonging, see K. Del Mar, ‘The Requirement of “Belonging” under International Humanitarian Law’, (2010) 21 </w:t>
      </w:r>
      <w:r w:rsidRPr="009B3959">
        <w:rPr>
          <w:rFonts w:ascii="Times New Roman" w:hAnsi="Times New Roman"/>
          <w:i/>
          <w:iCs/>
          <w:sz w:val="20"/>
          <w:szCs w:val="20"/>
        </w:rPr>
        <w:t xml:space="preserve">European Journal of International Law </w:t>
      </w:r>
      <w:r w:rsidRPr="009B3959">
        <w:rPr>
          <w:rFonts w:ascii="Times New Roman" w:hAnsi="Times New Roman"/>
          <w:sz w:val="20"/>
          <w:szCs w:val="20"/>
        </w:rPr>
        <w:t>105-124, at 111,113 and 123.</w:t>
      </w:r>
    </w:p>
  </w:footnote>
  <w:footnote w:id="86">
    <w:p w14:paraId="0134E1E3" w14:textId="09C2D4A4" w:rsidR="004F2CB8" w:rsidRPr="009B3959" w:rsidRDefault="004F2CB8" w:rsidP="009B3959">
      <w:pPr>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As argued by Rosas (n. 7), at 340-341.</w:t>
      </w:r>
    </w:p>
  </w:footnote>
  <w:footnote w:id="87">
    <w:p w14:paraId="64CA77B6" w14:textId="126457F2"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Strictly speaking, this can be differentiated from the standard of due diligence. See A. </w:t>
      </w:r>
      <w:proofErr w:type="spellStart"/>
      <w:r w:rsidRPr="009B3959">
        <w:rPr>
          <w:rFonts w:ascii="Times New Roman" w:hAnsi="Times New Roman"/>
          <w:sz w:val="20"/>
          <w:szCs w:val="20"/>
        </w:rPr>
        <w:t>Berkes</w:t>
      </w:r>
      <w:proofErr w:type="spellEnd"/>
      <w:r w:rsidRPr="009B3959">
        <w:rPr>
          <w:rFonts w:ascii="Times New Roman" w:hAnsi="Times New Roman"/>
          <w:sz w:val="20"/>
          <w:szCs w:val="20"/>
        </w:rPr>
        <w:t xml:space="preserve">, ‘The Standard of “Due Diligence” as a Result of Interchange between the Law of Armed Conflict and General International Law’, (2018) 23 </w:t>
      </w:r>
      <w:r w:rsidRPr="009B3959">
        <w:rPr>
          <w:rFonts w:ascii="Times New Roman" w:hAnsi="Times New Roman"/>
          <w:i/>
          <w:iCs/>
          <w:sz w:val="20"/>
          <w:szCs w:val="20"/>
        </w:rPr>
        <w:t xml:space="preserve">Journal of Conflict and Security Law </w:t>
      </w:r>
      <w:r w:rsidRPr="009B3959">
        <w:rPr>
          <w:rFonts w:ascii="Times New Roman" w:hAnsi="Times New Roman"/>
          <w:sz w:val="20"/>
          <w:szCs w:val="20"/>
        </w:rPr>
        <w:t xml:space="preserve">433 at 435 and 439. </w:t>
      </w:r>
    </w:p>
  </w:footnote>
  <w:footnote w:id="88">
    <w:p w14:paraId="465F6E70" w14:textId="2B38EA99"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Compare European Court of Human Rights, </w:t>
      </w:r>
      <w:r w:rsidRPr="009B3959">
        <w:rPr>
          <w:rFonts w:ascii="Times New Roman" w:hAnsi="Times New Roman"/>
          <w:i/>
          <w:iCs/>
          <w:sz w:val="20"/>
          <w:szCs w:val="20"/>
        </w:rPr>
        <w:t xml:space="preserve">Kelly and Others v. UK, </w:t>
      </w:r>
      <w:r w:rsidRPr="009B3959">
        <w:rPr>
          <w:rFonts w:ascii="Times New Roman" w:hAnsi="Times New Roman"/>
          <w:sz w:val="20"/>
          <w:szCs w:val="20"/>
        </w:rPr>
        <w:t xml:space="preserve">Judgment, 4 May 2001, para. 96. Infractions of IHL perpetrated by its individual members do not automatically translate into the finding that the group </w:t>
      </w:r>
      <w:proofErr w:type="gramStart"/>
      <w:r w:rsidRPr="009B3959">
        <w:rPr>
          <w:rFonts w:ascii="Times New Roman" w:hAnsi="Times New Roman"/>
          <w:sz w:val="20"/>
          <w:szCs w:val="20"/>
        </w:rPr>
        <w:t>as a whole is</w:t>
      </w:r>
      <w:proofErr w:type="gramEnd"/>
      <w:r w:rsidRPr="009B3959">
        <w:rPr>
          <w:rFonts w:ascii="Times New Roman" w:hAnsi="Times New Roman"/>
          <w:sz w:val="20"/>
          <w:szCs w:val="20"/>
        </w:rPr>
        <w:t xml:space="preserve"> tainted with insufficient level of organization: </w:t>
      </w:r>
      <w:proofErr w:type="spellStart"/>
      <w:r w:rsidRPr="009B3959">
        <w:rPr>
          <w:rFonts w:ascii="Times New Roman" w:hAnsi="Times New Roman"/>
          <w:i/>
          <w:iCs/>
          <w:sz w:val="20"/>
          <w:szCs w:val="20"/>
        </w:rPr>
        <w:t>Boškoski</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Trial Judgment (n. 21), para 205. For the doctrines, see David (n. </w:t>
      </w:r>
      <w:r>
        <w:rPr>
          <w:rFonts w:ascii="Times New Roman" w:hAnsi="Times New Roman"/>
          <w:sz w:val="20"/>
          <w:szCs w:val="20"/>
        </w:rPr>
        <w:t>77),</w:t>
      </w:r>
      <w:r w:rsidRPr="009B3959">
        <w:rPr>
          <w:rFonts w:ascii="Times New Roman" w:hAnsi="Times New Roman"/>
          <w:sz w:val="20"/>
          <w:szCs w:val="20"/>
        </w:rPr>
        <w:t xml:space="preserve"> para. 1.70a; and Tom Gal, ‘Territorial Control by Armed Groups and the Regulation of Access to Humanitarian Assistance’, (2017) 50</w:t>
      </w:r>
      <w:r w:rsidRPr="009B3959">
        <w:rPr>
          <w:rFonts w:ascii="Times New Roman" w:hAnsi="Times New Roman"/>
          <w:i/>
          <w:iCs/>
          <w:sz w:val="20"/>
          <w:szCs w:val="20"/>
        </w:rPr>
        <w:t xml:space="preserve"> Israel Law Review </w:t>
      </w:r>
      <w:r w:rsidRPr="009B3959">
        <w:rPr>
          <w:rFonts w:ascii="Times New Roman" w:hAnsi="Times New Roman"/>
          <w:sz w:val="20"/>
          <w:szCs w:val="20"/>
        </w:rPr>
        <w:t xml:space="preserve">25, at 43. </w:t>
      </w:r>
    </w:p>
  </w:footnote>
  <w:footnote w:id="89">
    <w:p w14:paraId="561CA484" w14:textId="418CACE0"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w:t>
      </w:r>
      <w:r>
        <w:rPr>
          <w:rFonts w:ascii="Times New Roman" w:hAnsi="Times New Roman"/>
          <w:sz w:val="20"/>
          <w:szCs w:val="20"/>
        </w:rPr>
        <w:t xml:space="preserve">ICTY,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Appeals Chamber’s Decision on the Defence Motion for Interlocutory Appeal on Jurisdiction (n. 12), para. 126.</w:t>
      </w:r>
    </w:p>
  </w:footnote>
  <w:footnote w:id="90">
    <w:p w14:paraId="0233C57E" w14:textId="4CD0D72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i/>
          <w:iCs/>
          <w:sz w:val="20"/>
          <w:szCs w:val="20"/>
        </w:rPr>
        <w:t>Boškoski</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 Judgment (n. 21), para. 197.</w:t>
      </w:r>
    </w:p>
  </w:footnote>
  <w:footnote w:id="91">
    <w:p w14:paraId="172C1C5D" w14:textId="20DBCF07" w:rsidR="004F2CB8" w:rsidRPr="009B3959" w:rsidRDefault="004F2CB8" w:rsidP="009B3959">
      <w:pPr>
        <w:pStyle w:val="a3"/>
        <w:tabs>
          <w:tab w:val="left" w:pos="3261"/>
        </w:tabs>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ICTR, </w:t>
      </w:r>
      <w:proofErr w:type="spellStart"/>
      <w:r w:rsidRPr="00066403">
        <w:rPr>
          <w:rFonts w:ascii="Times New Roman" w:hAnsi="Times New Roman"/>
          <w:i/>
          <w:iCs/>
          <w:sz w:val="20"/>
          <w:szCs w:val="20"/>
          <w:lang w:val="en-US"/>
        </w:rPr>
        <w:t>Akayesu</w:t>
      </w:r>
      <w:proofErr w:type="spellEnd"/>
      <w:r>
        <w:rPr>
          <w:rFonts w:ascii="Times New Roman" w:hAnsi="Times New Roman"/>
          <w:sz w:val="20"/>
          <w:szCs w:val="20"/>
          <w:lang w:val="en-US"/>
        </w:rPr>
        <w:t xml:space="preserve"> </w:t>
      </w:r>
      <w:r w:rsidRPr="009B3959">
        <w:rPr>
          <w:rFonts w:ascii="Times New Roman" w:hAnsi="Times New Roman"/>
          <w:sz w:val="20"/>
          <w:szCs w:val="20"/>
          <w:lang w:val="en-US"/>
        </w:rPr>
        <w:t>Trial Judgment</w:t>
      </w:r>
      <w:r>
        <w:rPr>
          <w:rFonts w:ascii="Times New Roman" w:hAnsi="Times New Roman"/>
          <w:sz w:val="20"/>
          <w:szCs w:val="20"/>
          <w:lang w:val="en-US"/>
        </w:rPr>
        <w:t xml:space="preserve"> (n. 40), </w:t>
      </w:r>
      <w:r w:rsidRPr="009B3959">
        <w:rPr>
          <w:rFonts w:ascii="Times New Roman" w:hAnsi="Times New Roman"/>
          <w:sz w:val="20"/>
          <w:szCs w:val="20"/>
          <w:lang w:val="en-US"/>
        </w:rPr>
        <w:t xml:space="preserve">para. 620. In this respect, the ICTR Trial Chamber referred to the </w:t>
      </w:r>
      <w:r w:rsidRPr="00066403">
        <w:rPr>
          <w:rFonts w:ascii="Times New Roman" w:hAnsi="Times New Roman"/>
          <w:i/>
          <w:iCs/>
          <w:sz w:val="20"/>
          <w:szCs w:val="20"/>
          <w:lang w:val="en-US"/>
        </w:rPr>
        <w:t xml:space="preserve">ICRC’s </w:t>
      </w:r>
      <w:r w:rsidRPr="00066403">
        <w:rPr>
          <w:rFonts w:ascii="Times New Roman" w:hAnsi="Times New Roman"/>
          <w:i/>
          <w:iCs/>
          <w:sz w:val="20"/>
          <w:szCs w:val="20"/>
        </w:rPr>
        <w:t xml:space="preserve">Commentary on Additional Protocol II, </w:t>
      </w:r>
      <w:r w:rsidRPr="009B3959">
        <w:rPr>
          <w:rFonts w:ascii="Times New Roman" w:hAnsi="Times New Roman"/>
          <w:sz w:val="20"/>
          <w:szCs w:val="20"/>
        </w:rPr>
        <w:t>paras 4338-4341.</w:t>
      </w:r>
    </w:p>
  </w:footnote>
  <w:footnote w:id="92">
    <w:p w14:paraId="1248C800" w14:textId="2BA1FD49" w:rsidR="004F2CB8" w:rsidRPr="009B3959" w:rsidRDefault="004F2CB8" w:rsidP="009B3959">
      <w:pPr>
        <w:pStyle w:val="a3"/>
        <w:tabs>
          <w:tab w:val="left" w:pos="3261"/>
        </w:tabs>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i/>
          <w:iCs/>
          <w:sz w:val="20"/>
          <w:szCs w:val="20"/>
        </w:rPr>
        <w:t>Limaj</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 Judgement (n. 2</w:t>
      </w:r>
      <w:r>
        <w:rPr>
          <w:rFonts w:ascii="Times New Roman" w:hAnsi="Times New Roman"/>
          <w:sz w:val="20"/>
          <w:szCs w:val="20"/>
        </w:rPr>
        <w:t>6</w:t>
      </w:r>
      <w:r w:rsidRPr="009B3959">
        <w:rPr>
          <w:rFonts w:ascii="Times New Roman" w:hAnsi="Times New Roman"/>
          <w:sz w:val="20"/>
          <w:szCs w:val="20"/>
        </w:rPr>
        <w:t xml:space="preserve">), para. </w:t>
      </w:r>
      <w:r w:rsidRPr="009B3959">
        <w:rPr>
          <w:rFonts w:ascii="Times New Roman" w:hAnsi="Times New Roman"/>
          <w:sz w:val="20"/>
          <w:szCs w:val="20"/>
          <w:lang w:val="en-US"/>
        </w:rPr>
        <w:t>89.</w:t>
      </w:r>
    </w:p>
  </w:footnote>
  <w:footnote w:id="93">
    <w:p w14:paraId="01842804" w14:textId="7918BEF4"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ICRC, ‘</w:t>
      </w:r>
      <w:r w:rsidRPr="009B3959">
        <w:rPr>
          <w:rFonts w:ascii="Times New Roman" w:hAnsi="Times New Roman"/>
          <w:sz w:val="20"/>
          <w:szCs w:val="20"/>
        </w:rPr>
        <w:t>How Is the Term “Armed Conflict” Defined in International Humanitarian Law’, Opinion Paper (March 2008) at 5.</w:t>
      </w:r>
    </w:p>
  </w:footnote>
  <w:footnote w:id="94">
    <w:p w14:paraId="7EA248D3" w14:textId="10B36B0A"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Draper (1965) (n. </w:t>
      </w:r>
      <w:r>
        <w:rPr>
          <w:rFonts w:ascii="Times New Roman" w:hAnsi="Times New Roman"/>
          <w:sz w:val="20"/>
          <w:szCs w:val="20"/>
        </w:rPr>
        <w:t>56</w:t>
      </w:r>
      <w:r w:rsidRPr="009B3959">
        <w:rPr>
          <w:rFonts w:ascii="Times New Roman" w:hAnsi="Times New Roman"/>
          <w:sz w:val="20"/>
          <w:szCs w:val="20"/>
        </w:rPr>
        <w:t xml:space="preserve">), at 90; Schindler (n. 12), at 147; K. </w:t>
      </w:r>
      <w:proofErr w:type="spellStart"/>
      <w:r w:rsidRPr="009B3959">
        <w:rPr>
          <w:rFonts w:ascii="Times New Roman" w:hAnsi="Times New Roman"/>
          <w:sz w:val="20"/>
          <w:szCs w:val="20"/>
        </w:rPr>
        <w:t>Dörmann</w:t>
      </w:r>
      <w:proofErr w:type="spellEnd"/>
      <w:r w:rsidRPr="009B3959">
        <w:rPr>
          <w:rFonts w:ascii="Times New Roman" w:hAnsi="Times New Roman"/>
          <w:sz w:val="20"/>
          <w:szCs w:val="20"/>
        </w:rPr>
        <w:t xml:space="preserve">, </w:t>
      </w:r>
      <w:r w:rsidRPr="009B3959">
        <w:rPr>
          <w:rFonts w:ascii="Times New Roman" w:hAnsi="Times New Roman"/>
          <w:i/>
          <w:iCs/>
          <w:sz w:val="20"/>
          <w:szCs w:val="20"/>
        </w:rPr>
        <w:t xml:space="preserve">The ICRC’s Commentary to the Elements of War Crimes, </w:t>
      </w:r>
      <w:r w:rsidRPr="009B3959">
        <w:rPr>
          <w:rFonts w:ascii="Times New Roman" w:hAnsi="Times New Roman"/>
          <w:sz w:val="20"/>
          <w:szCs w:val="20"/>
        </w:rPr>
        <w:t>(C</w:t>
      </w:r>
      <w:r>
        <w:rPr>
          <w:rFonts w:ascii="Times New Roman" w:hAnsi="Times New Roman"/>
          <w:sz w:val="20"/>
          <w:szCs w:val="20"/>
        </w:rPr>
        <w:t>ambridge University Press</w:t>
      </w:r>
      <w:r w:rsidRPr="009B3959">
        <w:rPr>
          <w:rFonts w:ascii="Times New Roman" w:hAnsi="Times New Roman"/>
          <w:sz w:val="20"/>
          <w:szCs w:val="20"/>
        </w:rPr>
        <w:t xml:space="preserve">, 2003), at 442; </w:t>
      </w:r>
      <w:proofErr w:type="spellStart"/>
      <w:r w:rsidRPr="009B3959">
        <w:rPr>
          <w:rFonts w:ascii="Times New Roman" w:hAnsi="Times New Roman"/>
          <w:sz w:val="20"/>
          <w:szCs w:val="20"/>
        </w:rPr>
        <w:t>Geiß</w:t>
      </w:r>
      <w:proofErr w:type="spellEnd"/>
      <w:r w:rsidRPr="009B3959">
        <w:rPr>
          <w:rFonts w:ascii="Times New Roman" w:hAnsi="Times New Roman"/>
          <w:sz w:val="20"/>
          <w:szCs w:val="20"/>
        </w:rPr>
        <w:t xml:space="preserve"> (n. 1</w:t>
      </w:r>
      <w:r>
        <w:rPr>
          <w:rFonts w:ascii="Times New Roman" w:hAnsi="Times New Roman"/>
          <w:sz w:val="20"/>
          <w:szCs w:val="20"/>
        </w:rPr>
        <w:t>5</w:t>
      </w:r>
      <w:r w:rsidRPr="009B3959">
        <w:rPr>
          <w:rFonts w:ascii="Times New Roman" w:hAnsi="Times New Roman"/>
          <w:sz w:val="20"/>
          <w:szCs w:val="20"/>
        </w:rPr>
        <w:t xml:space="preserve">), at 134 and 136-137; </w:t>
      </w:r>
      <w:proofErr w:type="spellStart"/>
      <w:r w:rsidRPr="009B3959">
        <w:rPr>
          <w:rFonts w:ascii="Times New Roman" w:hAnsi="Times New Roman"/>
          <w:sz w:val="20"/>
          <w:szCs w:val="20"/>
        </w:rPr>
        <w:t>Pejić</w:t>
      </w:r>
      <w:proofErr w:type="spellEnd"/>
      <w:r w:rsidRPr="009B3959">
        <w:rPr>
          <w:rFonts w:ascii="Times New Roman" w:hAnsi="Times New Roman"/>
          <w:sz w:val="20"/>
          <w:szCs w:val="20"/>
        </w:rPr>
        <w:t xml:space="preserve"> (2011) (n. 13), at 3-4; Akande (n. 12), at 51; Bartels and Fortin (n. 6</w:t>
      </w:r>
      <w:r>
        <w:rPr>
          <w:rFonts w:ascii="Times New Roman" w:hAnsi="Times New Roman"/>
          <w:sz w:val="20"/>
          <w:szCs w:val="20"/>
        </w:rPr>
        <w:t>2</w:t>
      </w:r>
      <w:r w:rsidRPr="009B3959">
        <w:rPr>
          <w:rFonts w:ascii="Times New Roman" w:hAnsi="Times New Roman"/>
          <w:sz w:val="20"/>
          <w:szCs w:val="20"/>
        </w:rPr>
        <w:t>), at 33.</w:t>
      </w:r>
    </w:p>
  </w:footnote>
  <w:footnote w:id="95">
    <w:p w14:paraId="308D4804" w14:textId="0B1D13A9"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i/>
          <w:iCs/>
          <w:sz w:val="20"/>
          <w:szCs w:val="20"/>
        </w:rPr>
        <w:t>Boškoski</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 Judgment (n. 2</w:t>
      </w:r>
      <w:r>
        <w:rPr>
          <w:rFonts w:ascii="Times New Roman" w:hAnsi="Times New Roman"/>
          <w:sz w:val="20"/>
          <w:szCs w:val="20"/>
        </w:rPr>
        <w:t>1</w:t>
      </w:r>
      <w:r w:rsidRPr="009B3959">
        <w:rPr>
          <w:rFonts w:ascii="Times New Roman" w:hAnsi="Times New Roman"/>
          <w:sz w:val="20"/>
          <w:szCs w:val="20"/>
        </w:rPr>
        <w:t xml:space="preserve">), paras 194-206 and 250-291; </w:t>
      </w:r>
      <w:proofErr w:type="spellStart"/>
      <w:r w:rsidRPr="009B3959">
        <w:rPr>
          <w:rFonts w:ascii="Times New Roman" w:hAnsi="Times New Roman"/>
          <w:i/>
          <w:iCs/>
          <w:sz w:val="20"/>
          <w:szCs w:val="20"/>
        </w:rPr>
        <w:t>Haradinaj</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w:t>
      </w:r>
      <w:r w:rsidRPr="009B3959">
        <w:rPr>
          <w:rFonts w:ascii="Times New Roman" w:hAnsi="Times New Roman"/>
          <w:i/>
          <w:iCs/>
          <w:sz w:val="20"/>
          <w:szCs w:val="20"/>
        </w:rPr>
        <w:t xml:space="preserve"> </w:t>
      </w:r>
      <w:r w:rsidRPr="009B3959">
        <w:rPr>
          <w:rFonts w:ascii="Times New Roman" w:hAnsi="Times New Roman"/>
          <w:sz w:val="20"/>
          <w:szCs w:val="20"/>
        </w:rPr>
        <w:t>Judgment (n. 1</w:t>
      </w:r>
      <w:r>
        <w:rPr>
          <w:rFonts w:ascii="Times New Roman" w:hAnsi="Times New Roman"/>
          <w:sz w:val="20"/>
          <w:szCs w:val="20"/>
        </w:rPr>
        <w:t>6</w:t>
      </w:r>
      <w:r w:rsidRPr="009B3959">
        <w:rPr>
          <w:rFonts w:ascii="Times New Roman" w:hAnsi="Times New Roman"/>
          <w:sz w:val="20"/>
          <w:szCs w:val="20"/>
        </w:rPr>
        <w:t xml:space="preserve">), paras 63-89. See also ICTY, </w:t>
      </w:r>
      <w:r w:rsidRPr="009B3959">
        <w:rPr>
          <w:rFonts w:ascii="Times New Roman" w:hAnsi="Times New Roman"/>
          <w:i/>
          <w:iCs/>
          <w:sz w:val="20"/>
          <w:szCs w:val="20"/>
        </w:rPr>
        <w:t>Milosevic</w:t>
      </w:r>
      <w:r w:rsidRPr="009B3959">
        <w:rPr>
          <w:rFonts w:ascii="Times New Roman" w:hAnsi="Times New Roman"/>
          <w:sz w:val="20"/>
          <w:szCs w:val="20"/>
        </w:rPr>
        <w:t xml:space="preserve">, Rule 98bis Decision, para 23; </w:t>
      </w:r>
      <w:proofErr w:type="spellStart"/>
      <w:r w:rsidRPr="009B3959">
        <w:rPr>
          <w:rFonts w:ascii="Times New Roman" w:hAnsi="Times New Roman"/>
          <w:i/>
          <w:iCs/>
          <w:sz w:val="20"/>
          <w:szCs w:val="20"/>
        </w:rPr>
        <w:t>Limaj</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 Judgement (n. 2</w:t>
      </w:r>
      <w:r>
        <w:rPr>
          <w:rFonts w:ascii="Times New Roman" w:hAnsi="Times New Roman"/>
          <w:sz w:val="20"/>
          <w:szCs w:val="20"/>
        </w:rPr>
        <w:t>6</w:t>
      </w:r>
      <w:r w:rsidRPr="009B3959">
        <w:rPr>
          <w:rFonts w:ascii="Times New Roman" w:hAnsi="Times New Roman"/>
          <w:sz w:val="20"/>
          <w:szCs w:val="20"/>
        </w:rPr>
        <w:t>), para 89.</w:t>
      </w:r>
    </w:p>
  </w:footnote>
  <w:footnote w:id="96">
    <w:p w14:paraId="6D89CE73" w14:textId="5FCB4A06"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also A. Cullen, </w:t>
      </w:r>
      <w:r w:rsidRPr="009B3959">
        <w:rPr>
          <w:rFonts w:ascii="Times New Roman" w:hAnsi="Times New Roman"/>
          <w:i/>
          <w:iCs/>
          <w:sz w:val="20"/>
          <w:szCs w:val="20"/>
        </w:rPr>
        <w:t xml:space="preserve">The Concept of Non-International Armed Conflict in International Humanitarian Law </w:t>
      </w:r>
      <w:r w:rsidRPr="009B3959">
        <w:rPr>
          <w:rFonts w:ascii="Times New Roman" w:hAnsi="Times New Roman"/>
          <w:sz w:val="20"/>
          <w:szCs w:val="20"/>
        </w:rPr>
        <w:t>(Cambridge University Press, 2010), at 123-127.</w:t>
      </w:r>
    </w:p>
  </w:footnote>
  <w:footnote w:id="97">
    <w:p w14:paraId="29F51013" w14:textId="14E17444"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Sivakumaran (2012) (n. 12), at 170-180; and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w:t>
      </w:r>
      <w:r>
        <w:rPr>
          <w:rFonts w:ascii="Times New Roman" w:hAnsi="Times New Roman"/>
          <w:sz w:val="20"/>
          <w:szCs w:val="20"/>
        </w:rPr>
        <w:t>2</w:t>
      </w:r>
      <w:r w:rsidRPr="009B3959">
        <w:rPr>
          <w:rFonts w:ascii="Times New Roman" w:hAnsi="Times New Roman"/>
          <w:sz w:val="20"/>
          <w:szCs w:val="20"/>
        </w:rPr>
        <w:t xml:space="preserve">), at 30-32, paras 90-109; </w:t>
      </w:r>
      <w:r w:rsidRPr="009B3959">
        <w:rPr>
          <w:rFonts w:ascii="Times New Roman" w:hAnsi="Times New Roman"/>
          <w:sz w:val="20"/>
          <w:szCs w:val="20"/>
          <w:lang w:val="en-US"/>
        </w:rPr>
        <w:t xml:space="preserve">O. de </w:t>
      </w:r>
      <w:proofErr w:type="spellStart"/>
      <w:r w:rsidRPr="009B3959">
        <w:rPr>
          <w:rFonts w:ascii="Times New Roman" w:hAnsi="Times New Roman"/>
          <w:sz w:val="20"/>
          <w:szCs w:val="20"/>
          <w:lang w:val="en-US"/>
        </w:rPr>
        <w:t>Frouville</w:t>
      </w:r>
      <w:proofErr w:type="spellEnd"/>
      <w:r w:rsidRPr="009B3959">
        <w:rPr>
          <w:rFonts w:ascii="Times New Roman" w:hAnsi="Times New Roman"/>
          <w:sz w:val="20"/>
          <w:szCs w:val="20"/>
          <w:lang w:val="en-US"/>
        </w:rPr>
        <w:t xml:space="preserve">, </w:t>
      </w:r>
      <w:r w:rsidRPr="009B3959">
        <w:rPr>
          <w:rFonts w:ascii="Times New Roman" w:hAnsi="Times New Roman"/>
          <w:i/>
          <w:iCs/>
          <w:sz w:val="20"/>
          <w:szCs w:val="20"/>
          <w:lang w:val="en-US"/>
        </w:rPr>
        <w:t xml:space="preserve">Droit international </w:t>
      </w:r>
      <w:proofErr w:type="spellStart"/>
      <w:r w:rsidRPr="009B3959">
        <w:rPr>
          <w:rFonts w:ascii="Times New Roman" w:hAnsi="Times New Roman"/>
          <w:i/>
          <w:iCs/>
          <w:sz w:val="20"/>
          <w:szCs w:val="20"/>
          <w:lang w:val="en-US"/>
        </w:rPr>
        <w:t>pénal</w:t>
      </w:r>
      <w:proofErr w:type="spellEnd"/>
      <w:r w:rsidRPr="009B3959">
        <w:rPr>
          <w:rFonts w:ascii="Times New Roman" w:hAnsi="Times New Roman"/>
          <w:i/>
          <w:iCs/>
          <w:sz w:val="20"/>
          <w:szCs w:val="20"/>
          <w:lang w:val="en-US"/>
        </w:rPr>
        <w:t xml:space="preserve"> – Sources, Incriminations, </w:t>
      </w:r>
      <w:proofErr w:type="spellStart"/>
      <w:r w:rsidRPr="009B3959">
        <w:rPr>
          <w:rFonts w:ascii="Times New Roman" w:hAnsi="Times New Roman"/>
          <w:i/>
          <w:iCs/>
          <w:sz w:val="20"/>
          <w:szCs w:val="20"/>
          <w:lang w:val="en-US"/>
        </w:rPr>
        <w:t>Responsabilité</w:t>
      </w:r>
      <w:proofErr w:type="spellEnd"/>
      <w:r w:rsidRPr="009B3959">
        <w:rPr>
          <w:rFonts w:ascii="Times New Roman" w:hAnsi="Times New Roman"/>
          <w:i/>
          <w:iCs/>
          <w:sz w:val="20"/>
          <w:szCs w:val="20"/>
          <w:lang w:val="en-US"/>
        </w:rPr>
        <w:t xml:space="preserve">, </w:t>
      </w:r>
      <w:r w:rsidRPr="009B3959">
        <w:rPr>
          <w:rFonts w:ascii="Times New Roman" w:hAnsi="Times New Roman"/>
          <w:sz w:val="20"/>
          <w:szCs w:val="20"/>
          <w:lang w:val="en-US"/>
        </w:rPr>
        <w:t>(</w:t>
      </w:r>
      <w:proofErr w:type="spellStart"/>
      <w:r w:rsidRPr="009B3959">
        <w:rPr>
          <w:rFonts w:ascii="Times New Roman" w:hAnsi="Times New Roman"/>
          <w:sz w:val="20"/>
          <w:szCs w:val="20"/>
          <w:lang w:val="en-US"/>
        </w:rPr>
        <w:t>Pedone</w:t>
      </w:r>
      <w:proofErr w:type="spellEnd"/>
      <w:r w:rsidRPr="009B3959">
        <w:rPr>
          <w:rFonts w:ascii="Times New Roman" w:hAnsi="Times New Roman"/>
          <w:sz w:val="20"/>
          <w:szCs w:val="20"/>
          <w:lang w:val="en-US"/>
        </w:rPr>
        <w:t xml:space="preserve"> 2012), at 209; </w:t>
      </w:r>
      <w:r w:rsidRPr="009B3959">
        <w:rPr>
          <w:rFonts w:ascii="Times New Roman" w:hAnsi="Times New Roman"/>
          <w:sz w:val="20"/>
          <w:szCs w:val="20"/>
        </w:rPr>
        <w:t>Bartels and Fortin (n. 6</w:t>
      </w:r>
      <w:r>
        <w:rPr>
          <w:rFonts w:ascii="Times New Roman" w:hAnsi="Times New Roman"/>
          <w:sz w:val="20"/>
          <w:szCs w:val="20"/>
        </w:rPr>
        <w:t>2</w:t>
      </w:r>
      <w:r w:rsidRPr="009B3959">
        <w:rPr>
          <w:rFonts w:ascii="Times New Roman" w:hAnsi="Times New Roman"/>
          <w:sz w:val="20"/>
          <w:szCs w:val="20"/>
        </w:rPr>
        <w:t>), at 31</w:t>
      </w:r>
      <w:r w:rsidRPr="009B3959">
        <w:rPr>
          <w:rFonts w:ascii="Times New Roman" w:hAnsi="Times New Roman"/>
          <w:sz w:val="20"/>
          <w:szCs w:val="20"/>
          <w:lang w:val="en-US"/>
        </w:rPr>
        <w:t xml:space="preserve">. See also David (n. </w:t>
      </w:r>
      <w:r>
        <w:rPr>
          <w:rFonts w:ascii="Times New Roman" w:hAnsi="Times New Roman"/>
          <w:sz w:val="20"/>
          <w:szCs w:val="20"/>
          <w:lang w:val="en-US"/>
        </w:rPr>
        <w:t>77</w:t>
      </w:r>
      <w:r w:rsidRPr="009B3959">
        <w:rPr>
          <w:rFonts w:ascii="Times New Roman" w:hAnsi="Times New Roman"/>
          <w:sz w:val="20"/>
          <w:szCs w:val="20"/>
          <w:lang w:val="en-US"/>
        </w:rPr>
        <w:t>), paras 1.68-1.82</w:t>
      </w:r>
    </w:p>
  </w:footnote>
  <w:footnote w:id="98">
    <w:p w14:paraId="6BAEC5E1" w14:textId="28360A21"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Pejić</w:t>
      </w:r>
      <w:proofErr w:type="spellEnd"/>
      <w:r w:rsidRPr="009B3959">
        <w:rPr>
          <w:rFonts w:ascii="Times New Roman" w:hAnsi="Times New Roman"/>
          <w:sz w:val="20"/>
          <w:szCs w:val="20"/>
        </w:rPr>
        <w:t xml:space="preserve"> (2007) (n. 11), at 85;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w:t>
      </w:r>
      <w:r w:rsidRPr="009B3959">
        <w:rPr>
          <w:rFonts w:ascii="Times New Roman" w:hAnsi="Times New Roman"/>
          <w:i/>
          <w:iCs/>
          <w:sz w:val="20"/>
          <w:szCs w:val="20"/>
        </w:rPr>
        <w:t xml:space="preserve">ibid., </w:t>
      </w:r>
      <w:r w:rsidRPr="009B3959">
        <w:rPr>
          <w:rFonts w:ascii="Times New Roman" w:hAnsi="Times New Roman"/>
          <w:sz w:val="20"/>
          <w:szCs w:val="20"/>
        </w:rPr>
        <w:t>paras 110-114. See also ICRC’s revised Commentary to GC III (2020), para. 451 (referring to States’ hesitation to recognize NIACs due to concern over intrusion into their sovereignty).</w:t>
      </w:r>
    </w:p>
  </w:footnote>
  <w:footnote w:id="99">
    <w:p w14:paraId="2AEA2CB2" w14:textId="4AD15DF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and Fortin (n. 6</w:t>
      </w:r>
      <w:r>
        <w:rPr>
          <w:rFonts w:ascii="Times New Roman" w:hAnsi="Times New Roman"/>
          <w:sz w:val="20"/>
          <w:szCs w:val="20"/>
        </w:rPr>
        <w:t>2</w:t>
      </w:r>
      <w:r w:rsidRPr="009B3959">
        <w:rPr>
          <w:rFonts w:ascii="Times New Roman" w:hAnsi="Times New Roman"/>
          <w:sz w:val="20"/>
          <w:szCs w:val="20"/>
        </w:rPr>
        <w:t xml:space="preserve">), at 31. See ICC, </w:t>
      </w:r>
      <w:r w:rsidRPr="009B3959">
        <w:rPr>
          <w:rFonts w:ascii="Times New Roman" w:hAnsi="Times New Roman"/>
          <w:i/>
          <w:iCs/>
          <w:sz w:val="20"/>
          <w:szCs w:val="20"/>
        </w:rPr>
        <w:t>Lubanga</w:t>
      </w:r>
      <w:r w:rsidRPr="009B3959">
        <w:rPr>
          <w:rFonts w:ascii="Times New Roman" w:hAnsi="Times New Roman"/>
          <w:sz w:val="20"/>
          <w:szCs w:val="20"/>
        </w:rPr>
        <w:t xml:space="preserve"> Trial Judgment (n. 2</w:t>
      </w:r>
      <w:r>
        <w:rPr>
          <w:rFonts w:ascii="Times New Roman" w:hAnsi="Times New Roman"/>
          <w:sz w:val="20"/>
          <w:szCs w:val="20"/>
        </w:rPr>
        <w:t>7</w:t>
      </w:r>
      <w:r w:rsidRPr="009B3959">
        <w:rPr>
          <w:rFonts w:ascii="Times New Roman" w:hAnsi="Times New Roman"/>
          <w:sz w:val="20"/>
          <w:szCs w:val="20"/>
        </w:rPr>
        <w:t xml:space="preserve">), para. 537; </w:t>
      </w:r>
      <w:r w:rsidRPr="009B3959">
        <w:rPr>
          <w:rFonts w:ascii="Times New Roman" w:hAnsi="Times New Roman"/>
          <w:i/>
          <w:iCs/>
          <w:sz w:val="20"/>
          <w:szCs w:val="20"/>
        </w:rPr>
        <w:t>Katanga</w:t>
      </w:r>
      <w:r w:rsidRPr="009B3959">
        <w:rPr>
          <w:rFonts w:ascii="Times New Roman" w:hAnsi="Times New Roman"/>
          <w:sz w:val="20"/>
          <w:szCs w:val="20"/>
        </w:rPr>
        <w:t xml:space="preserve"> Trial judgment (n. 2), para. 1186; </w:t>
      </w:r>
      <w:r w:rsidRPr="009B3959">
        <w:rPr>
          <w:rFonts w:ascii="Times New Roman" w:hAnsi="Times New Roman"/>
          <w:i/>
          <w:iCs/>
          <w:sz w:val="20"/>
          <w:szCs w:val="20"/>
        </w:rPr>
        <w:t xml:space="preserve">Bemba </w:t>
      </w:r>
      <w:r w:rsidRPr="009B3959">
        <w:rPr>
          <w:rFonts w:ascii="Times New Roman" w:hAnsi="Times New Roman"/>
          <w:sz w:val="20"/>
          <w:szCs w:val="20"/>
        </w:rPr>
        <w:t xml:space="preserve">Trial Judgment (n. </w:t>
      </w:r>
      <w:r>
        <w:rPr>
          <w:rFonts w:ascii="Times New Roman" w:hAnsi="Times New Roman"/>
          <w:sz w:val="20"/>
          <w:szCs w:val="20"/>
        </w:rPr>
        <w:t>12</w:t>
      </w:r>
      <w:r w:rsidRPr="009B3959">
        <w:rPr>
          <w:rFonts w:ascii="Times New Roman" w:hAnsi="Times New Roman"/>
          <w:sz w:val="20"/>
          <w:szCs w:val="20"/>
        </w:rPr>
        <w:t>), para. 134.</w:t>
      </w:r>
    </w:p>
  </w:footnote>
  <w:footnote w:id="100">
    <w:p w14:paraId="5B6276F4" w14:textId="444D8C89"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for instance, </w:t>
      </w:r>
      <w:proofErr w:type="spellStart"/>
      <w:r w:rsidRPr="009B3959">
        <w:rPr>
          <w:rFonts w:ascii="Times New Roman" w:hAnsi="Times New Roman"/>
          <w:i/>
          <w:iCs/>
          <w:sz w:val="20"/>
          <w:szCs w:val="20"/>
        </w:rPr>
        <w:t>Boškoski</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Trial Judgment (n. 21), paras 175-206; and the Appeals Judgment, 19 May 2010, paras 19-24; </w:t>
      </w:r>
      <w:r w:rsidRPr="009B3959">
        <w:rPr>
          <w:rFonts w:ascii="Times New Roman" w:hAnsi="Times New Roman"/>
          <w:i/>
          <w:iCs/>
          <w:sz w:val="20"/>
          <w:szCs w:val="20"/>
        </w:rPr>
        <w:t>Lubanga</w:t>
      </w:r>
      <w:r w:rsidRPr="009B3959">
        <w:rPr>
          <w:rFonts w:ascii="Times New Roman" w:hAnsi="Times New Roman"/>
          <w:sz w:val="20"/>
          <w:szCs w:val="20"/>
        </w:rPr>
        <w:t xml:space="preserve"> Judgment pursuant to Article 74 (n. </w:t>
      </w:r>
      <w:r>
        <w:rPr>
          <w:rFonts w:ascii="Times New Roman" w:hAnsi="Times New Roman"/>
          <w:sz w:val="20"/>
          <w:szCs w:val="20"/>
        </w:rPr>
        <w:t>27</w:t>
      </w:r>
      <w:r w:rsidRPr="009B3959">
        <w:rPr>
          <w:rFonts w:ascii="Times New Roman" w:hAnsi="Times New Roman"/>
          <w:sz w:val="20"/>
          <w:szCs w:val="20"/>
        </w:rPr>
        <w:t>), paras 537-538</w:t>
      </w:r>
      <w:r w:rsidRPr="009B3959">
        <w:rPr>
          <w:rFonts w:ascii="Times New Roman" w:hAnsi="Times New Roman"/>
          <w:sz w:val="20"/>
          <w:szCs w:val="20"/>
          <w:lang w:val="en-US"/>
        </w:rPr>
        <w:t>.</w:t>
      </w:r>
    </w:p>
  </w:footnote>
  <w:footnote w:id="101">
    <w:p w14:paraId="025CC739" w14:textId="41AB4E4D"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D. Kretzmer, ‘Rethinking the Application of IHL in Non-International Armed Conflicts’, (2009) 42 </w:t>
      </w:r>
      <w:r w:rsidRPr="00066403">
        <w:rPr>
          <w:rFonts w:ascii="Times New Roman" w:hAnsi="Times New Roman"/>
          <w:i/>
          <w:iCs/>
          <w:sz w:val="20"/>
          <w:szCs w:val="20"/>
        </w:rPr>
        <w:t xml:space="preserve">Israel Law Review </w:t>
      </w:r>
      <w:r w:rsidRPr="00066403">
        <w:rPr>
          <w:rFonts w:ascii="Times New Roman" w:hAnsi="Times New Roman"/>
          <w:sz w:val="20"/>
          <w:szCs w:val="20"/>
        </w:rPr>
        <w:t>8, especially at 23-31, 37-44.</w:t>
      </w:r>
    </w:p>
  </w:footnote>
  <w:footnote w:id="102">
    <w:p w14:paraId="4D6F944E" w14:textId="6E153B95"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Cullen (n. </w:t>
      </w:r>
      <w:r>
        <w:rPr>
          <w:rFonts w:ascii="Times New Roman" w:hAnsi="Times New Roman"/>
          <w:sz w:val="20"/>
          <w:szCs w:val="20"/>
        </w:rPr>
        <w:t>95</w:t>
      </w:r>
      <w:r w:rsidRPr="009B3959">
        <w:rPr>
          <w:rFonts w:ascii="Times New Roman" w:hAnsi="Times New Roman"/>
          <w:sz w:val="20"/>
          <w:szCs w:val="20"/>
        </w:rPr>
        <w:t>), at 127.</w:t>
      </w:r>
    </w:p>
  </w:footnote>
  <w:footnote w:id="103">
    <w:p w14:paraId="5DEB0376" w14:textId="3BCE96A2"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ICC, Pre-Trial Chamber, </w:t>
      </w:r>
      <w:r w:rsidRPr="009B3959">
        <w:rPr>
          <w:rFonts w:ascii="Times New Roman" w:hAnsi="Times New Roman"/>
          <w:i/>
          <w:iCs/>
          <w:sz w:val="20"/>
          <w:szCs w:val="20"/>
        </w:rPr>
        <w:t>Lubanga</w:t>
      </w:r>
      <w:r>
        <w:rPr>
          <w:rFonts w:ascii="Times New Roman" w:hAnsi="Times New Roman"/>
          <w:i/>
          <w:iCs/>
          <w:sz w:val="20"/>
          <w:szCs w:val="20"/>
        </w:rPr>
        <w:t xml:space="preserve"> </w:t>
      </w:r>
      <w:r w:rsidRPr="009B3959">
        <w:rPr>
          <w:rFonts w:ascii="Times New Roman" w:hAnsi="Times New Roman"/>
          <w:sz w:val="20"/>
          <w:szCs w:val="20"/>
        </w:rPr>
        <w:t>Decision</w:t>
      </w:r>
      <w:r>
        <w:rPr>
          <w:rFonts w:ascii="Times New Roman" w:hAnsi="Times New Roman"/>
          <w:sz w:val="20"/>
          <w:szCs w:val="20"/>
        </w:rPr>
        <w:t xml:space="preserve"> (n. 40), </w:t>
      </w:r>
      <w:r w:rsidRPr="009B3959">
        <w:rPr>
          <w:rFonts w:ascii="Times New Roman" w:hAnsi="Times New Roman"/>
          <w:sz w:val="20"/>
          <w:szCs w:val="20"/>
        </w:rPr>
        <w:t>paras. 237.</w:t>
      </w:r>
    </w:p>
  </w:footnote>
  <w:footnote w:id="104">
    <w:p w14:paraId="63C4AFCD" w14:textId="77777777"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ICRC’s revised Commentary to GC III (2020), para. 468.</w:t>
      </w:r>
    </w:p>
  </w:footnote>
  <w:footnote w:id="105">
    <w:p w14:paraId="7E980CDE" w14:textId="2F79A36D"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066403">
        <w:rPr>
          <w:rFonts w:ascii="Times New Roman" w:hAnsi="Times New Roman"/>
          <w:i/>
          <w:iCs/>
          <w:sz w:val="20"/>
          <w:szCs w:val="20"/>
        </w:rPr>
        <w:t>Ibid</w:t>
      </w:r>
      <w:r w:rsidRPr="009B3959">
        <w:rPr>
          <w:rFonts w:ascii="Times New Roman" w:hAnsi="Times New Roman"/>
          <w:sz w:val="20"/>
          <w:szCs w:val="20"/>
        </w:rPr>
        <w:t>.</w:t>
      </w:r>
    </w:p>
  </w:footnote>
  <w:footnote w:id="106">
    <w:p w14:paraId="7F3CC14A" w14:textId="6F839F3C"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Pr>
          <w:rFonts w:ascii="Times New Roman" w:hAnsi="Times New Roman"/>
          <w:sz w:val="20"/>
          <w:szCs w:val="20"/>
        </w:rPr>
        <w:t>Ibid</w:t>
      </w:r>
      <w:r w:rsidRPr="009B3959">
        <w:rPr>
          <w:rFonts w:ascii="Times New Roman" w:hAnsi="Times New Roman"/>
          <w:sz w:val="20"/>
          <w:szCs w:val="20"/>
        </w:rPr>
        <w:t>, emphasis added.</w:t>
      </w:r>
    </w:p>
  </w:footnote>
  <w:footnote w:id="107">
    <w:p w14:paraId="0DA17664" w14:textId="021ADD44"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See </w:t>
      </w:r>
      <w:proofErr w:type="spellStart"/>
      <w:r w:rsidRPr="00066403">
        <w:rPr>
          <w:rFonts w:ascii="Times New Roman" w:hAnsi="Times New Roman"/>
          <w:sz w:val="20"/>
          <w:szCs w:val="20"/>
        </w:rPr>
        <w:t>Lubell</w:t>
      </w:r>
      <w:proofErr w:type="spellEnd"/>
      <w:r w:rsidRPr="009B3959">
        <w:rPr>
          <w:rFonts w:ascii="Times New Roman" w:hAnsi="Times New Roman"/>
          <w:sz w:val="20"/>
          <w:szCs w:val="20"/>
        </w:rPr>
        <w:t xml:space="preserve"> (2010), (n. 13),</w:t>
      </w:r>
      <w:r w:rsidRPr="00066403">
        <w:rPr>
          <w:rFonts w:ascii="Times New Roman" w:hAnsi="Times New Roman"/>
          <w:sz w:val="20"/>
          <w:szCs w:val="20"/>
        </w:rPr>
        <w:t xml:space="preserve"> at 106-107 (excluding unilateral force used in a one-off manner, as in a quick drone strike).</w:t>
      </w:r>
    </w:p>
  </w:footnote>
  <w:footnote w:id="108">
    <w:p w14:paraId="480AF927" w14:textId="3E6C2DD9"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For the possibility of such mutually compensatory effect, see discussions in Section 8D below.</w:t>
      </w:r>
    </w:p>
  </w:footnote>
  <w:footnote w:id="109">
    <w:p w14:paraId="4E14AA92" w14:textId="727D4708"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For instance, in situations of armed conflicts in Syria, the ICRC did not recognize the situation of armed violence orchestrated by a Free Syrian Army as a NIAC until July 2012 despite serious nature of violence. It is suggested that this was precisely because of the lack of minimum organization of that group:  Bartels and Fortin</w:t>
      </w:r>
      <w:r>
        <w:rPr>
          <w:rFonts w:ascii="Times New Roman" w:hAnsi="Times New Roman"/>
          <w:sz w:val="20"/>
          <w:szCs w:val="20"/>
        </w:rPr>
        <w:t xml:space="preserve"> (</w:t>
      </w:r>
      <w:r w:rsidRPr="009B3959">
        <w:rPr>
          <w:rFonts w:ascii="Times New Roman" w:hAnsi="Times New Roman"/>
          <w:sz w:val="20"/>
          <w:szCs w:val="20"/>
        </w:rPr>
        <w:t>n. 6</w:t>
      </w:r>
      <w:r>
        <w:rPr>
          <w:rFonts w:ascii="Times New Roman" w:hAnsi="Times New Roman"/>
          <w:sz w:val="20"/>
          <w:szCs w:val="20"/>
        </w:rPr>
        <w:t>2)</w:t>
      </w:r>
      <w:r w:rsidRPr="009B3959">
        <w:rPr>
          <w:rFonts w:ascii="Times New Roman" w:hAnsi="Times New Roman"/>
          <w:sz w:val="20"/>
          <w:szCs w:val="20"/>
        </w:rPr>
        <w:t>, at 39 and the sources cited therein.</w:t>
      </w:r>
    </w:p>
  </w:footnote>
  <w:footnote w:id="110">
    <w:p w14:paraId="28F5309F" w14:textId="77777777"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In both </w:t>
      </w:r>
      <w:r w:rsidRPr="009B3959">
        <w:rPr>
          <w:rFonts w:ascii="Times New Roman" w:hAnsi="Times New Roman"/>
          <w:i/>
          <w:iCs/>
          <w:sz w:val="20"/>
          <w:szCs w:val="20"/>
        </w:rPr>
        <w:t>Lubanga</w:t>
      </w:r>
      <w:r w:rsidRPr="009B3959">
        <w:rPr>
          <w:rFonts w:ascii="Times New Roman" w:hAnsi="Times New Roman"/>
          <w:sz w:val="20"/>
          <w:szCs w:val="20"/>
        </w:rPr>
        <w:t xml:space="preserve"> and </w:t>
      </w:r>
      <w:r w:rsidRPr="009B3959">
        <w:rPr>
          <w:rFonts w:ascii="Times New Roman" w:hAnsi="Times New Roman"/>
          <w:i/>
          <w:iCs/>
          <w:sz w:val="20"/>
          <w:szCs w:val="20"/>
        </w:rPr>
        <w:t>Katanga</w:t>
      </w:r>
      <w:r w:rsidRPr="009B3959">
        <w:rPr>
          <w:rFonts w:ascii="Times New Roman" w:hAnsi="Times New Roman"/>
          <w:sz w:val="20"/>
          <w:szCs w:val="20"/>
        </w:rPr>
        <w:t xml:space="preserve"> cases, the ICC held that:</w:t>
      </w:r>
    </w:p>
    <w:p w14:paraId="6157180E" w14:textId="77777777" w:rsidR="004F2CB8" w:rsidRPr="009B3959" w:rsidRDefault="004F2CB8" w:rsidP="009B3959">
      <w:pPr>
        <w:pStyle w:val="a3"/>
        <w:jc w:val="both"/>
        <w:rPr>
          <w:rFonts w:ascii="Times New Roman" w:hAnsi="Times New Roman"/>
          <w:sz w:val="20"/>
          <w:szCs w:val="20"/>
        </w:rPr>
      </w:pPr>
    </w:p>
    <w:p w14:paraId="6542B82F" w14:textId="77777777" w:rsidR="004F2CB8" w:rsidRPr="009B3959" w:rsidRDefault="004F2CB8" w:rsidP="009B3959">
      <w:pPr>
        <w:pStyle w:val="a3"/>
        <w:ind w:leftChars="67" w:left="141"/>
        <w:jc w:val="both"/>
        <w:rPr>
          <w:rFonts w:ascii="Times New Roman" w:hAnsi="Times New Roman"/>
          <w:sz w:val="20"/>
          <w:szCs w:val="20"/>
        </w:rPr>
      </w:pPr>
      <w:r w:rsidRPr="009B3959">
        <w:rPr>
          <w:rFonts w:ascii="Times New Roman" w:hAnsi="Times New Roman"/>
          <w:sz w:val="20"/>
          <w:szCs w:val="20"/>
        </w:rPr>
        <w:t xml:space="preserve">[w]hen deciding if a body was an organised armed group (for the purpose of determining whether an armed conflict was not of an international character), the following non-exhaustive list of factors is potentially relevant …. The test, along with these criteria, should be applied </w:t>
      </w:r>
      <w:r w:rsidRPr="009B3959">
        <w:rPr>
          <w:rFonts w:ascii="Times New Roman" w:hAnsi="Times New Roman"/>
          <w:i/>
          <w:iCs/>
          <w:sz w:val="20"/>
          <w:szCs w:val="20"/>
        </w:rPr>
        <w:t>flexibly</w:t>
      </w:r>
      <w:r w:rsidRPr="009B3959">
        <w:rPr>
          <w:rFonts w:ascii="Times New Roman" w:hAnsi="Times New Roman"/>
          <w:sz w:val="20"/>
          <w:szCs w:val="20"/>
        </w:rPr>
        <w:t xml:space="preserve"> when the Chamber is deciding whether a body was an organised armed group, </w:t>
      </w:r>
      <w:r w:rsidRPr="009B3959">
        <w:rPr>
          <w:rFonts w:ascii="Times New Roman" w:hAnsi="Times New Roman"/>
          <w:i/>
          <w:iCs/>
          <w:sz w:val="20"/>
          <w:szCs w:val="20"/>
        </w:rPr>
        <w:t xml:space="preserve">given the limited requirement </w:t>
      </w:r>
      <w:r w:rsidRPr="009B3959">
        <w:rPr>
          <w:rFonts w:ascii="Times New Roman" w:hAnsi="Times New Roman"/>
          <w:sz w:val="20"/>
          <w:szCs w:val="20"/>
        </w:rPr>
        <w:t xml:space="preserve">in Article 8(2)(f) of the Statute </w:t>
      </w:r>
      <w:r w:rsidRPr="009B3959">
        <w:rPr>
          <w:rFonts w:ascii="Times New Roman" w:hAnsi="Times New Roman"/>
          <w:i/>
          <w:iCs/>
          <w:sz w:val="20"/>
          <w:szCs w:val="20"/>
        </w:rPr>
        <w:t>that the armed group was “organized</w:t>
      </w:r>
      <w:r w:rsidRPr="009B3959">
        <w:rPr>
          <w:rFonts w:ascii="Times New Roman" w:hAnsi="Times New Roman"/>
          <w:sz w:val="20"/>
          <w:szCs w:val="20"/>
        </w:rPr>
        <w:t>”.</w:t>
      </w:r>
    </w:p>
    <w:p w14:paraId="4BA0E0E1" w14:textId="77777777" w:rsidR="004F2CB8" w:rsidRPr="009B3959" w:rsidRDefault="004F2CB8" w:rsidP="009B3959">
      <w:pPr>
        <w:pStyle w:val="a3"/>
        <w:jc w:val="both"/>
        <w:rPr>
          <w:rFonts w:ascii="Times New Roman" w:hAnsi="Times New Roman"/>
          <w:sz w:val="20"/>
          <w:szCs w:val="20"/>
        </w:rPr>
      </w:pPr>
    </w:p>
    <w:p w14:paraId="75DFF09A" w14:textId="5343BA0B" w:rsidR="004F2CB8" w:rsidRPr="009B3959" w:rsidRDefault="004F2CB8" w:rsidP="009B3959">
      <w:pPr>
        <w:pStyle w:val="a3"/>
        <w:jc w:val="both"/>
        <w:rPr>
          <w:rFonts w:ascii="Times New Roman" w:hAnsi="Times New Roman"/>
          <w:sz w:val="20"/>
          <w:szCs w:val="20"/>
        </w:rPr>
      </w:pPr>
      <w:r w:rsidRPr="009B3959">
        <w:rPr>
          <w:rFonts w:ascii="Times New Roman" w:hAnsi="Times New Roman"/>
          <w:sz w:val="20"/>
          <w:szCs w:val="20"/>
        </w:rPr>
        <w:t xml:space="preserve">ICC, </w:t>
      </w:r>
      <w:r w:rsidRPr="009B3959">
        <w:rPr>
          <w:rFonts w:ascii="Times New Roman" w:hAnsi="Times New Roman"/>
          <w:i/>
          <w:iCs/>
          <w:sz w:val="20"/>
          <w:szCs w:val="20"/>
        </w:rPr>
        <w:t>Lubanga</w:t>
      </w:r>
      <w:r w:rsidRPr="009B3959">
        <w:rPr>
          <w:rFonts w:ascii="Times New Roman" w:hAnsi="Times New Roman"/>
          <w:sz w:val="20"/>
          <w:szCs w:val="20"/>
        </w:rPr>
        <w:t xml:space="preserve"> Trial Judgment (n. 27), para. 537; and </w:t>
      </w:r>
      <w:r w:rsidRPr="009B3959">
        <w:rPr>
          <w:rFonts w:ascii="Times New Roman" w:hAnsi="Times New Roman"/>
          <w:i/>
          <w:iCs/>
          <w:sz w:val="20"/>
          <w:szCs w:val="20"/>
        </w:rPr>
        <w:t>Katanga</w:t>
      </w:r>
      <w:r w:rsidRPr="009B3959">
        <w:rPr>
          <w:rFonts w:ascii="Times New Roman" w:hAnsi="Times New Roman"/>
          <w:sz w:val="20"/>
          <w:szCs w:val="20"/>
        </w:rPr>
        <w:t xml:space="preserve"> Trial judgment (n. 2), para. 1186, emphasis added. See also </w:t>
      </w:r>
      <w:r w:rsidRPr="009B3959">
        <w:rPr>
          <w:rFonts w:ascii="Times New Roman" w:hAnsi="Times New Roman"/>
          <w:i/>
          <w:iCs/>
          <w:sz w:val="20"/>
          <w:szCs w:val="20"/>
        </w:rPr>
        <w:t xml:space="preserve">Bemba </w:t>
      </w:r>
      <w:r w:rsidRPr="009B3959">
        <w:rPr>
          <w:rFonts w:ascii="Times New Roman" w:hAnsi="Times New Roman"/>
          <w:sz w:val="20"/>
          <w:szCs w:val="20"/>
        </w:rPr>
        <w:t xml:space="preserve">Trial Judgment (n. </w:t>
      </w:r>
      <w:r>
        <w:rPr>
          <w:rFonts w:ascii="Times New Roman" w:hAnsi="Times New Roman"/>
          <w:sz w:val="20"/>
          <w:szCs w:val="20"/>
        </w:rPr>
        <w:t>12</w:t>
      </w:r>
      <w:r w:rsidRPr="009B3959">
        <w:rPr>
          <w:rFonts w:ascii="Times New Roman" w:hAnsi="Times New Roman"/>
          <w:sz w:val="20"/>
          <w:szCs w:val="20"/>
        </w:rPr>
        <w:t>), para. 134.</w:t>
      </w:r>
    </w:p>
  </w:footnote>
  <w:footnote w:id="111">
    <w:p w14:paraId="2B1E2E1F" w14:textId="684511FC"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also Higuchi (n. 1</w:t>
      </w:r>
      <w:r>
        <w:rPr>
          <w:rFonts w:ascii="Times New Roman" w:hAnsi="Times New Roman"/>
          <w:sz w:val="20"/>
          <w:szCs w:val="20"/>
        </w:rPr>
        <w:t>4</w:t>
      </w:r>
      <w:r w:rsidRPr="009B3959">
        <w:rPr>
          <w:rFonts w:ascii="Times New Roman" w:hAnsi="Times New Roman"/>
          <w:sz w:val="20"/>
          <w:szCs w:val="20"/>
        </w:rPr>
        <w:t>), at 135.</w:t>
      </w:r>
    </w:p>
  </w:footnote>
  <w:footnote w:id="112">
    <w:p w14:paraId="07CDC72B" w14:textId="1849A367" w:rsidR="004F2CB8" w:rsidRPr="009B3959" w:rsidRDefault="004F2CB8" w:rsidP="009B3959">
      <w:pPr>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Akande suggests the possibility of identifying a NIAC in the situations of ‘pin-pricks’ that are lacking in any extensive casualties or </w:t>
      </w:r>
      <w:proofErr w:type="gramStart"/>
      <w:r w:rsidRPr="009B3959">
        <w:rPr>
          <w:rFonts w:ascii="Times New Roman" w:hAnsi="Times New Roman"/>
          <w:sz w:val="20"/>
          <w:szCs w:val="20"/>
        </w:rPr>
        <w:t>destruction, if</w:t>
      </w:r>
      <w:proofErr w:type="gramEnd"/>
      <w:r w:rsidRPr="009B3959">
        <w:rPr>
          <w:rFonts w:ascii="Times New Roman" w:hAnsi="Times New Roman"/>
          <w:sz w:val="20"/>
          <w:szCs w:val="20"/>
        </w:rPr>
        <w:t xml:space="preserve"> they are of prolonged nature. He also recognizes the activation of the IHL of NIACs in the opposite, namely, where violence occurs for short duration but on a wide scale:  Akande (n. 12), at 53. His suggestion tends toward the ‘interdependence’ of different ‘variables’ within the constituent elements of intensity, and not interdependence between intensity and organization.</w:t>
      </w:r>
    </w:p>
  </w:footnote>
  <w:footnote w:id="113">
    <w:p w14:paraId="7A92D4BD" w14:textId="5E9C7535"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The ICTY tended to treat duration as part of the intensity standard. See,</w:t>
      </w:r>
      <w:r w:rsidRPr="009B3959">
        <w:rPr>
          <w:rFonts w:ascii="Times New Roman" w:hAnsi="Times New Roman"/>
          <w:i/>
          <w:iCs/>
          <w:sz w:val="20"/>
          <w:szCs w:val="20"/>
        </w:rPr>
        <w:t xml:space="preserve"> inter alia, </w:t>
      </w:r>
      <w:r w:rsidRPr="009B3959">
        <w:rPr>
          <w:rFonts w:ascii="Times New Roman" w:hAnsi="Times New Roman"/>
          <w:sz w:val="20"/>
          <w:szCs w:val="20"/>
        </w:rPr>
        <w:t xml:space="preserve">ICTY, </w:t>
      </w:r>
      <w:r w:rsidRPr="009B3959">
        <w:rPr>
          <w:rFonts w:ascii="Times New Roman" w:hAnsi="Times New Roman"/>
          <w:i/>
          <w:iCs/>
          <w:sz w:val="20"/>
          <w:szCs w:val="20"/>
        </w:rPr>
        <w:t xml:space="preserve">Prosecutor v. </w:t>
      </w:r>
      <w:proofErr w:type="spellStart"/>
      <w:r w:rsidRPr="009B3959">
        <w:rPr>
          <w:rStyle w:val="af5"/>
          <w:rFonts w:ascii="Times New Roman" w:hAnsi="Times New Roman"/>
          <w:sz w:val="20"/>
          <w:szCs w:val="20"/>
          <w:shd w:val="clear" w:color="auto" w:fill="FFFFFF"/>
        </w:rPr>
        <w:t>Đorđević</w:t>
      </w:r>
      <w:proofErr w:type="spellEnd"/>
      <w:r w:rsidRPr="009B3959">
        <w:rPr>
          <w:rFonts w:ascii="Times New Roman" w:hAnsi="Times New Roman"/>
          <w:sz w:val="20"/>
          <w:szCs w:val="20"/>
        </w:rPr>
        <w:t xml:space="preserve">, IT-05-87/1-T, 23 February 2011, para. 1523; </w:t>
      </w:r>
      <w:proofErr w:type="spellStart"/>
      <w:r w:rsidRPr="009B3959">
        <w:rPr>
          <w:rStyle w:val="af5"/>
          <w:rFonts w:ascii="Times New Roman" w:hAnsi="Times New Roman"/>
          <w:sz w:val="20"/>
          <w:szCs w:val="20"/>
          <w:shd w:val="clear" w:color="auto" w:fill="FFFFFF"/>
        </w:rPr>
        <w:t>Boškoski</w:t>
      </w:r>
      <w:proofErr w:type="spellEnd"/>
      <w:r w:rsidRPr="009B3959">
        <w:rPr>
          <w:rFonts w:ascii="Times New Roman" w:hAnsi="Times New Roman"/>
          <w:sz w:val="20"/>
          <w:szCs w:val="20"/>
          <w:shd w:val="clear" w:color="auto" w:fill="FFFFFF"/>
        </w:rPr>
        <w:t> Trial Judgment (n. 21),</w:t>
      </w:r>
      <w:r w:rsidRPr="009B3959">
        <w:rPr>
          <w:rFonts w:ascii="Times New Roman" w:hAnsi="Times New Roman"/>
          <w:sz w:val="20"/>
          <w:szCs w:val="20"/>
        </w:rPr>
        <w:t xml:space="preserve"> para. 243; </w:t>
      </w:r>
      <w:proofErr w:type="spellStart"/>
      <w:r w:rsidRPr="009B3959">
        <w:rPr>
          <w:rFonts w:ascii="Times New Roman" w:hAnsi="Times New Roman"/>
          <w:i/>
          <w:iCs/>
          <w:sz w:val="20"/>
          <w:szCs w:val="20"/>
        </w:rPr>
        <w:t>Limaj</w:t>
      </w:r>
      <w:proofErr w:type="spellEnd"/>
      <w:r w:rsidRPr="009B3959">
        <w:rPr>
          <w:rFonts w:ascii="Times New Roman" w:hAnsi="Times New Roman"/>
          <w:i/>
          <w:iCs/>
          <w:sz w:val="20"/>
          <w:szCs w:val="20"/>
        </w:rPr>
        <w:t xml:space="preserve"> </w:t>
      </w:r>
      <w:r w:rsidRPr="00066403">
        <w:rPr>
          <w:rFonts w:ascii="Times New Roman" w:hAnsi="Times New Roman"/>
          <w:sz w:val="20"/>
          <w:szCs w:val="20"/>
        </w:rPr>
        <w:t>Trial</w:t>
      </w:r>
      <w:r w:rsidRPr="009B3959">
        <w:rPr>
          <w:rFonts w:ascii="Times New Roman" w:hAnsi="Times New Roman"/>
          <w:i/>
          <w:iCs/>
          <w:sz w:val="20"/>
          <w:szCs w:val="20"/>
        </w:rPr>
        <w:t xml:space="preserve"> </w:t>
      </w:r>
      <w:r w:rsidRPr="009B3959">
        <w:rPr>
          <w:rFonts w:ascii="Times New Roman" w:hAnsi="Times New Roman"/>
          <w:sz w:val="20"/>
          <w:szCs w:val="20"/>
        </w:rPr>
        <w:t>Judgment (n. 2</w:t>
      </w:r>
      <w:r>
        <w:rPr>
          <w:rFonts w:ascii="Times New Roman" w:hAnsi="Times New Roman"/>
          <w:sz w:val="20"/>
          <w:szCs w:val="20"/>
        </w:rPr>
        <w:t>7</w:t>
      </w:r>
      <w:r w:rsidRPr="009B3959">
        <w:rPr>
          <w:rFonts w:ascii="Times New Roman" w:hAnsi="Times New Roman"/>
          <w:sz w:val="20"/>
          <w:szCs w:val="20"/>
        </w:rPr>
        <w:t xml:space="preserve">), paras 168-169. The fledging case-law of the ICC is inconclusive on this question. See, </w:t>
      </w:r>
      <w:r w:rsidRPr="009B3959">
        <w:rPr>
          <w:rFonts w:ascii="Times New Roman" w:hAnsi="Times New Roman"/>
          <w:i/>
          <w:iCs/>
          <w:sz w:val="20"/>
          <w:szCs w:val="20"/>
        </w:rPr>
        <w:t xml:space="preserve">inter alia, </w:t>
      </w:r>
      <w:r w:rsidRPr="009B3959">
        <w:rPr>
          <w:rFonts w:ascii="Times New Roman" w:hAnsi="Times New Roman"/>
          <w:sz w:val="20"/>
          <w:szCs w:val="20"/>
        </w:rPr>
        <w:t xml:space="preserve">ICC, Pre-Trial Chamber, </w:t>
      </w:r>
      <w:r w:rsidRPr="009B3959">
        <w:rPr>
          <w:rFonts w:ascii="Times New Roman" w:hAnsi="Times New Roman"/>
          <w:i/>
          <w:iCs/>
          <w:sz w:val="20"/>
          <w:szCs w:val="20"/>
        </w:rPr>
        <w:t xml:space="preserve">Lubanga </w:t>
      </w:r>
      <w:r w:rsidRPr="009B3959">
        <w:rPr>
          <w:rFonts w:ascii="Times New Roman" w:hAnsi="Times New Roman"/>
          <w:sz w:val="20"/>
          <w:szCs w:val="20"/>
        </w:rPr>
        <w:t>Decision</w:t>
      </w:r>
      <w:r>
        <w:rPr>
          <w:rFonts w:ascii="Times New Roman" w:hAnsi="Times New Roman"/>
          <w:sz w:val="20"/>
          <w:szCs w:val="20"/>
        </w:rPr>
        <w:t xml:space="preserve"> (n. 40), </w:t>
      </w:r>
      <w:r w:rsidRPr="009B3959">
        <w:rPr>
          <w:rFonts w:ascii="Times New Roman" w:hAnsi="Times New Roman"/>
          <w:sz w:val="20"/>
          <w:szCs w:val="20"/>
        </w:rPr>
        <w:t xml:space="preserve">paras 233-237, especially para. 234; </w:t>
      </w:r>
      <w:r w:rsidRPr="009B3959">
        <w:rPr>
          <w:rFonts w:ascii="Times New Roman" w:hAnsi="Times New Roman"/>
          <w:i/>
          <w:iCs/>
          <w:sz w:val="20"/>
          <w:szCs w:val="20"/>
        </w:rPr>
        <w:t xml:space="preserve">Katanga </w:t>
      </w:r>
      <w:r w:rsidRPr="00066403">
        <w:rPr>
          <w:rFonts w:ascii="Times New Roman" w:hAnsi="Times New Roman"/>
          <w:sz w:val="20"/>
          <w:szCs w:val="20"/>
        </w:rPr>
        <w:t xml:space="preserve">Trial Judgment, </w:t>
      </w:r>
      <w:r w:rsidRPr="009B3959">
        <w:rPr>
          <w:rFonts w:ascii="Times New Roman" w:hAnsi="Times New Roman"/>
          <w:sz w:val="20"/>
          <w:szCs w:val="20"/>
        </w:rPr>
        <w:t>paras 1187 and 1217; Pre-</w:t>
      </w:r>
      <w:r>
        <w:rPr>
          <w:rFonts w:ascii="Times New Roman" w:hAnsi="Times New Roman"/>
          <w:sz w:val="20"/>
          <w:szCs w:val="20"/>
        </w:rPr>
        <w:t>T</w:t>
      </w:r>
      <w:r w:rsidRPr="009B3959">
        <w:rPr>
          <w:rFonts w:ascii="Times New Roman" w:hAnsi="Times New Roman"/>
          <w:sz w:val="20"/>
          <w:szCs w:val="20"/>
        </w:rPr>
        <w:t xml:space="preserve">rial Chamber, </w:t>
      </w:r>
      <w:r w:rsidRPr="009B3959">
        <w:rPr>
          <w:rFonts w:ascii="Times New Roman" w:hAnsi="Times New Roman"/>
          <w:i/>
          <w:iCs/>
          <w:sz w:val="20"/>
          <w:szCs w:val="20"/>
        </w:rPr>
        <w:t xml:space="preserve">Prosecutor. v. Jean-Pierre Bemba </w:t>
      </w:r>
      <w:proofErr w:type="spellStart"/>
      <w:r w:rsidRPr="009B3959">
        <w:rPr>
          <w:rFonts w:ascii="Times New Roman" w:hAnsi="Times New Roman"/>
          <w:i/>
          <w:iCs/>
          <w:sz w:val="20"/>
          <w:szCs w:val="20"/>
        </w:rPr>
        <w:t>Gombo</w:t>
      </w:r>
      <w:proofErr w:type="spellEnd"/>
      <w:r w:rsidRPr="009B3959">
        <w:rPr>
          <w:rFonts w:ascii="Times New Roman" w:hAnsi="Times New Roman"/>
          <w:sz w:val="20"/>
          <w:szCs w:val="20"/>
        </w:rPr>
        <w:t xml:space="preserve">, No ICC-01/05-01/08, 15 June 2009, para. 235; </w:t>
      </w:r>
      <w:r w:rsidRPr="009B3959">
        <w:rPr>
          <w:rFonts w:ascii="Times New Roman" w:hAnsi="Times New Roman"/>
          <w:i/>
          <w:iCs/>
          <w:sz w:val="20"/>
          <w:szCs w:val="20"/>
        </w:rPr>
        <w:t xml:space="preserve">Bemba </w:t>
      </w:r>
      <w:r w:rsidRPr="009B3959">
        <w:rPr>
          <w:rFonts w:ascii="Times New Roman" w:hAnsi="Times New Roman"/>
          <w:sz w:val="20"/>
          <w:szCs w:val="20"/>
        </w:rPr>
        <w:t>Trial</w:t>
      </w:r>
      <w:r w:rsidRPr="009B3959">
        <w:rPr>
          <w:rFonts w:ascii="Times New Roman" w:hAnsi="Times New Roman"/>
          <w:i/>
          <w:iCs/>
          <w:sz w:val="20"/>
          <w:szCs w:val="20"/>
        </w:rPr>
        <w:t xml:space="preserve"> </w:t>
      </w:r>
      <w:r w:rsidRPr="009B3959">
        <w:rPr>
          <w:rFonts w:ascii="Times New Roman" w:hAnsi="Times New Roman"/>
          <w:sz w:val="20"/>
          <w:szCs w:val="20"/>
        </w:rPr>
        <w:t xml:space="preserve">Judgment (n. </w:t>
      </w:r>
      <w:r>
        <w:rPr>
          <w:rFonts w:ascii="Times New Roman" w:hAnsi="Times New Roman"/>
          <w:sz w:val="20"/>
          <w:szCs w:val="20"/>
        </w:rPr>
        <w:t>12</w:t>
      </w:r>
      <w:r w:rsidRPr="009B3959">
        <w:rPr>
          <w:rFonts w:ascii="Times New Roman" w:hAnsi="Times New Roman"/>
          <w:sz w:val="20"/>
          <w:szCs w:val="20"/>
        </w:rPr>
        <w:t>), paras 139 and 663.</w:t>
      </w:r>
    </w:p>
  </w:footnote>
  <w:footnote w:id="114">
    <w:p w14:paraId="70515032" w14:textId="58E4C845"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This is the term minted by the ICTY,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Appeals Chamber’s Decision on the Defence Motion for Interlocutory Appeal on Jurisdiction (n. 12), para. 70.</w:t>
      </w:r>
    </w:p>
  </w:footnote>
  <w:footnote w:id="115">
    <w:p w14:paraId="5F8A0F9B" w14:textId="29CD0295"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When finding its way into the Rome Statute and subsequently into Article 28(D)(f) of the 2014 Protocol on Amendments to the Protocol of the African Court of Justice and Human and Peoples’ Rights (Malabo Protocol), the original term ‘protracted armed violence’ in </w:t>
      </w:r>
      <w:r w:rsidRPr="009B3959">
        <w:rPr>
          <w:rFonts w:ascii="Times New Roman" w:hAnsi="Times New Roman"/>
          <w:i/>
          <w:iCs/>
          <w:sz w:val="20"/>
          <w:szCs w:val="20"/>
        </w:rPr>
        <w:t>Tadic</w:t>
      </w:r>
      <w:r w:rsidRPr="009B3959">
        <w:rPr>
          <w:rFonts w:ascii="Times New Roman" w:hAnsi="Times New Roman"/>
          <w:sz w:val="20"/>
          <w:szCs w:val="20"/>
        </w:rPr>
        <w:t xml:space="preserve"> has been modified into ‘protracted armed violence’. For the meaning of this term, see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12), at 32-33, paras 96-98 (considering it a temporal element); E. Lieblich, </w:t>
      </w:r>
      <w:r w:rsidRPr="009B3959">
        <w:rPr>
          <w:rFonts w:ascii="Times New Roman" w:hAnsi="Times New Roman"/>
          <w:i/>
          <w:iCs/>
          <w:sz w:val="20"/>
          <w:szCs w:val="20"/>
        </w:rPr>
        <w:t xml:space="preserve">International Law and Civil Wars:  Intervention and Consent </w:t>
      </w:r>
      <w:r w:rsidRPr="009B3959">
        <w:rPr>
          <w:rFonts w:ascii="Times New Roman" w:hAnsi="Times New Roman"/>
          <w:sz w:val="20"/>
          <w:szCs w:val="20"/>
        </w:rPr>
        <w:t>(2013) at 48 (reading the notion ‘protracted’ as the amalgam encompassing both the temporally ‘sustained nature and the large-scale’ volume of friction).</w:t>
      </w:r>
    </w:p>
  </w:footnote>
  <w:footnote w:id="116">
    <w:p w14:paraId="7B4DB145" w14:textId="7F7EBDA6"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See </w:t>
      </w:r>
      <w:r w:rsidRPr="009B3959">
        <w:rPr>
          <w:rFonts w:ascii="Times New Roman" w:hAnsi="Times New Roman"/>
          <w:i/>
          <w:iCs/>
          <w:sz w:val="20"/>
          <w:szCs w:val="20"/>
        </w:rPr>
        <w:t xml:space="preserve">inter alia, </w:t>
      </w:r>
      <w:r w:rsidRPr="009B3959">
        <w:rPr>
          <w:rFonts w:ascii="Times New Roman" w:hAnsi="Times New Roman"/>
          <w:sz w:val="20"/>
          <w:szCs w:val="20"/>
        </w:rPr>
        <w:t xml:space="preserve">the ICRC’s revised Commentary to GC III (2020), paras 4754-475 (on common Article 3 GCs); Akande (n. 13), at 53; Sivakumaran (2012) (n. 12), at 167-168; </w:t>
      </w:r>
      <w:proofErr w:type="spellStart"/>
      <w:r w:rsidRPr="00066403">
        <w:rPr>
          <w:rFonts w:ascii="Times New Roman" w:hAnsi="Times New Roman"/>
          <w:sz w:val="20"/>
          <w:szCs w:val="20"/>
        </w:rPr>
        <w:t>Dörman</w:t>
      </w:r>
      <w:r>
        <w:rPr>
          <w:rFonts w:ascii="Times New Roman" w:hAnsi="Times New Roman"/>
          <w:sz w:val="20"/>
          <w:szCs w:val="20"/>
        </w:rPr>
        <w:t>n</w:t>
      </w:r>
      <w:proofErr w:type="spellEnd"/>
      <w:r>
        <w:rPr>
          <w:rFonts w:ascii="Times New Roman" w:hAnsi="Times New Roman"/>
          <w:sz w:val="20"/>
          <w:szCs w:val="20"/>
        </w:rPr>
        <w:t xml:space="preserve"> </w:t>
      </w:r>
      <w:r w:rsidRPr="00066403">
        <w:rPr>
          <w:rFonts w:ascii="Times New Roman" w:hAnsi="Times New Roman"/>
          <w:sz w:val="20"/>
          <w:szCs w:val="20"/>
        </w:rPr>
        <w:t>(</w:t>
      </w:r>
      <w:r>
        <w:rPr>
          <w:rFonts w:ascii="Times New Roman" w:hAnsi="Times New Roman"/>
          <w:sz w:val="20"/>
          <w:szCs w:val="20"/>
        </w:rPr>
        <w:t>n. 93</w:t>
      </w:r>
      <w:r w:rsidRPr="00066403">
        <w:rPr>
          <w:rFonts w:ascii="Times New Roman" w:hAnsi="Times New Roman"/>
          <w:sz w:val="20"/>
          <w:szCs w:val="20"/>
        </w:rPr>
        <w:t>), at 441</w:t>
      </w:r>
      <w:r w:rsidRPr="009B3959">
        <w:rPr>
          <w:rFonts w:ascii="Times New Roman" w:hAnsi="Times New Roman"/>
          <w:sz w:val="20"/>
          <w:szCs w:val="20"/>
        </w:rPr>
        <w:t xml:space="preserve">; J. </w:t>
      </w:r>
      <w:proofErr w:type="spellStart"/>
      <w:r w:rsidRPr="009B3959">
        <w:rPr>
          <w:rFonts w:ascii="Times New Roman" w:hAnsi="Times New Roman"/>
          <w:sz w:val="20"/>
          <w:szCs w:val="20"/>
        </w:rPr>
        <w:t>Grignon</w:t>
      </w:r>
      <w:proofErr w:type="spellEnd"/>
      <w:r w:rsidRPr="009B3959">
        <w:rPr>
          <w:rFonts w:ascii="Times New Roman" w:hAnsi="Times New Roman"/>
          <w:sz w:val="20"/>
          <w:szCs w:val="20"/>
        </w:rPr>
        <w:t>,‘The Beginning of Application of International Humanitarian Law: A Discussion of a Few Challenges’, (2014), 96 (893) IRRC 139, at 161. See also H.</w:t>
      </w:r>
      <w:r w:rsidRPr="00066403">
        <w:rPr>
          <w:rFonts w:ascii="Times New Roman" w:hAnsi="Times New Roman"/>
          <w:sz w:val="20"/>
          <w:szCs w:val="20"/>
        </w:rPr>
        <w:t xml:space="preserve"> </w:t>
      </w:r>
      <w:r w:rsidRPr="009B3959">
        <w:rPr>
          <w:rFonts w:ascii="Times New Roman" w:hAnsi="Times New Roman"/>
          <w:color w:val="555555"/>
          <w:sz w:val="20"/>
          <w:szCs w:val="20"/>
          <w:shd w:val="clear" w:color="auto" w:fill="FFFFFF"/>
        </w:rPr>
        <w:t>von Hebel, and D. Robinson, ‘Crimes within the Jurisdiction of the Court’, in R.S. Lee (ed.), </w:t>
      </w:r>
      <w:r w:rsidRPr="009B3959">
        <w:rPr>
          <w:rFonts w:ascii="Times New Roman" w:hAnsi="Times New Roman"/>
          <w:i/>
          <w:iCs/>
          <w:color w:val="555555"/>
          <w:sz w:val="20"/>
          <w:szCs w:val="20"/>
          <w:shd w:val="clear" w:color="auto" w:fill="FFFFFF"/>
        </w:rPr>
        <w:t>The International Criminal Court: The Making of the Rome Statute – Issues, Negotiations, Results</w:t>
      </w:r>
      <w:r w:rsidRPr="009B3959">
        <w:rPr>
          <w:rFonts w:ascii="Times New Roman" w:hAnsi="Times New Roman"/>
          <w:color w:val="555555"/>
          <w:sz w:val="20"/>
          <w:szCs w:val="20"/>
          <w:shd w:val="clear" w:color="auto" w:fill="FFFFFF"/>
        </w:rPr>
        <w:t>, (Kluwer 1999), pp. 79–126,</w:t>
      </w:r>
      <w:r w:rsidRPr="00066403">
        <w:rPr>
          <w:rFonts w:ascii="Times New Roman" w:hAnsi="Times New Roman"/>
          <w:sz w:val="20"/>
          <w:szCs w:val="20"/>
        </w:rPr>
        <w:t xml:space="preserve"> at 119-121; </w:t>
      </w:r>
      <w:r w:rsidRPr="009B3959">
        <w:rPr>
          <w:rFonts w:ascii="Times New Roman" w:hAnsi="Times New Roman"/>
          <w:sz w:val="20"/>
          <w:szCs w:val="20"/>
        </w:rPr>
        <w:t>T.</w:t>
      </w:r>
      <w:r w:rsidRPr="00066403">
        <w:rPr>
          <w:rFonts w:ascii="Times New Roman" w:hAnsi="Times New Roman"/>
          <w:sz w:val="20"/>
          <w:szCs w:val="20"/>
        </w:rPr>
        <w:t xml:space="preserve"> </w:t>
      </w:r>
      <w:proofErr w:type="spellStart"/>
      <w:r w:rsidRPr="009B3959">
        <w:rPr>
          <w:rFonts w:ascii="Times New Roman" w:hAnsi="Times New Roman"/>
          <w:color w:val="555555"/>
          <w:sz w:val="20"/>
          <w:szCs w:val="20"/>
          <w:shd w:val="clear" w:color="auto" w:fill="FFFFFF"/>
        </w:rPr>
        <w:t>Meron</w:t>
      </w:r>
      <w:proofErr w:type="spellEnd"/>
      <w:r w:rsidRPr="009B3959">
        <w:rPr>
          <w:rFonts w:ascii="Times New Roman" w:hAnsi="Times New Roman"/>
          <w:color w:val="555555"/>
          <w:sz w:val="20"/>
          <w:szCs w:val="20"/>
          <w:shd w:val="clear" w:color="auto" w:fill="FFFFFF"/>
        </w:rPr>
        <w:t xml:space="preserve">, ‘The Humanization of Humanitarian Law’, (2000) 94(2) </w:t>
      </w:r>
      <w:r w:rsidRPr="009B3959">
        <w:rPr>
          <w:rFonts w:ascii="Times New Roman" w:hAnsi="Times New Roman"/>
          <w:i/>
          <w:iCs/>
          <w:color w:val="555555"/>
          <w:sz w:val="20"/>
          <w:szCs w:val="20"/>
          <w:shd w:val="clear" w:color="auto" w:fill="FFFFFF"/>
        </w:rPr>
        <w:t>American Journal of International Law</w:t>
      </w:r>
      <w:r w:rsidRPr="009B3959">
        <w:rPr>
          <w:rFonts w:ascii="Times New Roman" w:hAnsi="Times New Roman"/>
          <w:color w:val="555555"/>
          <w:sz w:val="20"/>
          <w:szCs w:val="20"/>
          <w:shd w:val="clear" w:color="auto" w:fill="FFFFFF"/>
        </w:rPr>
        <w:t>, pp. 239–278</w:t>
      </w:r>
      <w:r w:rsidRPr="00066403">
        <w:rPr>
          <w:rFonts w:ascii="Times New Roman" w:hAnsi="Times New Roman"/>
          <w:sz w:val="20"/>
          <w:szCs w:val="20"/>
        </w:rPr>
        <w:t xml:space="preserve"> at 260; </w:t>
      </w:r>
      <w:r w:rsidRPr="009B3959">
        <w:rPr>
          <w:rFonts w:ascii="Times New Roman" w:hAnsi="Times New Roman"/>
          <w:sz w:val="20"/>
          <w:szCs w:val="20"/>
        </w:rPr>
        <w:t xml:space="preserve">D. </w:t>
      </w:r>
      <w:r w:rsidRPr="009B3959">
        <w:rPr>
          <w:rFonts w:ascii="Times New Roman" w:hAnsi="Times New Roman"/>
          <w:color w:val="555555"/>
          <w:sz w:val="20"/>
          <w:szCs w:val="20"/>
          <w:shd w:val="clear" w:color="auto" w:fill="FFFFFF"/>
        </w:rPr>
        <w:t>Fleck, ‘The Law of Non-International Armed Conflict’, in D. Fleck (ed.), </w:t>
      </w:r>
      <w:r w:rsidRPr="009B3959">
        <w:rPr>
          <w:rFonts w:ascii="Times New Roman" w:hAnsi="Times New Roman"/>
          <w:i/>
          <w:iCs/>
          <w:color w:val="555555"/>
          <w:sz w:val="20"/>
          <w:szCs w:val="20"/>
          <w:shd w:val="clear" w:color="auto" w:fill="FFFFFF"/>
        </w:rPr>
        <w:t>The Handbook of International Humanitarian Law</w:t>
      </w:r>
      <w:r w:rsidRPr="009B3959">
        <w:rPr>
          <w:rFonts w:ascii="Times New Roman" w:hAnsi="Times New Roman"/>
          <w:color w:val="555555"/>
          <w:sz w:val="20"/>
          <w:szCs w:val="20"/>
          <w:shd w:val="clear" w:color="auto" w:fill="FFFFFF"/>
        </w:rPr>
        <w:t>, 3rd ed., (O</w:t>
      </w:r>
      <w:r>
        <w:rPr>
          <w:rFonts w:ascii="Times New Roman" w:hAnsi="Times New Roman"/>
          <w:color w:val="555555"/>
          <w:sz w:val="20"/>
          <w:szCs w:val="20"/>
          <w:shd w:val="clear" w:color="auto" w:fill="FFFFFF"/>
        </w:rPr>
        <w:t>xford University Press</w:t>
      </w:r>
      <w:r w:rsidRPr="009B3959">
        <w:rPr>
          <w:rFonts w:ascii="Times New Roman" w:hAnsi="Times New Roman"/>
          <w:color w:val="555555"/>
          <w:sz w:val="20"/>
          <w:szCs w:val="20"/>
          <w:shd w:val="clear" w:color="auto" w:fill="FFFFFF"/>
        </w:rPr>
        <w:t>, 2013), pp. 581–610</w:t>
      </w:r>
      <w:r w:rsidRPr="00066403">
        <w:rPr>
          <w:rFonts w:ascii="Times New Roman" w:hAnsi="Times New Roman"/>
          <w:sz w:val="20"/>
          <w:szCs w:val="20"/>
        </w:rPr>
        <w:t xml:space="preserve"> at 588, margin. 1201; </w:t>
      </w:r>
      <w:r w:rsidRPr="009B3959">
        <w:rPr>
          <w:rFonts w:ascii="Times New Roman" w:hAnsi="Times New Roman"/>
          <w:sz w:val="20"/>
          <w:szCs w:val="20"/>
        </w:rPr>
        <w:t>A. Cullen, ‘The Definition of Non-International Armed Conflict in the Rome Statute of the International Criminal Court: An Analysis of the Threshold of Application Contained in Article 8 (2)(f)’, (2007) 12 JCSL 419, at 435-438</w:t>
      </w:r>
      <w:r w:rsidRPr="00066403">
        <w:rPr>
          <w:rFonts w:ascii="Times New Roman" w:hAnsi="Times New Roman"/>
          <w:sz w:val="20"/>
          <w:szCs w:val="20"/>
        </w:rPr>
        <w:t xml:space="preserve">; </w:t>
      </w:r>
      <w:r w:rsidRPr="009B3959">
        <w:rPr>
          <w:rFonts w:ascii="Times New Roman" w:hAnsi="Times New Roman"/>
          <w:sz w:val="20"/>
          <w:szCs w:val="20"/>
        </w:rPr>
        <w:t>S.</w:t>
      </w:r>
      <w:r w:rsidRPr="00066403">
        <w:rPr>
          <w:rFonts w:ascii="Times New Roman" w:hAnsi="Times New Roman"/>
          <w:sz w:val="20"/>
          <w:szCs w:val="20"/>
        </w:rPr>
        <w:t xml:space="preserve"> Sivakumaran, ‘Identifying an Armed Confit Not of an International Character’, in C. </w:t>
      </w:r>
      <w:proofErr w:type="spellStart"/>
      <w:r w:rsidRPr="00066403">
        <w:rPr>
          <w:rFonts w:ascii="Times New Roman" w:hAnsi="Times New Roman"/>
          <w:sz w:val="20"/>
          <w:szCs w:val="20"/>
        </w:rPr>
        <w:t>Stahn</w:t>
      </w:r>
      <w:proofErr w:type="spellEnd"/>
      <w:r w:rsidRPr="00066403">
        <w:rPr>
          <w:rFonts w:ascii="Times New Roman" w:hAnsi="Times New Roman"/>
          <w:sz w:val="20"/>
          <w:szCs w:val="20"/>
        </w:rPr>
        <w:t xml:space="preserve"> </w:t>
      </w:r>
      <w:r w:rsidRPr="009B3959">
        <w:rPr>
          <w:rFonts w:ascii="Times New Roman" w:hAnsi="Times New Roman"/>
          <w:sz w:val="20"/>
          <w:szCs w:val="20"/>
        </w:rPr>
        <w:t xml:space="preserve">and </w:t>
      </w:r>
      <w:r w:rsidRPr="00066403">
        <w:rPr>
          <w:rFonts w:ascii="Times New Roman" w:hAnsi="Times New Roman"/>
          <w:sz w:val="20"/>
          <w:szCs w:val="20"/>
        </w:rPr>
        <w:t xml:space="preserve">G. </w:t>
      </w:r>
      <w:proofErr w:type="spellStart"/>
      <w:r w:rsidRPr="00066403">
        <w:rPr>
          <w:rFonts w:ascii="Times New Roman" w:hAnsi="Times New Roman"/>
          <w:sz w:val="20"/>
          <w:szCs w:val="20"/>
        </w:rPr>
        <w:t>Sluiter</w:t>
      </w:r>
      <w:proofErr w:type="spellEnd"/>
      <w:r w:rsidRPr="00066403">
        <w:rPr>
          <w:rFonts w:ascii="Times New Roman" w:hAnsi="Times New Roman"/>
          <w:sz w:val="20"/>
          <w:szCs w:val="20"/>
        </w:rPr>
        <w:t xml:space="preserve"> (eds), </w:t>
      </w:r>
      <w:r w:rsidRPr="00066403">
        <w:rPr>
          <w:rFonts w:ascii="Times New Roman" w:hAnsi="Times New Roman"/>
          <w:i/>
          <w:iCs/>
          <w:sz w:val="20"/>
          <w:szCs w:val="20"/>
        </w:rPr>
        <w:t xml:space="preserve">The Emerging Practice of the International Criminal Court </w:t>
      </w:r>
      <w:r w:rsidRPr="00066403">
        <w:rPr>
          <w:rFonts w:ascii="Times New Roman" w:hAnsi="Times New Roman"/>
          <w:sz w:val="20"/>
          <w:szCs w:val="20"/>
        </w:rPr>
        <w:t>(2008) 363, at 371-377, especially 373, 375);</w:t>
      </w:r>
      <w:r w:rsidRPr="009B3959">
        <w:rPr>
          <w:rFonts w:ascii="Times New Roman" w:hAnsi="Times New Roman"/>
          <w:sz w:val="20"/>
          <w:szCs w:val="20"/>
        </w:rPr>
        <w:t xml:space="preserve"> </w:t>
      </w:r>
      <w:proofErr w:type="spellStart"/>
      <w:r w:rsidRPr="009B3959">
        <w:rPr>
          <w:rFonts w:ascii="Times New Roman" w:hAnsi="Times New Roman"/>
          <w:sz w:val="20"/>
          <w:szCs w:val="20"/>
        </w:rPr>
        <w:t>Kritsiotis</w:t>
      </w:r>
      <w:proofErr w:type="spellEnd"/>
      <w:r w:rsidRPr="009B3959">
        <w:rPr>
          <w:rFonts w:ascii="Times New Roman" w:hAnsi="Times New Roman"/>
          <w:sz w:val="20"/>
          <w:szCs w:val="20"/>
        </w:rPr>
        <w:t xml:space="preserve"> (n. 8</w:t>
      </w:r>
      <w:r>
        <w:rPr>
          <w:rFonts w:ascii="Times New Roman" w:hAnsi="Times New Roman"/>
          <w:sz w:val="20"/>
          <w:szCs w:val="20"/>
        </w:rPr>
        <w:t>0</w:t>
      </w:r>
      <w:r w:rsidRPr="009B3959">
        <w:rPr>
          <w:rFonts w:ascii="Times New Roman" w:hAnsi="Times New Roman"/>
          <w:sz w:val="20"/>
          <w:szCs w:val="20"/>
        </w:rPr>
        <w:t xml:space="preserve">), at 288-290; M. </w:t>
      </w:r>
      <w:proofErr w:type="spellStart"/>
      <w:r w:rsidRPr="009B3959">
        <w:rPr>
          <w:rFonts w:ascii="Times New Roman" w:hAnsi="Times New Roman"/>
          <w:sz w:val="20"/>
          <w:szCs w:val="20"/>
        </w:rPr>
        <w:t>Hrnjaz</w:t>
      </w:r>
      <w:proofErr w:type="spellEnd"/>
      <w:r w:rsidRPr="009B3959">
        <w:rPr>
          <w:rFonts w:ascii="Times New Roman" w:hAnsi="Times New Roman"/>
          <w:sz w:val="20"/>
          <w:szCs w:val="20"/>
        </w:rPr>
        <w:t xml:space="preserve"> and J. </w:t>
      </w:r>
      <w:proofErr w:type="spellStart"/>
      <w:r w:rsidRPr="009B3959">
        <w:rPr>
          <w:rFonts w:ascii="Times New Roman" w:hAnsi="Times New Roman"/>
          <w:sz w:val="20"/>
          <w:szCs w:val="20"/>
        </w:rPr>
        <w:t>Simentić-Popović</w:t>
      </w:r>
      <w:proofErr w:type="spellEnd"/>
      <w:r w:rsidRPr="009B3959">
        <w:rPr>
          <w:rFonts w:ascii="Times New Roman" w:hAnsi="Times New Roman"/>
          <w:sz w:val="20"/>
          <w:szCs w:val="20"/>
        </w:rPr>
        <w:t>, ‘Protracted Armed Violence as a Criterion for the Existence of Non-International Armed Conflict: International Humanitarian Law, International Criminal Law and Beyond’, (2020) 25 JCSL1 at 6-7 and 13-20.</w:t>
      </w:r>
    </w:p>
  </w:footnote>
  <w:footnote w:id="117">
    <w:p w14:paraId="4D73217D" w14:textId="4E60A49C"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See M. Bothe, ‘War Crimes’, in A. Cassese, P. Gaeta and J.R.W.D. Jones (eds), </w:t>
      </w:r>
      <w:r w:rsidRPr="009B3959">
        <w:rPr>
          <w:rFonts w:ascii="Times New Roman" w:hAnsi="Times New Roman"/>
          <w:i/>
          <w:iCs/>
          <w:sz w:val="20"/>
          <w:szCs w:val="20"/>
        </w:rPr>
        <w:t xml:space="preserve">The Rome Statute of the International Criminal Court:  A Commentary, </w:t>
      </w:r>
      <w:r w:rsidRPr="009B3959">
        <w:rPr>
          <w:rFonts w:ascii="Times New Roman" w:hAnsi="Times New Roman"/>
          <w:sz w:val="20"/>
          <w:szCs w:val="20"/>
        </w:rPr>
        <w:t xml:space="preserve">Vol. IA, (OUP, 2002), 379-426, at 423;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w:t>
      </w:r>
      <w:r>
        <w:rPr>
          <w:rFonts w:ascii="Times New Roman" w:hAnsi="Times New Roman"/>
          <w:sz w:val="20"/>
          <w:szCs w:val="20"/>
        </w:rPr>
        <w:t xml:space="preserve"> (n. 12),</w:t>
      </w:r>
      <w:r w:rsidRPr="009B3959">
        <w:rPr>
          <w:rFonts w:ascii="Times New Roman" w:hAnsi="Times New Roman"/>
          <w:sz w:val="20"/>
          <w:szCs w:val="20"/>
        </w:rPr>
        <w:t xml:space="preserve"> at 32-34 and 191, paras 96-102 and 610; M. </w:t>
      </w:r>
      <w:proofErr w:type="spellStart"/>
      <w:r w:rsidRPr="009B3959">
        <w:rPr>
          <w:rFonts w:ascii="Times New Roman" w:hAnsi="Times New Roman"/>
          <w:sz w:val="20"/>
          <w:szCs w:val="20"/>
        </w:rPr>
        <w:t>Sassòli</w:t>
      </w:r>
      <w:proofErr w:type="spellEnd"/>
      <w:r w:rsidRPr="009B3959">
        <w:rPr>
          <w:rFonts w:ascii="Times New Roman" w:hAnsi="Times New Roman"/>
          <w:sz w:val="20"/>
          <w:szCs w:val="20"/>
        </w:rPr>
        <w:t xml:space="preserve"> and A. A. Bouvier, and A. Quintin, </w:t>
      </w:r>
      <w:r w:rsidRPr="009B3959">
        <w:rPr>
          <w:rFonts w:ascii="Times New Roman" w:hAnsi="Times New Roman"/>
          <w:i/>
          <w:iCs/>
          <w:sz w:val="20"/>
          <w:szCs w:val="20"/>
        </w:rPr>
        <w:t xml:space="preserve">How Does the Law Protect in War? Cases, Documents and Teaching Materials on Contemporary Practice in International Humanitarian Law </w:t>
      </w:r>
      <w:r w:rsidRPr="009B3959">
        <w:rPr>
          <w:rFonts w:ascii="Times New Roman" w:hAnsi="Times New Roman"/>
          <w:sz w:val="20"/>
          <w:szCs w:val="20"/>
        </w:rPr>
        <w:t xml:space="preserve">(ICRC, 2012), Vol. I, at 123; C. Kress, ‘War Crimes Committed in Non-International Armed Conflicts and the Emerging System of International Criminal Justice’, (2000) 30 </w:t>
      </w:r>
      <w:r w:rsidRPr="009B3959">
        <w:rPr>
          <w:rFonts w:ascii="Times New Roman" w:hAnsi="Times New Roman"/>
          <w:i/>
          <w:iCs/>
          <w:sz w:val="20"/>
          <w:szCs w:val="20"/>
        </w:rPr>
        <w:t xml:space="preserve">Israel Yearbook on Human Rights </w:t>
      </w:r>
      <w:r w:rsidRPr="009B3959">
        <w:rPr>
          <w:rFonts w:ascii="Times New Roman" w:hAnsi="Times New Roman"/>
          <w:sz w:val="20"/>
          <w:szCs w:val="20"/>
        </w:rPr>
        <w:t xml:space="preserve">103, at 117-118; </w:t>
      </w:r>
      <w:proofErr w:type="spellStart"/>
      <w:r w:rsidRPr="009B3959">
        <w:rPr>
          <w:rFonts w:ascii="Times New Roman" w:hAnsi="Times New Roman"/>
          <w:sz w:val="20"/>
          <w:szCs w:val="20"/>
        </w:rPr>
        <w:t>Vité</w:t>
      </w:r>
      <w:proofErr w:type="spellEnd"/>
      <w:r w:rsidRPr="009B3959">
        <w:rPr>
          <w:rFonts w:ascii="Times New Roman" w:hAnsi="Times New Roman"/>
          <w:sz w:val="20"/>
          <w:szCs w:val="20"/>
        </w:rPr>
        <w:t xml:space="preserve"> (n. 4</w:t>
      </w:r>
      <w:r>
        <w:rPr>
          <w:rFonts w:ascii="Times New Roman" w:hAnsi="Times New Roman"/>
          <w:sz w:val="20"/>
          <w:szCs w:val="20"/>
        </w:rPr>
        <w:t>1</w:t>
      </w:r>
      <w:r w:rsidRPr="009B3959">
        <w:rPr>
          <w:rFonts w:ascii="Times New Roman" w:hAnsi="Times New Roman"/>
          <w:sz w:val="20"/>
          <w:szCs w:val="20"/>
        </w:rPr>
        <w:t>), at 82.</w:t>
      </w:r>
    </w:p>
  </w:footnote>
  <w:footnote w:id="118">
    <w:p w14:paraId="5AE2CB44" w14:textId="0B715FA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This model may </w:t>
      </w:r>
      <w:r w:rsidRPr="009B3959">
        <w:rPr>
          <w:rFonts w:ascii="Times New Roman" w:hAnsi="Times New Roman"/>
          <w:bCs/>
          <w:sz w:val="20"/>
          <w:szCs w:val="20"/>
        </w:rPr>
        <w:t>trump an understanding that the premise for the applicability of the IHL of NIACs is vitiated when violence fails or ceases to fulfil the two preconditions of intensity and minimum organization</w:t>
      </w:r>
      <w:r w:rsidRPr="009B3959">
        <w:rPr>
          <w:rFonts w:ascii="Times New Roman" w:hAnsi="Times New Roman"/>
          <w:sz w:val="20"/>
          <w:szCs w:val="20"/>
        </w:rPr>
        <w:t xml:space="preserve">: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12), at 48, para. 153.</w:t>
      </w:r>
    </w:p>
  </w:footnote>
  <w:footnote w:id="119">
    <w:p w14:paraId="412F61E3" w14:textId="100A7ABC"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proofErr w:type="spellStart"/>
      <w:r w:rsidRPr="00066403">
        <w:rPr>
          <w:rFonts w:ascii="Times New Roman" w:hAnsi="Times New Roman"/>
          <w:sz w:val="20"/>
          <w:szCs w:val="20"/>
        </w:rPr>
        <w:t>Lubell</w:t>
      </w:r>
      <w:proofErr w:type="spellEnd"/>
      <w:r w:rsidRPr="009B3959">
        <w:rPr>
          <w:rFonts w:ascii="Times New Roman" w:hAnsi="Times New Roman"/>
          <w:sz w:val="20"/>
          <w:szCs w:val="20"/>
        </w:rPr>
        <w:t xml:space="preserve"> (2010)</w:t>
      </w:r>
      <w:r w:rsidRPr="00066403">
        <w:rPr>
          <w:rFonts w:ascii="Times New Roman" w:hAnsi="Times New Roman"/>
          <w:sz w:val="20"/>
          <w:szCs w:val="20"/>
        </w:rPr>
        <w:t xml:space="preserve"> (n. 13), at 108.</w:t>
      </w:r>
    </w:p>
  </w:footnote>
  <w:footnote w:id="120">
    <w:p w14:paraId="54724375" w14:textId="7FDE0806" w:rsidR="004F2CB8" w:rsidRPr="009B3959" w:rsidRDefault="004F2CB8" w:rsidP="00066403">
      <w:pPr>
        <w:pStyle w:val="1"/>
        <w:shd w:val="clear" w:color="auto" w:fill="FFFFFF"/>
        <w:spacing w:before="75" w:beforeAutospacing="0" w:after="150" w:afterAutospacing="0" w:line="480" w:lineRule="atLeast"/>
        <w:jc w:val="both"/>
        <w:textAlignment w:val="baseline"/>
        <w:rPr>
          <w:rFonts w:ascii="Times New Roman" w:hAnsi="Times New Roman" w:cs="Times New Roman"/>
          <w:b w:val="0"/>
          <w:bCs w:val="0"/>
          <w:sz w:val="20"/>
          <w:szCs w:val="20"/>
        </w:rPr>
      </w:pPr>
      <w:r w:rsidRPr="009B3959">
        <w:rPr>
          <w:rStyle w:val="a5"/>
          <w:rFonts w:ascii="Times New Roman" w:hAnsi="Times New Roman" w:cs="Times New Roman"/>
          <w:b w:val="0"/>
          <w:bCs w:val="0"/>
          <w:sz w:val="20"/>
          <w:szCs w:val="20"/>
        </w:rPr>
        <w:footnoteRef/>
      </w:r>
      <w:r w:rsidRPr="009B3959">
        <w:rPr>
          <w:rFonts w:ascii="Times New Roman" w:hAnsi="Times New Roman" w:cs="Times New Roman"/>
          <w:b w:val="0"/>
          <w:bCs w:val="0"/>
          <w:sz w:val="20"/>
          <w:szCs w:val="20"/>
        </w:rPr>
        <w:t xml:space="preserve"> Kretzmer (n. 10</w:t>
      </w:r>
      <w:r>
        <w:rPr>
          <w:rFonts w:ascii="Times New Roman" w:hAnsi="Times New Roman" w:cs="Times New Roman"/>
          <w:b w:val="0"/>
          <w:bCs w:val="0"/>
          <w:sz w:val="20"/>
          <w:szCs w:val="20"/>
        </w:rPr>
        <w:t>0</w:t>
      </w:r>
      <w:r w:rsidRPr="009B3959">
        <w:rPr>
          <w:rFonts w:ascii="Times New Roman" w:hAnsi="Times New Roman" w:cs="Times New Roman"/>
          <w:b w:val="0"/>
          <w:bCs w:val="0"/>
          <w:sz w:val="20"/>
          <w:szCs w:val="20"/>
        </w:rPr>
        <w:t>).</w:t>
      </w:r>
    </w:p>
  </w:footnote>
  <w:footnote w:id="121">
    <w:p w14:paraId="34F28366" w14:textId="27875496"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w:t>
      </w:r>
      <w:r w:rsidRPr="00066403">
        <w:rPr>
          <w:rFonts w:ascii="Times New Roman" w:hAnsi="Times New Roman"/>
          <w:sz w:val="20"/>
          <w:szCs w:val="20"/>
        </w:rPr>
        <w:t>For want of the chapeau requirement (their systematic or widespread nature)</w:t>
      </w:r>
      <w:r w:rsidRPr="009B3959">
        <w:rPr>
          <w:rFonts w:ascii="Times New Roman" w:hAnsi="Times New Roman"/>
          <w:sz w:val="20"/>
          <w:szCs w:val="20"/>
        </w:rPr>
        <w:t xml:space="preserve"> required by Article 7 of the </w:t>
      </w:r>
      <w:r w:rsidRPr="009B3959">
        <w:rPr>
          <w:rFonts w:ascii="Times New Roman" w:hAnsi="Times New Roman"/>
          <w:sz w:val="20"/>
          <w:szCs w:val="20"/>
          <w:lang w:val="en-US"/>
        </w:rPr>
        <w:t xml:space="preserve">ICC Statute, </w:t>
      </w:r>
      <w:r w:rsidRPr="00066403">
        <w:rPr>
          <w:rFonts w:ascii="Times New Roman" w:hAnsi="Times New Roman"/>
          <w:sz w:val="20"/>
          <w:szCs w:val="20"/>
        </w:rPr>
        <w:t>they are certain to fall outside the definitional scope of the crime against humanity</w:t>
      </w:r>
      <w:r w:rsidRPr="009B3959">
        <w:rPr>
          <w:rFonts w:ascii="Times New Roman" w:hAnsi="Times New Roman"/>
          <w:sz w:val="20"/>
          <w:szCs w:val="20"/>
        </w:rPr>
        <w:t>.</w:t>
      </w:r>
    </w:p>
  </w:footnote>
  <w:footnote w:id="122">
    <w:p w14:paraId="34EB3510" w14:textId="700B3A02"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Apart from the discussions provided in the sentences immediately below in this paragraph, see also discussions on the </w:t>
      </w:r>
      <w:proofErr w:type="spellStart"/>
      <w:r w:rsidRPr="009B3959">
        <w:rPr>
          <w:rFonts w:ascii="Times New Roman" w:hAnsi="Times New Roman"/>
          <w:i/>
          <w:iCs/>
          <w:sz w:val="20"/>
          <w:szCs w:val="20"/>
        </w:rPr>
        <w:t>Tablada</w:t>
      </w:r>
      <w:proofErr w:type="spellEnd"/>
      <w:r w:rsidRPr="009B3959">
        <w:rPr>
          <w:rFonts w:ascii="Times New Roman" w:hAnsi="Times New Roman"/>
          <w:sz w:val="20"/>
          <w:szCs w:val="20"/>
        </w:rPr>
        <w:t xml:space="preserve"> case in Section 7.F below.</w:t>
      </w:r>
    </w:p>
  </w:footnote>
  <w:footnote w:id="123">
    <w:p w14:paraId="3E5F7710" w14:textId="77777777"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ICRC’s revised Commentary to GC III (2020), para. 468. </w:t>
      </w:r>
    </w:p>
  </w:footnote>
  <w:footnote w:id="124">
    <w:p w14:paraId="6F6768E4" w14:textId="49FE0689"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(2014) (n. 4</w:t>
      </w:r>
      <w:r>
        <w:rPr>
          <w:rFonts w:ascii="Times New Roman" w:hAnsi="Times New Roman"/>
          <w:sz w:val="20"/>
          <w:szCs w:val="20"/>
        </w:rPr>
        <w:t>3</w:t>
      </w:r>
      <w:r w:rsidRPr="009B3959">
        <w:rPr>
          <w:rFonts w:ascii="Times New Roman" w:hAnsi="Times New Roman"/>
          <w:sz w:val="20"/>
          <w:szCs w:val="20"/>
        </w:rPr>
        <w:t>) at 302-303 and 309-311.</w:t>
      </w:r>
    </w:p>
  </w:footnote>
  <w:footnote w:id="125">
    <w:p w14:paraId="7B22D623" w14:textId="257BB4FE" w:rsidR="004F2CB8" w:rsidRPr="009B3959" w:rsidRDefault="004F2CB8" w:rsidP="009B3959">
      <w:pPr>
        <w:pStyle w:val="1"/>
        <w:shd w:val="clear" w:color="auto" w:fill="FFFFFF"/>
        <w:spacing w:before="75" w:beforeAutospacing="0" w:after="150" w:afterAutospacing="0" w:line="480" w:lineRule="atLeast"/>
        <w:jc w:val="both"/>
        <w:textAlignment w:val="baseline"/>
        <w:rPr>
          <w:rFonts w:ascii="Times New Roman" w:hAnsi="Times New Roman" w:cs="Times New Roman"/>
          <w:b w:val="0"/>
          <w:bCs w:val="0"/>
          <w:color w:val="333333"/>
          <w:sz w:val="20"/>
          <w:szCs w:val="20"/>
        </w:rPr>
      </w:pPr>
      <w:r w:rsidRPr="009B3959">
        <w:rPr>
          <w:rStyle w:val="a5"/>
          <w:rFonts w:ascii="Times New Roman" w:hAnsi="Times New Roman" w:cs="Times New Roman"/>
          <w:b w:val="0"/>
          <w:bCs w:val="0"/>
          <w:sz w:val="20"/>
          <w:szCs w:val="20"/>
        </w:rPr>
        <w:footnoteRef/>
      </w:r>
      <w:r w:rsidRPr="009B3959">
        <w:rPr>
          <w:rFonts w:ascii="Times New Roman" w:hAnsi="Times New Roman" w:cs="Times New Roman"/>
          <w:b w:val="0"/>
          <w:bCs w:val="0"/>
          <w:sz w:val="20"/>
          <w:szCs w:val="20"/>
        </w:rPr>
        <w:t xml:space="preserve"> Inter-American Commission of Human Rights, </w:t>
      </w:r>
      <w:r w:rsidRPr="009B3959">
        <w:rPr>
          <w:rFonts w:ascii="Times New Roman" w:hAnsi="Times New Roman" w:cs="Times New Roman"/>
          <w:b w:val="0"/>
          <w:bCs w:val="0"/>
          <w:i/>
          <w:iCs/>
          <w:sz w:val="20"/>
          <w:szCs w:val="20"/>
        </w:rPr>
        <w:t xml:space="preserve">Juan Carlos </w:t>
      </w:r>
      <w:proofErr w:type="spellStart"/>
      <w:r w:rsidRPr="009B3959">
        <w:rPr>
          <w:rFonts w:ascii="Times New Roman" w:hAnsi="Times New Roman" w:cs="Times New Roman"/>
          <w:b w:val="0"/>
          <w:bCs w:val="0"/>
          <w:i/>
          <w:iCs/>
          <w:sz w:val="20"/>
          <w:szCs w:val="20"/>
        </w:rPr>
        <w:t>Abella</w:t>
      </w:r>
      <w:proofErr w:type="spellEnd"/>
      <w:r w:rsidRPr="009B3959">
        <w:rPr>
          <w:rFonts w:ascii="Times New Roman" w:hAnsi="Times New Roman" w:cs="Times New Roman"/>
          <w:b w:val="0"/>
          <w:bCs w:val="0"/>
          <w:i/>
          <w:iCs/>
          <w:sz w:val="20"/>
          <w:szCs w:val="20"/>
        </w:rPr>
        <w:t xml:space="preserve"> v. Argentina</w:t>
      </w:r>
      <w:r w:rsidRPr="009B3959">
        <w:rPr>
          <w:rFonts w:ascii="Times New Roman" w:hAnsi="Times New Roman" w:cs="Times New Roman"/>
          <w:b w:val="0"/>
          <w:bCs w:val="0"/>
          <w:sz w:val="20"/>
          <w:szCs w:val="20"/>
        </w:rPr>
        <w:t>, Case 11.137, Report No. 55/97, 18 November 1997,</w:t>
      </w:r>
      <w:r w:rsidRPr="009B3959">
        <w:rPr>
          <w:rFonts w:ascii="Times New Roman" w:eastAsia="メイリオ" w:hAnsi="Times New Roman" w:cs="Times New Roman"/>
          <w:b w:val="0"/>
          <w:bCs w:val="0"/>
          <w:sz w:val="20"/>
          <w:szCs w:val="20"/>
          <w:shd w:val="clear" w:color="auto" w:fill="FFFFFF"/>
        </w:rPr>
        <w:t xml:space="preserve"> OEA/</w:t>
      </w:r>
      <w:proofErr w:type="spellStart"/>
      <w:r w:rsidRPr="009B3959">
        <w:rPr>
          <w:rFonts w:ascii="Times New Roman" w:eastAsia="メイリオ" w:hAnsi="Times New Roman" w:cs="Times New Roman"/>
          <w:b w:val="0"/>
          <w:bCs w:val="0"/>
          <w:sz w:val="20"/>
          <w:szCs w:val="20"/>
          <w:shd w:val="clear" w:color="auto" w:fill="FFFFFF"/>
        </w:rPr>
        <w:t>Ser.L</w:t>
      </w:r>
      <w:proofErr w:type="spellEnd"/>
      <w:r w:rsidRPr="009B3959">
        <w:rPr>
          <w:rFonts w:ascii="Times New Roman" w:eastAsia="メイリオ" w:hAnsi="Times New Roman" w:cs="Times New Roman"/>
          <w:b w:val="0"/>
          <w:bCs w:val="0"/>
          <w:sz w:val="20"/>
          <w:szCs w:val="20"/>
          <w:shd w:val="clear" w:color="auto" w:fill="FFFFFF"/>
        </w:rPr>
        <w:t>/V/II.95 Doc. 7 rev. at 271 (1997) (</w:t>
      </w:r>
      <w:proofErr w:type="spellStart"/>
      <w:r w:rsidRPr="009B3959">
        <w:rPr>
          <w:rFonts w:ascii="Times New Roman" w:eastAsia="メイリオ" w:hAnsi="Times New Roman" w:cs="Times New Roman"/>
          <w:b w:val="0"/>
          <w:bCs w:val="0"/>
          <w:sz w:val="20"/>
          <w:szCs w:val="20"/>
          <w:shd w:val="clear" w:color="auto" w:fill="FFFFFF"/>
        </w:rPr>
        <w:t>heinafter</w:t>
      </w:r>
      <w:proofErr w:type="spellEnd"/>
      <w:r w:rsidRPr="009B3959">
        <w:rPr>
          <w:rFonts w:ascii="Times New Roman" w:eastAsia="メイリオ" w:hAnsi="Times New Roman" w:cs="Times New Roman"/>
          <w:b w:val="0"/>
          <w:bCs w:val="0"/>
          <w:sz w:val="20"/>
          <w:szCs w:val="20"/>
          <w:shd w:val="clear" w:color="auto" w:fill="FFFFFF"/>
        </w:rPr>
        <w:t xml:space="preserve"> </w:t>
      </w:r>
      <w:proofErr w:type="spellStart"/>
      <w:r w:rsidRPr="009B3959">
        <w:rPr>
          <w:rFonts w:ascii="Times New Roman" w:eastAsia="メイリオ" w:hAnsi="Times New Roman" w:cs="Times New Roman"/>
          <w:b w:val="0"/>
          <w:bCs w:val="0"/>
          <w:i/>
          <w:iCs/>
          <w:sz w:val="20"/>
          <w:szCs w:val="20"/>
          <w:shd w:val="clear" w:color="auto" w:fill="FFFFFF"/>
        </w:rPr>
        <w:t>Abella</w:t>
      </w:r>
      <w:proofErr w:type="spellEnd"/>
      <w:r w:rsidRPr="009B3959">
        <w:rPr>
          <w:rFonts w:ascii="Times New Roman" w:eastAsia="メイリオ" w:hAnsi="Times New Roman" w:cs="Times New Roman"/>
          <w:b w:val="0"/>
          <w:bCs w:val="0"/>
          <w:sz w:val="20"/>
          <w:szCs w:val="20"/>
          <w:shd w:val="clear" w:color="auto" w:fill="FFFFFF"/>
        </w:rPr>
        <w:t xml:space="preserve"> case)</w:t>
      </w:r>
      <w:r w:rsidRPr="009B3959">
        <w:rPr>
          <w:rFonts w:ascii="Times New Roman" w:hAnsi="Times New Roman" w:cs="Times New Roman"/>
          <w:b w:val="0"/>
          <w:bCs w:val="0"/>
          <w:sz w:val="20"/>
          <w:szCs w:val="20"/>
        </w:rPr>
        <w:t xml:space="preserve">. See Shana Tabak, ‘Ambivalent Enforcement: International Humanitarian Law at Human Rights Tribunals’, (2016) 37 </w:t>
      </w:r>
      <w:r w:rsidRPr="009B3959">
        <w:rPr>
          <w:rFonts w:ascii="Times New Roman" w:hAnsi="Times New Roman" w:cs="Times New Roman"/>
          <w:b w:val="0"/>
          <w:bCs w:val="0"/>
          <w:i/>
          <w:iCs/>
          <w:sz w:val="20"/>
          <w:szCs w:val="20"/>
        </w:rPr>
        <w:t>Michigan Journal of International Law</w:t>
      </w:r>
      <w:r w:rsidRPr="009B3959">
        <w:rPr>
          <w:rFonts w:ascii="Times New Roman" w:hAnsi="Times New Roman" w:cs="Times New Roman"/>
          <w:b w:val="0"/>
          <w:bCs w:val="0"/>
          <w:sz w:val="20"/>
          <w:szCs w:val="20"/>
        </w:rPr>
        <w:t xml:space="preserve"> 661 at 684-689, 703-704, 708-709</w:t>
      </w:r>
      <w:r w:rsidRPr="009B3959">
        <w:rPr>
          <w:rFonts w:ascii="Times New Roman" w:hAnsi="Times New Roman" w:cs="Times New Roman"/>
          <w:b w:val="0"/>
          <w:bCs w:val="0"/>
          <w:color w:val="333333"/>
          <w:sz w:val="20"/>
          <w:szCs w:val="20"/>
        </w:rPr>
        <w:t>.</w:t>
      </w:r>
    </w:p>
  </w:footnote>
  <w:footnote w:id="126">
    <w:p w14:paraId="4678E16F" w14:textId="08B84940"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eastAsia="メイリオ" w:hAnsi="Times New Roman"/>
          <w:i/>
          <w:iCs/>
          <w:sz w:val="20"/>
          <w:szCs w:val="20"/>
          <w:shd w:val="clear" w:color="auto" w:fill="FFFFFF"/>
        </w:rPr>
        <w:t>Abella</w:t>
      </w:r>
      <w:proofErr w:type="spellEnd"/>
      <w:r w:rsidRPr="009B3959">
        <w:rPr>
          <w:rFonts w:ascii="Times New Roman" w:eastAsia="メイリオ" w:hAnsi="Times New Roman"/>
          <w:sz w:val="20"/>
          <w:szCs w:val="20"/>
          <w:shd w:val="clear" w:color="auto" w:fill="FFFFFF"/>
        </w:rPr>
        <w:t xml:space="preserve"> case</w:t>
      </w:r>
      <w:r w:rsidRPr="009B3959">
        <w:rPr>
          <w:rFonts w:ascii="Times New Roman" w:hAnsi="Times New Roman"/>
          <w:sz w:val="20"/>
          <w:szCs w:val="20"/>
        </w:rPr>
        <w:t>, ibid, paras 154-156</w:t>
      </w:r>
    </w:p>
  </w:footnote>
  <w:footnote w:id="127">
    <w:p w14:paraId="027DFEDF" w14:textId="77777777"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i/>
          <w:iCs/>
          <w:sz w:val="20"/>
          <w:szCs w:val="20"/>
        </w:rPr>
        <w:t>Ibid</w:t>
      </w:r>
      <w:r w:rsidRPr="009B3959">
        <w:rPr>
          <w:rFonts w:ascii="Times New Roman" w:hAnsi="Times New Roman"/>
          <w:sz w:val="20"/>
          <w:szCs w:val="20"/>
        </w:rPr>
        <w:t>., para. 155.</w:t>
      </w:r>
    </w:p>
  </w:footnote>
  <w:footnote w:id="128">
    <w:p w14:paraId="0EF44EFC" w14:textId="3B672674"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Hrnjaz</w:t>
      </w:r>
      <w:proofErr w:type="spellEnd"/>
      <w:r w:rsidRPr="009B3959">
        <w:rPr>
          <w:rFonts w:ascii="Times New Roman" w:hAnsi="Times New Roman"/>
          <w:sz w:val="20"/>
          <w:szCs w:val="20"/>
        </w:rPr>
        <w:t xml:space="preserve"> and </w:t>
      </w:r>
      <w:proofErr w:type="spellStart"/>
      <w:r w:rsidRPr="009B3959">
        <w:rPr>
          <w:rFonts w:ascii="Times New Roman" w:hAnsi="Times New Roman"/>
          <w:sz w:val="20"/>
          <w:szCs w:val="20"/>
        </w:rPr>
        <w:t>Simentic</w:t>
      </w:r>
      <w:proofErr w:type="spellEnd"/>
      <w:r w:rsidRPr="009B3959">
        <w:rPr>
          <w:rFonts w:ascii="Times New Roman" w:hAnsi="Times New Roman"/>
          <w:sz w:val="20"/>
          <w:szCs w:val="20"/>
        </w:rPr>
        <w:t>-Popovic (n. 1</w:t>
      </w:r>
      <w:r>
        <w:rPr>
          <w:rFonts w:ascii="Times New Roman" w:hAnsi="Times New Roman"/>
          <w:sz w:val="20"/>
          <w:szCs w:val="20"/>
        </w:rPr>
        <w:t>15</w:t>
      </w:r>
      <w:r w:rsidRPr="009B3959">
        <w:rPr>
          <w:rFonts w:ascii="Times New Roman" w:hAnsi="Times New Roman"/>
          <w:sz w:val="20"/>
          <w:szCs w:val="20"/>
        </w:rPr>
        <w:t>), at 22.</w:t>
      </w:r>
    </w:p>
  </w:footnote>
  <w:footnote w:id="129">
    <w:p w14:paraId="6A176E9A" w14:textId="7F3B07C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Dinstein</w:t>
      </w:r>
      <w:proofErr w:type="spellEnd"/>
      <w:r w:rsidRPr="009B3959">
        <w:rPr>
          <w:rFonts w:ascii="Times New Roman" w:hAnsi="Times New Roman"/>
          <w:sz w:val="20"/>
          <w:szCs w:val="20"/>
        </w:rPr>
        <w:t xml:space="preserve"> (2014) (n. 12), at 33-34, para. 102.</w:t>
      </w:r>
    </w:p>
  </w:footnote>
  <w:footnote w:id="130">
    <w:p w14:paraId="54EC6647" w14:textId="337975C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Akande (n. 13), at 53; and Lieblich (n. 1</w:t>
      </w:r>
      <w:r>
        <w:rPr>
          <w:rFonts w:ascii="Times New Roman" w:hAnsi="Times New Roman"/>
          <w:sz w:val="20"/>
          <w:szCs w:val="20"/>
        </w:rPr>
        <w:t>14</w:t>
      </w:r>
      <w:r w:rsidRPr="009B3959">
        <w:rPr>
          <w:rFonts w:ascii="Times New Roman" w:hAnsi="Times New Roman"/>
          <w:sz w:val="20"/>
          <w:szCs w:val="20"/>
        </w:rPr>
        <w:t>), at 49. See also Sivakumaran (2012) (n. 12), at 169.</w:t>
      </w:r>
    </w:p>
  </w:footnote>
  <w:footnote w:id="131">
    <w:p w14:paraId="575D285B" w14:textId="55A9424A"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Compare La Haye (n. 12), at 12-13 (stressing the concerted nature of the acts).</w:t>
      </w:r>
    </w:p>
  </w:footnote>
  <w:footnote w:id="132">
    <w:p w14:paraId="74991781" w14:textId="596104A5"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w:t>
      </w:r>
      <w:proofErr w:type="spellStart"/>
      <w:r w:rsidRPr="009B3959">
        <w:rPr>
          <w:rFonts w:ascii="Times New Roman" w:hAnsi="Times New Roman"/>
          <w:sz w:val="20"/>
          <w:szCs w:val="20"/>
        </w:rPr>
        <w:t>Pejić</w:t>
      </w:r>
      <w:proofErr w:type="spellEnd"/>
      <w:r w:rsidRPr="009B3959">
        <w:rPr>
          <w:rFonts w:ascii="Times New Roman" w:hAnsi="Times New Roman"/>
          <w:sz w:val="20"/>
          <w:szCs w:val="20"/>
        </w:rPr>
        <w:t xml:space="preserve"> (2011) (n. 13), at 3-4.</w:t>
      </w:r>
    </w:p>
  </w:footnote>
  <w:footnote w:id="133">
    <w:p w14:paraId="4FD5E182" w14:textId="79FC2021"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w:t>
      </w:r>
      <w:proofErr w:type="spellStart"/>
      <w:r w:rsidRPr="009B3959">
        <w:rPr>
          <w:rFonts w:ascii="Times New Roman" w:hAnsi="Times New Roman"/>
          <w:sz w:val="20"/>
          <w:szCs w:val="20"/>
        </w:rPr>
        <w:t>Rodiles</w:t>
      </w:r>
      <w:proofErr w:type="spellEnd"/>
      <w:r w:rsidRPr="009B3959">
        <w:rPr>
          <w:rFonts w:ascii="Times New Roman" w:hAnsi="Times New Roman"/>
          <w:sz w:val="20"/>
          <w:szCs w:val="20"/>
        </w:rPr>
        <w:t xml:space="preserve"> (n. 3</w:t>
      </w:r>
      <w:r>
        <w:rPr>
          <w:rFonts w:ascii="Times New Roman" w:hAnsi="Times New Roman"/>
          <w:sz w:val="20"/>
          <w:szCs w:val="20"/>
        </w:rPr>
        <w:t>2</w:t>
      </w:r>
      <w:r w:rsidRPr="009B3959">
        <w:rPr>
          <w:rFonts w:ascii="Times New Roman" w:hAnsi="Times New Roman"/>
          <w:sz w:val="20"/>
          <w:szCs w:val="20"/>
        </w:rPr>
        <w:t>), at 277.</w:t>
      </w:r>
    </w:p>
  </w:footnote>
  <w:footnote w:id="134">
    <w:p w14:paraId="5F5705F4" w14:textId="12758C8D" w:rsidR="004F2CB8" w:rsidRPr="00535223" w:rsidRDefault="004F2CB8" w:rsidP="00066403">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535223">
        <w:rPr>
          <w:rFonts w:ascii="Times New Roman" w:hAnsi="Times New Roman"/>
          <w:sz w:val="20"/>
          <w:szCs w:val="20"/>
          <w:lang w:val="en-US"/>
        </w:rPr>
        <w:t xml:space="preserve"> CJEU, </w:t>
      </w:r>
      <w:r w:rsidRPr="00535223">
        <w:rPr>
          <w:rFonts w:ascii="Times New Roman" w:hAnsi="Times New Roman"/>
          <w:i/>
          <w:iCs/>
          <w:sz w:val="20"/>
          <w:szCs w:val="20"/>
          <w:lang w:val="en-US"/>
        </w:rPr>
        <w:t xml:space="preserve">Diakité </w:t>
      </w:r>
      <w:r w:rsidRPr="00535223">
        <w:rPr>
          <w:rFonts w:ascii="Times New Roman" w:hAnsi="Times New Roman"/>
          <w:sz w:val="20"/>
          <w:szCs w:val="20"/>
          <w:lang w:val="en-US"/>
        </w:rPr>
        <w:t>(n. 35).</w:t>
      </w:r>
    </w:p>
  </w:footnote>
  <w:footnote w:id="135">
    <w:p w14:paraId="6FF387E1" w14:textId="3D0D5A9A"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Ibid, </w:t>
      </w:r>
      <w:r w:rsidRPr="009B3959">
        <w:rPr>
          <w:rFonts w:ascii="Times New Roman" w:hAnsi="Times New Roman"/>
          <w:sz w:val="20"/>
          <w:szCs w:val="20"/>
          <w:lang w:val="en-US"/>
        </w:rPr>
        <w:t xml:space="preserve">paras 34 and 35. See also opinion of Advocate General </w:t>
      </w:r>
      <w:proofErr w:type="spellStart"/>
      <w:r w:rsidRPr="009B3959">
        <w:rPr>
          <w:rFonts w:ascii="Times New Roman" w:hAnsi="Times New Roman"/>
          <w:sz w:val="20"/>
          <w:szCs w:val="20"/>
          <w:lang w:val="en-US"/>
        </w:rPr>
        <w:t>Mengozzi</w:t>
      </w:r>
      <w:proofErr w:type="spellEnd"/>
      <w:r w:rsidRPr="009B3959">
        <w:rPr>
          <w:rFonts w:ascii="Times New Roman" w:hAnsi="Times New Roman"/>
          <w:sz w:val="20"/>
          <w:szCs w:val="20"/>
          <w:lang w:val="en-US"/>
        </w:rPr>
        <w:t>, paras 71, 77, 91-92 and 97.</w:t>
      </w:r>
    </w:p>
  </w:footnote>
  <w:footnote w:id="136">
    <w:p w14:paraId="6CB0AEDB" w14:textId="54DCFE50" w:rsidR="004F2CB8" w:rsidRPr="009B3959" w:rsidRDefault="004F2CB8" w:rsidP="00066403">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w:t>
      </w:r>
      <w:r w:rsidRPr="009B3959">
        <w:rPr>
          <w:rFonts w:ascii="Times New Roman" w:hAnsi="Times New Roman"/>
          <w:sz w:val="20"/>
          <w:szCs w:val="20"/>
        </w:rPr>
        <w:t xml:space="preserve">According to this approach, emphasis was placed on intensity of violence, including that even of unilateral nature, insofar as </w:t>
      </w:r>
      <w:proofErr w:type="gramStart"/>
      <w:r w:rsidRPr="009B3959">
        <w:rPr>
          <w:rFonts w:ascii="Times New Roman" w:hAnsi="Times New Roman"/>
          <w:sz w:val="20"/>
          <w:szCs w:val="20"/>
        </w:rPr>
        <w:t>this poses</w:t>
      </w:r>
      <w:proofErr w:type="gramEnd"/>
      <w:r w:rsidRPr="009B3959">
        <w:rPr>
          <w:rFonts w:ascii="Times New Roman" w:hAnsi="Times New Roman"/>
          <w:sz w:val="20"/>
          <w:szCs w:val="20"/>
        </w:rPr>
        <w:t xml:space="preserve"> ‘real risk’ to asylum seekers in accordance with the jurisprudence of Article 3 ECHR. The result of this approach is to make of little consequence both the minimum level of organization and protracted duration of armed violence. For an assessment of this case under IHL, see C. </w:t>
      </w:r>
      <w:proofErr w:type="spellStart"/>
      <w:r w:rsidRPr="009B3959">
        <w:rPr>
          <w:rFonts w:ascii="Times New Roman" w:hAnsi="Times New Roman"/>
          <w:sz w:val="20"/>
          <w:szCs w:val="20"/>
        </w:rPr>
        <w:t>Bauloz</w:t>
      </w:r>
      <w:proofErr w:type="spellEnd"/>
      <w:r w:rsidRPr="009B3959">
        <w:rPr>
          <w:rFonts w:ascii="Times New Roman" w:hAnsi="Times New Roman"/>
          <w:sz w:val="20"/>
          <w:szCs w:val="20"/>
        </w:rPr>
        <w:t xml:space="preserve">, ‘The Definition of Internal Armed Conflict in Asylum Law – The 2014 </w:t>
      </w:r>
      <w:r w:rsidRPr="009B3959">
        <w:rPr>
          <w:rFonts w:ascii="Times New Roman" w:hAnsi="Times New Roman"/>
          <w:i/>
          <w:iCs/>
          <w:sz w:val="20"/>
          <w:szCs w:val="20"/>
          <w:lang w:val="en-US"/>
        </w:rPr>
        <w:t xml:space="preserve">Diakité </w:t>
      </w:r>
      <w:r w:rsidRPr="009B3959">
        <w:rPr>
          <w:rFonts w:ascii="Times New Roman" w:hAnsi="Times New Roman"/>
          <w:sz w:val="20"/>
          <w:szCs w:val="20"/>
        </w:rPr>
        <w:t>Judgment of the EU Court of Justice’, (2014) 12 JICJ 835 at 839-840.</w:t>
      </w:r>
    </w:p>
  </w:footnote>
  <w:footnote w:id="137">
    <w:p w14:paraId="033B6D20" w14:textId="6411BF72"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ICTY, </w:t>
      </w:r>
      <w:proofErr w:type="spellStart"/>
      <w:r w:rsidRPr="009B3959">
        <w:rPr>
          <w:rFonts w:ascii="Times New Roman" w:hAnsi="Times New Roman"/>
          <w:i/>
          <w:iCs/>
          <w:sz w:val="20"/>
          <w:szCs w:val="20"/>
          <w:lang w:val="en-US"/>
        </w:rPr>
        <w:t>Tadić</w:t>
      </w:r>
      <w:proofErr w:type="spellEnd"/>
      <w:r w:rsidRPr="009B3959">
        <w:rPr>
          <w:rFonts w:ascii="Times New Roman" w:hAnsi="Times New Roman"/>
          <w:i/>
          <w:iCs/>
          <w:sz w:val="20"/>
          <w:szCs w:val="20"/>
          <w:lang w:val="en-US"/>
        </w:rPr>
        <w:t xml:space="preserve"> </w:t>
      </w:r>
      <w:r w:rsidRPr="009B3959">
        <w:rPr>
          <w:rFonts w:ascii="Times New Roman" w:hAnsi="Times New Roman"/>
          <w:sz w:val="20"/>
          <w:szCs w:val="20"/>
          <w:lang w:val="en-US"/>
        </w:rPr>
        <w:t xml:space="preserve">Appeals Judgment (n. </w:t>
      </w:r>
      <w:r>
        <w:rPr>
          <w:rFonts w:ascii="Times New Roman" w:hAnsi="Times New Roman"/>
          <w:sz w:val="20"/>
          <w:szCs w:val="20"/>
          <w:lang w:val="en-US"/>
        </w:rPr>
        <w:t>74</w:t>
      </w:r>
      <w:r w:rsidRPr="009B3959">
        <w:rPr>
          <w:rFonts w:ascii="Times New Roman" w:hAnsi="Times New Roman"/>
          <w:sz w:val="20"/>
          <w:szCs w:val="20"/>
          <w:lang w:val="en-US"/>
        </w:rPr>
        <w:t xml:space="preserve">), paras 120, 122-123, 128, 131, 141, 145, 146, 154-157, 162. </w:t>
      </w:r>
      <w:r w:rsidRPr="009B3959">
        <w:rPr>
          <w:rFonts w:ascii="Times New Roman" w:hAnsi="Times New Roman"/>
          <w:sz w:val="20"/>
          <w:szCs w:val="20"/>
        </w:rPr>
        <w:t xml:space="preserve">See also </w:t>
      </w:r>
      <w:r w:rsidRPr="009B3959">
        <w:rPr>
          <w:rFonts w:ascii="Times New Roman" w:hAnsi="Times New Roman"/>
          <w:i/>
          <w:iCs/>
          <w:sz w:val="20"/>
          <w:szCs w:val="20"/>
        </w:rPr>
        <w:t>Lubanga</w:t>
      </w:r>
      <w:r w:rsidRPr="009B3959">
        <w:rPr>
          <w:rFonts w:ascii="Times New Roman" w:hAnsi="Times New Roman"/>
          <w:sz w:val="20"/>
          <w:szCs w:val="20"/>
        </w:rPr>
        <w:t xml:space="preserve"> </w:t>
      </w:r>
      <w:r>
        <w:rPr>
          <w:rFonts w:ascii="Times New Roman" w:hAnsi="Times New Roman"/>
          <w:sz w:val="20"/>
          <w:szCs w:val="20"/>
        </w:rPr>
        <w:t xml:space="preserve">Trial </w:t>
      </w:r>
      <w:r w:rsidRPr="009B3959">
        <w:rPr>
          <w:rFonts w:ascii="Times New Roman" w:hAnsi="Times New Roman"/>
          <w:sz w:val="20"/>
          <w:szCs w:val="20"/>
        </w:rPr>
        <w:t xml:space="preserve">Judgment pursuant to Article 74 (n. </w:t>
      </w:r>
      <w:r>
        <w:rPr>
          <w:rFonts w:ascii="Times New Roman" w:hAnsi="Times New Roman"/>
          <w:sz w:val="20"/>
          <w:szCs w:val="20"/>
        </w:rPr>
        <w:t>27</w:t>
      </w:r>
      <w:r w:rsidRPr="009B3959">
        <w:rPr>
          <w:rFonts w:ascii="Times New Roman" w:hAnsi="Times New Roman"/>
          <w:sz w:val="20"/>
          <w:szCs w:val="20"/>
        </w:rPr>
        <w:t>), para. 541.</w:t>
      </w:r>
    </w:p>
  </w:footnote>
  <w:footnote w:id="138">
    <w:p w14:paraId="385934D8" w14:textId="7E08C212"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ICRC’s revised Commentary to GC III (2020), para. 512; </w:t>
      </w:r>
      <w:proofErr w:type="spellStart"/>
      <w:r w:rsidRPr="009B3959">
        <w:rPr>
          <w:rFonts w:ascii="Times New Roman" w:hAnsi="Times New Roman"/>
          <w:sz w:val="20"/>
          <w:szCs w:val="20"/>
        </w:rPr>
        <w:t>Kleffner</w:t>
      </w:r>
      <w:proofErr w:type="spellEnd"/>
      <w:r w:rsidRPr="009B3959">
        <w:rPr>
          <w:rFonts w:ascii="Times New Roman" w:hAnsi="Times New Roman"/>
          <w:sz w:val="20"/>
          <w:szCs w:val="20"/>
        </w:rPr>
        <w:t xml:space="preserve"> (2019) (n. </w:t>
      </w:r>
      <w:r>
        <w:rPr>
          <w:rFonts w:ascii="Times New Roman" w:hAnsi="Times New Roman"/>
          <w:sz w:val="20"/>
          <w:szCs w:val="20"/>
        </w:rPr>
        <w:t>29</w:t>
      </w:r>
      <w:r w:rsidRPr="009B3959">
        <w:rPr>
          <w:rFonts w:ascii="Times New Roman" w:hAnsi="Times New Roman"/>
          <w:sz w:val="20"/>
          <w:szCs w:val="20"/>
        </w:rPr>
        <w:t xml:space="preserve">), at 177. </w:t>
      </w:r>
    </w:p>
  </w:footnote>
  <w:footnote w:id="139">
    <w:p w14:paraId="7CD5ABE0" w14:textId="30FD9B31"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In situations of aggregate violence fomented by several armed groups that engage State armed forces (and at times with some fighting between themselves) as in Syria, doctrines are divided over how to evaluate the legal character of hostilities under way. One approach holds that the condition of organization (and that of intensity) should be tested with respect to </w:t>
      </w:r>
      <w:r w:rsidRPr="009B3959">
        <w:rPr>
          <w:rFonts w:ascii="Times New Roman" w:hAnsi="Times New Roman"/>
          <w:i/>
          <w:iCs/>
          <w:sz w:val="20"/>
          <w:szCs w:val="20"/>
        </w:rPr>
        <w:t>each</w:t>
      </w:r>
      <w:r w:rsidRPr="009B3959">
        <w:rPr>
          <w:rFonts w:ascii="Times New Roman" w:hAnsi="Times New Roman"/>
          <w:sz w:val="20"/>
          <w:szCs w:val="20"/>
        </w:rPr>
        <w:t xml:space="preserve"> of the group, so that </w:t>
      </w:r>
      <w:r w:rsidRPr="009B3959">
        <w:rPr>
          <w:rFonts w:ascii="Times New Roman" w:hAnsi="Times New Roman"/>
          <w:i/>
          <w:iCs/>
          <w:sz w:val="20"/>
          <w:szCs w:val="20"/>
        </w:rPr>
        <w:t>each</w:t>
      </w:r>
      <w:r w:rsidRPr="009B3959">
        <w:rPr>
          <w:rFonts w:ascii="Times New Roman" w:hAnsi="Times New Roman"/>
          <w:sz w:val="20"/>
          <w:szCs w:val="20"/>
        </w:rPr>
        <w:t xml:space="preserve"> should be considered a party to several separate NIACs. The other view suggests that the collective of those groups as a whole should be treated as a single party to a NIAC, and that the overall evaluation of the requirement of organization of the groups would absolve each group of fulfilling this requirement. See Bartels (2016) (n. 13), at 63. For proponents of the first view, see, for instance, L. </w:t>
      </w:r>
      <w:r w:rsidRPr="00066403">
        <w:rPr>
          <w:rFonts w:ascii="Times New Roman" w:hAnsi="Times New Roman"/>
          <w:sz w:val="20"/>
          <w:szCs w:val="20"/>
        </w:rPr>
        <w:t xml:space="preserve">Moir, ‘The Concept of Non-International Armed Conflict’ in:  A. Clapham, P. Gaeta and M. </w:t>
      </w:r>
      <w:proofErr w:type="spellStart"/>
      <w:r w:rsidRPr="00066403">
        <w:rPr>
          <w:rFonts w:ascii="Times New Roman" w:hAnsi="Times New Roman"/>
          <w:sz w:val="20"/>
          <w:szCs w:val="20"/>
        </w:rPr>
        <w:t>Sassoli</w:t>
      </w:r>
      <w:proofErr w:type="spellEnd"/>
      <w:r w:rsidRPr="00066403">
        <w:rPr>
          <w:rFonts w:ascii="Times New Roman" w:hAnsi="Times New Roman"/>
          <w:sz w:val="20"/>
          <w:szCs w:val="20"/>
        </w:rPr>
        <w:t xml:space="preserve"> (eds), </w:t>
      </w:r>
      <w:r w:rsidRPr="00066403">
        <w:rPr>
          <w:rFonts w:ascii="Times New Roman" w:hAnsi="Times New Roman"/>
          <w:i/>
          <w:iCs/>
          <w:sz w:val="20"/>
          <w:szCs w:val="20"/>
        </w:rPr>
        <w:t xml:space="preserve">The Geneva Conventions of 1949:  A Commentary, </w:t>
      </w:r>
      <w:r w:rsidRPr="00066403">
        <w:rPr>
          <w:rFonts w:ascii="Times New Roman" w:hAnsi="Times New Roman"/>
          <w:sz w:val="20"/>
          <w:szCs w:val="20"/>
        </w:rPr>
        <w:t>(</w:t>
      </w:r>
      <w:r w:rsidRPr="009B3959">
        <w:rPr>
          <w:rFonts w:ascii="Times New Roman" w:hAnsi="Times New Roman"/>
          <w:sz w:val="20"/>
          <w:szCs w:val="20"/>
        </w:rPr>
        <w:t>Oxford University Press</w:t>
      </w:r>
      <w:r w:rsidRPr="00066403">
        <w:rPr>
          <w:rFonts w:ascii="Times New Roman" w:hAnsi="Times New Roman"/>
          <w:sz w:val="20"/>
          <w:szCs w:val="20"/>
        </w:rPr>
        <w:t>, 2015), at 406, para. 39</w:t>
      </w:r>
      <w:r w:rsidRPr="009B3959">
        <w:rPr>
          <w:rFonts w:ascii="Times New Roman" w:hAnsi="Times New Roman"/>
          <w:sz w:val="20"/>
          <w:szCs w:val="20"/>
        </w:rPr>
        <w:t xml:space="preserve">; A. </w:t>
      </w:r>
      <w:proofErr w:type="spellStart"/>
      <w:r w:rsidRPr="009B3959">
        <w:rPr>
          <w:rFonts w:ascii="Times New Roman" w:hAnsi="Times New Roman"/>
          <w:sz w:val="20"/>
          <w:szCs w:val="20"/>
        </w:rPr>
        <w:t>Bellal</w:t>
      </w:r>
      <w:proofErr w:type="spellEnd"/>
      <w:r w:rsidRPr="009B3959">
        <w:rPr>
          <w:rFonts w:ascii="Times New Roman" w:hAnsi="Times New Roman"/>
          <w:sz w:val="20"/>
          <w:szCs w:val="20"/>
        </w:rPr>
        <w:t xml:space="preserve"> (ed.), </w:t>
      </w:r>
      <w:r w:rsidRPr="009B3959">
        <w:rPr>
          <w:rFonts w:ascii="Times New Roman" w:hAnsi="Times New Roman"/>
          <w:i/>
          <w:iCs/>
          <w:sz w:val="20"/>
          <w:szCs w:val="20"/>
        </w:rPr>
        <w:t>War Report – Armed Conflicts in 2018</w:t>
      </w:r>
      <w:r w:rsidRPr="009B3959">
        <w:rPr>
          <w:rFonts w:ascii="Times New Roman" w:hAnsi="Times New Roman"/>
          <w:sz w:val="20"/>
          <w:szCs w:val="20"/>
        </w:rPr>
        <w:t>, (Geneva Academy of International Humanitarian Law and Human Rights, 2018),</w:t>
      </w:r>
    </w:p>
  </w:footnote>
  <w:footnote w:id="140">
    <w:p w14:paraId="17ED413C" w14:textId="310A398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Style w:val="a5"/>
          <w:rFonts w:ascii="Times New Roman" w:hAnsi="Times New Roman"/>
          <w:sz w:val="20"/>
          <w:szCs w:val="20"/>
        </w:rPr>
        <w:t xml:space="preserve"> </w:t>
      </w:r>
      <w:r w:rsidRPr="009B3959">
        <w:rPr>
          <w:rFonts w:ascii="Times New Roman" w:hAnsi="Times New Roman"/>
          <w:sz w:val="20"/>
          <w:szCs w:val="20"/>
        </w:rPr>
        <w:t xml:space="preserve">Sivakumaran (2012) (n. 12), at 227; T. Ferraro,’ The ICRC’s Legal Position on the Notion of Armed Conflict Involving Foreign Intervention and on Determining the IHL Applicable to This Type of Conflict’ (2015) 97 </w:t>
      </w:r>
      <w:r w:rsidRPr="009B3959">
        <w:rPr>
          <w:rFonts w:ascii="Times New Roman" w:hAnsi="Times New Roman"/>
          <w:i/>
          <w:iCs/>
          <w:sz w:val="20"/>
          <w:szCs w:val="20"/>
        </w:rPr>
        <w:t>International Review of the Red Cross</w:t>
      </w:r>
      <w:r w:rsidRPr="009B3959">
        <w:rPr>
          <w:rFonts w:ascii="Times New Roman" w:hAnsi="Times New Roman"/>
          <w:sz w:val="20"/>
          <w:szCs w:val="20"/>
        </w:rPr>
        <w:t xml:space="preserve"> 1227, at 1249-1250. See also ICRC, </w:t>
      </w:r>
      <w:proofErr w:type="spellStart"/>
      <w:r w:rsidRPr="009B3959">
        <w:rPr>
          <w:rFonts w:ascii="Times New Roman" w:hAnsi="Times New Roman"/>
          <w:i/>
          <w:iCs/>
          <w:sz w:val="20"/>
          <w:szCs w:val="20"/>
        </w:rPr>
        <w:t>Pictet’s</w:t>
      </w:r>
      <w:proofErr w:type="spellEnd"/>
      <w:r w:rsidRPr="009B3959">
        <w:rPr>
          <w:rFonts w:ascii="Times New Roman" w:hAnsi="Times New Roman"/>
          <w:i/>
          <w:iCs/>
          <w:sz w:val="20"/>
          <w:szCs w:val="20"/>
        </w:rPr>
        <w:t xml:space="preserve"> Commentary to Geneva Convention III, </w:t>
      </w:r>
      <w:r w:rsidRPr="009B3959">
        <w:rPr>
          <w:rFonts w:ascii="Times New Roman" w:hAnsi="Times New Roman"/>
          <w:sz w:val="20"/>
          <w:szCs w:val="20"/>
        </w:rPr>
        <w:t>at p. 57.</w:t>
      </w:r>
    </w:p>
  </w:footnote>
  <w:footnote w:id="141">
    <w:p w14:paraId="03EC51B9" w14:textId="1AAA6F1A" w:rsidR="004F2CB8" w:rsidRPr="009B3959" w:rsidRDefault="004F2CB8" w:rsidP="009B3959">
      <w:pPr>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Appeals Judgment (n. </w:t>
      </w:r>
      <w:r>
        <w:rPr>
          <w:rFonts w:ascii="Times New Roman" w:hAnsi="Times New Roman"/>
          <w:sz w:val="20"/>
          <w:szCs w:val="20"/>
        </w:rPr>
        <w:t>74</w:t>
      </w:r>
      <w:r w:rsidRPr="009B3959">
        <w:rPr>
          <w:rFonts w:ascii="Times New Roman" w:hAnsi="Times New Roman"/>
          <w:sz w:val="20"/>
          <w:szCs w:val="20"/>
        </w:rPr>
        <w:t xml:space="preserve">), paras 94-96. For the doctrine, </w:t>
      </w:r>
      <w:proofErr w:type="spellStart"/>
      <w:r w:rsidRPr="009B3959">
        <w:rPr>
          <w:rFonts w:ascii="Times New Roman" w:hAnsi="Times New Roman"/>
          <w:sz w:val="20"/>
          <w:szCs w:val="20"/>
        </w:rPr>
        <w:t>Pejić</w:t>
      </w:r>
      <w:proofErr w:type="spellEnd"/>
      <w:r w:rsidRPr="009B3959">
        <w:rPr>
          <w:rFonts w:ascii="Times New Roman" w:hAnsi="Times New Roman"/>
          <w:sz w:val="20"/>
          <w:szCs w:val="20"/>
        </w:rPr>
        <w:t xml:space="preserve"> (2007) (n. 11), at 90 and 92; and Ferraro, </w:t>
      </w:r>
      <w:r w:rsidRPr="009B3959">
        <w:rPr>
          <w:rFonts w:ascii="Times New Roman" w:hAnsi="Times New Roman"/>
          <w:i/>
          <w:iCs/>
          <w:sz w:val="20"/>
          <w:szCs w:val="20"/>
        </w:rPr>
        <w:t>ibid</w:t>
      </w:r>
      <w:r w:rsidRPr="009B3959">
        <w:rPr>
          <w:rFonts w:ascii="Times New Roman" w:hAnsi="Times New Roman"/>
          <w:sz w:val="20"/>
          <w:szCs w:val="20"/>
        </w:rPr>
        <w:t>., at 1250.</w:t>
      </w:r>
    </w:p>
  </w:footnote>
  <w:footnote w:id="142">
    <w:p w14:paraId="1C07DF28" w14:textId="7C71840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Okimoto</w:t>
      </w:r>
      <w:proofErr w:type="spellEnd"/>
      <w:r w:rsidRPr="009B3959">
        <w:rPr>
          <w:rFonts w:ascii="Times New Roman" w:hAnsi="Times New Roman"/>
          <w:sz w:val="20"/>
          <w:szCs w:val="20"/>
        </w:rPr>
        <w:t xml:space="preserve"> (n. 8</w:t>
      </w:r>
      <w:r>
        <w:rPr>
          <w:rFonts w:ascii="Times New Roman" w:hAnsi="Times New Roman"/>
          <w:sz w:val="20"/>
          <w:szCs w:val="20"/>
        </w:rPr>
        <w:t>3</w:t>
      </w:r>
      <w:r w:rsidRPr="009B3959">
        <w:rPr>
          <w:rFonts w:ascii="Times New Roman" w:hAnsi="Times New Roman"/>
          <w:sz w:val="20"/>
          <w:szCs w:val="20"/>
        </w:rPr>
        <w:t>), at 48-49. However, the converse of this causal chain is not always the case. The threshold for the requirement of ‘belonging to a Party to the conflict’ under Article 4</w:t>
      </w:r>
      <w:proofErr w:type="gramStart"/>
      <w:r w:rsidRPr="009B3959">
        <w:rPr>
          <w:rFonts w:ascii="Times New Roman" w:hAnsi="Times New Roman"/>
          <w:sz w:val="20"/>
          <w:szCs w:val="20"/>
        </w:rPr>
        <w:t>A(</w:t>
      </w:r>
      <w:proofErr w:type="gramEnd"/>
      <w:r w:rsidRPr="009B3959">
        <w:rPr>
          <w:rFonts w:ascii="Times New Roman" w:hAnsi="Times New Roman"/>
          <w:sz w:val="20"/>
          <w:szCs w:val="20"/>
        </w:rPr>
        <w:t>2) of the Geneva Convention III is lower than the degree of control entailed by the notion ‘overall control’.</w:t>
      </w:r>
    </w:p>
  </w:footnote>
  <w:footnote w:id="143">
    <w:p w14:paraId="515BA697" w14:textId="598BDF00"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(2016) (n. 13) at 60-61.</w:t>
      </w:r>
    </w:p>
  </w:footnote>
  <w:footnote w:id="144">
    <w:p w14:paraId="39B958FC" w14:textId="11522EE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ICTY, </w:t>
      </w:r>
      <w:proofErr w:type="spellStart"/>
      <w:proofErr w:type="gramStart"/>
      <w:r w:rsidRPr="009B3959">
        <w:rPr>
          <w:rFonts w:ascii="Times New Roman" w:hAnsi="Times New Roman"/>
          <w:i/>
          <w:iCs/>
          <w:sz w:val="20"/>
          <w:szCs w:val="20"/>
        </w:rPr>
        <w:t>Tadić,</w:t>
      </w:r>
      <w:r>
        <w:rPr>
          <w:rFonts w:ascii="Times New Roman" w:hAnsi="Times New Roman"/>
          <w:sz w:val="20"/>
          <w:szCs w:val="20"/>
        </w:rPr>
        <w:t>Trial</w:t>
      </w:r>
      <w:proofErr w:type="spellEnd"/>
      <w:proofErr w:type="gramEnd"/>
      <w:r>
        <w:rPr>
          <w:rFonts w:ascii="Times New Roman" w:hAnsi="Times New Roman"/>
          <w:sz w:val="20"/>
          <w:szCs w:val="20"/>
        </w:rPr>
        <w:t xml:space="preserve"> </w:t>
      </w:r>
      <w:r w:rsidRPr="009B3959">
        <w:rPr>
          <w:rFonts w:ascii="Times New Roman" w:hAnsi="Times New Roman"/>
          <w:sz w:val="20"/>
          <w:szCs w:val="20"/>
        </w:rPr>
        <w:t xml:space="preserve">Judgment </w:t>
      </w:r>
      <w:r>
        <w:rPr>
          <w:rFonts w:ascii="Times New Roman" w:hAnsi="Times New Roman"/>
          <w:sz w:val="20"/>
          <w:szCs w:val="20"/>
        </w:rPr>
        <w:t xml:space="preserve">(n. 12), </w:t>
      </w:r>
      <w:r w:rsidRPr="009B3959">
        <w:rPr>
          <w:rFonts w:ascii="Times New Roman" w:hAnsi="Times New Roman"/>
          <w:sz w:val="20"/>
          <w:szCs w:val="20"/>
        </w:rPr>
        <w:t>paras 584-608.</w:t>
      </w:r>
    </w:p>
  </w:footnote>
  <w:footnote w:id="145">
    <w:p w14:paraId="6A59DC4B" w14:textId="3A3D428C" w:rsidR="004F2CB8" w:rsidRPr="009B3959" w:rsidRDefault="004F2CB8" w:rsidP="009B3959">
      <w:pPr>
        <w:pStyle w:val="a3"/>
        <w:jc w:val="both"/>
        <w:rPr>
          <w:rFonts w:ascii="Times New Roman" w:hAnsi="Times New Roman"/>
          <w:i/>
          <w:iCs/>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w:t>
      </w:r>
      <w:r w:rsidRPr="009B3959">
        <w:rPr>
          <w:rFonts w:ascii="Times New Roman" w:hAnsi="Times New Roman"/>
          <w:i/>
          <w:iCs/>
          <w:sz w:val="20"/>
          <w:szCs w:val="20"/>
        </w:rPr>
        <w:t xml:space="preserve">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Appeals Judgment (n. </w:t>
      </w:r>
      <w:r>
        <w:rPr>
          <w:rFonts w:ascii="Times New Roman" w:hAnsi="Times New Roman"/>
          <w:sz w:val="20"/>
          <w:szCs w:val="20"/>
        </w:rPr>
        <w:t>74</w:t>
      </w:r>
      <w:r w:rsidRPr="009B3959">
        <w:rPr>
          <w:rFonts w:ascii="Times New Roman" w:hAnsi="Times New Roman"/>
          <w:sz w:val="20"/>
          <w:szCs w:val="20"/>
        </w:rPr>
        <w:t xml:space="preserve">), para. 145. See also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Trial Judgment, </w:t>
      </w:r>
      <w:proofErr w:type="gramStart"/>
      <w:r w:rsidRPr="009B3959">
        <w:rPr>
          <w:rFonts w:ascii="Times New Roman" w:hAnsi="Times New Roman"/>
          <w:sz w:val="20"/>
          <w:szCs w:val="20"/>
        </w:rPr>
        <w:t>ibid.,,</w:t>
      </w:r>
      <w:proofErr w:type="gramEnd"/>
      <w:r w:rsidRPr="009B3959">
        <w:rPr>
          <w:rFonts w:ascii="Times New Roman" w:hAnsi="Times New Roman"/>
          <w:sz w:val="20"/>
          <w:szCs w:val="20"/>
        </w:rPr>
        <w:t xml:space="preserve"> para. 564.</w:t>
      </w:r>
    </w:p>
  </w:footnote>
  <w:footnote w:id="146">
    <w:p w14:paraId="65FC07E2" w14:textId="5B2EC40F"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Appeals Judgment (n. </w:t>
      </w:r>
      <w:r>
        <w:rPr>
          <w:rFonts w:ascii="Times New Roman" w:hAnsi="Times New Roman"/>
          <w:sz w:val="20"/>
          <w:szCs w:val="20"/>
        </w:rPr>
        <w:t>74</w:t>
      </w:r>
      <w:r w:rsidRPr="009B3959">
        <w:rPr>
          <w:rFonts w:ascii="Times New Roman" w:hAnsi="Times New Roman"/>
          <w:sz w:val="20"/>
          <w:szCs w:val="20"/>
        </w:rPr>
        <w:t xml:space="preserve">), para. 120. See also </w:t>
      </w:r>
      <w:r w:rsidRPr="009B3959">
        <w:rPr>
          <w:rFonts w:ascii="Times New Roman" w:hAnsi="Times New Roman"/>
          <w:i/>
          <w:iCs/>
          <w:sz w:val="20"/>
          <w:szCs w:val="20"/>
        </w:rPr>
        <w:t>ibid</w:t>
      </w:r>
      <w:r w:rsidRPr="009B3959">
        <w:rPr>
          <w:rFonts w:ascii="Times New Roman" w:hAnsi="Times New Roman"/>
          <w:sz w:val="20"/>
          <w:szCs w:val="20"/>
        </w:rPr>
        <w:t>., paras 124, 127, 130, 132-137, and 146.</w:t>
      </w:r>
    </w:p>
  </w:footnote>
  <w:footnote w:id="147">
    <w:p w14:paraId="42A0F32F" w14:textId="4EB61C0B"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See also C. Byron, ‘Armed Conflict:  International or Non-International?’, (2001) 6 </w:t>
      </w:r>
      <w:r w:rsidRPr="009B3959">
        <w:rPr>
          <w:rFonts w:ascii="Times New Roman" w:hAnsi="Times New Roman"/>
          <w:i/>
          <w:iCs/>
          <w:sz w:val="20"/>
          <w:szCs w:val="20"/>
        </w:rPr>
        <w:t xml:space="preserve">Journal of Conflict and Security Law </w:t>
      </w:r>
      <w:r w:rsidRPr="009B3959">
        <w:rPr>
          <w:rFonts w:ascii="Times New Roman" w:hAnsi="Times New Roman"/>
          <w:sz w:val="20"/>
          <w:szCs w:val="20"/>
        </w:rPr>
        <w:t>63 at 76.</w:t>
      </w:r>
    </w:p>
  </w:footnote>
  <w:footnote w:id="148">
    <w:p w14:paraId="1066A00B" w14:textId="31596AA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066403">
        <w:rPr>
          <w:rFonts w:ascii="Times New Roman" w:hAnsi="Times New Roman"/>
          <w:sz w:val="20"/>
          <w:szCs w:val="20"/>
        </w:rPr>
        <w:t xml:space="preserve">The test of ‘overall control’ is considered sufficient to internationalise the ongoing NIAC:  </w:t>
      </w:r>
      <w:r w:rsidRPr="009B3959">
        <w:rPr>
          <w:rFonts w:ascii="Times New Roman" w:hAnsi="Times New Roman"/>
          <w:sz w:val="20"/>
          <w:szCs w:val="20"/>
        </w:rPr>
        <w:t xml:space="preserve">ICJ, </w:t>
      </w:r>
      <w:r w:rsidRPr="009B3959">
        <w:rPr>
          <w:rFonts w:ascii="Times New Roman" w:hAnsi="Times New Roman"/>
          <w:i/>
          <w:iCs/>
          <w:sz w:val="20"/>
          <w:szCs w:val="20"/>
        </w:rPr>
        <w:t xml:space="preserve">Application of the Convention on the Prevention and Punishment of the Crime of Genocide (Bosnia and Herzegovina v. Serbia and Montenegro), </w:t>
      </w:r>
      <w:r w:rsidRPr="009B3959">
        <w:rPr>
          <w:rFonts w:ascii="Times New Roman" w:hAnsi="Times New Roman"/>
          <w:sz w:val="20"/>
          <w:szCs w:val="20"/>
        </w:rPr>
        <w:t xml:space="preserve">Judgment, 27 February 2007, para. 404. This stance is supported by some authors. See, for instance, Del Mar (n. </w:t>
      </w:r>
      <w:r>
        <w:rPr>
          <w:rFonts w:ascii="Times New Roman" w:hAnsi="Times New Roman"/>
          <w:sz w:val="20"/>
          <w:szCs w:val="20"/>
        </w:rPr>
        <w:t>84</w:t>
      </w:r>
      <w:r w:rsidRPr="009B3959">
        <w:rPr>
          <w:rFonts w:ascii="Times New Roman" w:hAnsi="Times New Roman"/>
          <w:sz w:val="20"/>
          <w:szCs w:val="20"/>
        </w:rPr>
        <w:t>), at 116.</w:t>
      </w:r>
    </w:p>
  </w:footnote>
  <w:footnote w:id="149">
    <w:p w14:paraId="18AC7616" w14:textId="2C244D11"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Del Mar (n. </w:t>
      </w:r>
      <w:r>
        <w:rPr>
          <w:rFonts w:ascii="Times New Roman" w:hAnsi="Times New Roman"/>
          <w:sz w:val="20"/>
          <w:szCs w:val="20"/>
        </w:rPr>
        <w:t>84</w:t>
      </w:r>
      <w:r w:rsidRPr="009B3959">
        <w:rPr>
          <w:rFonts w:ascii="Times New Roman" w:hAnsi="Times New Roman"/>
          <w:sz w:val="20"/>
          <w:szCs w:val="20"/>
        </w:rPr>
        <w:t>), at 108 and 115-117.</w:t>
      </w:r>
    </w:p>
  </w:footnote>
  <w:footnote w:id="150">
    <w:p w14:paraId="4040FC80" w14:textId="557AD378"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ICTY,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Appeals Judgment (n. </w:t>
      </w:r>
      <w:r>
        <w:rPr>
          <w:rFonts w:ascii="Times New Roman" w:hAnsi="Times New Roman"/>
          <w:sz w:val="20"/>
          <w:szCs w:val="20"/>
        </w:rPr>
        <w:t>74</w:t>
      </w:r>
      <w:r w:rsidRPr="009B3959">
        <w:rPr>
          <w:rFonts w:ascii="Times New Roman" w:hAnsi="Times New Roman"/>
          <w:sz w:val="20"/>
          <w:szCs w:val="20"/>
        </w:rPr>
        <w:t>).</w:t>
      </w:r>
    </w:p>
  </w:footnote>
  <w:footnote w:id="151">
    <w:p w14:paraId="7B995FA5" w14:textId="397C2916"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Del Mar (n. </w:t>
      </w:r>
      <w:r>
        <w:rPr>
          <w:rFonts w:ascii="Times New Roman" w:hAnsi="Times New Roman"/>
          <w:sz w:val="20"/>
          <w:szCs w:val="20"/>
        </w:rPr>
        <w:t>84</w:t>
      </w:r>
      <w:r w:rsidRPr="009B3959">
        <w:rPr>
          <w:rFonts w:ascii="Times New Roman" w:hAnsi="Times New Roman"/>
          <w:sz w:val="20"/>
          <w:szCs w:val="20"/>
        </w:rPr>
        <w:t xml:space="preserve">), at 116-117; </w:t>
      </w:r>
      <w:proofErr w:type="spellStart"/>
      <w:r w:rsidRPr="009B3959">
        <w:rPr>
          <w:rFonts w:ascii="Times New Roman" w:hAnsi="Times New Roman"/>
          <w:sz w:val="20"/>
          <w:szCs w:val="20"/>
        </w:rPr>
        <w:t>Okimoto</w:t>
      </w:r>
      <w:proofErr w:type="spellEnd"/>
      <w:r w:rsidRPr="009B3959">
        <w:rPr>
          <w:rFonts w:ascii="Times New Roman" w:hAnsi="Times New Roman"/>
          <w:sz w:val="20"/>
          <w:szCs w:val="20"/>
        </w:rPr>
        <w:t xml:space="preserve"> (n. </w:t>
      </w:r>
      <w:r>
        <w:rPr>
          <w:rFonts w:ascii="Times New Roman" w:hAnsi="Times New Roman"/>
          <w:sz w:val="20"/>
          <w:szCs w:val="20"/>
        </w:rPr>
        <w:t>83</w:t>
      </w:r>
      <w:r w:rsidRPr="009B3959">
        <w:rPr>
          <w:rFonts w:ascii="Times New Roman" w:hAnsi="Times New Roman"/>
          <w:sz w:val="20"/>
          <w:szCs w:val="20"/>
        </w:rPr>
        <w:t>), at 49 and 51; Bartels (2016) (n. 13), at 61</w:t>
      </w:r>
      <w:r w:rsidRPr="009B3959">
        <w:rPr>
          <w:rFonts w:ascii="Times New Roman" w:hAnsi="Times New Roman"/>
          <w:kern w:val="0"/>
          <w:sz w:val="20"/>
          <w:szCs w:val="20"/>
        </w:rPr>
        <w:t>.</w:t>
      </w:r>
      <w:r w:rsidRPr="009B3959">
        <w:rPr>
          <w:rFonts w:ascii="Times New Roman" w:hAnsi="Times New Roman"/>
          <w:sz w:val="20"/>
          <w:szCs w:val="20"/>
        </w:rPr>
        <w:t xml:space="preserve"> Compare, however, ICRC’s revised Commentary to GC III (2020), para. 443; </w:t>
      </w:r>
      <w:r w:rsidRPr="009B3959">
        <w:rPr>
          <w:rFonts w:ascii="Times New Roman" w:hAnsi="Times New Roman"/>
          <w:kern w:val="0"/>
          <w:sz w:val="20"/>
          <w:szCs w:val="20"/>
        </w:rPr>
        <w:t xml:space="preserve">Jorritsma (n. </w:t>
      </w:r>
      <w:r>
        <w:rPr>
          <w:rFonts w:ascii="Times New Roman" w:hAnsi="Times New Roman"/>
          <w:kern w:val="0"/>
          <w:sz w:val="20"/>
          <w:szCs w:val="20"/>
        </w:rPr>
        <w:t>75</w:t>
      </w:r>
      <w:r w:rsidRPr="009B3959">
        <w:rPr>
          <w:rFonts w:ascii="Times New Roman" w:hAnsi="Times New Roman"/>
          <w:kern w:val="0"/>
          <w:sz w:val="20"/>
          <w:szCs w:val="20"/>
        </w:rPr>
        <w:t xml:space="preserve">), </w:t>
      </w:r>
      <w:r w:rsidRPr="009B3959">
        <w:rPr>
          <w:rFonts w:ascii="Times New Roman" w:hAnsi="Times New Roman"/>
          <w:sz w:val="20"/>
          <w:szCs w:val="20"/>
        </w:rPr>
        <w:t xml:space="preserve">at 410, 429 and 431. Compare </w:t>
      </w:r>
      <w:r w:rsidRPr="009B3959">
        <w:rPr>
          <w:rFonts w:ascii="Times New Roman" w:hAnsi="Times New Roman"/>
          <w:sz w:val="20"/>
          <w:szCs w:val="20"/>
          <w:u w:val="single"/>
        </w:rPr>
        <w:t xml:space="preserve">David (n. </w:t>
      </w:r>
      <w:r>
        <w:rPr>
          <w:rFonts w:ascii="Times New Roman" w:hAnsi="Times New Roman"/>
          <w:sz w:val="20"/>
          <w:szCs w:val="20"/>
          <w:u w:val="single"/>
        </w:rPr>
        <w:t>77</w:t>
      </w:r>
      <w:r w:rsidRPr="009B3959">
        <w:rPr>
          <w:rFonts w:ascii="Times New Roman" w:hAnsi="Times New Roman"/>
          <w:sz w:val="20"/>
          <w:szCs w:val="20"/>
          <w:u w:val="single"/>
        </w:rPr>
        <w:t>) para. 2.293.</w:t>
      </w:r>
      <w:r w:rsidRPr="009B3959">
        <w:rPr>
          <w:rFonts w:ascii="Times New Roman" w:hAnsi="Times New Roman"/>
          <w:kern w:val="0"/>
          <w:sz w:val="20"/>
          <w:szCs w:val="20"/>
        </w:rPr>
        <w:t xml:space="preserve"> See also ICTY,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kern w:val="0"/>
          <w:sz w:val="20"/>
          <w:szCs w:val="20"/>
        </w:rPr>
        <w:t xml:space="preserve">Trial Judgment (n. 12), para. 585. </w:t>
      </w:r>
    </w:p>
  </w:footnote>
  <w:footnote w:id="152">
    <w:p w14:paraId="0B3B3869" w14:textId="07AD41F2"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Compare </w:t>
      </w:r>
      <w:proofErr w:type="spellStart"/>
      <w:r w:rsidRPr="009B3959">
        <w:rPr>
          <w:rFonts w:ascii="Times New Roman" w:hAnsi="Times New Roman"/>
          <w:sz w:val="20"/>
          <w:szCs w:val="20"/>
          <w:lang w:val="en-US"/>
        </w:rPr>
        <w:t>Geiß</w:t>
      </w:r>
      <w:proofErr w:type="spellEnd"/>
      <w:r w:rsidRPr="009B3959">
        <w:rPr>
          <w:rFonts w:ascii="Times New Roman" w:hAnsi="Times New Roman"/>
          <w:sz w:val="20"/>
          <w:szCs w:val="20"/>
          <w:lang w:val="en-US"/>
        </w:rPr>
        <w:t xml:space="preserve"> (n. 15), at 138 (suggesting a renewed assessment of the conditions for NIAC for spillover violence that crosses the border into the territory of an adjacent State). Here, it should be assumed that common Article 3 GCs (and its customary law equivalent) applies to NIACs of cross-border type:  ICRC’s revised Commentary to GC III (2020), paras 504-506.</w:t>
      </w:r>
    </w:p>
  </w:footnote>
  <w:footnote w:id="153">
    <w:p w14:paraId="2C527163" w14:textId="7154D54D" w:rsidR="004F2CB8" w:rsidRPr="009B3959" w:rsidRDefault="004F2CB8" w:rsidP="009B3959">
      <w:pPr>
        <w:pStyle w:val="a3"/>
        <w:tabs>
          <w:tab w:val="left" w:pos="3261"/>
        </w:tabs>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i/>
          <w:iCs/>
          <w:sz w:val="20"/>
          <w:szCs w:val="20"/>
        </w:rPr>
        <w:t xml:space="preserve">ICRC’s Commentary to the Geneva Convention I </w:t>
      </w:r>
      <w:r w:rsidRPr="009B3959">
        <w:rPr>
          <w:rFonts w:ascii="Times New Roman" w:hAnsi="Times New Roman"/>
          <w:sz w:val="20"/>
          <w:szCs w:val="20"/>
        </w:rPr>
        <w:t>(2016), para. 243. See also its detailed rationales to defend this position:  ibid., paras 236-242.</w:t>
      </w:r>
    </w:p>
  </w:footnote>
  <w:footnote w:id="154">
    <w:p w14:paraId="41CAA685" w14:textId="1C557631"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Bartels (20</w:t>
      </w:r>
      <w:r w:rsidRPr="009B3959">
        <w:rPr>
          <w:rFonts w:ascii="Times New Roman" w:hAnsi="Times New Roman"/>
          <w:sz w:val="20"/>
          <w:szCs w:val="20"/>
        </w:rPr>
        <w:t>16</w:t>
      </w:r>
      <w:r w:rsidRPr="00066403">
        <w:rPr>
          <w:rFonts w:ascii="Times New Roman" w:hAnsi="Times New Roman"/>
          <w:sz w:val="20"/>
          <w:szCs w:val="20"/>
        </w:rPr>
        <w:t xml:space="preserve">) (n. </w:t>
      </w:r>
      <w:r w:rsidRPr="009B3959">
        <w:rPr>
          <w:rFonts w:ascii="Times New Roman" w:hAnsi="Times New Roman"/>
          <w:sz w:val="20"/>
          <w:szCs w:val="20"/>
        </w:rPr>
        <w:t>13</w:t>
      </w:r>
      <w:r w:rsidRPr="00066403">
        <w:rPr>
          <w:rFonts w:ascii="Times New Roman" w:hAnsi="Times New Roman"/>
          <w:sz w:val="20"/>
          <w:szCs w:val="20"/>
        </w:rPr>
        <w:t>) at 60-61.</w:t>
      </w:r>
    </w:p>
  </w:footnote>
  <w:footnote w:id="155">
    <w:p w14:paraId="127D9591" w14:textId="768BE478"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For a pairing thesis/approach, see Sivakumaran (2012) (n. 12), at 223-224.</w:t>
      </w:r>
    </w:p>
  </w:footnote>
  <w:footnote w:id="156">
    <w:p w14:paraId="5480A014" w14:textId="0F2A841C"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066403">
        <w:rPr>
          <w:rFonts w:ascii="Times New Roman" w:hAnsi="Times New Roman"/>
          <w:bCs/>
          <w:sz w:val="20"/>
          <w:szCs w:val="20"/>
        </w:rPr>
        <w:t>Again, this is based on the assumption that at the time when such evaluations are done, an armed group that has been under ‘overall control of a foreign State be seen as an independent force within the meaning of Article 4A(2) of the Third Geneva Convention, and that there has been no concurrent military intervention by that State.</w:t>
      </w:r>
    </w:p>
  </w:footnote>
  <w:footnote w:id="157">
    <w:p w14:paraId="10C7609E" w14:textId="1CC7A04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bCs/>
          <w:sz w:val="20"/>
          <w:szCs w:val="20"/>
        </w:rPr>
        <w:t xml:space="preserve">Here, one assumes that within the State’s territory, there is no other armed group operating independently or in alliance with the armed group concerned. Hence, there is no holding the continuation of a NIAC </w:t>
      </w:r>
      <w:proofErr w:type="gramStart"/>
      <w:r w:rsidRPr="009B3959">
        <w:rPr>
          <w:rFonts w:ascii="Times New Roman" w:hAnsi="Times New Roman"/>
          <w:bCs/>
          <w:sz w:val="20"/>
          <w:szCs w:val="20"/>
        </w:rPr>
        <w:t>on the basis of</w:t>
      </w:r>
      <w:proofErr w:type="gramEnd"/>
      <w:r w:rsidRPr="009B3959">
        <w:rPr>
          <w:rFonts w:ascii="Times New Roman" w:hAnsi="Times New Roman"/>
          <w:bCs/>
          <w:sz w:val="20"/>
          <w:szCs w:val="20"/>
        </w:rPr>
        <w:t xml:space="preserve"> </w:t>
      </w:r>
      <w:r w:rsidRPr="009B3959">
        <w:rPr>
          <w:rFonts w:ascii="Times New Roman" w:hAnsi="Times New Roman"/>
          <w:sz w:val="20"/>
          <w:szCs w:val="20"/>
        </w:rPr>
        <w:t>the cumulative (rather than bilateral) evaluation of instances of violence</w:t>
      </w:r>
      <w:r w:rsidRPr="009B3959">
        <w:rPr>
          <w:rFonts w:ascii="Times New Roman" w:hAnsi="Times New Roman"/>
          <w:bCs/>
          <w:sz w:val="20"/>
          <w:szCs w:val="20"/>
        </w:rPr>
        <w:t xml:space="preserve">. </w:t>
      </w:r>
      <w:r w:rsidRPr="009B3959">
        <w:rPr>
          <w:rFonts w:ascii="Times New Roman" w:hAnsi="Times New Roman"/>
          <w:sz w:val="20"/>
          <w:szCs w:val="20"/>
        </w:rPr>
        <w:t xml:space="preserve">Compare </w:t>
      </w:r>
      <w:proofErr w:type="spellStart"/>
      <w:r w:rsidRPr="009B3959">
        <w:rPr>
          <w:rFonts w:ascii="Times New Roman" w:hAnsi="Times New Roman"/>
          <w:sz w:val="20"/>
          <w:szCs w:val="20"/>
        </w:rPr>
        <w:t>Kleffner</w:t>
      </w:r>
      <w:proofErr w:type="spellEnd"/>
      <w:r w:rsidRPr="009B3959">
        <w:rPr>
          <w:rFonts w:ascii="Times New Roman" w:hAnsi="Times New Roman"/>
          <w:sz w:val="20"/>
          <w:szCs w:val="20"/>
        </w:rPr>
        <w:t xml:space="preserve">, (2019) (n. </w:t>
      </w:r>
      <w:r>
        <w:rPr>
          <w:rFonts w:ascii="Times New Roman" w:hAnsi="Times New Roman"/>
          <w:sz w:val="20"/>
          <w:szCs w:val="20"/>
        </w:rPr>
        <w:t>29</w:t>
      </w:r>
      <w:r w:rsidRPr="009B3959">
        <w:rPr>
          <w:rFonts w:ascii="Times New Roman" w:hAnsi="Times New Roman"/>
          <w:sz w:val="20"/>
          <w:szCs w:val="20"/>
        </w:rPr>
        <w:t>), at 175-177.</w:t>
      </w:r>
    </w:p>
  </w:footnote>
  <w:footnote w:id="158">
    <w:p w14:paraId="1D32DC8A" w14:textId="2EEC64A3"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For the discussion along this line, see Bartels (2014) (n. </w:t>
      </w:r>
      <w:r>
        <w:rPr>
          <w:rFonts w:ascii="Times New Roman" w:hAnsi="Times New Roman"/>
          <w:sz w:val="20"/>
          <w:szCs w:val="20"/>
        </w:rPr>
        <w:t>43</w:t>
      </w:r>
      <w:r w:rsidRPr="009B3959">
        <w:rPr>
          <w:rFonts w:ascii="Times New Roman" w:hAnsi="Times New Roman"/>
          <w:sz w:val="20"/>
          <w:szCs w:val="20"/>
        </w:rPr>
        <w:t>), at 302-303 and 309-311.</w:t>
      </w:r>
    </w:p>
  </w:footnote>
  <w:footnote w:id="159">
    <w:p w14:paraId="32CC33AD" w14:textId="57ACB7B8" w:rsidR="004F2CB8" w:rsidRPr="009B3959" w:rsidRDefault="004F2CB8" w:rsidP="00066403">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Compare ICTY, Trial Chamber, </w:t>
      </w:r>
      <w:r w:rsidRPr="00066403">
        <w:rPr>
          <w:rFonts w:ascii="Times New Roman" w:hAnsi="Times New Roman"/>
          <w:i/>
          <w:iCs/>
          <w:sz w:val="20"/>
          <w:szCs w:val="20"/>
          <w:lang w:val="en-US"/>
        </w:rPr>
        <w:t xml:space="preserve">Prosecutor v. Gotovina, </w:t>
      </w:r>
      <w:r w:rsidRPr="009B3959">
        <w:rPr>
          <w:rFonts w:ascii="Times New Roman" w:hAnsi="Times New Roman"/>
          <w:sz w:val="20"/>
          <w:szCs w:val="20"/>
          <w:lang w:val="en-US"/>
        </w:rPr>
        <w:t xml:space="preserve">Judgment, 15 April 2011, </w:t>
      </w:r>
      <w:r w:rsidRPr="00066403">
        <w:rPr>
          <w:rFonts w:ascii="Times New Roman" w:hAnsi="Times New Roman"/>
          <w:sz w:val="20"/>
          <w:szCs w:val="20"/>
        </w:rPr>
        <w:t xml:space="preserve">IT-06-90-T, </w:t>
      </w:r>
      <w:r w:rsidRPr="009B3959">
        <w:rPr>
          <w:rFonts w:ascii="Times New Roman" w:hAnsi="Times New Roman"/>
          <w:sz w:val="20"/>
          <w:szCs w:val="20"/>
          <w:lang w:val="en-US"/>
        </w:rPr>
        <w:t>para. 1694; ICRC’s revised Commentary to GC III (2020) para. 519.</w:t>
      </w:r>
    </w:p>
  </w:footnote>
  <w:footnote w:id="160">
    <w:p w14:paraId="6B09D29A" w14:textId="32D8486E"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Bartels (201</w:t>
      </w:r>
      <w:r w:rsidRPr="009B3959">
        <w:rPr>
          <w:rFonts w:ascii="Times New Roman" w:hAnsi="Times New Roman"/>
          <w:sz w:val="20"/>
          <w:szCs w:val="20"/>
        </w:rPr>
        <w:t>4</w:t>
      </w:r>
      <w:r w:rsidRPr="00066403">
        <w:rPr>
          <w:rFonts w:ascii="Times New Roman" w:hAnsi="Times New Roman"/>
          <w:sz w:val="20"/>
          <w:szCs w:val="20"/>
        </w:rPr>
        <w:t>) (n.</w:t>
      </w:r>
      <w:r w:rsidRPr="009B3959">
        <w:rPr>
          <w:rFonts w:ascii="Times New Roman" w:hAnsi="Times New Roman"/>
          <w:sz w:val="20"/>
          <w:szCs w:val="20"/>
        </w:rPr>
        <w:t xml:space="preserve"> </w:t>
      </w:r>
      <w:r>
        <w:rPr>
          <w:rFonts w:ascii="Times New Roman" w:hAnsi="Times New Roman"/>
          <w:sz w:val="20"/>
          <w:szCs w:val="20"/>
        </w:rPr>
        <w:t>43</w:t>
      </w:r>
      <w:r w:rsidRPr="00066403">
        <w:rPr>
          <w:rFonts w:ascii="Times New Roman" w:hAnsi="Times New Roman"/>
          <w:sz w:val="20"/>
          <w:szCs w:val="20"/>
        </w:rPr>
        <w:t>), at 310.</w:t>
      </w:r>
    </w:p>
  </w:footnote>
  <w:footnote w:id="161">
    <w:p w14:paraId="0B5738C1" w14:textId="36AAE04E" w:rsidR="004F2CB8" w:rsidRPr="009B3959" w:rsidRDefault="004F2CB8" w:rsidP="009B3959">
      <w:pPr>
        <w:widowControl/>
        <w:shd w:val="clear" w:color="auto" w:fill="FFFFFF"/>
        <w:rPr>
          <w:rFonts w:ascii="Times New Roman" w:eastAsia="ＭＳ Ｐゴシック" w:hAnsi="Times New Roman"/>
          <w:color w:val="555555"/>
          <w:kern w:val="0"/>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rPr>
        <w:t xml:space="preserve"> I</w:t>
      </w:r>
      <w:r w:rsidRPr="00066403">
        <w:rPr>
          <w:rFonts w:ascii="Times New Roman" w:hAnsi="Times New Roman"/>
          <w:bCs/>
          <w:sz w:val="20"/>
          <w:szCs w:val="20"/>
        </w:rPr>
        <w:t xml:space="preserve">t may be argued that in the concluding phase of a NIAC, such a sliding-scale approach facilitates a smoother transition from the IHL paradigm of conduct of hostilities to the law enforcement paradigm:  </w:t>
      </w:r>
      <w:r w:rsidRPr="009B3959">
        <w:rPr>
          <w:rFonts w:ascii="Times New Roman" w:hAnsi="Times New Roman"/>
          <w:sz w:val="20"/>
          <w:szCs w:val="20"/>
        </w:rPr>
        <w:t xml:space="preserve">Bartels (2014), </w:t>
      </w:r>
      <w:r w:rsidRPr="009B3959">
        <w:rPr>
          <w:rFonts w:ascii="Times New Roman" w:hAnsi="Times New Roman"/>
          <w:i/>
          <w:iCs/>
          <w:sz w:val="20"/>
          <w:szCs w:val="20"/>
        </w:rPr>
        <w:t>ibid</w:t>
      </w:r>
      <w:r w:rsidRPr="009B3959">
        <w:rPr>
          <w:rFonts w:ascii="Times New Roman" w:hAnsi="Times New Roman"/>
          <w:sz w:val="20"/>
          <w:szCs w:val="20"/>
        </w:rPr>
        <w:t xml:space="preserve">., at 310. Compare M. Milanovic, ‘End of Application of International Humanitarian Law’, (2014) 96 (No. 893) IRRC 163 at 180 (proposing the end point at which either of the two requirements for the NIAC has factually eroded); J. </w:t>
      </w:r>
      <w:proofErr w:type="spellStart"/>
      <w:r w:rsidRPr="009B3959">
        <w:rPr>
          <w:rFonts w:ascii="Times New Roman" w:hAnsi="Times New Roman"/>
          <w:sz w:val="20"/>
          <w:szCs w:val="20"/>
        </w:rPr>
        <w:t>Grignon</w:t>
      </w:r>
      <w:proofErr w:type="spellEnd"/>
      <w:r w:rsidRPr="009B3959">
        <w:rPr>
          <w:rFonts w:ascii="Times New Roman" w:hAnsi="Times New Roman"/>
          <w:sz w:val="20"/>
          <w:szCs w:val="20"/>
        </w:rPr>
        <w:t xml:space="preserve">, </w:t>
      </w:r>
      <w:proofErr w:type="spellStart"/>
      <w:r w:rsidRPr="009B3959">
        <w:rPr>
          <w:rFonts w:ascii="Times New Roman" w:eastAsia="ＭＳ Ｐゴシック" w:hAnsi="Times New Roman"/>
          <w:i/>
          <w:iCs/>
          <w:color w:val="555555"/>
          <w:kern w:val="0"/>
          <w:sz w:val="20"/>
          <w:szCs w:val="20"/>
          <w:lang w:val="en-US"/>
        </w:rPr>
        <w:t>L’applicabilité</w:t>
      </w:r>
      <w:proofErr w:type="spellEnd"/>
      <w:r w:rsidRPr="009B3959">
        <w:rPr>
          <w:rFonts w:ascii="Times New Roman" w:eastAsia="ＭＳ Ｐゴシック" w:hAnsi="Times New Roman"/>
          <w:i/>
          <w:iCs/>
          <w:color w:val="555555"/>
          <w:kern w:val="0"/>
          <w:sz w:val="20"/>
          <w:szCs w:val="20"/>
          <w:lang w:val="en-US"/>
        </w:rPr>
        <w:t xml:space="preserve"> </w:t>
      </w:r>
      <w:proofErr w:type="spellStart"/>
      <w:r w:rsidRPr="009B3959">
        <w:rPr>
          <w:rFonts w:ascii="Times New Roman" w:eastAsia="ＭＳ Ｐゴシック" w:hAnsi="Times New Roman"/>
          <w:i/>
          <w:iCs/>
          <w:color w:val="555555"/>
          <w:kern w:val="0"/>
          <w:sz w:val="20"/>
          <w:szCs w:val="20"/>
          <w:lang w:val="en-US"/>
        </w:rPr>
        <w:t>temporelle</w:t>
      </w:r>
      <w:proofErr w:type="spellEnd"/>
      <w:r w:rsidRPr="009B3959">
        <w:rPr>
          <w:rFonts w:ascii="Times New Roman" w:eastAsia="ＭＳ Ｐゴシック" w:hAnsi="Times New Roman"/>
          <w:i/>
          <w:iCs/>
          <w:color w:val="555555"/>
          <w:kern w:val="0"/>
          <w:sz w:val="20"/>
          <w:szCs w:val="20"/>
          <w:lang w:val="en-US"/>
        </w:rPr>
        <w:t xml:space="preserve"> du droit international </w:t>
      </w:r>
      <w:proofErr w:type="spellStart"/>
      <w:r w:rsidRPr="009B3959">
        <w:rPr>
          <w:rFonts w:ascii="Times New Roman" w:eastAsia="ＭＳ Ｐゴシック" w:hAnsi="Times New Roman"/>
          <w:i/>
          <w:iCs/>
          <w:color w:val="555555"/>
          <w:kern w:val="0"/>
          <w:sz w:val="20"/>
          <w:szCs w:val="20"/>
          <w:lang w:val="en-US"/>
        </w:rPr>
        <w:t>humanitaire</w:t>
      </w:r>
      <w:proofErr w:type="spellEnd"/>
      <w:r w:rsidRPr="009B3959">
        <w:rPr>
          <w:rFonts w:ascii="Times New Roman" w:eastAsia="ＭＳ Ｐゴシック" w:hAnsi="Times New Roman"/>
          <w:color w:val="555555"/>
          <w:kern w:val="0"/>
          <w:sz w:val="20"/>
          <w:szCs w:val="20"/>
          <w:lang w:val="en-US"/>
        </w:rPr>
        <w:t xml:space="preserve">, (Geneva:  </w:t>
      </w:r>
      <w:proofErr w:type="spellStart"/>
      <w:r w:rsidRPr="009B3959">
        <w:rPr>
          <w:rFonts w:ascii="Times New Roman" w:eastAsia="ＭＳ Ｐゴシック" w:hAnsi="Times New Roman"/>
          <w:color w:val="555555"/>
          <w:kern w:val="0"/>
          <w:sz w:val="20"/>
          <w:szCs w:val="20"/>
          <w:lang w:val="en-US"/>
        </w:rPr>
        <w:t>Schulthess</w:t>
      </w:r>
      <w:proofErr w:type="spellEnd"/>
      <w:r w:rsidRPr="009B3959">
        <w:rPr>
          <w:rFonts w:ascii="Times New Roman" w:eastAsia="ＭＳ Ｐゴシック" w:hAnsi="Times New Roman"/>
          <w:color w:val="555555"/>
          <w:kern w:val="0"/>
          <w:sz w:val="20"/>
          <w:szCs w:val="20"/>
          <w:lang w:val="en-US"/>
        </w:rPr>
        <w:t xml:space="preserve">, 2014), </w:t>
      </w:r>
      <w:r w:rsidRPr="009B3959">
        <w:rPr>
          <w:rFonts w:ascii="Times New Roman" w:hAnsi="Times New Roman"/>
          <w:sz w:val="20"/>
          <w:szCs w:val="20"/>
        </w:rPr>
        <w:t>at 271-275 (suggesting that the general end of military operations should be the demarcation point for ending a NIAC and IAC).</w:t>
      </w:r>
    </w:p>
  </w:footnote>
  <w:footnote w:id="162">
    <w:p w14:paraId="58456C9E" w14:textId="6F6DA801" w:rsidR="004F2CB8" w:rsidRPr="009B3959" w:rsidRDefault="004F2CB8" w:rsidP="009B3959">
      <w:pPr>
        <w:pStyle w:val="a3"/>
        <w:jc w:val="both"/>
        <w:rPr>
          <w:rFonts w:ascii="Times New Roman" w:hAnsi="Times New Roman"/>
          <w:sz w:val="20"/>
          <w:szCs w:val="20"/>
          <w:lang w:val="en-US"/>
        </w:rPr>
      </w:pPr>
      <w:r w:rsidRPr="009B3959">
        <w:rPr>
          <w:rStyle w:val="a5"/>
          <w:rFonts w:ascii="Times New Roman" w:hAnsi="Times New Roman"/>
          <w:sz w:val="20"/>
          <w:szCs w:val="20"/>
        </w:rPr>
        <w:footnoteRef/>
      </w:r>
      <w:r w:rsidRPr="009B3959">
        <w:rPr>
          <w:rFonts w:ascii="Times New Roman" w:hAnsi="Times New Roman"/>
          <w:sz w:val="20"/>
          <w:szCs w:val="20"/>
          <w:lang w:val="en-US"/>
        </w:rPr>
        <w:t xml:space="preserve"> </w:t>
      </w:r>
      <w:proofErr w:type="spellStart"/>
      <w:r w:rsidRPr="009B3959">
        <w:rPr>
          <w:rFonts w:ascii="Times New Roman" w:hAnsi="Times New Roman"/>
          <w:sz w:val="20"/>
          <w:szCs w:val="20"/>
          <w:lang w:val="en-US"/>
        </w:rPr>
        <w:t>Dinstein</w:t>
      </w:r>
      <w:proofErr w:type="spellEnd"/>
      <w:r w:rsidRPr="009B3959">
        <w:rPr>
          <w:rFonts w:ascii="Times New Roman" w:hAnsi="Times New Roman"/>
          <w:sz w:val="20"/>
          <w:szCs w:val="20"/>
          <w:lang w:val="en-US"/>
        </w:rPr>
        <w:t xml:space="preserve"> (2014) (n. 12), at 48, para. 153; </w:t>
      </w:r>
      <w:r w:rsidRPr="00066403">
        <w:rPr>
          <w:rFonts w:ascii="Times New Roman" w:hAnsi="Times New Roman"/>
          <w:sz w:val="20"/>
          <w:szCs w:val="20"/>
          <w:lang w:val="en-US"/>
        </w:rPr>
        <w:t>ICRC’s revised Commentary to GC III (2020) para. 526.</w:t>
      </w:r>
    </w:p>
  </w:footnote>
  <w:footnote w:id="163">
    <w:p w14:paraId="7E86C68D" w14:textId="639B83A2"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See, ICTY, </w:t>
      </w:r>
      <w:r w:rsidRPr="00066403">
        <w:rPr>
          <w:rFonts w:ascii="Times New Roman" w:hAnsi="Times New Roman"/>
          <w:i/>
          <w:iCs/>
          <w:sz w:val="20"/>
          <w:szCs w:val="20"/>
        </w:rPr>
        <w:t>Gotovina</w:t>
      </w:r>
      <w:r>
        <w:rPr>
          <w:rFonts w:ascii="Times New Roman" w:hAnsi="Times New Roman"/>
          <w:sz w:val="20"/>
          <w:szCs w:val="20"/>
        </w:rPr>
        <w:t xml:space="preserve"> </w:t>
      </w:r>
      <w:r w:rsidRPr="009B3959">
        <w:rPr>
          <w:rFonts w:ascii="Times New Roman" w:hAnsi="Times New Roman"/>
          <w:sz w:val="20"/>
          <w:szCs w:val="20"/>
        </w:rPr>
        <w:t>Trial Judgment</w:t>
      </w:r>
      <w:r>
        <w:rPr>
          <w:rFonts w:ascii="Times New Roman" w:hAnsi="Times New Roman"/>
          <w:sz w:val="20"/>
          <w:szCs w:val="20"/>
        </w:rPr>
        <w:t xml:space="preserve"> (n. 158),</w:t>
      </w:r>
      <w:r w:rsidRPr="009B3959">
        <w:rPr>
          <w:rFonts w:ascii="Times New Roman" w:hAnsi="Times New Roman"/>
          <w:sz w:val="20"/>
          <w:szCs w:val="20"/>
        </w:rPr>
        <w:t xml:space="preserve"> para. 1694; and </w:t>
      </w:r>
      <w:r w:rsidRPr="00066403">
        <w:rPr>
          <w:rFonts w:ascii="Times New Roman" w:hAnsi="Times New Roman"/>
          <w:sz w:val="20"/>
          <w:szCs w:val="20"/>
        </w:rPr>
        <w:t>ICRC’s revised Commentary to GC III (2020), paras 523 and 528-530.</w:t>
      </w:r>
    </w:p>
  </w:footnote>
  <w:footnote w:id="164">
    <w:p w14:paraId="7A0BA6D2" w14:textId="285E7416"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bCs/>
          <w:sz w:val="20"/>
          <w:szCs w:val="20"/>
        </w:rPr>
        <w:t xml:space="preserve">This is the case despite some cautious hedging expressed in the case-law and in the doctrine. It might be proposed that one exception to this be recognized where an armed group retains control over a portion of the State’s territory. </w:t>
      </w:r>
      <w:r w:rsidRPr="009B3959">
        <w:rPr>
          <w:rFonts w:ascii="Times New Roman" w:hAnsi="Times New Roman"/>
          <w:sz w:val="20"/>
          <w:szCs w:val="20"/>
        </w:rPr>
        <w:t xml:space="preserve">For such a suggestion, see ICTY, Appeals Chamber, </w:t>
      </w:r>
      <w:r w:rsidRPr="009B3959">
        <w:rPr>
          <w:rFonts w:ascii="Times New Roman" w:hAnsi="Times New Roman"/>
          <w:i/>
          <w:iCs/>
          <w:sz w:val="20"/>
          <w:szCs w:val="20"/>
        </w:rPr>
        <w:t xml:space="preserve">Prosecutor v. </w:t>
      </w:r>
      <w:proofErr w:type="spellStart"/>
      <w:r w:rsidRPr="009B3959">
        <w:rPr>
          <w:rFonts w:ascii="Times New Roman" w:hAnsi="Times New Roman"/>
          <w:i/>
          <w:iCs/>
          <w:sz w:val="20"/>
          <w:szCs w:val="20"/>
        </w:rPr>
        <w:t>Kunarać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 xml:space="preserve">IT-96-23&amp; IT-96-23/1-A, Judgment, 12 June 2002, para. 57; Lieblich (n. </w:t>
      </w:r>
      <w:r>
        <w:rPr>
          <w:rFonts w:ascii="Times New Roman" w:hAnsi="Times New Roman"/>
          <w:sz w:val="20"/>
          <w:szCs w:val="20"/>
        </w:rPr>
        <w:t>114</w:t>
      </w:r>
      <w:r w:rsidRPr="009B3959">
        <w:rPr>
          <w:rFonts w:ascii="Times New Roman" w:hAnsi="Times New Roman"/>
          <w:sz w:val="20"/>
          <w:szCs w:val="20"/>
        </w:rPr>
        <w:t>), at 49.</w:t>
      </w:r>
    </w:p>
  </w:footnote>
  <w:footnote w:id="165">
    <w:p w14:paraId="00567AD6" w14:textId="4BDCFBD7"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r w:rsidRPr="009B3959">
        <w:rPr>
          <w:rFonts w:ascii="Times New Roman" w:hAnsi="Times New Roman"/>
          <w:sz w:val="20"/>
          <w:szCs w:val="20"/>
        </w:rPr>
        <w:t xml:space="preserve">Some IHL rules continue to apply even after the cessation of active hostilities. See, for instance, AP II, Articles 2(1), 5 and 6; Conventional Weapons Convention, Second Protocol II, Articles 9(2) &amp; 10(1); Conventional Weapons Convention Fifth Protocol, Fifth Protocol, Article 4(2). On this matter, see D.A. Lewis, G. Blum, N.K. </w:t>
      </w:r>
      <w:proofErr w:type="spellStart"/>
      <w:r w:rsidRPr="009B3959">
        <w:rPr>
          <w:rFonts w:ascii="Times New Roman" w:hAnsi="Times New Roman"/>
          <w:sz w:val="20"/>
          <w:szCs w:val="20"/>
        </w:rPr>
        <w:t>Modirzadeh</w:t>
      </w:r>
      <w:proofErr w:type="spellEnd"/>
      <w:r w:rsidRPr="009B3959">
        <w:rPr>
          <w:rFonts w:ascii="Times New Roman" w:hAnsi="Times New Roman"/>
          <w:sz w:val="20"/>
          <w:szCs w:val="20"/>
        </w:rPr>
        <w:t xml:space="preserve">, Harvard Law School Program on International Law and Armed Conflict (hereinafter Harvard, PILAC), </w:t>
      </w:r>
      <w:r w:rsidRPr="009B3959">
        <w:rPr>
          <w:rFonts w:ascii="Times New Roman" w:hAnsi="Times New Roman"/>
          <w:i/>
          <w:iCs/>
          <w:sz w:val="20"/>
          <w:szCs w:val="20"/>
        </w:rPr>
        <w:t xml:space="preserve">Indefinite War:  Unsettled International Law on the End of Armed Conflict, </w:t>
      </w:r>
      <w:r w:rsidRPr="009B3959">
        <w:rPr>
          <w:rFonts w:ascii="Times New Roman" w:hAnsi="Times New Roman"/>
          <w:sz w:val="20"/>
          <w:szCs w:val="20"/>
        </w:rPr>
        <w:t>(Feb. 2017), at 59-61. See also, the ICRC’s revised Commentary to GC III (2020), para. 535.</w:t>
      </w:r>
    </w:p>
  </w:footnote>
  <w:footnote w:id="166">
    <w:p w14:paraId="789F145B" w14:textId="64A157B5"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On one hand, all the IHL rules on conduct of hostilities are considered to become inoperative once the NIAC at issue is determined to cease. Compare ICTY</w:t>
      </w:r>
      <w:r>
        <w:rPr>
          <w:rFonts w:ascii="Times New Roman" w:hAnsi="Times New Roman"/>
          <w:sz w:val="20"/>
          <w:szCs w:val="20"/>
        </w:rPr>
        <w:t xml:space="preserve">, </w:t>
      </w:r>
      <w:r w:rsidRPr="009B3959">
        <w:rPr>
          <w:rFonts w:ascii="Times New Roman" w:hAnsi="Times New Roman"/>
          <w:i/>
          <w:iCs/>
          <w:sz w:val="20"/>
          <w:szCs w:val="20"/>
        </w:rPr>
        <w:t>Tadic</w:t>
      </w:r>
      <w:r w:rsidRPr="009B3959">
        <w:rPr>
          <w:rFonts w:ascii="Times New Roman" w:hAnsi="Times New Roman"/>
          <w:sz w:val="20"/>
          <w:szCs w:val="20"/>
        </w:rPr>
        <w:t xml:space="preserve">, Decision on Interlocutory Appeal (n. 12) para. 70. The end threshold based on a ‘peaceful settlement’ suggested by the </w:t>
      </w:r>
      <w:proofErr w:type="spellStart"/>
      <w:r w:rsidRPr="00066403">
        <w:rPr>
          <w:rFonts w:ascii="Times New Roman" w:hAnsi="Times New Roman"/>
          <w:i/>
          <w:iCs/>
          <w:sz w:val="20"/>
          <w:szCs w:val="20"/>
        </w:rPr>
        <w:t>Tadi</w:t>
      </w:r>
      <w:r w:rsidRPr="00066403">
        <w:rPr>
          <w:rFonts w:ascii="Times New Roman" w:hAnsi="Times New Roman" w:hint="eastAsia"/>
          <w:i/>
          <w:iCs/>
          <w:sz w:val="20"/>
          <w:szCs w:val="20"/>
        </w:rPr>
        <w:t>ć</w:t>
      </w:r>
      <w:proofErr w:type="spellEnd"/>
      <w:r w:rsidRPr="009B3959">
        <w:rPr>
          <w:rFonts w:ascii="Times New Roman" w:hAnsi="Times New Roman"/>
          <w:sz w:val="20"/>
          <w:szCs w:val="20"/>
        </w:rPr>
        <w:t xml:space="preserve"> Appeals Chamber was more a jurisdictional delimitation:  Milanovic (n. 175) at 179-180. </w:t>
      </w:r>
    </w:p>
  </w:footnote>
  <w:footnote w:id="167">
    <w:p w14:paraId="30F8FFEC" w14:textId="08635181" w:rsidR="004F2CB8" w:rsidRPr="009B3959" w:rsidRDefault="004F2CB8" w:rsidP="00066403">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This author assumes that in accordance with the words of common Article 3 Geneva Conventions ‘in any place whatsoever’ the IHL of NIACs should apply to the entire territory of a State where a NIAC occurs. Note that while common Article 3 Geneva Conventions does not address rules on conduct of hostilities, crossing the bar for this provision can trigger the application of the entire corpus of the IHL of NIACs, including those rules:  ICRC’s revised Commentary to GC III (2020), paras 423 and 491. </w:t>
      </w:r>
    </w:p>
  </w:footnote>
  <w:footnote w:id="168">
    <w:p w14:paraId="26AAE530" w14:textId="2622D913"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shd w:val="clear" w:color="auto" w:fill="FFFFFF"/>
        </w:rPr>
        <w:t xml:space="preserve"> </w:t>
      </w:r>
      <w:r w:rsidRPr="009B3959">
        <w:rPr>
          <w:rFonts w:ascii="Times New Roman" w:hAnsi="Times New Roman"/>
          <w:sz w:val="20"/>
          <w:szCs w:val="20"/>
        </w:rPr>
        <w:t xml:space="preserve">Even assuming in principle that the IHL of NIACs applies to the whole territory of the State where a NIAC takes place, this ‘does not mean that all act within that territory therefore fall necessarily under the humanitarian law regime’:  ICRC’s revised commentary to GC III (2016), para. 494. What is called for is a ‘close relation or nexus’ or ‘close or sufficient linkage’ of acts at hand to hostilities:  </w:t>
      </w:r>
      <w:r w:rsidRPr="009B3959">
        <w:rPr>
          <w:rFonts w:ascii="Times New Roman" w:hAnsi="Times New Roman"/>
          <w:sz w:val="20"/>
          <w:szCs w:val="20"/>
          <w:shd w:val="clear" w:color="auto" w:fill="FFFFFF"/>
        </w:rPr>
        <w:t>ICTY, </w:t>
      </w:r>
      <w:proofErr w:type="spellStart"/>
      <w:r w:rsidRPr="009B3959">
        <w:rPr>
          <w:rFonts w:ascii="Times New Roman" w:hAnsi="Times New Roman"/>
          <w:i/>
          <w:iCs/>
          <w:sz w:val="20"/>
          <w:szCs w:val="20"/>
          <w:shd w:val="clear" w:color="auto" w:fill="FFFFFF"/>
        </w:rPr>
        <w:t>Tadić</w:t>
      </w:r>
      <w:proofErr w:type="spellEnd"/>
      <w:r w:rsidRPr="009B3959">
        <w:rPr>
          <w:rFonts w:ascii="Times New Roman" w:hAnsi="Times New Roman"/>
          <w:i/>
          <w:iCs/>
          <w:sz w:val="20"/>
          <w:szCs w:val="20"/>
          <w:shd w:val="clear" w:color="auto" w:fill="FFFFFF"/>
        </w:rPr>
        <w:t> </w:t>
      </w:r>
      <w:r w:rsidRPr="009B3959">
        <w:rPr>
          <w:rFonts w:ascii="Times New Roman" w:hAnsi="Times New Roman"/>
          <w:sz w:val="20"/>
          <w:szCs w:val="20"/>
          <w:shd w:val="clear" w:color="auto" w:fill="FFFFFF"/>
        </w:rPr>
        <w:t>Decision on the Defence Motion for Interlocutory Appeal on Jurisdiction (n. 12), para. 70</w:t>
      </w:r>
      <w:r w:rsidRPr="009B3959">
        <w:rPr>
          <w:rFonts w:ascii="Times New Roman" w:eastAsia="メイリオ" w:hAnsi="Times New Roman"/>
          <w:color w:val="000000"/>
          <w:sz w:val="20"/>
          <w:szCs w:val="20"/>
          <w:shd w:val="clear" w:color="auto" w:fill="FFFFFF"/>
        </w:rPr>
        <w:t xml:space="preserve">; </w:t>
      </w:r>
      <w:r w:rsidRPr="009B3959">
        <w:rPr>
          <w:rFonts w:ascii="Times New Roman" w:hAnsi="Times New Roman"/>
          <w:sz w:val="20"/>
          <w:szCs w:val="20"/>
          <w:shd w:val="clear" w:color="auto" w:fill="FFFFFF"/>
        </w:rPr>
        <w:t xml:space="preserve">ICC, </w:t>
      </w:r>
      <w:r w:rsidRPr="009B3959">
        <w:rPr>
          <w:rFonts w:ascii="Times New Roman" w:hAnsi="Times New Roman"/>
          <w:i/>
          <w:iCs/>
          <w:sz w:val="20"/>
          <w:szCs w:val="20"/>
          <w:shd w:val="clear" w:color="auto" w:fill="FFFFFF"/>
        </w:rPr>
        <w:t xml:space="preserve">Katanga </w:t>
      </w:r>
      <w:r w:rsidRPr="009B3959">
        <w:rPr>
          <w:rFonts w:ascii="Times New Roman" w:hAnsi="Times New Roman"/>
          <w:sz w:val="20"/>
          <w:szCs w:val="20"/>
          <w:shd w:val="clear" w:color="auto" w:fill="FFFFFF"/>
        </w:rPr>
        <w:t xml:space="preserve">Trial Judgment (n. 2), para. 1176; </w:t>
      </w:r>
      <w:r w:rsidRPr="009B3959">
        <w:rPr>
          <w:rFonts w:ascii="Times New Roman" w:hAnsi="Times New Roman"/>
          <w:i/>
          <w:iCs/>
          <w:sz w:val="20"/>
          <w:szCs w:val="20"/>
          <w:shd w:val="clear" w:color="auto" w:fill="FFFFFF"/>
        </w:rPr>
        <w:t xml:space="preserve">Bemba, </w:t>
      </w:r>
      <w:r w:rsidRPr="009B3959">
        <w:rPr>
          <w:rFonts w:ascii="Times New Roman" w:hAnsi="Times New Roman"/>
          <w:sz w:val="20"/>
          <w:szCs w:val="20"/>
          <w:shd w:val="clear" w:color="auto" w:fill="FFFFFF"/>
        </w:rPr>
        <w:t xml:space="preserve">Trial Judgment (n. </w:t>
      </w:r>
      <w:r>
        <w:rPr>
          <w:rFonts w:ascii="Times New Roman" w:hAnsi="Times New Roman"/>
          <w:sz w:val="20"/>
          <w:szCs w:val="20"/>
          <w:shd w:val="clear" w:color="auto" w:fill="FFFFFF"/>
        </w:rPr>
        <w:t>12),</w:t>
      </w:r>
      <w:r w:rsidRPr="009B3959">
        <w:rPr>
          <w:rFonts w:ascii="Times New Roman" w:hAnsi="Times New Roman"/>
          <w:sz w:val="20"/>
          <w:szCs w:val="20"/>
          <w:shd w:val="clear" w:color="auto" w:fill="FFFFFF"/>
        </w:rPr>
        <w:t xml:space="preserve"> paras 142–143; </w:t>
      </w:r>
      <w:proofErr w:type="spellStart"/>
      <w:r w:rsidRPr="009B3959">
        <w:rPr>
          <w:rFonts w:ascii="Times New Roman" w:hAnsi="Times New Roman"/>
          <w:sz w:val="20"/>
          <w:szCs w:val="20"/>
          <w:shd w:val="clear" w:color="auto" w:fill="FFFFFF"/>
        </w:rPr>
        <w:t>Lubell</w:t>
      </w:r>
      <w:proofErr w:type="spellEnd"/>
      <w:r w:rsidRPr="009B3959">
        <w:rPr>
          <w:rFonts w:ascii="Times New Roman" w:hAnsi="Times New Roman"/>
          <w:sz w:val="20"/>
          <w:szCs w:val="20"/>
          <w:shd w:val="clear" w:color="auto" w:fill="FFFFFF"/>
        </w:rPr>
        <w:t xml:space="preserve"> and </w:t>
      </w:r>
      <w:proofErr w:type="spellStart"/>
      <w:r w:rsidRPr="009B3959">
        <w:rPr>
          <w:rFonts w:ascii="Times New Roman" w:hAnsi="Times New Roman"/>
          <w:sz w:val="20"/>
          <w:szCs w:val="20"/>
          <w:shd w:val="clear" w:color="auto" w:fill="FFFFFF"/>
        </w:rPr>
        <w:t>Derejko</w:t>
      </w:r>
      <w:proofErr w:type="spellEnd"/>
      <w:r w:rsidRPr="009B3959">
        <w:rPr>
          <w:rFonts w:ascii="Times New Roman" w:hAnsi="Times New Roman"/>
          <w:sz w:val="20"/>
          <w:szCs w:val="20"/>
          <w:shd w:val="clear" w:color="auto" w:fill="FFFFFF"/>
        </w:rPr>
        <w:t xml:space="preserve"> (n. 16), at 76. Such acts with close linkage to hostilities do not, however, need to meet the threshold for the concept of ‘direct participation in hostilities’:  </w:t>
      </w:r>
      <w:r w:rsidRPr="009B3959">
        <w:rPr>
          <w:rFonts w:ascii="Times New Roman" w:hAnsi="Times New Roman"/>
          <w:i/>
          <w:iCs/>
          <w:sz w:val="20"/>
          <w:szCs w:val="20"/>
          <w:shd w:val="clear" w:color="auto" w:fill="FFFFFF"/>
        </w:rPr>
        <w:t>ibid</w:t>
      </w:r>
      <w:r w:rsidRPr="009B3959">
        <w:rPr>
          <w:rFonts w:ascii="Times New Roman" w:hAnsi="Times New Roman"/>
          <w:sz w:val="20"/>
          <w:szCs w:val="20"/>
          <w:shd w:val="clear" w:color="auto" w:fill="FFFFFF"/>
        </w:rPr>
        <w:t>., at 84-85.</w:t>
      </w:r>
    </w:p>
  </w:footnote>
  <w:footnote w:id="169">
    <w:p w14:paraId="690CE29A" w14:textId="21EE7084"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proofErr w:type="spellStart"/>
      <w:r w:rsidRPr="009B3959">
        <w:rPr>
          <w:rFonts w:ascii="Times New Roman" w:hAnsi="Times New Roman"/>
          <w:sz w:val="20"/>
          <w:szCs w:val="20"/>
        </w:rPr>
        <w:t>Geiß</w:t>
      </w:r>
      <w:proofErr w:type="spellEnd"/>
      <w:r w:rsidRPr="009B3959">
        <w:rPr>
          <w:rFonts w:ascii="Times New Roman" w:hAnsi="Times New Roman"/>
          <w:sz w:val="20"/>
          <w:szCs w:val="20"/>
        </w:rPr>
        <w:t xml:space="preserve"> (n. 15), at 137.</w:t>
      </w:r>
    </w:p>
  </w:footnote>
  <w:footnote w:id="170">
    <w:p w14:paraId="2F439635" w14:textId="07D22CF4"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As noted by the ILC, the notion ‘organization’ inserted in this provision emanates from the ICTY’s </w:t>
      </w:r>
      <w:r w:rsidRPr="009B3959">
        <w:rPr>
          <w:rFonts w:ascii="Times New Roman" w:hAnsi="Times New Roman"/>
          <w:i/>
          <w:iCs/>
          <w:sz w:val="20"/>
          <w:szCs w:val="20"/>
        </w:rPr>
        <w:t>Tadic</w:t>
      </w:r>
      <w:r w:rsidRPr="009B3959">
        <w:rPr>
          <w:rFonts w:ascii="Times New Roman" w:hAnsi="Times New Roman"/>
          <w:sz w:val="20"/>
          <w:szCs w:val="20"/>
        </w:rPr>
        <w:t xml:space="preserve"> Decision in 1997:  ILC, </w:t>
      </w:r>
      <w:r w:rsidRPr="009B3959">
        <w:rPr>
          <w:rFonts w:ascii="Times New Roman" w:hAnsi="Times New Roman"/>
          <w:i/>
          <w:iCs/>
          <w:sz w:val="20"/>
          <w:szCs w:val="20"/>
        </w:rPr>
        <w:t>Draft articles on Prevention and Punishment of Crimes Against Humanity, with commentaries,</w:t>
      </w:r>
      <w:r w:rsidRPr="009B3959">
        <w:rPr>
          <w:rFonts w:ascii="Times New Roman" w:hAnsi="Times New Roman"/>
          <w:sz w:val="20"/>
          <w:szCs w:val="20"/>
        </w:rPr>
        <w:t xml:space="preserve"> A/74/10, at pp. 37-38, commentary to Article 2, para. 22; and </w:t>
      </w:r>
      <w:proofErr w:type="spellStart"/>
      <w:r w:rsidRPr="009B3959">
        <w:rPr>
          <w:rFonts w:ascii="Times New Roman" w:hAnsi="Times New Roman"/>
          <w:i/>
          <w:iCs/>
          <w:sz w:val="20"/>
          <w:szCs w:val="20"/>
        </w:rPr>
        <w:t>Tadić</w:t>
      </w:r>
      <w:proofErr w:type="spellEnd"/>
      <w:r w:rsidRPr="009B3959">
        <w:rPr>
          <w:rFonts w:ascii="Times New Roman" w:hAnsi="Times New Roman"/>
          <w:i/>
          <w:iCs/>
          <w:sz w:val="20"/>
          <w:szCs w:val="20"/>
        </w:rPr>
        <w:t xml:space="preserve"> </w:t>
      </w:r>
      <w:r w:rsidRPr="009B3959">
        <w:rPr>
          <w:rFonts w:ascii="Times New Roman" w:hAnsi="Times New Roman"/>
          <w:sz w:val="20"/>
          <w:szCs w:val="20"/>
        </w:rPr>
        <w:t>Trial Judgment (n. 12), paras. 626, 644, and 653–655.</w:t>
      </w:r>
    </w:p>
  </w:footnote>
  <w:footnote w:id="171">
    <w:p w14:paraId="4EE64319" w14:textId="25133375"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and Fortin (n. 6</w:t>
      </w:r>
      <w:r>
        <w:rPr>
          <w:rFonts w:ascii="Times New Roman" w:hAnsi="Times New Roman"/>
          <w:sz w:val="20"/>
          <w:szCs w:val="20"/>
        </w:rPr>
        <w:t>2</w:t>
      </w:r>
      <w:r w:rsidRPr="009B3959">
        <w:rPr>
          <w:rFonts w:ascii="Times New Roman" w:hAnsi="Times New Roman"/>
          <w:sz w:val="20"/>
          <w:szCs w:val="20"/>
        </w:rPr>
        <w:t>), at 41 and 47.</w:t>
      </w:r>
    </w:p>
  </w:footnote>
  <w:footnote w:id="172">
    <w:p w14:paraId="72A8F9BC" w14:textId="6AE9D5FA"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ICC, Pre-Trial Chamber II, </w:t>
      </w:r>
      <w:r w:rsidRPr="009B3959">
        <w:rPr>
          <w:rFonts w:ascii="Times New Roman" w:hAnsi="Times New Roman"/>
          <w:i/>
          <w:iCs/>
          <w:sz w:val="20"/>
          <w:szCs w:val="20"/>
        </w:rPr>
        <w:t xml:space="preserve">Situation in The Republic of Kenya, </w:t>
      </w:r>
      <w:r w:rsidRPr="009B3959">
        <w:rPr>
          <w:rFonts w:ascii="Times New Roman" w:hAnsi="Times New Roman"/>
          <w:sz w:val="20"/>
          <w:szCs w:val="20"/>
        </w:rPr>
        <w:t>Decision Pursuant to Article 15 of the Rome Statute on the Authorization of an Investigation Into the Situation in the Republic of Kenya), ICC-01/09 (31 March 2010) (hereinafter Kenya Article 15 Decision).</w:t>
      </w:r>
    </w:p>
  </w:footnote>
  <w:footnote w:id="173">
    <w:p w14:paraId="09EB266F" w14:textId="79444607"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Ibid., dissenting Opinion of Judge Hans-Peter Kaul (31 March 2010), paras 42-51</w:t>
      </w:r>
      <w:r w:rsidRPr="009B3959">
        <w:rPr>
          <w:rFonts w:ascii="Times New Roman" w:eastAsia="Proforma-Book" w:hAnsi="Times New Roman"/>
          <w:kern w:val="0"/>
          <w:sz w:val="20"/>
          <w:szCs w:val="20"/>
        </w:rPr>
        <w:t>.</w:t>
      </w:r>
    </w:p>
  </w:footnote>
  <w:footnote w:id="174">
    <w:p w14:paraId="57819177" w14:textId="0230202E"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Kenya Article 15 Decision, ibid, para. 117.</w:t>
      </w:r>
    </w:p>
  </w:footnote>
  <w:footnote w:id="175">
    <w:p w14:paraId="20B658ED" w14:textId="4E90DBE9"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w:t>
      </w:r>
      <w:r w:rsidRPr="009B3959">
        <w:rPr>
          <w:rFonts w:ascii="Times New Roman" w:hAnsi="Times New Roman"/>
          <w:i/>
          <w:iCs/>
          <w:sz w:val="20"/>
          <w:szCs w:val="20"/>
        </w:rPr>
        <w:t>Ibid</w:t>
      </w:r>
      <w:r w:rsidRPr="009B3959">
        <w:rPr>
          <w:rFonts w:ascii="Times New Roman" w:hAnsi="Times New Roman"/>
          <w:sz w:val="20"/>
          <w:szCs w:val="20"/>
        </w:rPr>
        <w:t xml:space="preserve"> para. 90. For proponents of the majority, see M. </w:t>
      </w:r>
      <w:proofErr w:type="spellStart"/>
      <w:r w:rsidRPr="009B3959">
        <w:rPr>
          <w:rFonts w:ascii="Times New Roman" w:hAnsi="Times New Roman"/>
          <w:sz w:val="20"/>
          <w:szCs w:val="20"/>
        </w:rPr>
        <w:t>Halling</w:t>
      </w:r>
      <w:proofErr w:type="spellEnd"/>
      <w:r w:rsidRPr="009B3959">
        <w:rPr>
          <w:rFonts w:ascii="Times New Roman" w:hAnsi="Times New Roman"/>
          <w:sz w:val="20"/>
          <w:szCs w:val="20"/>
        </w:rPr>
        <w:t xml:space="preserve">, ‘Push the Envelope-Watch it Bend:  Removing the Policy Requirement and Extending Crimes against Humanity’, (2010) 23 </w:t>
      </w:r>
      <w:r w:rsidRPr="009B3959">
        <w:rPr>
          <w:rFonts w:ascii="Times New Roman" w:hAnsi="Times New Roman"/>
          <w:i/>
          <w:iCs/>
          <w:sz w:val="20"/>
          <w:szCs w:val="20"/>
        </w:rPr>
        <w:t>Leiden Journal of International Law</w:t>
      </w:r>
      <w:r w:rsidRPr="009B3959">
        <w:rPr>
          <w:rFonts w:ascii="Times New Roman" w:hAnsi="Times New Roman"/>
          <w:sz w:val="20"/>
          <w:szCs w:val="20"/>
        </w:rPr>
        <w:t xml:space="preserve"> 827; G. </w:t>
      </w:r>
      <w:proofErr w:type="spellStart"/>
      <w:r w:rsidRPr="009B3959">
        <w:rPr>
          <w:rFonts w:ascii="Times New Roman" w:hAnsi="Times New Roman"/>
          <w:sz w:val="20"/>
          <w:szCs w:val="20"/>
        </w:rPr>
        <w:t>Werle</w:t>
      </w:r>
      <w:proofErr w:type="spellEnd"/>
      <w:r w:rsidRPr="009B3959">
        <w:rPr>
          <w:rFonts w:ascii="Times New Roman" w:hAnsi="Times New Roman"/>
          <w:sz w:val="20"/>
          <w:szCs w:val="20"/>
        </w:rPr>
        <w:t xml:space="preserve"> and B. Burghardt, ‘Do Crimes against Humanity Require the Participation of a State or a “State-like” Organization?’, (2012) 10 </w:t>
      </w:r>
      <w:r w:rsidRPr="009B3959">
        <w:rPr>
          <w:rFonts w:ascii="Times New Roman" w:hAnsi="Times New Roman"/>
          <w:i/>
          <w:iCs/>
          <w:sz w:val="20"/>
          <w:szCs w:val="20"/>
        </w:rPr>
        <w:t>Journal of International Criminal Justice</w:t>
      </w:r>
      <w:r w:rsidRPr="009B3959">
        <w:rPr>
          <w:rFonts w:ascii="Times New Roman" w:hAnsi="Times New Roman"/>
          <w:sz w:val="20"/>
          <w:szCs w:val="20"/>
        </w:rPr>
        <w:t xml:space="preserve"> 1151. </w:t>
      </w:r>
      <w:r w:rsidRPr="009B3959">
        <w:rPr>
          <w:rFonts w:ascii="Times New Roman" w:hAnsi="Times New Roman"/>
          <w:i/>
          <w:iCs/>
          <w:sz w:val="20"/>
          <w:szCs w:val="20"/>
        </w:rPr>
        <w:t>Contra</w:t>
      </w:r>
      <w:r w:rsidRPr="009B3959">
        <w:rPr>
          <w:rFonts w:ascii="Times New Roman" w:hAnsi="Times New Roman"/>
          <w:sz w:val="20"/>
          <w:szCs w:val="20"/>
        </w:rPr>
        <w:t xml:space="preserve">, C. Kress, ‘On the Outer Limits of Crimes Against Humanity:  the Concept of Organisation within the Policy Requirement:  Some Reflections on the march 2010 Kenya Decision’, (2010) 23 </w:t>
      </w:r>
      <w:r w:rsidRPr="009B3959">
        <w:rPr>
          <w:rFonts w:ascii="Times New Roman" w:hAnsi="Times New Roman"/>
          <w:i/>
          <w:iCs/>
          <w:sz w:val="20"/>
          <w:szCs w:val="20"/>
        </w:rPr>
        <w:t>Leiden Journal of International Law</w:t>
      </w:r>
      <w:r w:rsidRPr="009B3959">
        <w:rPr>
          <w:rFonts w:ascii="Times New Roman" w:hAnsi="Times New Roman"/>
          <w:sz w:val="20"/>
          <w:szCs w:val="20"/>
        </w:rPr>
        <w:t xml:space="preserve"> 855, at 861 and 866; W.A. Schabas, ‘Prosecuting Dr Strangelove, Goldfinger, and the Joker at the International Criminal Court:  Closing the Loopholes’, (2010) 23 </w:t>
      </w:r>
      <w:r w:rsidRPr="009B3959">
        <w:rPr>
          <w:rFonts w:ascii="Times New Roman" w:hAnsi="Times New Roman"/>
          <w:i/>
          <w:iCs/>
          <w:sz w:val="20"/>
          <w:szCs w:val="20"/>
        </w:rPr>
        <w:t>Leiden Journal of International Law</w:t>
      </w:r>
      <w:r w:rsidRPr="009B3959">
        <w:rPr>
          <w:rFonts w:ascii="Times New Roman" w:hAnsi="Times New Roman"/>
          <w:sz w:val="20"/>
          <w:szCs w:val="20"/>
        </w:rPr>
        <w:t xml:space="preserve"> 847, at 852.</w:t>
      </w:r>
    </w:p>
  </w:footnote>
  <w:footnote w:id="176">
    <w:p w14:paraId="6EDA30BC" w14:textId="6CA9C66D" w:rsidR="004F2CB8" w:rsidRPr="009B3959" w:rsidRDefault="004F2CB8" w:rsidP="009B3959">
      <w:pPr>
        <w:pStyle w:val="a3"/>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Bartels and Fortin (n. 6</w:t>
      </w:r>
      <w:r>
        <w:rPr>
          <w:rFonts w:ascii="Times New Roman" w:hAnsi="Times New Roman"/>
          <w:sz w:val="20"/>
          <w:szCs w:val="20"/>
        </w:rPr>
        <w:t>2</w:t>
      </w:r>
      <w:r w:rsidRPr="009B3959">
        <w:rPr>
          <w:rFonts w:ascii="Times New Roman" w:hAnsi="Times New Roman"/>
          <w:sz w:val="20"/>
          <w:szCs w:val="20"/>
        </w:rPr>
        <w:t>), at 41 and 47.</w:t>
      </w:r>
    </w:p>
  </w:footnote>
  <w:footnote w:id="177">
    <w:p w14:paraId="5EA03407" w14:textId="172D7D2A" w:rsidR="004F2CB8" w:rsidRPr="00066403" w:rsidRDefault="004F2CB8" w:rsidP="00066403">
      <w:pPr>
        <w:pStyle w:val="a3"/>
        <w:jc w:val="both"/>
        <w:rPr>
          <w:rFonts w:ascii="Times New Roman" w:hAnsi="Times New Roman"/>
          <w:sz w:val="20"/>
          <w:szCs w:val="20"/>
        </w:rPr>
      </w:pPr>
      <w:r w:rsidRPr="00066403">
        <w:rPr>
          <w:rStyle w:val="a5"/>
          <w:rFonts w:ascii="Times New Roman" w:hAnsi="Times New Roman"/>
          <w:sz w:val="20"/>
          <w:szCs w:val="20"/>
        </w:rPr>
        <w:footnoteRef/>
      </w:r>
      <w:r w:rsidRPr="00066403">
        <w:rPr>
          <w:rFonts w:ascii="Times New Roman" w:hAnsi="Times New Roman"/>
          <w:sz w:val="20"/>
          <w:szCs w:val="20"/>
        </w:rPr>
        <w:t xml:space="preserve"> </w:t>
      </w:r>
      <w:proofErr w:type="spellStart"/>
      <w:r w:rsidRPr="00066403">
        <w:rPr>
          <w:rFonts w:ascii="Times New Roman" w:hAnsi="Times New Roman"/>
          <w:sz w:val="20"/>
          <w:szCs w:val="20"/>
        </w:rPr>
        <w:t>Lubell</w:t>
      </w:r>
      <w:proofErr w:type="spellEnd"/>
      <w:r w:rsidRPr="00066403">
        <w:rPr>
          <w:rFonts w:ascii="Times New Roman" w:hAnsi="Times New Roman"/>
          <w:sz w:val="20"/>
          <w:szCs w:val="20"/>
        </w:rPr>
        <w:t xml:space="preserve"> (2010), (n. </w:t>
      </w:r>
      <w:r w:rsidRPr="009B3959">
        <w:rPr>
          <w:rFonts w:ascii="Times New Roman" w:hAnsi="Times New Roman"/>
          <w:sz w:val="20"/>
          <w:szCs w:val="20"/>
        </w:rPr>
        <w:t>13</w:t>
      </w:r>
      <w:r w:rsidRPr="00066403">
        <w:rPr>
          <w:rFonts w:ascii="Times New Roman" w:hAnsi="Times New Roman"/>
          <w:sz w:val="20"/>
          <w:szCs w:val="20"/>
        </w:rPr>
        <w:t>) at 109.</w:t>
      </w:r>
    </w:p>
  </w:footnote>
  <w:footnote w:id="178">
    <w:p w14:paraId="0E7E35A5" w14:textId="73102C3E" w:rsidR="004F2CB8" w:rsidRPr="009B3959" w:rsidRDefault="004F2CB8" w:rsidP="009B3959">
      <w:pPr>
        <w:pStyle w:val="a3"/>
        <w:tabs>
          <w:tab w:val="left" w:pos="2694"/>
        </w:tabs>
        <w:jc w:val="both"/>
        <w:rPr>
          <w:rFonts w:ascii="Times New Roman" w:hAnsi="Times New Roman"/>
          <w:sz w:val="20"/>
          <w:szCs w:val="20"/>
        </w:rPr>
      </w:pPr>
      <w:r w:rsidRPr="009B3959">
        <w:rPr>
          <w:rStyle w:val="a5"/>
          <w:rFonts w:ascii="Times New Roman" w:hAnsi="Times New Roman"/>
          <w:sz w:val="20"/>
          <w:szCs w:val="20"/>
        </w:rPr>
        <w:footnoteRef/>
      </w:r>
      <w:r w:rsidRPr="009B3959">
        <w:rPr>
          <w:rFonts w:ascii="Times New Roman" w:hAnsi="Times New Roman"/>
          <w:sz w:val="20"/>
          <w:szCs w:val="20"/>
        </w:rPr>
        <w:t xml:space="preserve"> The contextual difference explains why the list of organizational elements indicated in relation to the crime against humanity, while partially overlapping with the parallel list in NIACs, is peppered with the elements specifically destined for this international crime. Of the six </w:t>
      </w:r>
      <w:r w:rsidRPr="009B3959">
        <w:rPr>
          <w:rFonts w:ascii="Times New Roman" w:hAnsi="Times New Roman"/>
          <w:i/>
          <w:iCs/>
          <w:sz w:val="20"/>
          <w:szCs w:val="20"/>
        </w:rPr>
        <w:t>indicative</w:t>
      </w:r>
      <w:r w:rsidRPr="009B3959">
        <w:rPr>
          <w:rFonts w:ascii="Times New Roman" w:hAnsi="Times New Roman"/>
          <w:sz w:val="20"/>
          <w:szCs w:val="20"/>
        </w:rPr>
        <w:t xml:space="preserve"> elements which the Pre-Trial Chamber in </w:t>
      </w:r>
      <w:proofErr w:type="spellStart"/>
      <w:r w:rsidRPr="009B3959">
        <w:rPr>
          <w:rFonts w:ascii="Times New Roman" w:hAnsi="Times New Roman"/>
          <w:i/>
          <w:iCs/>
          <w:sz w:val="20"/>
          <w:szCs w:val="20"/>
        </w:rPr>
        <w:t>Ruto</w:t>
      </w:r>
      <w:proofErr w:type="spellEnd"/>
      <w:r w:rsidRPr="009B3959">
        <w:rPr>
          <w:rFonts w:ascii="Times New Roman" w:hAnsi="Times New Roman"/>
          <w:i/>
          <w:iCs/>
          <w:sz w:val="20"/>
          <w:szCs w:val="20"/>
        </w:rPr>
        <w:t xml:space="preserve"> </w:t>
      </w:r>
      <w:r w:rsidRPr="009B3959">
        <w:rPr>
          <w:rFonts w:ascii="Times New Roman" w:hAnsi="Times New Roman"/>
          <w:sz w:val="20"/>
          <w:szCs w:val="20"/>
        </w:rPr>
        <w:t>provided when evaluating the notion ‘organization’ under Article 7(2)(a) of the ICC Statute, the element of responsible command or a hierarchy aside, note should be taken of the following elements:  (</w:t>
      </w:r>
      <w:proofErr w:type="spellStart"/>
      <w:r w:rsidRPr="009B3959">
        <w:rPr>
          <w:rFonts w:ascii="Times New Roman" w:hAnsi="Times New Roman"/>
          <w:sz w:val="20"/>
          <w:szCs w:val="20"/>
        </w:rPr>
        <w:t>i</w:t>
      </w:r>
      <w:proofErr w:type="spellEnd"/>
      <w:r w:rsidRPr="009B3959">
        <w:rPr>
          <w:rFonts w:ascii="Times New Roman" w:hAnsi="Times New Roman"/>
          <w:sz w:val="20"/>
          <w:szCs w:val="20"/>
        </w:rPr>
        <w:t xml:space="preserve">) ‘whether the group possesses, in fact, the means to carry out a widespread or systematic attack against a civilian population’; (ii) ‘whether the group exercises control over part of the territory of a State’; (iii) ‘whether the group has criminal activities against the civilian population as a primary purpose’; (iv) ‘whether the group articulates, explicitly or implicitly, an intention to attack a civilian population’; (v) ‘whether the group is part of a larger group, which fulfils some or all of the abovementioned criteria’:  ICC, Pre-Trial Chamber II, </w:t>
      </w:r>
      <w:r w:rsidRPr="009B3959">
        <w:rPr>
          <w:rFonts w:ascii="Times New Roman" w:hAnsi="Times New Roman"/>
          <w:i/>
          <w:iCs/>
          <w:sz w:val="20"/>
          <w:szCs w:val="20"/>
        </w:rPr>
        <w:t xml:space="preserve">Prosecutor v. William </w:t>
      </w:r>
      <w:proofErr w:type="spellStart"/>
      <w:r w:rsidRPr="009B3959">
        <w:rPr>
          <w:rFonts w:ascii="Times New Roman" w:hAnsi="Times New Roman"/>
          <w:i/>
          <w:iCs/>
          <w:sz w:val="20"/>
          <w:szCs w:val="20"/>
        </w:rPr>
        <w:t>Samoei</w:t>
      </w:r>
      <w:proofErr w:type="spellEnd"/>
      <w:r w:rsidRPr="009B3959">
        <w:rPr>
          <w:rFonts w:ascii="Times New Roman" w:hAnsi="Times New Roman"/>
          <w:i/>
          <w:iCs/>
          <w:sz w:val="20"/>
          <w:szCs w:val="20"/>
        </w:rPr>
        <w:t xml:space="preserve"> </w:t>
      </w:r>
      <w:proofErr w:type="spellStart"/>
      <w:r w:rsidRPr="009B3959">
        <w:rPr>
          <w:rFonts w:ascii="Times New Roman" w:hAnsi="Times New Roman"/>
          <w:i/>
          <w:iCs/>
          <w:sz w:val="20"/>
          <w:szCs w:val="20"/>
        </w:rPr>
        <w:t>Ruto</w:t>
      </w:r>
      <w:proofErr w:type="spellEnd"/>
      <w:r w:rsidRPr="009B3959">
        <w:rPr>
          <w:rFonts w:ascii="Times New Roman" w:hAnsi="Times New Roman"/>
          <w:i/>
          <w:iCs/>
          <w:sz w:val="20"/>
          <w:szCs w:val="20"/>
        </w:rPr>
        <w:t xml:space="preserve">, Henry Kiprono Kosgey and Joshua </w:t>
      </w:r>
      <w:proofErr w:type="spellStart"/>
      <w:r w:rsidRPr="009B3959">
        <w:rPr>
          <w:rFonts w:ascii="Times New Roman" w:hAnsi="Times New Roman"/>
          <w:i/>
          <w:iCs/>
          <w:sz w:val="20"/>
          <w:szCs w:val="20"/>
        </w:rPr>
        <w:t>Arap</w:t>
      </w:r>
      <w:proofErr w:type="spellEnd"/>
      <w:r w:rsidRPr="009B3959">
        <w:rPr>
          <w:rFonts w:ascii="Times New Roman" w:hAnsi="Times New Roman"/>
          <w:i/>
          <w:iCs/>
          <w:sz w:val="20"/>
          <w:szCs w:val="20"/>
        </w:rPr>
        <w:t xml:space="preserve"> Sang, </w:t>
      </w:r>
      <w:r w:rsidRPr="009B3959">
        <w:rPr>
          <w:rFonts w:ascii="Times New Roman" w:hAnsi="Times New Roman"/>
          <w:sz w:val="20"/>
          <w:szCs w:val="20"/>
        </w:rPr>
        <w:t>Case No. ICC-01/09-01/11, Decision on the confirmation of charges pursuant to Article 61(7)(a) and (b) of the Rome Statute, 23 January 2012, para. 185. See also Situation in the Republic of Kenya, Decision, 31 March 2010, para. 93; Case No. ICC-02/11, Corrigendum to the Decision pursuant to Article 15 of the 1998 Rome Statute on the authorization of an investigation into the situation in the Republic of Côte d’Ivoire, 15 November 2011, Pre-Trial Chamber III, International Criminal Court, paras 45–46.</w:t>
      </w:r>
    </w:p>
  </w:footnote>
  <w:footnote w:id="179">
    <w:p w14:paraId="1ADCC19A" w14:textId="482E22E8" w:rsidR="004F2CB8" w:rsidRPr="00066403" w:rsidRDefault="004F2CB8" w:rsidP="00066403">
      <w:pPr>
        <w:rPr>
          <w:rFonts w:ascii="Times New Roman" w:hAnsi="Times New Roman"/>
          <w:sz w:val="20"/>
          <w:szCs w:val="20"/>
        </w:rPr>
      </w:pPr>
      <w:r w:rsidRPr="009B3959">
        <w:rPr>
          <w:rStyle w:val="a5"/>
          <w:rFonts w:ascii="Times New Roman" w:hAnsi="Times New Roman"/>
          <w:sz w:val="20"/>
          <w:szCs w:val="20"/>
        </w:rPr>
        <w:footnoteRef/>
      </w:r>
      <w:r w:rsidRPr="009B3959">
        <w:rPr>
          <w:rStyle w:val="a5"/>
          <w:rFonts w:ascii="Times New Roman" w:hAnsi="Times New Roman"/>
          <w:sz w:val="20"/>
          <w:szCs w:val="20"/>
        </w:rPr>
        <w:t xml:space="preserve"> </w:t>
      </w:r>
      <w:r w:rsidRPr="009B3959">
        <w:rPr>
          <w:rFonts w:ascii="Times New Roman" w:hAnsi="Times New Roman"/>
          <w:sz w:val="20"/>
          <w:szCs w:val="20"/>
        </w:rPr>
        <w:t xml:space="preserve">Compare ICC, Pre-Trial Chamber I, </w:t>
      </w:r>
      <w:r w:rsidRPr="009B3959">
        <w:rPr>
          <w:rFonts w:ascii="Times New Roman" w:hAnsi="Times New Roman"/>
          <w:i/>
          <w:iCs/>
          <w:sz w:val="20"/>
          <w:szCs w:val="20"/>
        </w:rPr>
        <w:t xml:space="preserve">Prosecutor v. Germain Katanga and Mathieu </w:t>
      </w:r>
      <w:proofErr w:type="spellStart"/>
      <w:r w:rsidRPr="009B3959">
        <w:rPr>
          <w:rFonts w:ascii="Times New Roman" w:hAnsi="Times New Roman"/>
          <w:i/>
          <w:iCs/>
          <w:sz w:val="20"/>
          <w:szCs w:val="20"/>
        </w:rPr>
        <w:t>Ngudjolo</w:t>
      </w:r>
      <w:proofErr w:type="spellEnd"/>
      <w:r w:rsidRPr="009B3959">
        <w:rPr>
          <w:rFonts w:ascii="Times New Roman" w:hAnsi="Times New Roman"/>
          <w:i/>
          <w:iCs/>
          <w:sz w:val="20"/>
          <w:szCs w:val="20"/>
        </w:rPr>
        <w:t xml:space="preserve"> Chui</w:t>
      </w:r>
      <w:r w:rsidRPr="009B3959">
        <w:rPr>
          <w:rFonts w:ascii="Times New Roman" w:hAnsi="Times New Roman"/>
          <w:sz w:val="20"/>
          <w:szCs w:val="20"/>
        </w:rPr>
        <w:t xml:space="preserve">, Case No. ICC-01/04-01/07, Decision on the confirmation of charges, 30 September 2008, para. 396. That said, some judges have provided a lower threshold for organization. On this matter, see ICC, </w:t>
      </w:r>
      <w:r w:rsidRPr="00066403">
        <w:rPr>
          <w:rFonts w:ascii="Times New Roman" w:hAnsi="Times New Roman"/>
          <w:i/>
          <w:iCs/>
          <w:sz w:val="20"/>
          <w:szCs w:val="20"/>
        </w:rPr>
        <w:t>Bemba</w:t>
      </w:r>
      <w:r w:rsidRPr="009B3959">
        <w:rPr>
          <w:rFonts w:ascii="Times New Roman" w:hAnsi="Times New Roman"/>
          <w:sz w:val="20"/>
          <w:szCs w:val="20"/>
        </w:rPr>
        <w:t xml:space="preserve"> Trial Judgment (n. </w:t>
      </w:r>
      <w:r>
        <w:rPr>
          <w:rFonts w:ascii="Times New Roman" w:hAnsi="Times New Roman"/>
          <w:sz w:val="20"/>
          <w:szCs w:val="20"/>
        </w:rPr>
        <w:t>12</w:t>
      </w:r>
      <w:r w:rsidRPr="009B3959">
        <w:rPr>
          <w:rFonts w:ascii="Times New Roman" w:hAnsi="Times New Roman"/>
          <w:sz w:val="20"/>
          <w:szCs w:val="20"/>
        </w:rPr>
        <w:t xml:space="preserve">), separate opinion of Judge Kuniko Ozaki, para. 29, 31-32; Trial Chamber, </w:t>
      </w:r>
      <w:r w:rsidRPr="00066403">
        <w:rPr>
          <w:rFonts w:ascii="Times New Roman" w:hAnsi="Times New Roman"/>
          <w:i/>
          <w:iCs/>
          <w:sz w:val="20"/>
          <w:szCs w:val="20"/>
        </w:rPr>
        <w:t xml:space="preserve">Prosecutor v. </w:t>
      </w:r>
      <w:proofErr w:type="spellStart"/>
      <w:r w:rsidRPr="00066403">
        <w:rPr>
          <w:rFonts w:ascii="Times New Roman" w:hAnsi="Times New Roman"/>
          <w:i/>
          <w:iCs/>
          <w:sz w:val="20"/>
          <w:szCs w:val="20"/>
        </w:rPr>
        <w:t>Ruto</w:t>
      </w:r>
      <w:proofErr w:type="spellEnd"/>
      <w:r w:rsidRPr="00066403">
        <w:rPr>
          <w:rFonts w:ascii="Times New Roman" w:hAnsi="Times New Roman"/>
          <w:i/>
          <w:iCs/>
          <w:sz w:val="20"/>
          <w:szCs w:val="20"/>
        </w:rPr>
        <w:t xml:space="preserve"> and Sang</w:t>
      </w:r>
      <w:r w:rsidRPr="009B3959">
        <w:rPr>
          <w:rFonts w:ascii="Times New Roman" w:hAnsi="Times New Roman"/>
          <w:sz w:val="20"/>
          <w:szCs w:val="20"/>
        </w:rPr>
        <w:t xml:space="preserve">, </w:t>
      </w:r>
      <w:r w:rsidRPr="00066403">
        <w:rPr>
          <w:rFonts w:ascii="Times New Roman" w:hAnsi="Times New Roman"/>
          <w:sz w:val="20"/>
          <w:szCs w:val="20"/>
        </w:rPr>
        <w:t>Decision on Defence Applications for Judgments of Acquittal,</w:t>
      </w:r>
      <w:r w:rsidRPr="009B3959">
        <w:rPr>
          <w:rFonts w:ascii="Times New Roman" w:hAnsi="Times New Roman"/>
          <w:sz w:val="20"/>
          <w:szCs w:val="20"/>
        </w:rPr>
        <w:t xml:space="preserve"> 5 April 2016, </w:t>
      </w:r>
      <w:r w:rsidRPr="00066403">
        <w:rPr>
          <w:rFonts w:ascii="Times New Roman" w:hAnsi="Times New Roman"/>
          <w:sz w:val="20"/>
          <w:szCs w:val="20"/>
        </w:rPr>
        <w:t xml:space="preserve">ICC-01/09-01/11, Reasons of Judge </w:t>
      </w:r>
      <w:proofErr w:type="spellStart"/>
      <w:r w:rsidRPr="00066403">
        <w:rPr>
          <w:rFonts w:ascii="Times New Roman" w:hAnsi="Times New Roman"/>
          <w:sz w:val="20"/>
          <w:szCs w:val="20"/>
        </w:rPr>
        <w:t>Eboe</w:t>
      </w:r>
      <w:proofErr w:type="spellEnd"/>
      <w:r w:rsidRPr="00066403">
        <w:rPr>
          <w:rFonts w:ascii="Times New Roman" w:hAnsi="Times New Roman"/>
          <w:sz w:val="20"/>
          <w:szCs w:val="20"/>
        </w:rPr>
        <w:t>-Osuji, paras 403-429 (a teleological proposal for even a lower threshold for organization).</w:t>
      </w:r>
    </w:p>
  </w:footnote>
  <w:footnote w:id="180">
    <w:p w14:paraId="78E3D293" w14:textId="77777777" w:rsidR="004F2CB8" w:rsidRPr="009B3959" w:rsidRDefault="004F2CB8" w:rsidP="006B6544">
      <w:pPr>
        <w:pStyle w:val="a3"/>
        <w:ind w:left="100" w:hangingChars="50" w:hanging="100"/>
        <w:jc w:val="both"/>
        <w:rPr>
          <w:rFonts w:ascii="Times New Roman" w:hAnsi="Times New Roman"/>
          <w:sz w:val="20"/>
          <w:szCs w:val="20"/>
          <w:lang w:val="en-US"/>
        </w:rPr>
      </w:pPr>
      <w:r w:rsidRPr="006B6544">
        <w:rPr>
          <w:rStyle w:val="a5"/>
          <w:rFonts w:ascii="Times New Roman" w:hAnsi="Times New Roman"/>
          <w:sz w:val="20"/>
          <w:szCs w:val="20"/>
        </w:rPr>
        <w:footnoteRef/>
      </w:r>
      <w:r w:rsidRPr="006B6544">
        <w:rPr>
          <w:rFonts w:ascii="Times New Roman" w:hAnsi="Times New Roman"/>
          <w:sz w:val="20"/>
          <w:szCs w:val="20"/>
          <w:lang w:val="en-US"/>
        </w:rPr>
        <w:t xml:space="preserve"> N. </w:t>
      </w:r>
      <w:proofErr w:type="spellStart"/>
      <w:r w:rsidRPr="006B6544">
        <w:rPr>
          <w:rFonts w:ascii="Times New Roman" w:hAnsi="Times New Roman"/>
          <w:sz w:val="20"/>
          <w:szCs w:val="20"/>
          <w:lang w:val="en-US"/>
        </w:rPr>
        <w:t>Luhmann</w:t>
      </w:r>
      <w:proofErr w:type="spellEnd"/>
      <w:r w:rsidRPr="006B6544">
        <w:rPr>
          <w:rFonts w:ascii="Times New Roman" w:hAnsi="Times New Roman"/>
          <w:sz w:val="20"/>
          <w:szCs w:val="20"/>
          <w:lang w:val="en-US"/>
        </w:rPr>
        <w:t>,</w:t>
      </w:r>
      <w:r w:rsidRPr="009B3959">
        <w:rPr>
          <w:rFonts w:ascii="Times New Roman" w:hAnsi="Times New Roman"/>
          <w:sz w:val="20"/>
          <w:szCs w:val="20"/>
          <w:lang w:val="en-US"/>
        </w:rPr>
        <w:t xml:space="preserve"> </w:t>
      </w:r>
      <w:r w:rsidRPr="009B3959">
        <w:rPr>
          <w:rFonts w:ascii="Times New Roman" w:hAnsi="Times New Roman"/>
          <w:i/>
          <w:iCs/>
          <w:sz w:val="20"/>
          <w:szCs w:val="20"/>
          <w:lang w:val="en-US"/>
        </w:rPr>
        <w:t xml:space="preserve">Theory of Society, </w:t>
      </w:r>
      <w:r w:rsidRPr="009B3959">
        <w:rPr>
          <w:rFonts w:ascii="Times New Roman" w:hAnsi="Times New Roman"/>
          <w:sz w:val="20"/>
          <w:szCs w:val="20"/>
          <w:lang w:val="en-US"/>
        </w:rPr>
        <w:t xml:space="preserve">Vol. 2, (translated by Rhodes Barrett), (Stanford University Press, 2013/ </w:t>
      </w:r>
      <w:proofErr w:type="spellStart"/>
      <w:r w:rsidRPr="009B3959">
        <w:rPr>
          <w:rFonts w:ascii="Times New Roman" w:hAnsi="Times New Roman"/>
          <w:sz w:val="20"/>
          <w:szCs w:val="20"/>
          <w:lang w:val="en-US"/>
        </w:rPr>
        <w:t>Suhrkamp</w:t>
      </w:r>
      <w:proofErr w:type="spellEnd"/>
      <w:r w:rsidRPr="009B3959">
        <w:rPr>
          <w:rFonts w:ascii="Times New Roman" w:hAnsi="Times New Roman"/>
          <w:sz w:val="20"/>
          <w:szCs w:val="20"/>
          <w:lang w:val="en-US"/>
        </w:rPr>
        <w:t>, 1997), at 141-143.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1764"/>
    <w:multiLevelType w:val="hybridMultilevel"/>
    <w:tmpl w:val="43F20260"/>
    <w:lvl w:ilvl="0" w:tplc="B41C34B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C61EB"/>
    <w:multiLevelType w:val="hybridMultilevel"/>
    <w:tmpl w:val="5A1A097C"/>
    <w:lvl w:ilvl="0" w:tplc="8F3A44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B91798"/>
    <w:multiLevelType w:val="hybridMultilevel"/>
    <w:tmpl w:val="7444F2C4"/>
    <w:lvl w:ilvl="0" w:tplc="B20E580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FA0AF1"/>
    <w:multiLevelType w:val="hybridMultilevel"/>
    <w:tmpl w:val="87B80926"/>
    <w:lvl w:ilvl="0" w:tplc="D0782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702FC"/>
    <w:multiLevelType w:val="hybridMultilevel"/>
    <w:tmpl w:val="BB4867A0"/>
    <w:lvl w:ilvl="0" w:tplc="23FC052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31CD3"/>
    <w:multiLevelType w:val="hybridMultilevel"/>
    <w:tmpl w:val="CC822C56"/>
    <w:lvl w:ilvl="0" w:tplc="98C6820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3C58DA"/>
    <w:multiLevelType w:val="hybridMultilevel"/>
    <w:tmpl w:val="C9C66AB2"/>
    <w:lvl w:ilvl="0" w:tplc="9B4E866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09"/>
    <w:rsid w:val="00000175"/>
    <w:rsid w:val="00000461"/>
    <w:rsid w:val="000005E8"/>
    <w:rsid w:val="00000984"/>
    <w:rsid w:val="00000FEE"/>
    <w:rsid w:val="0000133A"/>
    <w:rsid w:val="00001AF0"/>
    <w:rsid w:val="0000279A"/>
    <w:rsid w:val="000027BC"/>
    <w:rsid w:val="00002E22"/>
    <w:rsid w:val="00003160"/>
    <w:rsid w:val="0000350E"/>
    <w:rsid w:val="00003717"/>
    <w:rsid w:val="00003F32"/>
    <w:rsid w:val="000043CC"/>
    <w:rsid w:val="000044CA"/>
    <w:rsid w:val="00004B79"/>
    <w:rsid w:val="00005341"/>
    <w:rsid w:val="0000552A"/>
    <w:rsid w:val="0000652C"/>
    <w:rsid w:val="00006A01"/>
    <w:rsid w:val="00006ED8"/>
    <w:rsid w:val="00007237"/>
    <w:rsid w:val="000075A1"/>
    <w:rsid w:val="000078FD"/>
    <w:rsid w:val="000079F1"/>
    <w:rsid w:val="00007F45"/>
    <w:rsid w:val="00010A4D"/>
    <w:rsid w:val="00010BBF"/>
    <w:rsid w:val="00011C4E"/>
    <w:rsid w:val="00011C56"/>
    <w:rsid w:val="00011F21"/>
    <w:rsid w:val="00012059"/>
    <w:rsid w:val="000121F7"/>
    <w:rsid w:val="000126C8"/>
    <w:rsid w:val="00012773"/>
    <w:rsid w:val="000127FA"/>
    <w:rsid w:val="00012B4A"/>
    <w:rsid w:val="00012B4E"/>
    <w:rsid w:val="00012E16"/>
    <w:rsid w:val="000132FD"/>
    <w:rsid w:val="00013AA8"/>
    <w:rsid w:val="00014125"/>
    <w:rsid w:val="00014520"/>
    <w:rsid w:val="0001462A"/>
    <w:rsid w:val="0001591D"/>
    <w:rsid w:val="00015A26"/>
    <w:rsid w:val="00015BC7"/>
    <w:rsid w:val="00015DA2"/>
    <w:rsid w:val="00015E21"/>
    <w:rsid w:val="00015F27"/>
    <w:rsid w:val="00015FD5"/>
    <w:rsid w:val="0001663E"/>
    <w:rsid w:val="000167EB"/>
    <w:rsid w:val="00016816"/>
    <w:rsid w:val="0001688C"/>
    <w:rsid w:val="00016C26"/>
    <w:rsid w:val="00016D25"/>
    <w:rsid w:val="000178B2"/>
    <w:rsid w:val="00017904"/>
    <w:rsid w:val="00020AB2"/>
    <w:rsid w:val="000218B9"/>
    <w:rsid w:val="00022CF7"/>
    <w:rsid w:val="00022DE5"/>
    <w:rsid w:val="00023D71"/>
    <w:rsid w:val="00023D9E"/>
    <w:rsid w:val="00023E1A"/>
    <w:rsid w:val="00023FF0"/>
    <w:rsid w:val="000242C0"/>
    <w:rsid w:val="00024533"/>
    <w:rsid w:val="00024737"/>
    <w:rsid w:val="00024B2A"/>
    <w:rsid w:val="00024C7F"/>
    <w:rsid w:val="000255D2"/>
    <w:rsid w:val="00025664"/>
    <w:rsid w:val="00025948"/>
    <w:rsid w:val="00025FDA"/>
    <w:rsid w:val="00026086"/>
    <w:rsid w:val="00026191"/>
    <w:rsid w:val="000268C9"/>
    <w:rsid w:val="00026D08"/>
    <w:rsid w:val="0002767E"/>
    <w:rsid w:val="00030250"/>
    <w:rsid w:val="00030282"/>
    <w:rsid w:val="0003028A"/>
    <w:rsid w:val="0003090D"/>
    <w:rsid w:val="00030D1C"/>
    <w:rsid w:val="00030EC1"/>
    <w:rsid w:val="00031008"/>
    <w:rsid w:val="0003101D"/>
    <w:rsid w:val="00031096"/>
    <w:rsid w:val="000316F3"/>
    <w:rsid w:val="000318F9"/>
    <w:rsid w:val="00031A1C"/>
    <w:rsid w:val="00031D1D"/>
    <w:rsid w:val="00031D28"/>
    <w:rsid w:val="00032083"/>
    <w:rsid w:val="00032513"/>
    <w:rsid w:val="00032560"/>
    <w:rsid w:val="00032F1A"/>
    <w:rsid w:val="0003336B"/>
    <w:rsid w:val="0003358E"/>
    <w:rsid w:val="00033A0E"/>
    <w:rsid w:val="00033B10"/>
    <w:rsid w:val="00033C6C"/>
    <w:rsid w:val="00033DA1"/>
    <w:rsid w:val="00033FBB"/>
    <w:rsid w:val="00033FFC"/>
    <w:rsid w:val="000341D4"/>
    <w:rsid w:val="00034241"/>
    <w:rsid w:val="0003442D"/>
    <w:rsid w:val="00034943"/>
    <w:rsid w:val="00034D75"/>
    <w:rsid w:val="00034E20"/>
    <w:rsid w:val="00035213"/>
    <w:rsid w:val="00035B61"/>
    <w:rsid w:val="00035E1F"/>
    <w:rsid w:val="00036893"/>
    <w:rsid w:val="00037417"/>
    <w:rsid w:val="00037611"/>
    <w:rsid w:val="00037D78"/>
    <w:rsid w:val="0004014F"/>
    <w:rsid w:val="00041185"/>
    <w:rsid w:val="000417A4"/>
    <w:rsid w:val="00041895"/>
    <w:rsid w:val="000421BC"/>
    <w:rsid w:val="000425C7"/>
    <w:rsid w:val="000429CE"/>
    <w:rsid w:val="00042EFF"/>
    <w:rsid w:val="000434AF"/>
    <w:rsid w:val="00043A48"/>
    <w:rsid w:val="00043D90"/>
    <w:rsid w:val="00044445"/>
    <w:rsid w:val="00044DB1"/>
    <w:rsid w:val="00045103"/>
    <w:rsid w:val="000457C1"/>
    <w:rsid w:val="00045F4F"/>
    <w:rsid w:val="0004617B"/>
    <w:rsid w:val="00046258"/>
    <w:rsid w:val="000463B7"/>
    <w:rsid w:val="00046661"/>
    <w:rsid w:val="000471EE"/>
    <w:rsid w:val="00047A67"/>
    <w:rsid w:val="00047D36"/>
    <w:rsid w:val="00047DDE"/>
    <w:rsid w:val="00050538"/>
    <w:rsid w:val="00051015"/>
    <w:rsid w:val="0005157D"/>
    <w:rsid w:val="00051BCD"/>
    <w:rsid w:val="00051D6B"/>
    <w:rsid w:val="00052171"/>
    <w:rsid w:val="0005266E"/>
    <w:rsid w:val="00052A08"/>
    <w:rsid w:val="00052C6F"/>
    <w:rsid w:val="00052E2E"/>
    <w:rsid w:val="00052EFF"/>
    <w:rsid w:val="00053647"/>
    <w:rsid w:val="00053C23"/>
    <w:rsid w:val="00053E70"/>
    <w:rsid w:val="00054083"/>
    <w:rsid w:val="00054562"/>
    <w:rsid w:val="00054C13"/>
    <w:rsid w:val="00054D23"/>
    <w:rsid w:val="0005516A"/>
    <w:rsid w:val="000553B8"/>
    <w:rsid w:val="000558CE"/>
    <w:rsid w:val="00055C3A"/>
    <w:rsid w:val="0005635F"/>
    <w:rsid w:val="0005664F"/>
    <w:rsid w:val="00056E1D"/>
    <w:rsid w:val="00056F2B"/>
    <w:rsid w:val="0005717D"/>
    <w:rsid w:val="000573B8"/>
    <w:rsid w:val="000577E7"/>
    <w:rsid w:val="00057912"/>
    <w:rsid w:val="000609D1"/>
    <w:rsid w:val="0006117D"/>
    <w:rsid w:val="00061657"/>
    <w:rsid w:val="000618AE"/>
    <w:rsid w:val="00061DD8"/>
    <w:rsid w:val="000620F8"/>
    <w:rsid w:val="00062702"/>
    <w:rsid w:val="0006270A"/>
    <w:rsid w:val="00062C72"/>
    <w:rsid w:val="00063255"/>
    <w:rsid w:val="00063535"/>
    <w:rsid w:val="000636BA"/>
    <w:rsid w:val="000645B0"/>
    <w:rsid w:val="00064D16"/>
    <w:rsid w:val="00064E6D"/>
    <w:rsid w:val="00065E04"/>
    <w:rsid w:val="00066403"/>
    <w:rsid w:val="0006651F"/>
    <w:rsid w:val="00066898"/>
    <w:rsid w:val="00066A19"/>
    <w:rsid w:val="00066ED8"/>
    <w:rsid w:val="00067ADA"/>
    <w:rsid w:val="000703FF"/>
    <w:rsid w:val="00070B36"/>
    <w:rsid w:val="00070C72"/>
    <w:rsid w:val="00070ED6"/>
    <w:rsid w:val="00071016"/>
    <w:rsid w:val="000711B1"/>
    <w:rsid w:val="00071911"/>
    <w:rsid w:val="000719ED"/>
    <w:rsid w:val="00071E6B"/>
    <w:rsid w:val="00071F0C"/>
    <w:rsid w:val="00072D29"/>
    <w:rsid w:val="00073759"/>
    <w:rsid w:val="00073EF4"/>
    <w:rsid w:val="00073F23"/>
    <w:rsid w:val="000748D7"/>
    <w:rsid w:val="000751E6"/>
    <w:rsid w:val="000762B4"/>
    <w:rsid w:val="0007659D"/>
    <w:rsid w:val="00076D54"/>
    <w:rsid w:val="0007706D"/>
    <w:rsid w:val="00077E1E"/>
    <w:rsid w:val="00077F17"/>
    <w:rsid w:val="000801B9"/>
    <w:rsid w:val="000805BF"/>
    <w:rsid w:val="0008180F"/>
    <w:rsid w:val="00081879"/>
    <w:rsid w:val="000819EF"/>
    <w:rsid w:val="00081B82"/>
    <w:rsid w:val="00081EC1"/>
    <w:rsid w:val="0008215D"/>
    <w:rsid w:val="000825F4"/>
    <w:rsid w:val="0008279F"/>
    <w:rsid w:val="000828C0"/>
    <w:rsid w:val="0008291A"/>
    <w:rsid w:val="00083B3E"/>
    <w:rsid w:val="00083C38"/>
    <w:rsid w:val="000848F8"/>
    <w:rsid w:val="0008511C"/>
    <w:rsid w:val="0008528B"/>
    <w:rsid w:val="00085535"/>
    <w:rsid w:val="0008577C"/>
    <w:rsid w:val="00085B70"/>
    <w:rsid w:val="00086071"/>
    <w:rsid w:val="0008632E"/>
    <w:rsid w:val="00086D20"/>
    <w:rsid w:val="00087145"/>
    <w:rsid w:val="0009054E"/>
    <w:rsid w:val="00090A9D"/>
    <w:rsid w:val="00090FD6"/>
    <w:rsid w:val="00091A66"/>
    <w:rsid w:val="00091BE6"/>
    <w:rsid w:val="00092024"/>
    <w:rsid w:val="00092BDD"/>
    <w:rsid w:val="00093BC7"/>
    <w:rsid w:val="000942ED"/>
    <w:rsid w:val="00094597"/>
    <w:rsid w:val="00094CAE"/>
    <w:rsid w:val="000952ED"/>
    <w:rsid w:val="00095857"/>
    <w:rsid w:val="00095942"/>
    <w:rsid w:val="000962A7"/>
    <w:rsid w:val="00096AE3"/>
    <w:rsid w:val="00096D22"/>
    <w:rsid w:val="00096E43"/>
    <w:rsid w:val="00096F3E"/>
    <w:rsid w:val="00097021"/>
    <w:rsid w:val="000971F6"/>
    <w:rsid w:val="00097219"/>
    <w:rsid w:val="0009756C"/>
    <w:rsid w:val="000A0451"/>
    <w:rsid w:val="000A0536"/>
    <w:rsid w:val="000A0BB6"/>
    <w:rsid w:val="000A11EA"/>
    <w:rsid w:val="000A15E9"/>
    <w:rsid w:val="000A194E"/>
    <w:rsid w:val="000A1B06"/>
    <w:rsid w:val="000A1EDB"/>
    <w:rsid w:val="000A30D6"/>
    <w:rsid w:val="000A3EBC"/>
    <w:rsid w:val="000A446D"/>
    <w:rsid w:val="000A4580"/>
    <w:rsid w:val="000A4C5A"/>
    <w:rsid w:val="000A4C5F"/>
    <w:rsid w:val="000A4F8E"/>
    <w:rsid w:val="000A59BC"/>
    <w:rsid w:val="000A5B74"/>
    <w:rsid w:val="000A6213"/>
    <w:rsid w:val="000A639C"/>
    <w:rsid w:val="000A6802"/>
    <w:rsid w:val="000A7098"/>
    <w:rsid w:val="000A7B2E"/>
    <w:rsid w:val="000A7E5C"/>
    <w:rsid w:val="000A7EA6"/>
    <w:rsid w:val="000B0052"/>
    <w:rsid w:val="000B0853"/>
    <w:rsid w:val="000B0B00"/>
    <w:rsid w:val="000B0D92"/>
    <w:rsid w:val="000B0F52"/>
    <w:rsid w:val="000B1114"/>
    <w:rsid w:val="000B119C"/>
    <w:rsid w:val="000B337B"/>
    <w:rsid w:val="000B365D"/>
    <w:rsid w:val="000B3B94"/>
    <w:rsid w:val="000B3BFD"/>
    <w:rsid w:val="000B3E6C"/>
    <w:rsid w:val="000B4033"/>
    <w:rsid w:val="000B4351"/>
    <w:rsid w:val="000B4A83"/>
    <w:rsid w:val="000B4BD7"/>
    <w:rsid w:val="000B4CAE"/>
    <w:rsid w:val="000B4DAC"/>
    <w:rsid w:val="000B58EA"/>
    <w:rsid w:val="000B593E"/>
    <w:rsid w:val="000B631A"/>
    <w:rsid w:val="000B68A3"/>
    <w:rsid w:val="000B6A0E"/>
    <w:rsid w:val="000B6A21"/>
    <w:rsid w:val="000B7124"/>
    <w:rsid w:val="000B728E"/>
    <w:rsid w:val="000B75C4"/>
    <w:rsid w:val="000C01D9"/>
    <w:rsid w:val="000C0292"/>
    <w:rsid w:val="000C0364"/>
    <w:rsid w:val="000C0CEE"/>
    <w:rsid w:val="000C0F26"/>
    <w:rsid w:val="000C15F6"/>
    <w:rsid w:val="000C16C1"/>
    <w:rsid w:val="000C2352"/>
    <w:rsid w:val="000C24C4"/>
    <w:rsid w:val="000C2551"/>
    <w:rsid w:val="000C277B"/>
    <w:rsid w:val="000C29EC"/>
    <w:rsid w:val="000C3224"/>
    <w:rsid w:val="000C334F"/>
    <w:rsid w:val="000C39F5"/>
    <w:rsid w:val="000C39FE"/>
    <w:rsid w:val="000C3E71"/>
    <w:rsid w:val="000C476A"/>
    <w:rsid w:val="000C49D7"/>
    <w:rsid w:val="000C4ACA"/>
    <w:rsid w:val="000C4DD2"/>
    <w:rsid w:val="000C5533"/>
    <w:rsid w:val="000C5735"/>
    <w:rsid w:val="000C5779"/>
    <w:rsid w:val="000C5F85"/>
    <w:rsid w:val="000C6808"/>
    <w:rsid w:val="000C68EE"/>
    <w:rsid w:val="000C6F20"/>
    <w:rsid w:val="000C744D"/>
    <w:rsid w:val="000C748D"/>
    <w:rsid w:val="000C7C5B"/>
    <w:rsid w:val="000C7EC3"/>
    <w:rsid w:val="000D00DB"/>
    <w:rsid w:val="000D010B"/>
    <w:rsid w:val="000D0134"/>
    <w:rsid w:val="000D0185"/>
    <w:rsid w:val="000D05C9"/>
    <w:rsid w:val="000D0A97"/>
    <w:rsid w:val="000D0E83"/>
    <w:rsid w:val="000D0FA2"/>
    <w:rsid w:val="000D0FF4"/>
    <w:rsid w:val="000D126C"/>
    <w:rsid w:val="000D1BB0"/>
    <w:rsid w:val="000D2075"/>
    <w:rsid w:val="000D33E1"/>
    <w:rsid w:val="000D38A0"/>
    <w:rsid w:val="000D3C5A"/>
    <w:rsid w:val="000D3F56"/>
    <w:rsid w:val="000D4D68"/>
    <w:rsid w:val="000D53E9"/>
    <w:rsid w:val="000D56DC"/>
    <w:rsid w:val="000D591A"/>
    <w:rsid w:val="000D5AE4"/>
    <w:rsid w:val="000D5E2E"/>
    <w:rsid w:val="000D6056"/>
    <w:rsid w:val="000D619A"/>
    <w:rsid w:val="000D62D4"/>
    <w:rsid w:val="000D678D"/>
    <w:rsid w:val="000D6BBB"/>
    <w:rsid w:val="000D6FF4"/>
    <w:rsid w:val="000D7181"/>
    <w:rsid w:val="000D719C"/>
    <w:rsid w:val="000E0595"/>
    <w:rsid w:val="000E0B50"/>
    <w:rsid w:val="000E1029"/>
    <w:rsid w:val="000E2035"/>
    <w:rsid w:val="000E268A"/>
    <w:rsid w:val="000E2AA4"/>
    <w:rsid w:val="000E2E34"/>
    <w:rsid w:val="000E3173"/>
    <w:rsid w:val="000E347F"/>
    <w:rsid w:val="000E3AF7"/>
    <w:rsid w:val="000E44EB"/>
    <w:rsid w:val="000E45C5"/>
    <w:rsid w:val="000E484A"/>
    <w:rsid w:val="000E4C0A"/>
    <w:rsid w:val="000E4D6E"/>
    <w:rsid w:val="000E507D"/>
    <w:rsid w:val="000E52BF"/>
    <w:rsid w:val="000E5333"/>
    <w:rsid w:val="000E5445"/>
    <w:rsid w:val="000E55A6"/>
    <w:rsid w:val="000E5AB3"/>
    <w:rsid w:val="000E5C4E"/>
    <w:rsid w:val="000E66A0"/>
    <w:rsid w:val="000E68F7"/>
    <w:rsid w:val="000E6A02"/>
    <w:rsid w:val="000E6D72"/>
    <w:rsid w:val="000E709B"/>
    <w:rsid w:val="000F00C7"/>
    <w:rsid w:val="000F0596"/>
    <w:rsid w:val="000F13B2"/>
    <w:rsid w:val="000F155C"/>
    <w:rsid w:val="000F194B"/>
    <w:rsid w:val="000F1B3C"/>
    <w:rsid w:val="000F2340"/>
    <w:rsid w:val="000F23E9"/>
    <w:rsid w:val="000F273A"/>
    <w:rsid w:val="000F2762"/>
    <w:rsid w:val="000F2785"/>
    <w:rsid w:val="000F2F75"/>
    <w:rsid w:val="000F316F"/>
    <w:rsid w:val="000F3B45"/>
    <w:rsid w:val="000F423D"/>
    <w:rsid w:val="000F4658"/>
    <w:rsid w:val="000F5109"/>
    <w:rsid w:val="000F520B"/>
    <w:rsid w:val="000F5501"/>
    <w:rsid w:val="000F56B0"/>
    <w:rsid w:val="000F6138"/>
    <w:rsid w:val="000F63B1"/>
    <w:rsid w:val="000F669C"/>
    <w:rsid w:val="000F684D"/>
    <w:rsid w:val="000F6B9D"/>
    <w:rsid w:val="000F6CBE"/>
    <w:rsid w:val="000F6D62"/>
    <w:rsid w:val="000F7696"/>
    <w:rsid w:val="000F76E5"/>
    <w:rsid w:val="0010021F"/>
    <w:rsid w:val="001006D0"/>
    <w:rsid w:val="00100FC0"/>
    <w:rsid w:val="00101393"/>
    <w:rsid w:val="00101706"/>
    <w:rsid w:val="00101B10"/>
    <w:rsid w:val="0010235B"/>
    <w:rsid w:val="00102382"/>
    <w:rsid w:val="00102F63"/>
    <w:rsid w:val="00104476"/>
    <w:rsid w:val="00104CF2"/>
    <w:rsid w:val="001054B2"/>
    <w:rsid w:val="0010564E"/>
    <w:rsid w:val="00105808"/>
    <w:rsid w:val="0010643C"/>
    <w:rsid w:val="00106594"/>
    <w:rsid w:val="001066D9"/>
    <w:rsid w:val="00106C6D"/>
    <w:rsid w:val="00106CBB"/>
    <w:rsid w:val="00107CF7"/>
    <w:rsid w:val="00107DA5"/>
    <w:rsid w:val="001106A9"/>
    <w:rsid w:val="001107CE"/>
    <w:rsid w:val="0011097C"/>
    <w:rsid w:val="001109FE"/>
    <w:rsid w:val="00110DE8"/>
    <w:rsid w:val="00111172"/>
    <w:rsid w:val="00111265"/>
    <w:rsid w:val="00111364"/>
    <w:rsid w:val="00111456"/>
    <w:rsid w:val="00111458"/>
    <w:rsid w:val="00111626"/>
    <w:rsid w:val="0011172C"/>
    <w:rsid w:val="00111962"/>
    <w:rsid w:val="00111BF0"/>
    <w:rsid w:val="00111BF3"/>
    <w:rsid w:val="00112274"/>
    <w:rsid w:val="0011231F"/>
    <w:rsid w:val="00112510"/>
    <w:rsid w:val="001129DE"/>
    <w:rsid w:val="00112B31"/>
    <w:rsid w:val="00112BC8"/>
    <w:rsid w:val="00113391"/>
    <w:rsid w:val="0011352D"/>
    <w:rsid w:val="00113E32"/>
    <w:rsid w:val="00113EF9"/>
    <w:rsid w:val="00114BB0"/>
    <w:rsid w:val="00114BF3"/>
    <w:rsid w:val="00114DFF"/>
    <w:rsid w:val="0011500E"/>
    <w:rsid w:val="0011518A"/>
    <w:rsid w:val="00115213"/>
    <w:rsid w:val="001154EF"/>
    <w:rsid w:val="00115744"/>
    <w:rsid w:val="001164F8"/>
    <w:rsid w:val="00116C51"/>
    <w:rsid w:val="00116E0C"/>
    <w:rsid w:val="001170A1"/>
    <w:rsid w:val="001175D5"/>
    <w:rsid w:val="00117668"/>
    <w:rsid w:val="00117B02"/>
    <w:rsid w:val="00117D9B"/>
    <w:rsid w:val="00120E27"/>
    <w:rsid w:val="001213C2"/>
    <w:rsid w:val="00121537"/>
    <w:rsid w:val="001221E9"/>
    <w:rsid w:val="00122A71"/>
    <w:rsid w:val="001241B9"/>
    <w:rsid w:val="00125A69"/>
    <w:rsid w:val="00126403"/>
    <w:rsid w:val="0012672E"/>
    <w:rsid w:val="00126922"/>
    <w:rsid w:val="0012694D"/>
    <w:rsid w:val="00127702"/>
    <w:rsid w:val="001279CA"/>
    <w:rsid w:val="00127B2F"/>
    <w:rsid w:val="00127D86"/>
    <w:rsid w:val="00127E7B"/>
    <w:rsid w:val="00127EDD"/>
    <w:rsid w:val="00130E40"/>
    <w:rsid w:val="001312CC"/>
    <w:rsid w:val="00131D2F"/>
    <w:rsid w:val="00132660"/>
    <w:rsid w:val="001329B1"/>
    <w:rsid w:val="00132D3B"/>
    <w:rsid w:val="00133D35"/>
    <w:rsid w:val="0013449F"/>
    <w:rsid w:val="001348C4"/>
    <w:rsid w:val="00135AE8"/>
    <w:rsid w:val="00135B09"/>
    <w:rsid w:val="00135F5B"/>
    <w:rsid w:val="00136278"/>
    <w:rsid w:val="0013662A"/>
    <w:rsid w:val="00136AC3"/>
    <w:rsid w:val="00137067"/>
    <w:rsid w:val="00137672"/>
    <w:rsid w:val="00137B54"/>
    <w:rsid w:val="00137D96"/>
    <w:rsid w:val="00140EFD"/>
    <w:rsid w:val="00141222"/>
    <w:rsid w:val="001418A6"/>
    <w:rsid w:val="00142177"/>
    <w:rsid w:val="00142874"/>
    <w:rsid w:val="00142C93"/>
    <w:rsid w:val="001432B6"/>
    <w:rsid w:val="0014389D"/>
    <w:rsid w:val="00143DFC"/>
    <w:rsid w:val="00143E3C"/>
    <w:rsid w:val="001440CC"/>
    <w:rsid w:val="0014490F"/>
    <w:rsid w:val="00145009"/>
    <w:rsid w:val="001450AD"/>
    <w:rsid w:val="00145218"/>
    <w:rsid w:val="00145453"/>
    <w:rsid w:val="0014584A"/>
    <w:rsid w:val="00145C73"/>
    <w:rsid w:val="00145CB8"/>
    <w:rsid w:val="0014607A"/>
    <w:rsid w:val="00146CD9"/>
    <w:rsid w:val="00146F2D"/>
    <w:rsid w:val="00147151"/>
    <w:rsid w:val="00150B9B"/>
    <w:rsid w:val="00150E6E"/>
    <w:rsid w:val="00150F07"/>
    <w:rsid w:val="001510E7"/>
    <w:rsid w:val="00151485"/>
    <w:rsid w:val="0015197B"/>
    <w:rsid w:val="00151B60"/>
    <w:rsid w:val="00151BBE"/>
    <w:rsid w:val="00151C1F"/>
    <w:rsid w:val="00152198"/>
    <w:rsid w:val="0015227C"/>
    <w:rsid w:val="0015285D"/>
    <w:rsid w:val="00152932"/>
    <w:rsid w:val="00152B78"/>
    <w:rsid w:val="00152BAD"/>
    <w:rsid w:val="00152DD6"/>
    <w:rsid w:val="00152EC2"/>
    <w:rsid w:val="0015320F"/>
    <w:rsid w:val="001533B2"/>
    <w:rsid w:val="00153525"/>
    <w:rsid w:val="00154AC3"/>
    <w:rsid w:val="00155E98"/>
    <w:rsid w:val="00156161"/>
    <w:rsid w:val="00156571"/>
    <w:rsid w:val="00156B0D"/>
    <w:rsid w:val="00156BBE"/>
    <w:rsid w:val="00157833"/>
    <w:rsid w:val="001578AB"/>
    <w:rsid w:val="00160554"/>
    <w:rsid w:val="00160899"/>
    <w:rsid w:val="00160EA0"/>
    <w:rsid w:val="00160F39"/>
    <w:rsid w:val="001615BF"/>
    <w:rsid w:val="001618E8"/>
    <w:rsid w:val="00161F31"/>
    <w:rsid w:val="00162057"/>
    <w:rsid w:val="0016274F"/>
    <w:rsid w:val="00162FDC"/>
    <w:rsid w:val="001630FF"/>
    <w:rsid w:val="00163435"/>
    <w:rsid w:val="00163486"/>
    <w:rsid w:val="001635A2"/>
    <w:rsid w:val="00163F35"/>
    <w:rsid w:val="001643B6"/>
    <w:rsid w:val="00164CDC"/>
    <w:rsid w:val="00165D6E"/>
    <w:rsid w:val="00165DCF"/>
    <w:rsid w:val="001666AC"/>
    <w:rsid w:val="00166CCE"/>
    <w:rsid w:val="00166E95"/>
    <w:rsid w:val="00166FD0"/>
    <w:rsid w:val="0016721C"/>
    <w:rsid w:val="0016734F"/>
    <w:rsid w:val="00167AF8"/>
    <w:rsid w:val="00167EBB"/>
    <w:rsid w:val="00170C69"/>
    <w:rsid w:val="00170EBF"/>
    <w:rsid w:val="0017112A"/>
    <w:rsid w:val="00171290"/>
    <w:rsid w:val="00171378"/>
    <w:rsid w:val="001713C7"/>
    <w:rsid w:val="00171528"/>
    <w:rsid w:val="00171B15"/>
    <w:rsid w:val="001720BC"/>
    <w:rsid w:val="0017268C"/>
    <w:rsid w:val="001726B5"/>
    <w:rsid w:val="0017283C"/>
    <w:rsid w:val="00172985"/>
    <w:rsid w:val="00173FC2"/>
    <w:rsid w:val="001742AC"/>
    <w:rsid w:val="00174474"/>
    <w:rsid w:val="00174920"/>
    <w:rsid w:val="00174D07"/>
    <w:rsid w:val="00175307"/>
    <w:rsid w:val="001753AE"/>
    <w:rsid w:val="001754B3"/>
    <w:rsid w:val="0017590D"/>
    <w:rsid w:val="001759B8"/>
    <w:rsid w:val="00175B27"/>
    <w:rsid w:val="001760D1"/>
    <w:rsid w:val="001762AE"/>
    <w:rsid w:val="0017679D"/>
    <w:rsid w:val="00176EF3"/>
    <w:rsid w:val="00177519"/>
    <w:rsid w:val="00177B89"/>
    <w:rsid w:val="001800FF"/>
    <w:rsid w:val="001801DB"/>
    <w:rsid w:val="00180A27"/>
    <w:rsid w:val="00180BEE"/>
    <w:rsid w:val="00180C53"/>
    <w:rsid w:val="00180DEF"/>
    <w:rsid w:val="00180E59"/>
    <w:rsid w:val="00180F59"/>
    <w:rsid w:val="001810AC"/>
    <w:rsid w:val="001811D4"/>
    <w:rsid w:val="00181E4C"/>
    <w:rsid w:val="001820FD"/>
    <w:rsid w:val="00182148"/>
    <w:rsid w:val="001826B6"/>
    <w:rsid w:val="001828EB"/>
    <w:rsid w:val="00183376"/>
    <w:rsid w:val="00183592"/>
    <w:rsid w:val="0018371E"/>
    <w:rsid w:val="001838C5"/>
    <w:rsid w:val="0018395A"/>
    <w:rsid w:val="00183AF6"/>
    <w:rsid w:val="00183B96"/>
    <w:rsid w:val="00183BB5"/>
    <w:rsid w:val="0018407B"/>
    <w:rsid w:val="0018410E"/>
    <w:rsid w:val="00184267"/>
    <w:rsid w:val="00184425"/>
    <w:rsid w:val="0018447C"/>
    <w:rsid w:val="00184D08"/>
    <w:rsid w:val="00184D6E"/>
    <w:rsid w:val="00185206"/>
    <w:rsid w:val="00185476"/>
    <w:rsid w:val="00185AD5"/>
    <w:rsid w:val="00185C71"/>
    <w:rsid w:val="00185F77"/>
    <w:rsid w:val="0018631A"/>
    <w:rsid w:val="00186F02"/>
    <w:rsid w:val="00186F54"/>
    <w:rsid w:val="00187081"/>
    <w:rsid w:val="00187432"/>
    <w:rsid w:val="0018743F"/>
    <w:rsid w:val="0018787E"/>
    <w:rsid w:val="001879EF"/>
    <w:rsid w:val="00187C83"/>
    <w:rsid w:val="00190382"/>
    <w:rsid w:val="001903C1"/>
    <w:rsid w:val="001908B4"/>
    <w:rsid w:val="001909E2"/>
    <w:rsid w:val="00190CF6"/>
    <w:rsid w:val="001911B5"/>
    <w:rsid w:val="0019125E"/>
    <w:rsid w:val="001924EB"/>
    <w:rsid w:val="00192914"/>
    <w:rsid w:val="00192CD2"/>
    <w:rsid w:val="0019380D"/>
    <w:rsid w:val="00193930"/>
    <w:rsid w:val="00193980"/>
    <w:rsid w:val="001943C5"/>
    <w:rsid w:val="00194849"/>
    <w:rsid w:val="001948F1"/>
    <w:rsid w:val="00194D60"/>
    <w:rsid w:val="0019528F"/>
    <w:rsid w:val="001952C9"/>
    <w:rsid w:val="001958E6"/>
    <w:rsid w:val="00195A75"/>
    <w:rsid w:val="00195CE6"/>
    <w:rsid w:val="001963A3"/>
    <w:rsid w:val="00196700"/>
    <w:rsid w:val="00196796"/>
    <w:rsid w:val="00196CFD"/>
    <w:rsid w:val="001972C7"/>
    <w:rsid w:val="00197537"/>
    <w:rsid w:val="00197596"/>
    <w:rsid w:val="00197B44"/>
    <w:rsid w:val="00197FC4"/>
    <w:rsid w:val="001A01E1"/>
    <w:rsid w:val="001A0409"/>
    <w:rsid w:val="001A04E4"/>
    <w:rsid w:val="001A0EBE"/>
    <w:rsid w:val="001A14A8"/>
    <w:rsid w:val="001A19AD"/>
    <w:rsid w:val="001A1ABA"/>
    <w:rsid w:val="001A276D"/>
    <w:rsid w:val="001A2866"/>
    <w:rsid w:val="001A3C43"/>
    <w:rsid w:val="001A3F65"/>
    <w:rsid w:val="001A405D"/>
    <w:rsid w:val="001A452B"/>
    <w:rsid w:val="001A4763"/>
    <w:rsid w:val="001A4FBA"/>
    <w:rsid w:val="001A502B"/>
    <w:rsid w:val="001A52EC"/>
    <w:rsid w:val="001A6CB3"/>
    <w:rsid w:val="001A6FD8"/>
    <w:rsid w:val="001A752C"/>
    <w:rsid w:val="001A7F31"/>
    <w:rsid w:val="001B03DF"/>
    <w:rsid w:val="001B0E65"/>
    <w:rsid w:val="001B0F4B"/>
    <w:rsid w:val="001B12B2"/>
    <w:rsid w:val="001B1F30"/>
    <w:rsid w:val="001B1F75"/>
    <w:rsid w:val="001B212F"/>
    <w:rsid w:val="001B2693"/>
    <w:rsid w:val="001B2962"/>
    <w:rsid w:val="001B32DE"/>
    <w:rsid w:val="001B3501"/>
    <w:rsid w:val="001B3F4E"/>
    <w:rsid w:val="001B423B"/>
    <w:rsid w:val="001B464D"/>
    <w:rsid w:val="001B4868"/>
    <w:rsid w:val="001B4CCB"/>
    <w:rsid w:val="001B531E"/>
    <w:rsid w:val="001B54DC"/>
    <w:rsid w:val="001B6481"/>
    <w:rsid w:val="001B654E"/>
    <w:rsid w:val="001B65D3"/>
    <w:rsid w:val="001B6F58"/>
    <w:rsid w:val="001B71AF"/>
    <w:rsid w:val="001B748D"/>
    <w:rsid w:val="001B7E07"/>
    <w:rsid w:val="001C010F"/>
    <w:rsid w:val="001C06E8"/>
    <w:rsid w:val="001C0F80"/>
    <w:rsid w:val="001C1771"/>
    <w:rsid w:val="001C1919"/>
    <w:rsid w:val="001C1ECE"/>
    <w:rsid w:val="001C4DA1"/>
    <w:rsid w:val="001C50DE"/>
    <w:rsid w:val="001C5677"/>
    <w:rsid w:val="001C5691"/>
    <w:rsid w:val="001C5868"/>
    <w:rsid w:val="001C58F1"/>
    <w:rsid w:val="001C5C08"/>
    <w:rsid w:val="001C5EE3"/>
    <w:rsid w:val="001C64ED"/>
    <w:rsid w:val="001C6B2E"/>
    <w:rsid w:val="001C6D0C"/>
    <w:rsid w:val="001C76DD"/>
    <w:rsid w:val="001C7818"/>
    <w:rsid w:val="001C7A38"/>
    <w:rsid w:val="001D039E"/>
    <w:rsid w:val="001D0CCC"/>
    <w:rsid w:val="001D1377"/>
    <w:rsid w:val="001D14D5"/>
    <w:rsid w:val="001D1A7C"/>
    <w:rsid w:val="001D1C32"/>
    <w:rsid w:val="001D1EDB"/>
    <w:rsid w:val="001D2252"/>
    <w:rsid w:val="001D2887"/>
    <w:rsid w:val="001D35D9"/>
    <w:rsid w:val="001D5BEF"/>
    <w:rsid w:val="001D6141"/>
    <w:rsid w:val="001D6E90"/>
    <w:rsid w:val="001D6FAD"/>
    <w:rsid w:val="001D7C56"/>
    <w:rsid w:val="001D7C6F"/>
    <w:rsid w:val="001D7D90"/>
    <w:rsid w:val="001D7ED3"/>
    <w:rsid w:val="001E04F5"/>
    <w:rsid w:val="001E08A8"/>
    <w:rsid w:val="001E0950"/>
    <w:rsid w:val="001E158E"/>
    <w:rsid w:val="001E16F0"/>
    <w:rsid w:val="001E1810"/>
    <w:rsid w:val="001E1A2D"/>
    <w:rsid w:val="001E1A43"/>
    <w:rsid w:val="001E1D90"/>
    <w:rsid w:val="001E2212"/>
    <w:rsid w:val="001E2715"/>
    <w:rsid w:val="001E2721"/>
    <w:rsid w:val="001E2CC6"/>
    <w:rsid w:val="001E31E8"/>
    <w:rsid w:val="001E3406"/>
    <w:rsid w:val="001E3422"/>
    <w:rsid w:val="001E342C"/>
    <w:rsid w:val="001E34B9"/>
    <w:rsid w:val="001E3C04"/>
    <w:rsid w:val="001E3D16"/>
    <w:rsid w:val="001E40F2"/>
    <w:rsid w:val="001E52D7"/>
    <w:rsid w:val="001E59DD"/>
    <w:rsid w:val="001E5A41"/>
    <w:rsid w:val="001E6012"/>
    <w:rsid w:val="001E603E"/>
    <w:rsid w:val="001E66F3"/>
    <w:rsid w:val="001E70E0"/>
    <w:rsid w:val="001E7626"/>
    <w:rsid w:val="001E7D5A"/>
    <w:rsid w:val="001F072D"/>
    <w:rsid w:val="001F09AE"/>
    <w:rsid w:val="001F11AE"/>
    <w:rsid w:val="001F1864"/>
    <w:rsid w:val="001F1967"/>
    <w:rsid w:val="001F21FD"/>
    <w:rsid w:val="001F28C2"/>
    <w:rsid w:val="001F2BDF"/>
    <w:rsid w:val="001F3228"/>
    <w:rsid w:val="001F3A2A"/>
    <w:rsid w:val="001F408E"/>
    <w:rsid w:val="001F434E"/>
    <w:rsid w:val="001F46A1"/>
    <w:rsid w:val="001F47F8"/>
    <w:rsid w:val="001F4998"/>
    <w:rsid w:val="001F50E8"/>
    <w:rsid w:val="001F51B0"/>
    <w:rsid w:val="001F51F4"/>
    <w:rsid w:val="001F53FE"/>
    <w:rsid w:val="001F5E9C"/>
    <w:rsid w:val="001F668D"/>
    <w:rsid w:val="001F67EC"/>
    <w:rsid w:val="001F6D7A"/>
    <w:rsid w:val="001F727D"/>
    <w:rsid w:val="001F797C"/>
    <w:rsid w:val="001F7D2C"/>
    <w:rsid w:val="00200357"/>
    <w:rsid w:val="0020084A"/>
    <w:rsid w:val="00200946"/>
    <w:rsid w:val="00200E41"/>
    <w:rsid w:val="0020151B"/>
    <w:rsid w:val="0020152B"/>
    <w:rsid w:val="0020156D"/>
    <w:rsid w:val="002021C4"/>
    <w:rsid w:val="0020222E"/>
    <w:rsid w:val="0020256E"/>
    <w:rsid w:val="00202743"/>
    <w:rsid w:val="00203717"/>
    <w:rsid w:val="00203F79"/>
    <w:rsid w:val="0020407A"/>
    <w:rsid w:val="002046F4"/>
    <w:rsid w:val="00204872"/>
    <w:rsid w:val="0020567E"/>
    <w:rsid w:val="0020576D"/>
    <w:rsid w:val="002059F9"/>
    <w:rsid w:val="00205BAC"/>
    <w:rsid w:val="002065CD"/>
    <w:rsid w:val="00206A31"/>
    <w:rsid w:val="002070C0"/>
    <w:rsid w:val="00207657"/>
    <w:rsid w:val="00207D0D"/>
    <w:rsid w:val="00210F63"/>
    <w:rsid w:val="00211101"/>
    <w:rsid w:val="00211159"/>
    <w:rsid w:val="00211420"/>
    <w:rsid w:val="0021168F"/>
    <w:rsid w:val="002118E4"/>
    <w:rsid w:val="00211C52"/>
    <w:rsid w:val="00211D86"/>
    <w:rsid w:val="00212C56"/>
    <w:rsid w:val="00212C9B"/>
    <w:rsid w:val="00212E7E"/>
    <w:rsid w:val="002134E6"/>
    <w:rsid w:val="0021368E"/>
    <w:rsid w:val="00213B9E"/>
    <w:rsid w:val="00214893"/>
    <w:rsid w:val="00214A7A"/>
    <w:rsid w:val="00214C90"/>
    <w:rsid w:val="0021557D"/>
    <w:rsid w:val="00215AA3"/>
    <w:rsid w:val="0021607A"/>
    <w:rsid w:val="0021665E"/>
    <w:rsid w:val="00216981"/>
    <w:rsid w:val="00216C95"/>
    <w:rsid w:val="00217862"/>
    <w:rsid w:val="00217BD5"/>
    <w:rsid w:val="002200B9"/>
    <w:rsid w:val="002206E8"/>
    <w:rsid w:val="002208A1"/>
    <w:rsid w:val="0022112F"/>
    <w:rsid w:val="00221448"/>
    <w:rsid w:val="0022157C"/>
    <w:rsid w:val="002217BB"/>
    <w:rsid w:val="00221956"/>
    <w:rsid w:val="00221C85"/>
    <w:rsid w:val="002221C6"/>
    <w:rsid w:val="00222628"/>
    <w:rsid w:val="00222E8C"/>
    <w:rsid w:val="00222F22"/>
    <w:rsid w:val="00222FCA"/>
    <w:rsid w:val="00223240"/>
    <w:rsid w:val="00223A8D"/>
    <w:rsid w:val="0022400C"/>
    <w:rsid w:val="002245E0"/>
    <w:rsid w:val="00224893"/>
    <w:rsid w:val="00224AA6"/>
    <w:rsid w:val="00225055"/>
    <w:rsid w:val="0022615F"/>
    <w:rsid w:val="002261F1"/>
    <w:rsid w:val="00226362"/>
    <w:rsid w:val="002263EB"/>
    <w:rsid w:val="002264E4"/>
    <w:rsid w:val="0022655C"/>
    <w:rsid w:val="00226897"/>
    <w:rsid w:val="002279F0"/>
    <w:rsid w:val="00227CBE"/>
    <w:rsid w:val="00227D77"/>
    <w:rsid w:val="0023026A"/>
    <w:rsid w:val="00230507"/>
    <w:rsid w:val="00230F80"/>
    <w:rsid w:val="002319D6"/>
    <w:rsid w:val="00232187"/>
    <w:rsid w:val="002322EE"/>
    <w:rsid w:val="00232C9D"/>
    <w:rsid w:val="0023321D"/>
    <w:rsid w:val="002338B9"/>
    <w:rsid w:val="00233E82"/>
    <w:rsid w:val="002346FE"/>
    <w:rsid w:val="00234960"/>
    <w:rsid w:val="00235014"/>
    <w:rsid w:val="002350D9"/>
    <w:rsid w:val="00235908"/>
    <w:rsid w:val="00235FCF"/>
    <w:rsid w:val="00236C2B"/>
    <w:rsid w:val="00236CA8"/>
    <w:rsid w:val="002375D2"/>
    <w:rsid w:val="002377B1"/>
    <w:rsid w:val="002377ED"/>
    <w:rsid w:val="00237BD9"/>
    <w:rsid w:val="00237C9C"/>
    <w:rsid w:val="00237D61"/>
    <w:rsid w:val="00237DD3"/>
    <w:rsid w:val="002400D9"/>
    <w:rsid w:val="00240615"/>
    <w:rsid w:val="002406A0"/>
    <w:rsid w:val="00240F42"/>
    <w:rsid w:val="002411E2"/>
    <w:rsid w:val="00241445"/>
    <w:rsid w:val="00241744"/>
    <w:rsid w:val="0024179E"/>
    <w:rsid w:val="002418AE"/>
    <w:rsid w:val="002418EB"/>
    <w:rsid w:val="00242140"/>
    <w:rsid w:val="00242510"/>
    <w:rsid w:val="002426F1"/>
    <w:rsid w:val="00243833"/>
    <w:rsid w:val="00243DD2"/>
    <w:rsid w:val="00243FFC"/>
    <w:rsid w:val="002440BD"/>
    <w:rsid w:val="00244564"/>
    <w:rsid w:val="002446C8"/>
    <w:rsid w:val="00244E84"/>
    <w:rsid w:val="00245316"/>
    <w:rsid w:val="00245361"/>
    <w:rsid w:val="00245442"/>
    <w:rsid w:val="0024548A"/>
    <w:rsid w:val="002459EC"/>
    <w:rsid w:val="00246160"/>
    <w:rsid w:val="00246519"/>
    <w:rsid w:val="00250257"/>
    <w:rsid w:val="00250B34"/>
    <w:rsid w:val="00250CF7"/>
    <w:rsid w:val="00250F9D"/>
    <w:rsid w:val="00251269"/>
    <w:rsid w:val="00251543"/>
    <w:rsid w:val="002528BF"/>
    <w:rsid w:val="00252B6D"/>
    <w:rsid w:val="00252B88"/>
    <w:rsid w:val="0025339F"/>
    <w:rsid w:val="0025344D"/>
    <w:rsid w:val="00253636"/>
    <w:rsid w:val="002537C1"/>
    <w:rsid w:val="00253BDD"/>
    <w:rsid w:val="00253D38"/>
    <w:rsid w:val="00253F41"/>
    <w:rsid w:val="002540B5"/>
    <w:rsid w:val="0025419A"/>
    <w:rsid w:val="00254403"/>
    <w:rsid w:val="0025446A"/>
    <w:rsid w:val="0025468F"/>
    <w:rsid w:val="00254EA1"/>
    <w:rsid w:val="00254F9F"/>
    <w:rsid w:val="002559CB"/>
    <w:rsid w:val="00256006"/>
    <w:rsid w:val="0025669C"/>
    <w:rsid w:val="00256AF4"/>
    <w:rsid w:val="002573DD"/>
    <w:rsid w:val="00257BB8"/>
    <w:rsid w:val="00260FE9"/>
    <w:rsid w:val="00261632"/>
    <w:rsid w:val="00261751"/>
    <w:rsid w:val="002617F8"/>
    <w:rsid w:val="002618B0"/>
    <w:rsid w:val="00261F7E"/>
    <w:rsid w:val="0026219D"/>
    <w:rsid w:val="002621D1"/>
    <w:rsid w:val="002622BB"/>
    <w:rsid w:val="002622E9"/>
    <w:rsid w:val="00263322"/>
    <w:rsid w:val="00263F80"/>
    <w:rsid w:val="002646C8"/>
    <w:rsid w:val="002648D3"/>
    <w:rsid w:val="00264A78"/>
    <w:rsid w:val="00265377"/>
    <w:rsid w:val="00265C1F"/>
    <w:rsid w:val="002660D8"/>
    <w:rsid w:val="00266481"/>
    <w:rsid w:val="00266585"/>
    <w:rsid w:val="00266905"/>
    <w:rsid w:val="00266C11"/>
    <w:rsid w:val="00267376"/>
    <w:rsid w:val="00267B5F"/>
    <w:rsid w:val="002701B8"/>
    <w:rsid w:val="002703A8"/>
    <w:rsid w:val="002709D3"/>
    <w:rsid w:val="00270D88"/>
    <w:rsid w:val="00271562"/>
    <w:rsid w:val="002721AD"/>
    <w:rsid w:val="00272469"/>
    <w:rsid w:val="0027267D"/>
    <w:rsid w:val="0027286D"/>
    <w:rsid w:val="00272BF1"/>
    <w:rsid w:val="00272DF3"/>
    <w:rsid w:val="00273903"/>
    <w:rsid w:val="0027408E"/>
    <w:rsid w:val="002743BF"/>
    <w:rsid w:val="00275572"/>
    <w:rsid w:val="00275574"/>
    <w:rsid w:val="00275828"/>
    <w:rsid w:val="00275B24"/>
    <w:rsid w:val="00276F56"/>
    <w:rsid w:val="002773C0"/>
    <w:rsid w:val="00277A3F"/>
    <w:rsid w:val="00277DDA"/>
    <w:rsid w:val="00277F39"/>
    <w:rsid w:val="00281AD2"/>
    <w:rsid w:val="00282024"/>
    <w:rsid w:val="00282389"/>
    <w:rsid w:val="00282440"/>
    <w:rsid w:val="00282D11"/>
    <w:rsid w:val="00282E6A"/>
    <w:rsid w:val="00283221"/>
    <w:rsid w:val="00283572"/>
    <w:rsid w:val="00283A05"/>
    <w:rsid w:val="00283AC6"/>
    <w:rsid w:val="00283E8E"/>
    <w:rsid w:val="00283FB6"/>
    <w:rsid w:val="00284357"/>
    <w:rsid w:val="00284719"/>
    <w:rsid w:val="002859E0"/>
    <w:rsid w:val="00285C60"/>
    <w:rsid w:val="002861B1"/>
    <w:rsid w:val="00286965"/>
    <w:rsid w:val="00286C76"/>
    <w:rsid w:val="00286C83"/>
    <w:rsid w:val="00286E78"/>
    <w:rsid w:val="002874AB"/>
    <w:rsid w:val="002874AD"/>
    <w:rsid w:val="00287A55"/>
    <w:rsid w:val="00287B76"/>
    <w:rsid w:val="00287E35"/>
    <w:rsid w:val="00287F1C"/>
    <w:rsid w:val="002900D9"/>
    <w:rsid w:val="00290668"/>
    <w:rsid w:val="00290AB4"/>
    <w:rsid w:val="00290C1E"/>
    <w:rsid w:val="00290F01"/>
    <w:rsid w:val="00291DB2"/>
    <w:rsid w:val="0029255A"/>
    <w:rsid w:val="00292581"/>
    <w:rsid w:val="00292A5B"/>
    <w:rsid w:val="00293D67"/>
    <w:rsid w:val="00294CD5"/>
    <w:rsid w:val="00294E8F"/>
    <w:rsid w:val="0029527F"/>
    <w:rsid w:val="00295501"/>
    <w:rsid w:val="0029566C"/>
    <w:rsid w:val="00296E10"/>
    <w:rsid w:val="00296F0C"/>
    <w:rsid w:val="00297183"/>
    <w:rsid w:val="0029725E"/>
    <w:rsid w:val="00297B3C"/>
    <w:rsid w:val="00297B57"/>
    <w:rsid w:val="00297DB3"/>
    <w:rsid w:val="002A0095"/>
    <w:rsid w:val="002A0714"/>
    <w:rsid w:val="002A0C5D"/>
    <w:rsid w:val="002A0CDF"/>
    <w:rsid w:val="002A0EF8"/>
    <w:rsid w:val="002A1229"/>
    <w:rsid w:val="002A13B8"/>
    <w:rsid w:val="002A1654"/>
    <w:rsid w:val="002A16CE"/>
    <w:rsid w:val="002A1C3E"/>
    <w:rsid w:val="002A21AC"/>
    <w:rsid w:val="002A247F"/>
    <w:rsid w:val="002A2D0D"/>
    <w:rsid w:val="002A319C"/>
    <w:rsid w:val="002A31DE"/>
    <w:rsid w:val="002A3448"/>
    <w:rsid w:val="002A3824"/>
    <w:rsid w:val="002A4097"/>
    <w:rsid w:val="002A43F2"/>
    <w:rsid w:val="002A4583"/>
    <w:rsid w:val="002A46EE"/>
    <w:rsid w:val="002A47FB"/>
    <w:rsid w:val="002A4BB8"/>
    <w:rsid w:val="002A4E91"/>
    <w:rsid w:val="002A50C2"/>
    <w:rsid w:val="002A5129"/>
    <w:rsid w:val="002A56AE"/>
    <w:rsid w:val="002A586D"/>
    <w:rsid w:val="002A5984"/>
    <w:rsid w:val="002A5B13"/>
    <w:rsid w:val="002A5F4B"/>
    <w:rsid w:val="002A627F"/>
    <w:rsid w:val="002A6549"/>
    <w:rsid w:val="002A68CD"/>
    <w:rsid w:val="002A6932"/>
    <w:rsid w:val="002A7161"/>
    <w:rsid w:val="002A7B26"/>
    <w:rsid w:val="002A7C1F"/>
    <w:rsid w:val="002A7E3F"/>
    <w:rsid w:val="002B005B"/>
    <w:rsid w:val="002B061F"/>
    <w:rsid w:val="002B082A"/>
    <w:rsid w:val="002B0EB7"/>
    <w:rsid w:val="002B0F6A"/>
    <w:rsid w:val="002B1175"/>
    <w:rsid w:val="002B1B78"/>
    <w:rsid w:val="002B2855"/>
    <w:rsid w:val="002B2F7B"/>
    <w:rsid w:val="002B32DD"/>
    <w:rsid w:val="002B3692"/>
    <w:rsid w:val="002B4703"/>
    <w:rsid w:val="002B4771"/>
    <w:rsid w:val="002B49B8"/>
    <w:rsid w:val="002B50F3"/>
    <w:rsid w:val="002B510A"/>
    <w:rsid w:val="002B52E4"/>
    <w:rsid w:val="002B56FC"/>
    <w:rsid w:val="002B5C06"/>
    <w:rsid w:val="002B5C44"/>
    <w:rsid w:val="002B5D98"/>
    <w:rsid w:val="002B6A72"/>
    <w:rsid w:val="002B7021"/>
    <w:rsid w:val="002B77E2"/>
    <w:rsid w:val="002B7901"/>
    <w:rsid w:val="002B7A3A"/>
    <w:rsid w:val="002C0960"/>
    <w:rsid w:val="002C0A06"/>
    <w:rsid w:val="002C0ADB"/>
    <w:rsid w:val="002C0D72"/>
    <w:rsid w:val="002C1663"/>
    <w:rsid w:val="002C1A93"/>
    <w:rsid w:val="002C1B8A"/>
    <w:rsid w:val="002C1C75"/>
    <w:rsid w:val="002C1D92"/>
    <w:rsid w:val="002C2A92"/>
    <w:rsid w:val="002C30C1"/>
    <w:rsid w:val="002C30D3"/>
    <w:rsid w:val="002C3253"/>
    <w:rsid w:val="002C32CF"/>
    <w:rsid w:val="002C35DD"/>
    <w:rsid w:val="002C3B0B"/>
    <w:rsid w:val="002C4BAE"/>
    <w:rsid w:val="002C530D"/>
    <w:rsid w:val="002C5576"/>
    <w:rsid w:val="002C5598"/>
    <w:rsid w:val="002C55A1"/>
    <w:rsid w:val="002C570D"/>
    <w:rsid w:val="002C5AAE"/>
    <w:rsid w:val="002C5F90"/>
    <w:rsid w:val="002C5FF9"/>
    <w:rsid w:val="002C6034"/>
    <w:rsid w:val="002C604E"/>
    <w:rsid w:val="002C610E"/>
    <w:rsid w:val="002C6125"/>
    <w:rsid w:val="002C66F5"/>
    <w:rsid w:val="002C6848"/>
    <w:rsid w:val="002C6B7D"/>
    <w:rsid w:val="002C6EB0"/>
    <w:rsid w:val="002C7195"/>
    <w:rsid w:val="002C740F"/>
    <w:rsid w:val="002C7597"/>
    <w:rsid w:val="002D053E"/>
    <w:rsid w:val="002D16CB"/>
    <w:rsid w:val="002D1C54"/>
    <w:rsid w:val="002D2213"/>
    <w:rsid w:val="002D2E47"/>
    <w:rsid w:val="002D2FD1"/>
    <w:rsid w:val="002D3294"/>
    <w:rsid w:val="002D3E46"/>
    <w:rsid w:val="002D4850"/>
    <w:rsid w:val="002D4A08"/>
    <w:rsid w:val="002D4F4F"/>
    <w:rsid w:val="002D5502"/>
    <w:rsid w:val="002D57F3"/>
    <w:rsid w:val="002D5838"/>
    <w:rsid w:val="002D5E78"/>
    <w:rsid w:val="002D5F62"/>
    <w:rsid w:val="002D607F"/>
    <w:rsid w:val="002D6217"/>
    <w:rsid w:val="002D6AC0"/>
    <w:rsid w:val="002D6D64"/>
    <w:rsid w:val="002D722A"/>
    <w:rsid w:val="002D79FC"/>
    <w:rsid w:val="002D7BA0"/>
    <w:rsid w:val="002D7E3E"/>
    <w:rsid w:val="002E006C"/>
    <w:rsid w:val="002E18DD"/>
    <w:rsid w:val="002E1A65"/>
    <w:rsid w:val="002E1BF6"/>
    <w:rsid w:val="002E1D0F"/>
    <w:rsid w:val="002E2585"/>
    <w:rsid w:val="002E26D6"/>
    <w:rsid w:val="002E30B1"/>
    <w:rsid w:val="002E3896"/>
    <w:rsid w:val="002E4661"/>
    <w:rsid w:val="002E47EE"/>
    <w:rsid w:val="002E513A"/>
    <w:rsid w:val="002E5667"/>
    <w:rsid w:val="002E6502"/>
    <w:rsid w:val="002E6647"/>
    <w:rsid w:val="002E7486"/>
    <w:rsid w:val="002E7663"/>
    <w:rsid w:val="002E77AD"/>
    <w:rsid w:val="002E79FA"/>
    <w:rsid w:val="002F040B"/>
    <w:rsid w:val="002F0EDE"/>
    <w:rsid w:val="002F116C"/>
    <w:rsid w:val="002F13C0"/>
    <w:rsid w:val="002F19DD"/>
    <w:rsid w:val="002F1A8C"/>
    <w:rsid w:val="002F1BDC"/>
    <w:rsid w:val="002F1C77"/>
    <w:rsid w:val="002F1C7E"/>
    <w:rsid w:val="002F23C5"/>
    <w:rsid w:val="002F3872"/>
    <w:rsid w:val="002F3B1D"/>
    <w:rsid w:val="002F3BD7"/>
    <w:rsid w:val="002F41F2"/>
    <w:rsid w:val="002F44BD"/>
    <w:rsid w:val="002F4CF9"/>
    <w:rsid w:val="002F4E8E"/>
    <w:rsid w:val="002F5844"/>
    <w:rsid w:val="002F5A16"/>
    <w:rsid w:val="002F5CDD"/>
    <w:rsid w:val="002F60EF"/>
    <w:rsid w:val="002F655C"/>
    <w:rsid w:val="002F69B8"/>
    <w:rsid w:val="002F6CB9"/>
    <w:rsid w:val="002F6E5A"/>
    <w:rsid w:val="002F6EC0"/>
    <w:rsid w:val="002F6F35"/>
    <w:rsid w:val="002F72A6"/>
    <w:rsid w:val="002F7D62"/>
    <w:rsid w:val="002F7D8E"/>
    <w:rsid w:val="002F7EB7"/>
    <w:rsid w:val="00300E9C"/>
    <w:rsid w:val="00300F51"/>
    <w:rsid w:val="00301833"/>
    <w:rsid w:val="0030191C"/>
    <w:rsid w:val="00301E01"/>
    <w:rsid w:val="00301FED"/>
    <w:rsid w:val="00302291"/>
    <w:rsid w:val="00302BE4"/>
    <w:rsid w:val="0030407B"/>
    <w:rsid w:val="003040E6"/>
    <w:rsid w:val="003040F4"/>
    <w:rsid w:val="003045BA"/>
    <w:rsid w:val="003047F0"/>
    <w:rsid w:val="003051AD"/>
    <w:rsid w:val="003051D7"/>
    <w:rsid w:val="003057A9"/>
    <w:rsid w:val="003057E1"/>
    <w:rsid w:val="00305DC3"/>
    <w:rsid w:val="0030601A"/>
    <w:rsid w:val="0030671B"/>
    <w:rsid w:val="00306DEA"/>
    <w:rsid w:val="00306DF2"/>
    <w:rsid w:val="003070A2"/>
    <w:rsid w:val="003070C5"/>
    <w:rsid w:val="0030713C"/>
    <w:rsid w:val="003073E5"/>
    <w:rsid w:val="0030752B"/>
    <w:rsid w:val="00307840"/>
    <w:rsid w:val="00307911"/>
    <w:rsid w:val="00307C72"/>
    <w:rsid w:val="003109FD"/>
    <w:rsid w:val="00311475"/>
    <w:rsid w:val="0031192A"/>
    <w:rsid w:val="00311FFA"/>
    <w:rsid w:val="003124CD"/>
    <w:rsid w:val="00312D2A"/>
    <w:rsid w:val="0031341C"/>
    <w:rsid w:val="0031349B"/>
    <w:rsid w:val="00313753"/>
    <w:rsid w:val="00313B95"/>
    <w:rsid w:val="00314549"/>
    <w:rsid w:val="00314A81"/>
    <w:rsid w:val="00315551"/>
    <w:rsid w:val="00315B0A"/>
    <w:rsid w:val="00315DD4"/>
    <w:rsid w:val="00316077"/>
    <w:rsid w:val="00316630"/>
    <w:rsid w:val="0031683E"/>
    <w:rsid w:val="00316881"/>
    <w:rsid w:val="00317894"/>
    <w:rsid w:val="00317A8E"/>
    <w:rsid w:val="00317ADF"/>
    <w:rsid w:val="003203FD"/>
    <w:rsid w:val="00320636"/>
    <w:rsid w:val="0032088C"/>
    <w:rsid w:val="00320C78"/>
    <w:rsid w:val="00320D05"/>
    <w:rsid w:val="00320D0D"/>
    <w:rsid w:val="00320EC9"/>
    <w:rsid w:val="00321208"/>
    <w:rsid w:val="00321B84"/>
    <w:rsid w:val="00321E3F"/>
    <w:rsid w:val="00322321"/>
    <w:rsid w:val="00322927"/>
    <w:rsid w:val="003229DC"/>
    <w:rsid w:val="003229EC"/>
    <w:rsid w:val="00322B48"/>
    <w:rsid w:val="00322F1D"/>
    <w:rsid w:val="00323FE5"/>
    <w:rsid w:val="003240DB"/>
    <w:rsid w:val="003243DE"/>
    <w:rsid w:val="00324D51"/>
    <w:rsid w:val="003250AB"/>
    <w:rsid w:val="00326030"/>
    <w:rsid w:val="00326152"/>
    <w:rsid w:val="0032624A"/>
    <w:rsid w:val="00326358"/>
    <w:rsid w:val="00326ABD"/>
    <w:rsid w:val="00326F1F"/>
    <w:rsid w:val="00327764"/>
    <w:rsid w:val="00327A09"/>
    <w:rsid w:val="003309ED"/>
    <w:rsid w:val="00330C46"/>
    <w:rsid w:val="00330C7F"/>
    <w:rsid w:val="003310AE"/>
    <w:rsid w:val="003317E6"/>
    <w:rsid w:val="00331990"/>
    <w:rsid w:val="00331C39"/>
    <w:rsid w:val="00332B31"/>
    <w:rsid w:val="0033313A"/>
    <w:rsid w:val="00333AE7"/>
    <w:rsid w:val="00333D72"/>
    <w:rsid w:val="00334794"/>
    <w:rsid w:val="00334805"/>
    <w:rsid w:val="00334C3C"/>
    <w:rsid w:val="00334CBF"/>
    <w:rsid w:val="00335C5B"/>
    <w:rsid w:val="00335CC6"/>
    <w:rsid w:val="00336559"/>
    <w:rsid w:val="003368AF"/>
    <w:rsid w:val="00336EB2"/>
    <w:rsid w:val="0033700C"/>
    <w:rsid w:val="00337F18"/>
    <w:rsid w:val="00342CF3"/>
    <w:rsid w:val="00342E49"/>
    <w:rsid w:val="00343447"/>
    <w:rsid w:val="00343540"/>
    <w:rsid w:val="00343DDD"/>
    <w:rsid w:val="0034434F"/>
    <w:rsid w:val="00344972"/>
    <w:rsid w:val="00344D5B"/>
    <w:rsid w:val="0034511F"/>
    <w:rsid w:val="003452B3"/>
    <w:rsid w:val="003452E8"/>
    <w:rsid w:val="00345343"/>
    <w:rsid w:val="00345CD4"/>
    <w:rsid w:val="003462F8"/>
    <w:rsid w:val="00346B00"/>
    <w:rsid w:val="00346C04"/>
    <w:rsid w:val="003470D5"/>
    <w:rsid w:val="003474B3"/>
    <w:rsid w:val="003474F6"/>
    <w:rsid w:val="003477CE"/>
    <w:rsid w:val="003500A0"/>
    <w:rsid w:val="003502F5"/>
    <w:rsid w:val="00350D0C"/>
    <w:rsid w:val="00350F5C"/>
    <w:rsid w:val="0035108B"/>
    <w:rsid w:val="00351CD5"/>
    <w:rsid w:val="00352BCB"/>
    <w:rsid w:val="00352C72"/>
    <w:rsid w:val="003539AC"/>
    <w:rsid w:val="003539EB"/>
    <w:rsid w:val="00354067"/>
    <w:rsid w:val="00354109"/>
    <w:rsid w:val="0035465D"/>
    <w:rsid w:val="003546BF"/>
    <w:rsid w:val="00354769"/>
    <w:rsid w:val="00355760"/>
    <w:rsid w:val="003559D4"/>
    <w:rsid w:val="00355A90"/>
    <w:rsid w:val="00355BB0"/>
    <w:rsid w:val="00356A7C"/>
    <w:rsid w:val="00356C52"/>
    <w:rsid w:val="00356FDD"/>
    <w:rsid w:val="00357157"/>
    <w:rsid w:val="00357C2B"/>
    <w:rsid w:val="00360336"/>
    <w:rsid w:val="00360470"/>
    <w:rsid w:val="00361021"/>
    <w:rsid w:val="00361560"/>
    <w:rsid w:val="00361C5A"/>
    <w:rsid w:val="00361C94"/>
    <w:rsid w:val="00362644"/>
    <w:rsid w:val="003626C1"/>
    <w:rsid w:val="00362848"/>
    <w:rsid w:val="003630F0"/>
    <w:rsid w:val="00363FFE"/>
    <w:rsid w:val="00364908"/>
    <w:rsid w:val="00364BB1"/>
    <w:rsid w:val="00364E70"/>
    <w:rsid w:val="00365177"/>
    <w:rsid w:val="003655CA"/>
    <w:rsid w:val="00365EF4"/>
    <w:rsid w:val="00365FB7"/>
    <w:rsid w:val="0036766E"/>
    <w:rsid w:val="003676C1"/>
    <w:rsid w:val="00367E3B"/>
    <w:rsid w:val="003700B2"/>
    <w:rsid w:val="0037024F"/>
    <w:rsid w:val="00370D39"/>
    <w:rsid w:val="00371070"/>
    <w:rsid w:val="003710F9"/>
    <w:rsid w:val="00371953"/>
    <w:rsid w:val="00371DB7"/>
    <w:rsid w:val="0037210A"/>
    <w:rsid w:val="003724CF"/>
    <w:rsid w:val="0037263C"/>
    <w:rsid w:val="003729E3"/>
    <w:rsid w:val="00373010"/>
    <w:rsid w:val="0037318C"/>
    <w:rsid w:val="00373411"/>
    <w:rsid w:val="003738B4"/>
    <w:rsid w:val="00373971"/>
    <w:rsid w:val="00374175"/>
    <w:rsid w:val="00374659"/>
    <w:rsid w:val="003749A2"/>
    <w:rsid w:val="00374D02"/>
    <w:rsid w:val="00374EB2"/>
    <w:rsid w:val="00375828"/>
    <w:rsid w:val="00375DB0"/>
    <w:rsid w:val="00376BB3"/>
    <w:rsid w:val="00376F9B"/>
    <w:rsid w:val="003776E4"/>
    <w:rsid w:val="00377B7E"/>
    <w:rsid w:val="00377D96"/>
    <w:rsid w:val="00380159"/>
    <w:rsid w:val="0038029B"/>
    <w:rsid w:val="00380A12"/>
    <w:rsid w:val="00380B10"/>
    <w:rsid w:val="00380BAD"/>
    <w:rsid w:val="003817A4"/>
    <w:rsid w:val="003818C7"/>
    <w:rsid w:val="00381B5D"/>
    <w:rsid w:val="00381EA3"/>
    <w:rsid w:val="003820D4"/>
    <w:rsid w:val="003822A9"/>
    <w:rsid w:val="003824A6"/>
    <w:rsid w:val="00382504"/>
    <w:rsid w:val="003826F2"/>
    <w:rsid w:val="00382718"/>
    <w:rsid w:val="00382740"/>
    <w:rsid w:val="00382744"/>
    <w:rsid w:val="003829C3"/>
    <w:rsid w:val="00382C37"/>
    <w:rsid w:val="00382DC9"/>
    <w:rsid w:val="00383399"/>
    <w:rsid w:val="0038347B"/>
    <w:rsid w:val="0038420D"/>
    <w:rsid w:val="003846F6"/>
    <w:rsid w:val="00384BAC"/>
    <w:rsid w:val="00384E53"/>
    <w:rsid w:val="00384F75"/>
    <w:rsid w:val="00384F9F"/>
    <w:rsid w:val="00385242"/>
    <w:rsid w:val="003854B3"/>
    <w:rsid w:val="00385716"/>
    <w:rsid w:val="00385924"/>
    <w:rsid w:val="00385E22"/>
    <w:rsid w:val="00386409"/>
    <w:rsid w:val="003864FE"/>
    <w:rsid w:val="00386722"/>
    <w:rsid w:val="00386D3A"/>
    <w:rsid w:val="00387549"/>
    <w:rsid w:val="0038772D"/>
    <w:rsid w:val="00387AAC"/>
    <w:rsid w:val="00387F37"/>
    <w:rsid w:val="00390FEF"/>
    <w:rsid w:val="00391596"/>
    <w:rsid w:val="00391726"/>
    <w:rsid w:val="00391854"/>
    <w:rsid w:val="00391B45"/>
    <w:rsid w:val="003921AF"/>
    <w:rsid w:val="00392505"/>
    <w:rsid w:val="00392DD7"/>
    <w:rsid w:val="00392E24"/>
    <w:rsid w:val="0039330F"/>
    <w:rsid w:val="0039336F"/>
    <w:rsid w:val="00393530"/>
    <w:rsid w:val="00393680"/>
    <w:rsid w:val="00393AE7"/>
    <w:rsid w:val="003942B0"/>
    <w:rsid w:val="003945E7"/>
    <w:rsid w:val="00394D0C"/>
    <w:rsid w:val="003951AD"/>
    <w:rsid w:val="003952FB"/>
    <w:rsid w:val="003968A3"/>
    <w:rsid w:val="00396938"/>
    <w:rsid w:val="00396BCC"/>
    <w:rsid w:val="0039720A"/>
    <w:rsid w:val="0039737E"/>
    <w:rsid w:val="00397BD9"/>
    <w:rsid w:val="00397F53"/>
    <w:rsid w:val="003A1640"/>
    <w:rsid w:val="003A1CE3"/>
    <w:rsid w:val="003A1D3E"/>
    <w:rsid w:val="003A1DDE"/>
    <w:rsid w:val="003A2CD7"/>
    <w:rsid w:val="003A3484"/>
    <w:rsid w:val="003A3546"/>
    <w:rsid w:val="003A4194"/>
    <w:rsid w:val="003A4246"/>
    <w:rsid w:val="003A462A"/>
    <w:rsid w:val="003A47D0"/>
    <w:rsid w:val="003A5CC6"/>
    <w:rsid w:val="003A5F9B"/>
    <w:rsid w:val="003A6494"/>
    <w:rsid w:val="003A6A83"/>
    <w:rsid w:val="003A6C00"/>
    <w:rsid w:val="003A705A"/>
    <w:rsid w:val="003A71B7"/>
    <w:rsid w:val="003A76EC"/>
    <w:rsid w:val="003B0336"/>
    <w:rsid w:val="003B07FB"/>
    <w:rsid w:val="003B0915"/>
    <w:rsid w:val="003B09BF"/>
    <w:rsid w:val="003B0C3E"/>
    <w:rsid w:val="003B1144"/>
    <w:rsid w:val="003B145E"/>
    <w:rsid w:val="003B1606"/>
    <w:rsid w:val="003B1628"/>
    <w:rsid w:val="003B18B7"/>
    <w:rsid w:val="003B19F0"/>
    <w:rsid w:val="003B295E"/>
    <w:rsid w:val="003B3101"/>
    <w:rsid w:val="003B3748"/>
    <w:rsid w:val="003B398C"/>
    <w:rsid w:val="003B40C6"/>
    <w:rsid w:val="003B490D"/>
    <w:rsid w:val="003B4B8C"/>
    <w:rsid w:val="003B4F15"/>
    <w:rsid w:val="003B50F3"/>
    <w:rsid w:val="003B55D3"/>
    <w:rsid w:val="003B5AED"/>
    <w:rsid w:val="003B5F86"/>
    <w:rsid w:val="003B6809"/>
    <w:rsid w:val="003B6BAE"/>
    <w:rsid w:val="003B703E"/>
    <w:rsid w:val="003B7064"/>
    <w:rsid w:val="003B724B"/>
    <w:rsid w:val="003B7627"/>
    <w:rsid w:val="003B7693"/>
    <w:rsid w:val="003B7836"/>
    <w:rsid w:val="003B7864"/>
    <w:rsid w:val="003B78D6"/>
    <w:rsid w:val="003C04BE"/>
    <w:rsid w:val="003C0726"/>
    <w:rsid w:val="003C0745"/>
    <w:rsid w:val="003C0A92"/>
    <w:rsid w:val="003C0B55"/>
    <w:rsid w:val="003C15CD"/>
    <w:rsid w:val="003C1A60"/>
    <w:rsid w:val="003C1C29"/>
    <w:rsid w:val="003C1C95"/>
    <w:rsid w:val="003C2951"/>
    <w:rsid w:val="003C2A77"/>
    <w:rsid w:val="003C2C42"/>
    <w:rsid w:val="003C2F5C"/>
    <w:rsid w:val="003C3318"/>
    <w:rsid w:val="003C355A"/>
    <w:rsid w:val="003C3951"/>
    <w:rsid w:val="003C3A68"/>
    <w:rsid w:val="003C3EDF"/>
    <w:rsid w:val="003C4137"/>
    <w:rsid w:val="003C450C"/>
    <w:rsid w:val="003C45C4"/>
    <w:rsid w:val="003C497D"/>
    <w:rsid w:val="003C4E50"/>
    <w:rsid w:val="003C5226"/>
    <w:rsid w:val="003C550C"/>
    <w:rsid w:val="003C5692"/>
    <w:rsid w:val="003C5C8F"/>
    <w:rsid w:val="003C61FA"/>
    <w:rsid w:val="003C6A51"/>
    <w:rsid w:val="003C6CEC"/>
    <w:rsid w:val="003C7080"/>
    <w:rsid w:val="003C7722"/>
    <w:rsid w:val="003D0141"/>
    <w:rsid w:val="003D07A7"/>
    <w:rsid w:val="003D0CC8"/>
    <w:rsid w:val="003D12EE"/>
    <w:rsid w:val="003D14CA"/>
    <w:rsid w:val="003D15FE"/>
    <w:rsid w:val="003D1A25"/>
    <w:rsid w:val="003D1F7A"/>
    <w:rsid w:val="003D28BB"/>
    <w:rsid w:val="003D37E5"/>
    <w:rsid w:val="003D3C07"/>
    <w:rsid w:val="003D3EFD"/>
    <w:rsid w:val="003D41AD"/>
    <w:rsid w:val="003D4464"/>
    <w:rsid w:val="003D473D"/>
    <w:rsid w:val="003D49AB"/>
    <w:rsid w:val="003D5086"/>
    <w:rsid w:val="003D5242"/>
    <w:rsid w:val="003D55C1"/>
    <w:rsid w:val="003D58FE"/>
    <w:rsid w:val="003D5E4D"/>
    <w:rsid w:val="003D63AB"/>
    <w:rsid w:val="003D6866"/>
    <w:rsid w:val="003D6977"/>
    <w:rsid w:val="003D70C9"/>
    <w:rsid w:val="003D7D4B"/>
    <w:rsid w:val="003E0543"/>
    <w:rsid w:val="003E09A9"/>
    <w:rsid w:val="003E0A06"/>
    <w:rsid w:val="003E17F6"/>
    <w:rsid w:val="003E1864"/>
    <w:rsid w:val="003E1EB3"/>
    <w:rsid w:val="003E1F20"/>
    <w:rsid w:val="003E20F3"/>
    <w:rsid w:val="003E24D9"/>
    <w:rsid w:val="003E2C3E"/>
    <w:rsid w:val="003E3076"/>
    <w:rsid w:val="003E310F"/>
    <w:rsid w:val="003E3B38"/>
    <w:rsid w:val="003E42CB"/>
    <w:rsid w:val="003E4433"/>
    <w:rsid w:val="003E4E65"/>
    <w:rsid w:val="003E5FC6"/>
    <w:rsid w:val="003E690A"/>
    <w:rsid w:val="003E6976"/>
    <w:rsid w:val="003E6D24"/>
    <w:rsid w:val="003E7242"/>
    <w:rsid w:val="003E72CB"/>
    <w:rsid w:val="003E7980"/>
    <w:rsid w:val="003F0116"/>
    <w:rsid w:val="003F058B"/>
    <w:rsid w:val="003F06A4"/>
    <w:rsid w:val="003F1A1F"/>
    <w:rsid w:val="003F1A89"/>
    <w:rsid w:val="003F2100"/>
    <w:rsid w:val="003F2602"/>
    <w:rsid w:val="003F3F59"/>
    <w:rsid w:val="003F42A5"/>
    <w:rsid w:val="003F4BD3"/>
    <w:rsid w:val="003F5315"/>
    <w:rsid w:val="003F57AD"/>
    <w:rsid w:val="003F5B08"/>
    <w:rsid w:val="003F6101"/>
    <w:rsid w:val="003F6E64"/>
    <w:rsid w:val="003F6E79"/>
    <w:rsid w:val="0040087A"/>
    <w:rsid w:val="004008E3"/>
    <w:rsid w:val="00400F99"/>
    <w:rsid w:val="0040128C"/>
    <w:rsid w:val="0040149A"/>
    <w:rsid w:val="00401A9B"/>
    <w:rsid w:val="004023E9"/>
    <w:rsid w:val="0040287F"/>
    <w:rsid w:val="00402A87"/>
    <w:rsid w:val="00402BA4"/>
    <w:rsid w:val="00402FE4"/>
    <w:rsid w:val="004031A7"/>
    <w:rsid w:val="00403282"/>
    <w:rsid w:val="004040B4"/>
    <w:rsid w:val="00404369"/>
    <w:rsid w:val="00404A23"/>
    <w:rsid w:val="0040582E"/>
    <w:rsid w:val="00406479"/>
    <w:rsid w:val="00406B08"/>
    <w:rsid w:val="00406B54"/>
    <w:rsid w:val="00407A88"/>
    <w:rsid w:val="00407D16"/>
    <w:rsid w:val="00407DCA"/>
    <w:rsid w:val="00407F9F"/>
    <w:rsid w:val="00410060"/>
    <w:rsid w:val="004100AB"/>
    <w:rsid w:val="00410578"/>
    <w:rsid w:val="0041074C"/>
    <w:rsid w:val="00410E9C"/>
    <w:rsid w:val="00411079"/>
    <w:rsid w:val="00411811"/>
    <w:rsid w:val="00411965"/>
    <w:rsid w:val="00411D8D"/>
    <w:rsid w:val="0041216D"/>
    <w:rsid w:val="0041234E"/>
    <w:rsid w:val="00412389"/>
    <w:rsid w:val="004126B7"/>
    <w:rsid w:val="00412921"/>
    <w:rsid w:val="00412AF1"/>
    <w:rsid w:val="00413EFF"/>
    <w:rsid w:val="004148A4"/>
    <w:rsid w:val="00414FA5"/>
    <w:rsid w:val="00415185"/>
    <w:rsid w:val="00415530"/>
    <w:rsid w:val="0041564D"/>
    <w:rsid w:val="00415799"/>
    <w:rsid w:val="00416061"/>
    <w:rsid w:val="004161B8"/>
    <w:rsid w:val="00416B6A"/>
    <w:rsid w:val="00416E74"/>
    <w:rsid w:val="00416EB3"/>
    <w:rsid w:val="004171D8"/>
    <w:rsid w:val="00417287"/>
    <w:rsid w:val="00417952"/>
    <w:rsid w:val="00417BC1"/>
    <w:rsid w:val="00420819"/>
    <w:rsid w:val="00420C77"/>
    <w:rsid w:val="004210A4"/>
    <w:rsid w:val="00421245"/>
    <w:rsid w:val="00421614"/>
    <w:rsid w:val="0042195F"/>
    <w:rsid w:val="00421DD7"/>
    <w:rsid w:val="004221D9"/>
    <w:rsid w:val="004222D0"/>
    <w:rsid w:val="004223C9"/>
    <w:rsid w:val="004223F9"/>
    <w:rsid w:val="00423382"/>
    <w:rsid w:val="004234EE"/>
    <w:rsid w:val="0042391E"/>
    <w:rsid w:val="00424023"/>
    <w:rsid w:val="00424379"/>
    <w:rsid w:val="00425003"/>
    <w:rsid w:val="00425821"/>
    <w:rsid w:val="00425ADA"/>
    <w:rsid w:val="00425F99"/>
    <w:rsid w:val="004265D1"/>
    <w:rsid w:val="00426888"/>
    <w:rsid w:val="0042689C"/>
    <w:rsid w:val="004278B0"/>
    <w:rsid w:val="0042795D"/>
    <w:rsid w:val="004302A3"/>
    <w:rsid w:val="0043101F"/>
    <w:rsid w:val="004316E2"/>
    <w:rsid w:val="00431E5E"/>
    <w:rsid w:val="004325EF"/>
    <w:rsid w:val="00432988"/>
    <w:rsid w:val="00432B7D"/>
    <w:rsid w:val="00433161"/>
    <w:rsid w:val="00433976"/>
    <w:rsid w:val="00433E24"/>
    <w:rsid w:val="004340E0"/>
    <w:rsid w:val="00434517"/>
    <w:rsid w:val="00434522"/>
    <w:rsid w:val="0043498E"/>
    <w:rsid w:val="00434F4F"/>
    <w:rsid w:val="00435688"/>
    <w:rsid w:val="00435849"/>
    <w:rsid w:val="0043592C"/>
    <w:rsid w:val="00435F8C"/>
    <w:rsid w:val="004369F5"/>
    <w:rsid w:val="00437007"/>
    <w:rsid w:val="004370F4"/>
    <w:rsid w:val="00440572"/>
    <w:rsid w:val="00440926"/>
    <w:rsid w:val="00440C0B"/>
    <w:rsid w:val="00441328"/>
    <w:rsid w:val="004414CE"/>
    <w:rsid w:val="00441BFD"/>
    <w:rsid w:val="00441D3F"/>
    <w:rsid w:val="00442210"/>
    <w:rsid w:val="004425C0"/>
    <w:rsid w:val="00442734"/>
    <w:rsid w:val="00442AB3"/>
    <w:rsid w:val="00443417"/>
    <w:rsid w:val="004435CE"/>
    <w:rsid w:val="00443CBD"/>
    <w:rsid w:val="00444663"/>
    <w:rsid w:val="00444D6C"/>
    <w:rsid w:val="004454A6"/>
    <w:rsid w:val="00446454"/>
    <w:rsid w:val="0044683B"/>
    <w:rsid w:val="00446E1E"/>
    <w:rsid w:val="00446F2F"/>
    <w:rsid w:val="00447041"/>
    <w:rsid w:val="0044708D"/>
    <w:rsid w:val="00447115"/>
    <w:rsid w:val="00447718"/>
    <w:rsid w:val="00450057"/>
    <w:rsid w:val="004503EC"/>
    <w:rsid w:val="00450F0E"/>
    <w:rsid w:val="00451113"/>
    <w:rsid w:val="00451E13"/>
    <w:rsid w:val="00452296"/>
    <w:rsid w:val="0045368F"/>
    <w:rsid w:val="00453A3E"/>
    <w:rsid w:val="00453E3D"/>
    <w:rsid w:val="004540AA"/>
    <w:rsid w:val="004546F1"/>
    <w:rsid w:val="00454A6C"/>
    <w:rsid w:val="00454C60"/>
    <w:rsid w:val="00454CF6"/>
    <w:rsid w:val="00455CE3"/>
    <w:rsid w:val="00456A77"/>
    <w:rsid w:val="00456DCF"/>
    <w:rsid w:val="00456E88"/>
    <w:rsid w:val="004575C6"/>
    <w:rsid w:val="00460505"/>
    <w:rsid w:val="004605F6"/>
    <w:rsid w:val="0046065C"/>
    <w:rsid w:val="0046081F"/>
    <w:rsid w:val="00460908"/>
    <w:rsid w:val="00460F4A"/>
    <w:rsid w:val="00461CEB"/>
    <w:rsid w:val="0046216D"/>
    <w:rsid w:val="00462C83"/>
    <w:rsid w:val="00462D99"/>
    <w:rsid w:val="00462E2A"/>
    <w:rsid w:val="004630CA"/>
    <w:rsid w:val="00463A00"/>
    <w:rsid w:val="00463A56"/>
    <w:rsid w:val="00463A84"/>
    <w:rsid w:val="00463F5C"/>
    <w:rsid w:val="004645DF"/>
    <w:rsid w:val="00464D1C"/>
    <w:rsid w:val="00465C7A"/>
    <w:rsid w:val="0046608D"/>
    <w:rsid w:val="00466220"/>
    <w:rsid w:val="0046681D"/>
    <w:rsid w:val="004702E9"/>
    <w:rsid w:val="00470415"/>
    <w:rsid w:val="00470ACE"/>
    <w:rsid w:val="00471635"/>
    <w:rsid w:val="004717DF"/>
    <w:rsid w:val="0047194D"/>
    <w:rsid w:val="00471B51"/>
    <w:rsid w:val="0047202B"/>
    <w:rsid w:val="004720F8"/>
    <w:rsid w:val="0047222F"/>
    <w:rsid w:val="00472641"/>
    <w:rsid w:val="00472F19"/>
    <w:rsid w:val="00473048"/>
    <w:rsid w:val="004740C0"/>
    <w:rsid w:val="004741BD"/>
    <w:rsid w:val="004744B3"/>
    <w:rsid w:val="004746A4"/>
    <w:rsid w:val="00474944"/>
    <w:rsid w:val="00474B45"/>
    <w:rsid w:val="00474DE0"/>
    <w:rsid w:val="0047530B"/>
    <w:rsid w:val="00475783"/>
    <w:rsid w:val="00476534"/>
    <w:rsid w:val="004769D6"/>
    <w:rsid w:val="00476ABC"/>
    <w:rsid w:val="004774CA"/>
    <w:rsid w:val="00477866"/>
    <w:rsid w:val="00477AB0"/>
    <w:rsid w:val="00477D2F"/>
    <w:rsid w:val="00477FF7"/>
    <w:rsid w:val="00480894"/>
    <w:rsid w:val="00480ECA"/>
    <w:rsid w:val="004812EC"/>
    <w:rsid w:val="00481775"/>
    <w:rsid w:val="00481A46"/>
    <w:rsid w:val="00481AF2"/>
    <w:rsid w:val="0048267D"/>
    <w:rsid w:val="00482D2B"/>
    <w:rsid w:val="00482E34"/>
    <w:rsid w:val="00482F96"/>
    <w:rsid w:val="0048322E"/>
    <w:rsid w:val="00483630"/>
    <w:rsid w:val="00483849"/>
    <w:rsid w:val="00483983"/>
    <w:rsid w:val="00483B2A"/>
    <w:rsid w:val="00484273"/>
    <w:rsid w:val="00484393"/>
    <w:rsid w:val="0048457F"/>
    <w:rsid w:val="0048505F"/>
    <w:rsid w:val="00485B94"/>
    <w:rsid w:val="00486F91"/>
    <w:rsid w:val="0048792D"/>
    <w:rsid w:val="00487A43"/>
    <w:rsid w:val="00487D0F"/>
    <w:rsid w:val="00487D7C"/>
    <w:rsid w:val="004902FD"/>
    <w:rsid w:val="00490789"/>
    <w:rsid w:val="0049088D"/>
    <w:rsid w:val="00490990"/>
    <w:rsid w:val="00490D60"/>
    <w:rsid w:val="00490FEB"/>
    <w:rsid w:val="00491505"/>
    <w:rsid w:val="00492BBD"/>
    <w:rsid w:val="00492C25"/>
    <w:rsid w:val="00494605"/>
    <w:rsid w:val="00494884"/>
    <w:rsid w:val="004948A8"/>
    <w:rsid w:val="00494E91"/>
    <w:rsid w:val="00494F09"/>
    <w:rsid w:val="00495020"/>
    <w:rsid w:val="00495100"/>
    <w:rsid w:val="004960BB"/>
    <w:rsid w:val="0049619A"/>
    <w:rsid w:val="004965FB"/>
    <w:rsid w:val="00496685"/>
    <w:rsid w:val="004968B1"/>
    <w:rsid w:val="0049692E"/>
    <w:rsid w:val="00496DB8"/>
    <w:rsid w:val="004974F8"/>
    <w:rsid w:val="0049787B"/>
    <w:rsid w:val="00497926"/>
    <w:rsid w:val="004A0071"/>
    <w:rsid w:val="004A061B"/>
    <w:rsid w:val="004A0BE0"/>
    <w:rsid w:val="004A0F19"/>
    <w:rsid w:val="004A1359"/>
    <w:rsid w:val="004A16D7"/>
    <w:rsid w:val="004A1ADE"/>
    <w:rsid w:val="004A23FA"/>
    <w:rsid w:val="004A285B"/>
    <w:rsid w:val="004A2A85"/>
    <w:rsid w:val="004A30BF"/>
    <w:rsid w:val="004A33CD"/>
    <w:rsid w:val="004A3AC1"/>
    <w:rsid w:val="004A3FCB"/>
    <w:rsid w:val="004A4328"/>
    <w:rsid w:val="004A45C7"/>
    <w:rsid w:val="004A4A78"/>
    <w:rsid w:val="004A4AE3"/>
    <w:rsid w:val="004A4FBA"/>
    <w:rsid w:val="004A50F5"/>
    <w:rsid w:val="004A515D"/>
    <w:rsid w:val="004A55DC"/>
    <w:rsid w:val="004A57AE"/>
    <w:rsid w:val="004A584E"/>
    <w:rsid w:val="004A58DE"/>
    <w:rsid w:val="004A6067"/>
    <w:rsid w:val="004A62EC"/>
    <w:rsid w:val="004A6A69"/>
    <w:rsid w:val="004A720F"/>
    <w:rsid w:val="004A7885"/>
    <w:rsid w:val="004A7DD1"/>
    <w:rsid w:val="004B02B6"/>
    <w:rsid w:val="004B09CE"/>
    <w:rsid w:val="004B3AB2"/>
    <w:rsid w:val="004B4DFF"/>
    <w:rsid w:val="004B4EE0"/>
    <w:rsid w:val="004B52D5"/>
    <w:rsid w:val="004B5A65"/>
    <w:rsid w:val="004B5ED6"/>
    <w:rsid w:val="004B6478"/>
    <w:rsid w:val="004B6B2A"/>
    <w:rsid w:val="004B6C54"/>
    <w:rsid w:val="004B780C"/>
    <w:rsid w:val="004B7C0B"/>
    <w:rsid w:val="004C03F5"/>
    <w:rsid w:val="004C0599"/>
    <w:rsid w:val="004C0848"/>
    <w:rsid w:val="004C08C0"/>
    <w:rsid w:val="004C0E43"/>
    <w:rsid w:val="004C1174"/>
    <w:rsid w:val="004C14AF"/>
    <w:rsid w:val="004C1729"/>
    <w:rsid w:val="004C180F"/>
    <w:rsid w:val="004C1B15"/>
    <w:rsid w:val="004C1C32"/>
    <w:rsid w:val="004C1E6D"/>
    <w:rsid w:val="004C22C4"/>
    <w:rsid w:val="004C2808"/>
    <w:rsid w:val="004C286A"/>
    <w:rsid w:val="004C3CF7"/>
    <w:rsid w:val="004C5EA8"/>
    <w:rsid w:val="004C5EB9"/>
    <w:rsid w:val="004C65AA"/>
    <w:rsid w:val="004C6DC2"/>
    <w:rsid w:val="004C70E3"/>
    <w:rsid w:val="004C76BB"/>
    <w:rsid w:val="004C7820"/>
    <w:rsid w:val="004D0097"/>
    <w:rsid w:val="004D067D"/>
    <w:rsid w:val="004D0735"/>
    <w:rsid w:val="004D0ED4"/>
    <w:rsid w:val="004D1356"/>
    <w:rsid w:val="004D142F"/>
    <w:rsid w:val="004D1670"/>
    <w:rsid w:val="004D1744"/>
    <w:rsid w:val="004D20C3"/>
    <w:rsid w:val="004D235F"/>
    <w:rsid w:val="004D2491"/>
    <w:rsid w:val="004D254E"/>
    <w:rsid w:val="004D2B63"/>
    <w:rsid w:val="004D3247"/>
    <w:rsid w:val="004D33D3"/>
    <w:rsid w:val="004D388E"/>
    <w:rsid w:val="004D40A3"/>
    <w:rsid w:val="004D42CB"/>
    <w:rsid w:val="004D48FF"/>
    <w:rsid w:val="004D496A"/>
    <w:rsid w:val="004D4DE4"/>
    <w:rsid w:val="004D54A1"/>
    <w:rsid w:val="004D5F18"/>
    <w:rsid w:val="004D60E4"/>
    <w:rsid w:val="004D6D03"/>
    <w:rsid w:val="004D6D91"/>
    <w:rsid w:val="004D71D3"/>
    <w:rsid w:val="004E0650"/>
    <w:rsid w:val="004E06BA"/>
    <w:rsid w:val="004E08EA"/>
    <w:rsid w:val="004E0A7A"/>
    <w:rsid w:val="004E0BBF"/>
    <w:rsid w:val="004E1245"/>
    <w:rsid w:val="004E12DA"/>
    <w:rsid w:val="004E1709"/>
    <w:rsid w:val="004E2017"/>
    <w:rsid w:val="004E21FA"/>
    <w:rsid w:val="004E2601"/>
    <w:rsid w:val="004E2941"/>
    <w:rsid w:val="004E2B65"/>
    <w:rsid w:val="004E3806"/>
    <w:rsid w:val="004E389E"/>
    <w:rsid w:val="004E3BF0"/>
    <w:rsid w:val="004E3F9F"/>
    <w:rsid w:val="004E411C"/>
    <w:rsid w:val="004E4178"/>
    <w:rsid w:val="004E41DF"/>
    <w:rsid w:val="004E442D"/>
    <w:rsid w:val="004E4934"/>
    <w:rsid w:val="004E539E"/>
    <w:rsid w:val="004E55D1"/>
    <w:rsid w:val="004E6071"/>
    <w:rsid w:val="004E65CB"/>
    <w:rsid w:val="004F09E7"/>
    <w:rsid w:val="004F0F0E"/>
    <w:rsid w:val="004F1559"/>
    <w:rsid w:val="004F2CB8"/>
    <w:rsid w:val="004F2FEC"/>
    <w:rsid w:val="004F2FFF"/>
    <w:rsid w:val="004F3912"/>
    <w:rsid w:val="004F3B29"/>
    <w:rsid w:val="004F3E6B"/>
    <w:rsid w:val="004F3F5E"/>
    <w:rsid w:val="004F4022"/>
    <w:rsid w:val="004F407F"/>
    <w:rsid w:val="004F4FE1"/>
    <w:rsid w:val="004F512C"/>
    <w:rsid w:val="004F56C6"/>
    <w:rsid w:val="004F5D4E"/>
    <w:rsid w:val="004F6020"/>
    <w:rsid w:val="004F6024"/>
    <w:rsid w:val="004F679B"/>
    <w:rsid w:val="004F68A1"/>
    <w:rsid w:val="004F6C99"/>
    <w:rsid w:val="004F6EEC"/>
    <w:rsid w:val="00500005"/>
    <w:rsid w:val="0050027E"/>
    <w:rsid w:val="00500484"/>
    <w:rsid w:val="0050091C"/>
    <w:rsid w:val="0050111B"/>
    <w:rsid w:val="0050114B"/>
    <w:rsid w:val="005011ED"/>
    <w:rsid w:val="00501689"/>
    <w:rsid w:val="00501CE0"/>
    <w:rsid w:val="00502189"/>
    <w:rsid w:val="00502268"/>
    <w:rsid w:val="00502954"/>
    <w:rsid w:val="00502ABD"/>
    <w:rsid w:val="00502DCB"/>
    <w:rsid w:val="0050318C"/>
    <w:rsid w:val="00503377"/>
    <w:rsid w:val="00504347"/>
    <w:rsid w:val="005044C6"/>
    <w:rsid w:val="00504906"/>
    <w:rsid w:val="005050DA"/>
    <w:rsid w:val="00505365"/>
    <w:rsid w:val="00505590"/>
    <w:rsid w:val="005056A0"/>
    <w:rsid w:val="00505894"/>
    <w:rsid w:val="0050655F"/>
    <w:rsid w:val="00506702"/>
    <w:rsid w:val="005068F5"/>
    <w:rsid w:val="005071EB"/>
    <w:rsid w:val="005074A7"/>
    <w:rsid w:val="005076CF"/>
    <w:rsid w:val="00507779"/>
    <w:rsid w:val="00510A03"/>
    <w:rsid w:val="00510CE5"/>
    <w:rsid w:val="005115C2"/>
    <w:rsid w:val="0051196C"/>
    <w:rsid w:val="00512964"/>
    <w:rsid w:val="00512BAA"/>
    <w:rsid w:val="00513FA6"/>
    <w:rsid w:val="005140FB"/>
    <w:rsid w:val="005146B6"/>
    <w:rsid w:val="00514C2B"/>
    <w:rsid w:val="00514DC4"/>
    <w:rsid w:val="0051557F"/>
    <w:rsid w:val="005156E9"/>
    <w:rsid w:val="005157A8"/>
    <w:rsid w:val="00515DD4"/>
    <w:rsid w:val="005163B8"/>
    <w:rsid w:val="00516506"/>
    <w:rsid w:val="005165DB"/>
    <w:rsid w:val="00517A44"/>
    <w:rsid w:val="0052061E"/>
    <w:rsid w:val="00520F46"/>
    <w:rsid w:val="0052109D"/>
    <w:rsid w:val="0052120B"/>
    <w:rsid w:val="00521EEB"/>
    <w:rsid w:val="005225A2"/>
    <w:rsid w:val="005227C3"/>
    <w:rsid w:val="005232CB"/>
    <w:rsid w:val="0052345A"/>
    <w:rsid w:val="00524854"/>
    <w:rsid w:val="00525060"/>
    <w:rsid w:val="00525101"/>
    <w:rsid w:val="0052570B"/>
    <w:rsid w:val="005263C6"/>
    <w:rsid w:val="00526587"/>
    <w:rsid w:val="00526D33"/>
    <w:rsid w:val="00527106"/>
    <w:rsid w:val="00527290"/>
    <w:rsid w:val="00527B4C"/>
    <w:rsid w:val="00527D9F"/>
    <w:rsid w:val="005301B3"/>
    <w:rsid w:val="00530A2B"/>
    <w:rsid w:val="00530A3F"/>
    <w:rsid w:val="00531409"/>
    <w:rsid w:val="0053159F"/>
    <w:rsid w:val="00531F19"/>
    <w:rsid w:val="005327AE"/>
    <w:rsid w:val="00532F2B"/>
    <w:rsid w:val="00533011"/>
    <w:rsid w:val="0053309C"/>
    <w:rsid w:val="0053322F"/>
    <w:rsid w:val="00533976"/>
    <w:rsid w:val="00534194"/>
    <w:rsid w:val="00534388"/>
    <w:rsid w:val="005347FE"/>
    <w:rsid w:val="00534F07"/>
    <w:rsid w:val="00534FA4"/>
    <w:rsid w:val="00535223"/>
    <w:rsid w:val="00535553"/>
    <w:rsid w:val="00535664"/>
    <w:rsid w:val="00535820"/>
    <w:rsid w:val="00535E35"/>
    <w:rsid w:val="00535F78"/>
    <w:rsid w:val="00536BE3"/>
    <w:rsid w:val="005370BB"/>
    <w:rsid w:val="0053720C"/>
    <w:rsid w:val="00537501"/>
    <w:rsid w:val="00537A98"/>
    <w:rsid w:val="00537B63"/>
    <w:rsid w:val="00537FDE"/>
    <w:rsid w:val="0054039D"/>
    <w:rsid w:val="00540989"/>
    <w:rsid w:val="0054110C"/>
    <w:rsid w:val="00541395"/>
    <w:rsid w:val="00541469"/>
    <w:rsid w:val="00541B54"/>
    <w:rsid w:val="00541CCA"/>
    <w:rsid w:val="00542505"/>
    <w:rsid w:val="00542558"/>
    <w:rsid w:val="0054263D"/>
    <w:rsid w:val="00542C55"/>
    <w:rsid w:val="00543267"/>
    <w:rsid w:val="0054330B"/>
    <w:rsid w:val="00543729"/>
    <w:rsid w:val="0054391A"/>
    <w:rsid w:val="00544044"/>
    <w:rsid w:val="005449AB"/>
    <w:rsid w:val="005449CD"/>
    <w:rsid w:val="005449DC"/>
    <w:rsid w:val="00545046"/>
    <w:rsid w:val="00545313"/>
    <w:rsid w:val="00545652"/>
    <w:rsid w:val="005466A3"/>
    <w:rsid w:val="00546C4F"/>
    <w:rsid w:val="005477E7"/>
    <w:rsid w:val="005479F0"/>
    <w:rsid w:val="00547B58"/>
    <w:rsid w:val="00547CC0"/>
    <w:rsid w:val="005502BA"/>
    <w:rsid w:val="005512E2"/>
    <w:rsid w:val="00551B5A"/>
    <w:rsid w:val="005522D9"/>
    <w:rsid w:val="0055250F"/>
    <w:rsid w:val="005528F4"/>
    <w:rsid w:val="00553A02"/>
    <w:rsid w:val="00553EBF"/>
    <w:rsid w:val="00554B85"/>
    <w:rsid w:val="00554EF2"/>
    <w:rsid w:val="00555688"/>
    <w:rsid w:val="00555917"/>
    <w:rsid w:val="00555977"/>
    <w:rsid w:val="00555B1F"/>
    <w:rsid w:val="005561D2"/>
    <w:rsid w:val="0055742F"/>
    <w:rsid w:val="005579E2"/>
    <w:rsid w:val="00557E2E"/>
    <w:rsid w:val="00560A1B"/>
    <w:rsid w:val="00561345"/>
    <w:rsid w:val="00561435"/>
    <w:rsid w:val="00561A5E"/>
    <w:rsid w:val="00562ACB"/>
    <w:rsid w:val="00562B3A"/>
    <w:rsid w:val="00562DA1"/>
    <w:rsid w:val="00562FB0"/>
    <w:rsid w:val="0056397C"/>
    <w:rsid w:val="00563A0C"/>
    <w:rsid w:val="00563AF4"/>
    <w:rsid w:val="0056433E"/>
    <w:rsid w:val="00564C39"/>
    <w:rsid w:val="00565028"/>
    <w:rsid w:val="00565033"/>
    <w:rsid w:val="00565404"/>
    <w:rsid w:val="00565472"/>
    <w:rsid w:val="005655AF"/>
    <w:rsid w:val="00565D7F"/>
    <w:rsid w:val="0056624B"/>
    <w:rsid w:val="00566923"/>
    <w:rsid w:val="00566936"/>
    <w:rsid w:val="00566A08"/>
    <w:rsid w:val="005671B8"/>
    <w:rsid w:val="00567C57"/>
    <w:rsid w:val="00570F25"/>
    <w:rsid w:val="00571268"/>
    <w:rsid w:val="00571B22"/>
    <w:rsid w:val="00571F89"/>
    <w:rsid w:val="005720A1"/>
    <w:rsid w:val="0057251B"/>
    <w:rsid w:val="0057280E"/>
    <w:rsid w:val="00572A36"/>
    <w:rsid w:val="00572E77"/>
    <w:rsid w:val="00573643"/>
    <w:rsid w:val="0057377E"/>
    <w:rsid w:val="005737DB"/>
    <w:rsid w:val="00573BCF"/>
    <w:rsid w:val="00573E98"/>
    <w:rsid w:val="005740D8"/>
    <w:rsid w:val="005747B5"/>
    <w:rsid w:val="00575239"/>
    <w:rsid w:val="00575A03"/>
    <w:rsid w:val="00575ACD"/>
    <w:rsid w:val="00575C16"/>
    <w:rsid w:val="00575CA9"/>
    <w:rsid w:val="00575D1B"/>
    <w:rsid w:val="00575E81"/>
    <w:rsid w:val="00575F04"/>
    <w:rsid w:val="005760B6"/>
    <w:rsid w:val="005760E7"/>
    <w:rsid w:val="00576A80"/>
    <w:rsid w:val="00576F70"/>
    <w:rsid w:val="0057730E"/>
    <w:rsid w:val="00577480"/>
    <w:rsid w:val="0057775D"/>
    <w:rsid w:val="00577A67"/>
    <w:rsid w:val="00577B5F"/>
    <w:rsid w:val="00577D52"/>
    <w:rsid w:val="005805A2"/>
    <w:rsid w:val="00580DA7"/>
    <w:rsid w:val="0058149A"/>
    <w:rsid w:val="005816C5"/>
    <w:rsid w:val="00581DCC"/>
    <w:rsid w:val="005829E9"/>
    <w:rsid w:val="0058340E"/>
    <w:rsid w:val="00584110"/>
    <w:rsid w:val="0058416C"/>
    <w:rsid w:val="0058440A"/>
    <w:rsid w:val="00584547"/>
    <w:rsid w:val="00584643"/>
    <w:rsid w:val="0058483E"/>
    <w:rsid w:val="0058488B"/>
    <w:rsid w:val="00585264"/>
    <w:rsid w:val="00585AD7"/>
    <w:rsid w:val="00585ECA"/>
    <w:rsid w:val="0058620E"/>
    <w:rsid w:val="0058672C"/>
    <w:rsid w:val="00586AA1"/>
    <w:rsid w:val="00586B7C"/>
    <w:rsid w:val="00586C94"/>
    <w:rsid w:val="00586CDF"/>
    <w:rsid w:val="00587921"/>
    <w:rsid w:val="00587B46"/>
    <w:rsid w:val="00591132"/>
    <w:rsid w:val="0059187A"/>
    <w:rsid w:val="005918F8"/>
    <w:rsid w:val="00591E8B"/>
    <w:rsid w:val="0059220F"/>
    <w:rsid w:val="00592BEE"/>
    <w:rsid w:val="005935F4"/>
    <w:rsid w:val="005940BA"/>
    <w:rsid w:val="00594D9D"/>
    <w:rsid w:val="005952B9"/>
    <w:rsid w:val="0059553F"/>
    <w:rsid w:val="00595F96"/>
    <w:rsid w:val="005962C8"/>
    <w:rsid w:val="0059671D"/>
    <w:rsid w:val="00596810"/>
    <w:rsid w:val="005978D5"/>
    <w:rsid w:val="005979A3"/>
    <w:rsid w:val="00597A49"/>
    <w:rsid w:val="005A0330"/>
    <w:rsid w:val="005A17B7"/>
    <w:rsid w:val="005A19F8"/>
    <w:rsid w:val="005A1D2F"/>
    <w:rsid w:val="005A3A26"/>
    <w:rsid w:val="005A3C52"/>
    <w:rsid w:val="005A3DDE"/>
    <w:rsid w:val="005A3E0A"/>
    <w:rsid w:val="005A40C0"/>
    <w:rsid w:val="005A4F30"/>
    <w:rsid w:val="005A5342"/>
    <w:rsid w:val="005A54B2"/>
    <w:rsid w:val="005A602C"/>
    <w:rsid w:val="005A637A"/>
    <w:rsid w:val="005A638D"/>
    <w:rsid w:val="005A6A1A"/>
    <w:rsid w:val="005A6AF0"/>
    <w:rsid w:val="005A6DE9"/>
    <w:rsid w:val="005A6E66"/>
    <w:rsid w:val="005A74DE"/>
    <w:rsid w:val="005A7C8E"/>
    <w:rsid w:val="005A7D62"/>
    <w:rsid w:val="005B0320"/>
    <w:rsid w:val="005B0442"/>
    <w:rsid w:val="005B1445"/>
    <w:rsid w:val="005B1C6F"/>
    <w:rsid w:val="005B2EAE"/>
    <w:rsid w:val="005B369C"/>
    <w:rsid w:val="005B3DAE"/>
    <w:rsid w:val="005B437A"/>
    <w:rsid w:val="005B4396"/>
    <w:rsid w:val="005B49A2"/>
    <w:rsid w:val="005B4A41"/>
    <w:rsid w:val="005B4C94"/>
    <w:rsid w:val="005B531A"/>
    <w:rsid w:val="005B5CF1"/>
    <w:rsid w:val="005B5E9D"/>
    <w:rsid w:val="005B61E5"/>
    <w:rsid w:val="005B636E"/>
    <w:rsid w:val="005B6C3E"/>
    <w:rsid w:val="005B6CB9"/>
    <w:rsid w:val="005B7121"/>
    <w:rsid w:val="005B738E"/>
    <w:rsid w:val="005B74B4"/>
    <w:rsid w:val="005B7CF6"/>
    <w:rsid w:val="005B7E4E"/>
    <w:rsid w:val="005C01A8"/>
    <w:rsid w:val="005C0474"/>
    <w:rsid w:val="005C0699"/>
    <w:rsid w:val="005C09F5"/>
    <w:rsid w:val="005C148C"/>
    <w:rsid w:val="005C15C7"/>
    <w:rsid w:val="005C19C0"/>
    <w:rsid w:val="005C1BC5"/>
    <w:rsid w:val="005C1C17"/>
    <w:rsid w:val="005C1EA3"/>
    <w:rsid w:val="005C2388"/>
    <w:rsid w:val="005C2C5A"/>
    <w:rsid w:val="005C3332"/>
    <w:rsid w:val="005C34FB"/>
    <w:rsid w:val="005C3E60"/>
    <w:rsid w:val="005C4955"/>
    <w:rsid w:val="005C4DB4"/>
    <w:rsid w:val="005C54EB"/>
    <w:rsid w:val="005C59DD"/>
    <w:rsid w:val="005C5A97"/>
    <w:rsid w:val="005C63BC"/>
    <w:rsid w:val="005C65A4"/>
    <w:rsid w:val="005C67E8"/>
    <w:rsid w:val="005C6C2E"/>
    <w:rsid w:val="005C75F8"/>
    <w:rsid w:val="005C79FA"/>
    <w:rsid w:val="005C7FCE"/>
    <w:rsid w:val="005D0444"/>
    <w:rsid w:val="005D090A"/>
    <w:rsid w:val="005D0C32"/>
    <w:rsid w:val="005D0E56"/>
    <w:rsid w:val="005D15D7"/>
    <w:rsid w:val="005D1C25"/>
    <w:rsid w:val="005D1E39"/>
    <w:rsid w:val="005D219C"/>
    <w:rsid w:val="005D2DA2"/>
    <w:rsid w:val="005D2EB5"/>
    <w:rsid w:val="005D3B34"/>
    <w:rsid w:val="005D41D5"/>
    <w:rsid w:val="005D4209"/>
    <w:rsid w:val="005D4485"/>
    <w:rsid w:val="005D5536"/>
    <w:rsid w:val="005D5BE5"/>
    <w:rsid w:val="005D607B"/>
    <w:rsid w:val="005D6161"/>
    <w:rsid w:val="005D6E61"/>
    <w:rsid w:val="005D6F0F"/>
    <w:rsid w:val="005D6F6B"/>
    <w:rsid w:val="005D70F1"/>
    <w:rsid w:val="005D7243"/>
    <w:rsid w:val="005D794C"/>
    <w:rsid w:val="005D7BAE"/>
    <w:rsid w:val="005E0B96"/>
    <w:rsid w:val="005E0CBA"/>
    <w:rsid w:val="005E180B"/>
    <w:rsid w:val="005E187D"/>
    <w:rsid w:val="005E1A06"/>
    <w:rsid w:val="005E2128"/>
    <w:rsid w:val="005E22EF"/>
    <w:rsid w:val="005E2693"/>
    <w:rsid w:val="005E27C0"/>
    <w:rsid w:val="005E2ADA"/>
    <w:rsid w:val="005E2B1C"/>
    <w:rsid w:val="005E2BDE"/>
    <w:rsid w:val="005E2E1C"/>
    <w:rsid w:val="005E32B7"/>
    <w:rsid w:val="005E36A6"/>
    <w:rsid w:val="005E3C0D"/>
    <w:rsid w:val="005E3C35"/>
    <w:rsid w:val="005E42D9"/>
    <w:rsid w:val="005E4392"/>
    <w:rsid w:val="005E44BC"/>
    <w:rsid w:val="005E6922"/>
    <w:rsid w:val="005E6CE3"/>
    <w:rsid w:val="005E6D9B"/>
    <w:rsid w:val="005E74D5"/>
    <w:rsid w:val="005F0122"/>
    <w:rsid w:val="005F05DA"/>
    <w:rsid w:val="005F0EBB"/>
    <w:rsid w:val="005F13DA"/>
    <w:rsid w:val="005F16AF"/>
    <w:rsid w:val="005F19E6"/>
    <w:rsid w:val="005F1CFF"/>
    <w:rsid w:val="005F222A"/>
    <w:rsid w:val="005F2A66"/>
    <w:rsid w:val="005F3128"/>
    <w:rsid w:val="005F3384"/>
    <w:rsid w:val="005F3897"/>
    <w:rsid w:val="005F44E1"/>
    <w:rsid w:val="005F4864"/>
    <w:rsid w:val="005F4CF5"/>
    <w:rsid w:val="005F500E"/>
    <w:rsid w:val="005F52D3"/>
    <w:rsid w:val="005F54BC"/>
    <w:rsid w:val="005F5968"/>
    <w:rsid w:val="005F5BDA"/>
    <w:rsid w:val="005F5F47"/>
    <w:rsid w:val="005F625C"/>
    <w:rsid w:val="005F690F"/>
    <w:rsid w:val="005F7048"/>
    <w:rsid w:val="006006C0"/>
    <w:rsid w:val="00600725"/>
    <w:rsid w:val="00600D31"/>
    <w:rsid w:val="00601036"/>
    <w:rsid w:val="00601B08"/>
    <w:rsid w:val="00601B42"/>
    <w:rsid w:val="006029F6"/>
    <w:rsid w:val="006037B0"/>
    <w:rsid w:val="00603B4A"/>
    <w:rsid w:val="00603ED6"/>
    <w:rsid w:val="0060417A"/>
    <w:rsid w:val="006055DF"/>
    <w:rsid w:val="00605B41"/>
    <w:rsid w:val="00605CE9"/>
    <w:rsid w:val="00605F81"/>
    <w:rsid w:val="006061CF"/>
    <w:rsid w:val="00606516"/>
    <w:rsid w:val="00606578"/>
    <w:rsid w:val="00606B5F"/>
    <w:rsid w:val="00607152"/>
    <w:rsid w:val="0060729B"/>
    <w:rsid w:val="00607896"/>
    <w:rsid w:val="006078CE"/>
    <w:rsid w:val="0060798C"/>
    <w:rsid w:val="00607DB5"/>
    <w:rsid w:val="00610B7E"/>
    <w:rsid w:val="006114FE"/>
    <w:rsid w:val="0061210E"/>
    <w:rsid w:val="00612112"/>
    <w:rsid w:val="006122D1"/>
    <w:rsid w:val="00612A7E"/>
    <w:rsid w:val="00612C2E"/>
    <w:rsid w:val="00613726"/>
    <w:rsid w:val="00613818"/>
    <w:rsid w:val="00613AB8"/>
    <w:rsid w:val="00613E9D"/>
    <w:rsid w:val="006142EF"/>
    <w:rsid w:val="0061468A"/>
    <w:rsid w:val="0061495C"/>
    <w:rsid w:val="00614FBB"/>
    <w:rsid w:val="006150FB"/>
    <w:rsid w:val="006158BE"/>
    <w:rsid w:val="00615F5C"/>
    <w:rsid w:val="0061633F"/>
    <w:rsid w:val="00616409"/>
    <w:rsid w:val="00616C67"/>
    <w:rsid w:val="00616D30"/>
    <w:rsid w:val="00616FEB"/>
    <w:rsid w:val="0061707D"/>
    <w:rsid w:val="0061774E"/>
    <w:rsid w:val="006179F2"/>
    <w:rsid w:val="00617FB1"/>
    <w:rsid w:val="006204B0"/>
    <w:rsid w:val="0062086B"/>
    <w:rsid w:val="006208F2"/>
    <w:rsid w:val="006210C0"/>
    <w:rsid w:val="00621215"/>
    <w:rsid w:val="0062143A"/>
    <w:rsid w:val="00621998"/>
    <w:rsid w:val="00621C25"/>
    <w:rsid w:val="00621C52"/>
    <w:rsid w:val="00622113"/>
    <w:rsid w:val="0062230B"/>
    <w:rsid w:val="0062278B"/>
    <w:rsid w:val="00622B5F"/>
    <w:rsid w:val="00622C04"/>
    <w:rsid w:val="006231A1"/>
    <w:rsid w:val="00623412"/>
    <w:rsid w:val="006235C1"/>
    <w:rsid w:val="00623B41"/>
    <w:rsid w:val="006241D3"/>
    <w:rsid w:val="006242AC"/>
    <w:rsid w:val="0062436C"/>
    <w:rsid w:val="006243AA"/>
    <w:rsid w:val="0062461F"/>
    <w:rsid w:val="00624A83"/>
    <w:rsid w:val="00624DDB"/>
    <w:rsid w:val="00624F46"/>
    <w:rsid w:val="00625211"/>
    <w:rsid w:val="00625254"/>
    <w:rsid w:val="006254EA"/>
    <w:rsid w:val="006255ED"/>
    <w:rsid w:val="00626308"/>
    <w:rsid w:val="006265F6"/>
    <w:rsid w:val="00626B75"/>
    <w:rsid w:val="006272E4"/>
    <w:rsid w:val="0062796F"/>
    <w:rsid w:val="00627D0C"/>
    <w:rsid w:val="0063008D"/>
    <w:rsid w:val="00630188"/>
    <w:rsid w:val="006309CC"/>
    <w:rsid w:val="00630C31"/>
    <w:rsid w:val="00630EA1"/>
    <w:rsid w:val="0063117D"/>
    <w:rsid w:val="006312D8"/>
    <w:rsid w:val="00631588"/>
    <w:rsid w:val="00631BBE"/>
    <w:rsid w:val="00631E0A"/>
    <w:rsid w:val="00631E38"/>
    <w:rsid w:val="0063218C"/>
    <w:rsid w:val="00632445"/>
    <w:rsid w:val="00632456"/>
    <w:rsid w:val="00632763"/>
    <w:rsid w:val="00632FA7"/>
    <w:rsid w:val="00633626"/>
    <w:rsid w:val="00633E41"/>
    <w:rsid w:val="006343DF"/>
    <w:rsid w:val="006347AB"/>
    <w:rsid w:val="0063489A"/>
    <w:rsid w:val="00634A59"/>
    <w:rsid w:val="00634C9C"/>
    <w:rsid w:val="006355B3"/>
    <w:rsid w:val="00636AB4"/>
    <w:rsid w:val="00636AF4"/>
    <w:rsid w:val="00637158"/>
    <w:rsid w:val="0063717D"/>
    <w:rsid w:val="00637206"/>
    <w:rsid w:val="006374F3"/>
    <w:rsid w:val="00637A7A"/>
    <w:rsid w:val="006407B4"/>
    <w:rsid w:val="006407B9"/>
    <w:rsid w:val="00640FA3"/>
    <w:rsid w:val="00641726"/>
    <w:rsid w:val="0064194E"/>
    <w:rsid w:val="0064197F"/>
    <w:rsid w:val="00642B46"/>
    <w:rsid w:val="00642BAD"/>
    <w:rsid w:val="00642BDC"/>
    <w:rsid w:val="00642CC2"/>
    <w:rsid w:val="00642DBE"/>
    <w:rsid w:val="00642DCF"/>
    <w:rsid w:val="00643130"/>
    <w:rsid w:val="00643EFD"/>
    <w:rsid w:val="00643FBA"/>
    <w:rsid w:val="00644110"/>
    <w:rsid w:val="006444D5"/>
    <w:rsid w:val="006448D2"/>
    <w:rsid w:val="006450FD"/>
    <w:rsid w:val="00645882"/>
    <w:rsid w:val="00645ABD"/>
    <w:rsid w:val="0064626C"/>
    <w:rsid w:val="00646A11"/>
    <w:rsid w:val="00646AF2"/>
    <w:rsid w:val="00646D2F"/>
    <w:rsid w:val="00647187"/>
    <w:rsid w:val="0064759E"/>
    <w:rsid w:val="006476C4"/>
    <w:rsid w:val="006479A6"/>
    <w:rsid w:val="0065008C"/>
    <w:rsid w:val="0065008D"/>
    <w:rsid w:val="0065093E"/>
    <w:rsid w:val="00650B84"/>
    <w:rsid w:val="006510C7"/>
    <w:rsid w:val="00651A35"/>
    <w:rsid w:val="00651D6C"/>
    <w:rsid w:val="00652309"/>
    <w:rsid w:val="0065293D"/>
    <w:rsid w:val="00652ED5"/>
    <w:rsid w:val="00652FE5"/>
    <w:rsid w:val="00653CA1"/>
    <w:rsid w:val="00653CED"/>
    <w:rsid w:val="00653CF9"/>
    <w:rsid w:val="00653F29"/>
    <w:rsid w:val="00654FD9"/>
    <w:rsid w:val="006550AB"/>
    <w:rsid w:val="0065568B"/>
    <w:rsid w:val="00655962"/>
    <w:rsid w:val="00655C65"/>
    <w:rsid w:val="006560B1"/>
    <w:rsid w:val="006565C8"/>
    <w:rsid w:val="006565F0"/>
    <w:rsid w:val="00656E2E"/>
    <w:rsid w:val="0065723A"/>
    <w:rsid w:val="00660259"/>
    <w:rsid w:val="00660490"/>
    <w:rsid w:val="0066065A"/>
    <w:rsid w:val="006606A3"/>
    <w:rsid w:val="00660942"/>
    <w:rsid w:val="00660B13"/>
    <w:rsid w:val="00660D59"/>
    <w:rsid w:val="00661433"/>
    <w:rsid w:val="00661B9B"/>
    <w:rsid w:val="00661D71"/>
    <w:rsid w:val="00661ECE"/>
    <w:rsid w:val="00661F81"/>
    <w:rsid w:val="00662354"/>
    <w:rsid w:val="00662B28"/>
    <w:rsid w:val="006630C6"/>
    <w:rsid w:val="0066360B"/>
    <w:rsid w:val="00663843"/>
    <w:rsid w:val="00663A91"/>
    <w:rsid w:val="006643B4"/>
    <w:rsid w:val="00664814"/>
    <w:rsid w:val="00664B2A"/>
    <w:rsid w:val="00664BC8"/>
    <w:rsid w:val="0066610D"/>
    <w:rsid w:val="006664B7"/>
    <w:rsid w:val="00666866"/>
    <w:rsid w:val="00666B8D"/>
    <w:rsid w:val="00666D11"/>
    <w:rsid w:val="00666F8E"/>
    <w:rsid w:val="00667044"/>
    <w:rsid w:val="00667060"/>
    <w:rsid w:val="006672DC"/>
    <w:rsid w:val="00667FE9"/>
    <w:rsid w:val="006703DA"/>
    <w:rsid w:val="00670D32"/>
    <w:rsid w:val="006714FE"/>
    <w:rsid w:val="00671F02"/>
    <w:rsid w:val="006728E1"/>
    <w:rsid w:val="00672A92"/>
    <w:rsid w:val="00673030"/>
    <w:rsid w:val="00673825"/>
    <w:rsid w:val="00674254"/>
    <w:rsid w:val="006744EB"/>
    <w:rsid w:val="00674EC0"/>
    <w:rsid w:val="0067562F"/>
    <w:rsid w:val="00675665"/>
    <w:rsid w:val="0067576B"/>
    <w:rsid w:val="00675CF6"/>
    <w:rsid w:val="00676109"/>
    <w:rsid w:val="006764E9"/>
    <w:rsid w:val="0067696B"/>
    <w:rsid w:val="00676EB4"/>
    <w:rsid w:val="00676F7B"/>
    <w:rsid w:val="00677399"/>
    <w:rsid w:val="0067749E"/>
    <w:rsid w:val="006775D4"/>
    <w:rsid w:val="00677C0D"/>
    <w:rsid w:val="00677CB9"/>
    <w:rsid w:val="006802CF"/>
    <w:rsid w:val="006802F3"/>
    <w:rsid w:val="0068080D"/>
    <w:rsid w:val="0068127B"/>
    <w:rsid w:val="0068163B"/>
    <w:rsid w:val="006819EB"/>
    <w:rsid w:val="00681AC5"/>
    <w:rsid w:val="00682424"/>
    <w:rsid w:val="00682651"/>
    <w:rsid w:val="006834CD"/>
    <w:rsid w:val="00683851"/>
    <w:rsid w:val="00683E28"/>
    <w:rsid w:val="00685057"/>
    <w:rsid w:val="006853CE"/>
    <w:rsid w:val="0068557D"/>
    <w:rsid w:val="00685D43"/>
    <w:rsid w:val="00686ADA"/>
    <w:rsid w:val="00686C4C"/>
    <w:rsid w:val="00686C6D"/>
    <w:rsid w:val="00687829"/>
    <w:rsid w:val="00687975"/>
    <w:rsid w:val="00690029"/>
    <w:rsid w:val="0069052A"/>
    <w:rsid w:val="006909CC"/>
    <w:rsid w:val="00690F76"/>
    <w:rsid w:val="0069131E"/>
    <w:rsid w:val="00691E45"/>
    <w:rsid w:val="00692C55"/>
    <w:rsid w:val="00692EB8"/>
    <w:rsid w:val="006939D3"/>
    <w:rsid w:val="00693F3C"/>
    <w:rsid w:val="0069506C"/>
    <w:rsid w:val="006951FB"/>
    <w:rsid w:val="00695FFE"/>
    <w:rsid w:val="00696707"/>
    <w:rsid w:val="00696F23"/>
    <w:rsid w:val="00697174"/>
    <w:rsid w:val="006975AF"/>
    <w:rsid w:val="00697E49"/>
    <w:rsid w:val="00697F9C"/>
    <w:rsid w:val="00697FBB"/>
    <w:rsid w:val="006A06DF"/>
    <w:rsid w:val="006A07D8"/>
    <w:rsid w:val="006A0A53"/>
    <w:rsid w:val="006A0E40"/>
    <w:rsid w:val="006A0E49"/>
    <w:rsid w:val="006A0F7D"/>
    <w:rsid w:val="006A16B5"/>
    <w:rsid w:val="006A1965"/>
    <w:rsid w:val="006A1C5E"/>
    <w:rsid w:val="006A2927"/>
    <w:rsid w:val="006A33CB"/>
    <w:rsid w:val="006A3518"/>
    <w:rsid w:val="006A389C"/>
    <w:rsid w:val="006A3F80"/>
    <w:rsid w:val="006A4E05"/>
    <w:rsid w:val="006A57F8"/>
    <w:rsid w:val="006A5D9B"/>
    <w:rsid w:val="006A6CB5"/>
    <w:rsid w:val="006A6F0A"/>
    <w:rsid w:val="006A7059"/>
    <w:rsid w:val="006A7060"/>
    <w:rsid w:val="006A7679"/>
    <w:rsid w:val="006A7AE7"/>
    <w:rsid w:val="006B1111"/>
    <w:rsid w:val="006B15AD"/>
    <w:rsid w:val="006B1720"/>
    <w:rsid w:val="006B181A"/>
    <w:rsid w:val="006B1B27"/>
    <w:rsid w:val="006B1C74"/>
    <w:rsid w:val="006B1D68"/>
    <w:rsid w:val="006B216C"/>
    <w:rsid w:val="006B25AD"/>
    <w:rsid w:val="006B264E"/>
    <w:rsid w:val="006B27D0"/>
    <w:rsid w:val="006B304A"/>
    <w:rsid w:val="006B33BF"/>
    <w:rsid w:val="006B34A4"/>
    <w:rsid w:val="006B379E"/>
    <w:rsid w:val="006B3D6F"/>
    <w:rsid w:val="006B45E9"/>
    <w:rsid w:val="006B52BF"/>
    <w:rsid w:val="006B5A2A"/>
    <w:rsid w:val="006B5BF9"/>
    <w:rsid w:val="006B604D"/>
    <w:rsid w:val="006B6544"/>
    <w:rsid w:val="006B6893"/>
    <w:rsid w:val="006B705B"/>
    <w:rsid w:val="006B7111"/>
    <w:rsid w:val="006B7707"/>
    <w:rsid w:val="006B7790"/>
    <w:rsid w:val="006B7B85"/>
    <w:rsid w:val="006C0326"/>
    <w:rsid w:val="006C0475"/>
    <w:rsid w:val="006C0A04"/>
    <w:rsid w:val="006C0A2D"/>
    <w:rsid w:val="006C0B97"/>
    <w:rsid w:val="006C11F5"/>
    <w:rsid w:val="006C120A"/>
    <w:rsid w:val="006C1348"/>
    <w:rsid w:val="006C157D"/>
    <w:rsid w:val="006C15CB"/>
    <w:rsid w:val="006C1CAF"/>
    <w:rsid w:val="006C1F55"/>
    <w:rsid w:val="006C22BE"/>
    <w:rsid w:val="006C27F6"/>
    <w:rsid w:val="006C3026"/>
    <w:rsid w:val="006C31FD"/>
    <w:rsid w:val="006C3A17"/>
    <w:rsid w:val="006C4A61"/>
    <w:rsid w:val="006C57C1"/>
    <w:rsid w:val="006C59DA"/>
    <w:rsid w:val="006C5AF6"/>
    <w:rsid w:val="006C5B29"/>
    <w:rsid w:val="006C68D2"/>
    <w:rsid w:val="006C7139"/>
    <w:rsid w:val="006C7157"/>
    <w:rsid w:val="006C7EC5"/>
    <w:rsid w:val="006D037B"/>
    <w:rsid w:val="006D05A4"/>
    <w:rsid w:val="006D0984"/>
    <w:rsid w:val="006D0A20"/>
    <w:rsid w:val="006D0CB9"/>
    <w:rsid w:val="006D1817"/>
    <w:rsid w:val="006D1A43"/>
    <w:rsid w:val="006D2180"/>
    <w:rsid w:val="006D21AF"/>
    <w:rsid w:val="006D2D76"/>
    <w:rsid w:val="006D2E3A"/>
    <w:rsid w:val="006D391C"/>
    <w:rsid w:val="006D3BAC"/>
    <w:rsid w:val="006D3CD0"/>
    <w:rsid w:val="006D3D53"/>
    <w:rsid w:val="006D46CC"/>
    <w:rsid w:val="006D55F4"/>
    <w:rsid w:val="006D5816"/>
    <w:rsid w:val="006D5822"/>
    <w:rsid w:val="006D5952"/>
    <w:rsid w:val="006D5C03"/>
    <w:rsid w:val="006D6517"/>
    <w:rsid w:val="006D6609"/>
    <w:rsid w:val="006D67C5"/>
    <w:rsid w:val="006D6F4A"/>
    <w:rsid w:val="006D7200"/>
    <w:rsid w:val="006D7296"/>
    <w:rsid w:val="006D7323"/>
    <w:rsid w:val="006D7448"/>
    <w:rsid w:val="006D7764"/>
    <w:rsid w:val="006D789B"/>
    <w:rsid w:val="006D7C5B"/>
    <w:rsid w:val="006D7C9C"/>
    <w:rsid w:val="006E06E2"/>
    <w:rsid w:val="006E0915"/>
    <w:rsid w:val="006E095F"/>
    <w:rsid w:val="006E0C9B"/>
    <w:rsid w:val="006E150A"/>
    <w:rsid w:val="006E1828"/>
    <w:rsid w:val="006E1D61"/>
    <w:rsid w:val="006E2178"/>
    <w:rsid w:val="006E23E4"/>
    <w:rsid w:val="006E2404"/>
    <w:rsid w:val="006E2AC1"/>
    <w:rsid w:val="006E2E61"/>
    <w:rsid w:val="006E3056"/>
    <w:rsid w:val="006E3139"/>
    <w:rsid w:val="006E3A2C"/>
    <w:rsid w:val="006E50F8"/>
    <w:rsid w:val="006E56DD"/>
    <w:rsid w:val="006E5D1C"/>
    <w:rsid w:val="006E698B"/>
    <w:rsid w:val="006E6BAA"/>
    <w:rsid w:val="006E72A6"/>
    <w:rsid w:val="006E77C1"/>
    <w:rsid w:val="006E7C0E"/>
    <w:rsid w:val="006F0997"/>
    <w:rsid w:val="006F0AE4"/>
    <w:rsid w:val="006F258F"/>
    <w:rsid w:val="006F286D"/>
    <w:rsid w:val="006F2ED8"/>
    <w:rsid w:val="006F30D2"/>
    <w:rsid w:val="006F3396"/>
    <w:rsid w:val="006F43B4"/>
    <w:rsid w:val="006F481D"/>
    <w:rsid w:val="006F4E8D"/>
    <w:rsid w:val="006F5416"/>
    <w:rsid w:val="006F5518"/>
    <w:rsid w:val="006F559C"/>
    <w:rsid w:val="006F59A2"/>
    <w:rsid w:val="006F5D5C"/>
    <w:rsid w:val="006F5D75"/>
    <w:rsid w:val="006F5F3D"/>
    <w:rsid w:val="006F6279"/>
    <w:rsid w:val="006F64B3"/>
    <w:rsid w:val="006F6B85"/>
    <w:rsid w:val="006F72D3"/>
    <w:rsid w:val="006F77C6"/>
    <w:rsid w:val="006F7853"/>
    <w:rsid w:val="006F785A"/>
    <w:rsid w:val="006F7B09"/>
    <w:rsid w:val="006F7D11"/>
    <w:rsid w:val="006F7F7A"/>
    <w:rsid w:val="00700154"/>
    <w:rsid w:val="007001B7"/>
    <w:rsid w:val="007004AA"/>
    <w:rsid w:val="00700C3E"/>
    <w:rsid w:val="00701550"/>
    <w:rsid w:val="007016CD"/>
    <w:rsid w:val="00701903"/>
    <w:rsid w:val="00701A31"/>
    <w:rsid w:val="00701B2D"/>
    <w:rsid w:val="00701B3B"/>
    <w:rsid w:val="007025DE"/>
    <w:rsid w:val="007038BE"/>
    <w:rsid w:val="007039D9"/>
    <w:rsid w:val="00703A96"/>
    <w:rsid w:val="00703E74"/>
    <w:rsid w:val="00703F51"/>
    <w:rsid w:val="0070462B"/>
    <w:rsid w:val="00704B0D"/>
    <w:rsid w:val="00704C76"/>
    <w:rsid w:val="007050A0"/>
    <w:rsid w:val="007053D1"/>
    <w:rsid w:val="007053FB"/>
    <w:rsid w:val="0070556B"/>
    <w:rsid w:val="00705E3D"/>
    <w:rsid w:val="00706172"/>
    <w:rsid w:val="007063F2"/>
    <w:rsid w:val="0070672D"/>
    <w:rsid w:val="007068CF"/>
    <w:rsid w:val="00706930"/>
    <w:rsid w:val="00706DD6"/>
    <w:rsid w:val="00706DE6"/>
    <w:rsid w:val="00706E17"/>
    <w:rsid w:val="00707548"/>
    <w:rsid w:val="00707A63"/>
    <w:rsid w:val="00707AA9"/>
    <w:rsid w:val="00707DFA"/>
    <w:rsid w:val="007103B2"/>
    <w:rsid w:val="00710EEA"/>
    <w:rsid w:val="007111E8"/>
    <w:rsid w:val="00711EDA"/>
    <w:rsid w:val="0071211D"/>
    <w:rsid w:val="007130F0"/>
    <w:rsid w:val="0071353D"/>
    <w:rsid w:val="00713D33"/>
    <w:rsid w:val="00715445"/>
    <w:rsid w:val="00715550"/>
    <w:rsid w:val="00715A27"/>
    <w:rsid w:val="00715D73"/>
    <w:rsid w:val="00716477"/>
    <w:rsid w:val="007164AB"/>
    <w:rsid w:val="007164CE"/>
    <w:rsid w:val="0071654F"/>
    <w:rsid w:val="00716A66"/>
    <w:rsid w:val="007174E3"/>
    <w:rsid w:val="00717507"/>
    <w:rsid w:val="0071797D"/>
    <w:rsid w:val="00717EF5"/>
    <w:rsid w:val="0072098D"/>
    <w:rsid w:val="00721191"/>
    <w:rsid w:val="00721508"/>
    <w:rsid w:val="00721607"/>
    <w:rsid w:val="00721683"/>
    <w:rsid w:val="00721EB0"/>
    <w:rsid w:val="007220E0"/>
    <w:rsid w:val="00722170"/>
    <w:rsid w:val="007225C0"/>
    <w:rsid w:val="007234B4"/>
    <w:rsid w:val="00723837"/>
    <w:rsid w:val="00723F29"/>
    <w:rsid w:val="00724325"/>
    <w:rsid w:val="0072538F"/>
    <w:rsid w:val="007265F3"/>
    <w:rsid w:val="007267C8"/>
    <w:rsid w:val="00726F1B"/>
    <w:rsid w:val="00727189"/>
    <w:rsid w:val="007275BE"/>
    <w:rsid w:val="00727608"/>
    <w:rsid w:val="00727888"/>
    <w:rsid w:val="00727AF8"/>
    <w:rsid w:val="00727EFC"/>
    <w:rsid w:val="007302E2"/>
    <w:rsid w:val="007303CA"/>
    <w:rsid w:val="00730DFC"/>
    <w:rsid w:val="00731686"/>
    <w:rsid w:val="00731B5A"/>
    <w:rsid w:val="00731DB0"/>
    <w:rsid w:val="007324EC"/>
    <w:rsid w:val="00732634"/>
    <w:rsid w:val="00732F57"/>
    <w:rsid w:val="00733879"/>
    <w:rsid w:val="00733C68"/>
    <w:rsid w:val="00733F75"/>
    <w:rsid w:val="00734CCC"/>
    <w:rsid w:val="00734CDC"/>
    <w:rsid w:val="00734CF4"/>
    <w:rsid w:val="00735A9D"/>
    <w:rsid w:val="00735B46"/>
    <w:rsid w:val="00735EF4"/>
    <w:rsid w:val="007363AA"/>
    <w:rsid w:val="007365F0"/>
    <w:rsid w:val="00736BB5"/>
    <w:rsid w:val="007373AA"/>
    <w:rsid w:val="00737846"/>
    <w:rsid w:val="00737E7C"/>
    <w:rsid w:val="00740733"/>
    <w:rsid w:val="00740EA4"/>
    <w:rsid w:val="00741208"/>
    <w:rsid w:val="007413D4"/>
    <w:rsid w:val="00742022"/>
    <w:rsid w:val="00742092"/>
    <w:rsid w:val="00742E7A"/>
    <w:rsid w:val="00743212"/>
    <w:rsid w:val="007432E7"/>
    <w:rsid w:val="0074330D"/>
    <w:rsid w:val="00743455"/>
    <w:rsid w:val="007437A2"/>
    <w:rsid w:val="007437D8"/>
    <w:rsid w:val="0074450B"/>
    <w:rsid w:val="00744690"/>
    <w:rsid w:val="00744769"/>
    <w:rsid w:val="0074512F"/>
    <w:rsid w:val="007452D1"/>
    <w:rsid w:val="0074539D"/>
    <w:rsid w:val="00745794"/>
    <w:rsid w:val="007458CD"/>
    <w:rsid w:val="0074731A"/>
    <w:rsid w:val="00750664"/>
    <w:rsid w:val="007506F3"/>
    <w:rsid w:val="00750AEB"/>
    <w:rsid w:val="007511DC"/>
    <w:rsid w:val="00751358"/>
    <w:rsid w:val="0075175C"/>
    <w:rsid w:val="00751BA2"/>
    <w:rsid w:val="00751C47"/>
    <w:rsid w:val="00752255"/>
    <w:rsid w:val="0075257A"/>
    <w:rsid w:val="0075269D"/>
    <w:rsid w:val="00752A61"/>
    <w:rsid w:val="00752FA4"/>
    <w:rsid w:val="00753387"/>
    <w:rsid w:val="00753DC0"/>
    <w:rsid w:val="00753FE3"/>
    <w:rsid w:val="007548F4"/>
    <w:rsid w:val="00754A69"/>
    <w:rsid w:val="00754C68"/>
    <w:rsid w:val="00754F44"/>
    <w:rsid w:val="00755711"/>
    <w:rsid w:val="00755BD9"/>
    <w:rsid w:val="00756092"/>
    <w:rsid w:val="00756338"/>
    <w:rsid w:val="0075648E"/>
    <w:rsid w:val="0075692F"/>
    <w:rsid w:val="00756D90"/>
    <w:rsid w:val="00757060"/>
    <w:rsid w:val="0075761B"/>
    <w:rsid w:val="00757A77"/>
    <w:rsid w:val="007602E0"/>
    <w:rsid w:val="007609C9"/>
    <w:rsid w:val="007610C4"/>
    <w:rsid w:val="00761317"/>
    <w:rsid w:val="007617DF"/>
    <w:rsid w:val="007618DF"/>
    <w:rsid w:val="007621EE"/>
    <w:rsid w:val="00762635"/>
    <w:rsid w:val="00762895"/>
    <w:rsid w:val="00762CCD"/>
    <w:rsid w:val="00762E55"/>
    <w:rsid w:val="00763286"/>
    <w:rsid w:val="00763706"/>
    <w:rsid w:val="0076373F"/>
    <w:rsid w:val="00763BA0"/>
    <w:rsid w:val="00763D45"/>
    <w:rsid w:val="00763FA1"/>
    <w:rsid w:val="00764FE3"/>
    <w:rsid w:val="00765635"/>
    <w:rsid w:val="00765690"/>
    <w:rsid w:val="00765BB2"/>
    <w:rsid w:val="00765E39"/>
    <w:rsid w:val="00765FB6"/>
    <w:rsid w:val="0076600F"/>
    <w:rsid w:val="007662E5"/>
    <w:rsid w:val="00766397"/>
    <w:rsid w:val="0076683B"/>
    <w:rsid w:val="00766C5E"/>
    <w:rsid w:val="00767153"/>
    <w:rsid w:val="00767539"/>
    <w:rsid w:val="007676D1"/>
    <w:rsid w:val="00767891"/>
    <w:rsid w:val="00767F5D"/>
    <w:rsid w:val="00770076"/>
    <w:rsid w:val="0077124A"/>
    <w:rsid w:val="00771269"/>
    <w:rsid w:val="00771869"/>
    <w:rsid w:val="00771E96"/>
    <w:rsid w:val="00772450"/>
    <w:rsid w:val="00772BA6"/>
    <w:rsid w:val="00772F72"/>
    <w:rsid w:val="00773197"/>
    <w:rsid w:val="007732A0"/>
    <w:rsid w:val="007734B7"/>
    <w:rsid w:val="00773943"/>
    <w:rsid w:val="00773C5D"/>
    <w:rsid w:val="00774483"/>
    <w:rsid w:val="007744BF"/>
    <w:rsid w:val="00774B6A"/>
    <w:rsid w:val="00774C1A"/>
    <w:rsid w:val="00775C9F"/>
    <w:rsid w:val="00775D03"/>
    <w:rsid w:val="0077674B"/>
    <w:rsid w:val="00776B3B"/>
    <w:rsid w:val="00776D1F"/>
    <w:rsid w:val="00776E82"/>
    <w:rsid w:val="00777C50"/>
    <w:rsid w:val="00777C9F"/>
    <w:rsid w:val="00780534"/>
    <w:rsid w:val="00780BAB"/>
    <w:rsid w:val="00780C89"/>
    <w:rsid w:val="00780CFC"/>
    <w:rsid w:val="00781431"/>
    <w:rsid w:val="00781A3A"/>
    <w:rsid w:val="00781E28"/>
    <w:rsid w:val="00782460"/>
    <w:rsid w:val="00783DC4"/>
    <w:rsid w:val="0078417D"/>
    <w:rsid w:val="00784200"/>
    <w:rsid w:val="007846C7"/>
    <w:rsid w:val="007846E8"/>
    <w:rsid w:val="00784704"/>
    <w:rsid w:val="007848CF"/>
    <w:rsid w:val="00784C34"/>
    <w:rsid w:val="00784DEF"/>
    <w:rsid w:val="007851FB"/>
    <w:rsid w:val="00785299"/>
    <w:rsid w:val="00785B9B"/>
    <w:rsid w:val="00786738"/>
    <w:rsid w:val="00786815"/>
    <w:rsid w:val="00786AFC"/>
    <w:rsid w:val="00786C20"/>
    <w:rsid w:val="00786CE8"/>
    <w:rsid w:val="0078703D"/>
    <w:rsid w:val="00787071"/>
    <w:rsid w:val="0078715D"/>
    <w:rsid w:val="007872BA"/>
    <w:rsid w:val="00787BB4"/>
    <w:rsid w:val="007903DC"/>
    <w:rsid w:val="00790BC4"/>
    <w:rsid w:val="00791361"/>
    <w:rsid w:val="0079159D"/>
    <w:rsid w:val="0079167D"/>
    <w:rsid w:val="00791D30"/>
    <w:rsid w:val="00793235"/>
    <w:rsid w:val="00793260"/>
    <w:rsid w:val="00793C2F"/>
    <w:rsid w:val="00793C7E"/>
    <w:rsid w:val="00794058"/>
    <w:rsid w:val="007941B9"/>
    <w:rsid w:val="00794B24"/>
    <w:rsid w:val="0079506C"/>
    <w:rsid w:val="007951B9"/>
    <w:rsid w:val="00795390"/>
    <w:rsid w:val="007955A1"/>
    <w:rsid w:val="007956E7"/>
    <w:rsid w:val="007959B5"/>
    <w:rsid w:val="00795DD8"/>
    <w:rsid w:val="00796666"/>
    <w:rsid w:val="00796A20"/>
    <w:rsid w:val="00796FE9"/>
    <w:rsid w:val="00797069"/>
    <w:rsid w:val="007977CC"/>
    <w:rsid w:val="0079799A"/>
    <w:rsid w:val="00797DB2"/>
    <w:rsid w:val="007A05AE"/>
    <w:rsid w:val="007A09C4"/>
    <w:rsid w:val="007A0DD4"/>
    <w:rsid w:val="007A1179"/>
    <w:rsid w:val="007A16D3"/>
    <w:rsid w:val="007A1A3D"/>
    <w:rsid w:val="007A20B2"/>
    <w:rsid w:val="007A2588"/>
    <w:rsid w:val="007A2A07"/>
    <w:rsid w:val="007A2E44"/>
    <w:rsid w:val="007A33C4"/>
    <w:rsid w:val="007A442E"/>
    <w:rsid w:val="007A448A"/>
    <w:rsid w:val="007A44B6"/>
    <w:rsid w:val="007A52F3"/>
    <w:rsid w:val="007A549B"/>
    <w:rsid w:val="007A576C"/>
    <w:rsid w:val="007A5B50"/>
    <w:rsid w:val="007A5F98"/>
    <w:rsid w:val="007A5FCA"/>
    <w:rsid w:val="007A60EC"/>
    <w:rsid w:val="007A61EF"/>
    <w:rsid w:val="007A6294"/>
    <w:rsid w:val="007A64CC"/>
    <w:rsid w:val="007A671D"/>
    <w:rsid w:val="007A67B0"/>
    <w:rsid w:val="007A6E98"/>
    <w:rsid w:val="007A6F2D"/>
    <w:rsid w:val="007A721D"/>
    <w:rsid w:val="007A72C3"/>
    <w:rsid w:val="007A74EA"/>
    <w:rsid w:val="007A7988"/>
    <w:rsid w:val="007A7AC2"/>
    <w:rsid w:val="007A7DC9"/>
    <w:rsid w:val="007A7ECB"/>
    <w:rsid w:val="007B074C"/>
    <w:rsid w:val="007B14E7"/>
    <w:rsid w:val="007B15C2"/>
    <w:rsid w:val="007B1A31"/>
    <w:rsid w:val="007B1C4C"/>
    <w:rsid w:val="007B25A2"/>
    <w:rsid w:val="007B2C40"/>
    <w:rsid w:val="007B3267"/>
    <w:rsid w:val="007B3638"/>
    <w:rsid w:val="007B494F"/>
    <w:rsid w:val="007B49C5"/>
    <w:rsid w:val="007B51EC"/>
    <w:rsid w:val="007B5D69"/>
    <w:rsid w:val="007B667D"/>
    <w:rsid w:val="007B6777"/>
    <w:rsid w:val="007B69BD"/>
    <w:rsid w:val="007B6B04"/>
    <w:rsid w:val="007B6BB9"/>
    <w:rsid w:val="007B7158"/>
    <w:rsid w:val="007B7A52"/>
    <w:rsid w:val="007B7B4A"/>
    <w:rsid w:val="007B7C33"/>
    <w:rsid w:val="007B7D5C"/>
    <w:rsid w:val="007C0159"/>
    <w:rsid w:val="007C0507"/>
    <w:rsid w:val="007C1F25"/>
    <w:rsid w:val="007C2283"/>
    <w:rsid w:val="007C239C"/>
    <w:rsid w:val="007C27BE"/>
    <w:rsid w:val="007C283E"/>
    <w:rsid w:val="007C2C71"/>
    <w:rsid w:val="007C2DFF"/>
    <w:rsid w:val="007C3937"/>
    <w:rsid w:val="007C39EE"/>
    <w:rsid w:val="007C4035"/>
    <w:rsid w:val="007C49A7"/>
    <w:rsid w:val="007C5154"/>
    <w:rsid w:val="007C51C4"/>
    <w:rsid w:val="007C58A5"/>
    <w:rsid w:val="007C5EB7"/>
    <w:rsid w:val="007C6147"/>
    <w:rsid w:val="007C61F8"/>
    <w:rsid w:val="007C62FF"/>
    <w:rsid w:val="007C64FC"/>
    <w:rsid w:val="007C6A49"/>
    <w:rsid w:val="007C74D4"/>
    <w:rsid w:val="007D02FE"/>
    <w:rsid w:val="007D1205"/>
    <w:rsid w:val="007D1289"/>
    <w:rsid w:val="007D15AB"/>
    <w:rsid w:val="007D2234"/>
    <w:rsid w:val="007D2498"/>
    <w:rsid w:val="007D25D5"/>
    <w:rsid w:val="007D273F"/>
    <w:rsid w:val="007D2D38"/>
    <w:rsid w:val="007D34F9"/>
    <w:rsid w:val="007D3B08"/>
    <w:rsid w:val="007D3EDF"/>
    <w:rsid w:val="007D4651"/>
    <w:rsid w:val="007D48A3"/>
    <w:rsid w:val="007D4B0B"/>
    <w:rsid w:val="007D4DAB"/>
    <w:rsid w:val="007D5CD7"/>
    <w:rsid w:val="007D5F6E"/>
    <w:rsid w:val="007D6257"/>
    <w:rsid w:val="007D6A17"/>
    <w:rsid w:val="007D6DBE"/>
    <w:rsid w:val="007D7186"/>
    <w:rsid w:val="007E0275"/>
    <w:rsid w:val="007E1074"/>
    <w:rsid w:val="007E128D"/>
    <w:rsid w:val="007E1C24"/>
    <w:rsid w:val="007E29CF"/>
    <w:rsid w:val="007E2F3E"/>
    <w:rsid w:val="007E3050"/>
    <w:rsid w:val="007E32D1"/>
    <w:rsid w:val="007E347D"/>
    <w:rsid w:val="007E35A7"/>
    <w:rsid w:val="007E360D"/>
    <w:rsid w:val="007E39D8"/>
    <w:rsid w:val="007E3A9A"/>
    <w:rsid w:val="007E4251"/>
    <w:rsid w:val="007E48A9"/>
    <w:rsid w:val="007E4EFE"/>
    <w:rsid w:val="007E5060"/>
    <w:rsid w:val="007E66E2"/>
    <w:rsid w:val="007E678B"/>
    <w:rsid w:val="007E6A94"/>
    <w:rsid w:val="007E7077"/>
    <w:rsid w:val="007E773E"/>
    <w:rsid w:val="007E7992"/>
    <w:rsid w:val="007E79ED"/>
    <w:rsid w:val="007E7FBC"/>
    <w:rsid w:val="007F02E5"/>
    <w:rsid w:val="007F0371"/>
    <w:rsid w:val="007F0C73"/>
    <w:rsid w:val="007F0D9E"/>
    <w:rsid w:val="007F1127"/>
    <w:rsid w:val="007F1C71"/>
    <w:rsid w:val="007F2792"/>
    <w:rsid w:val="007F2BF0"/>
    <w:rsid w:val="007F2F68"/>
    <w:rsid w:val="007F3103"/>
    <w:rsid w:val="007F3299"/>
    <w:rsid w:val="007F3DA6"/>
    <w:rsid w:val="007F4EE2"/>
    <w:rsid w:val="007F5FEE"/>
    <w:rsid w:val="007F6C58"/>
    <w:rsid w:val="007F72A5"/>
    <w:rsid w:val="007F7419"/>
    <w:rsid w:val="007F741B"/>
    <w:rsid w:val="00800BCA"/>
    <w:rsid w:val="00800D09"/>
    <w:rsid w:val="0080135E"/>
    <w:rsid w:val="0080220E"/>
    <w:rsid w:val="0080241C"/>
    <w:rsid w:val="008026EF"/>
    <w:rsid w:val="0080307D"/>
    <w:rsid w:val="008030BD"/>
    <w:rsid w:val="0080347F"/>
    <w:rsid w:val="00803D9C"/>
    <w:rsid w:val="00804125"/>
    <w:rsid w:val="008045B3"/>
    <w:rsid w:val="0080498B"/>
    <w:rsid w:val="00804C3F"/>
    <w:rsid w:val="00805235"/>
    <w:rsid w:val="00805E52"/>
    <w:rsid w:val="00805F7E"/>
    <w:rsid w:val="00806374"/>
    <w:rsid w:val="00806902"/>
    <w:rsid w:val="00806903"/>
    <w:rsid w:val="008069F3"/>
    <w:rsid w:val="00806A2F"/>
    <w:rsid w:val="00806DC0"/>
    <w:rsid w:val="008073DB"/>
    <w:rsid w:val="00807A88"/>
    <w:rsid w:val="00807C66"/>
    <w:rsid w:val="00807F12"/>
    <w:rsid w:val="00810B6E"/>
    <w:rsid w:val="00810D8E"/>
    <w:rsid w:val="008110CD"/>
    <w:rsid w:val="008113D6"/>
    <w:rsid w:val="0081179C"/>
    <w:rsid w:val="0081198D"/>
    <w:rsid w:val="00811CEE"/>
    <w:rsid w:val="00812263"/>
    <w:rsid w:val="00812AA8"/>
    <w:rsid w:val="00812ADC"/>
    <w:rsid w:val="00812FFF"/>
    <w:rsid w:val="008130D1"/>
    <w:rsid w:val="0081373E"/>
    <w:rsid w:val="0081394B"/>
    <w:rsid w:val="00813FB9"/>
    <w:rsid w:val="008141DC"/>
    <w:rsid w:val="00814309"/>
    <w:rsid w:val="00814313"/>
    <w:rsid w:val="008145BF"/>
    <w:rsid w:val="00814729"/>
    <w:rsid w:val="0081506B"/>
    <w:rsid w:val="008152F6"/>
    <w:rsid w:val="00815336"/>
    <w:rsid w:val="00815553"/>
    <w:rsid w:val="008159D6"/>
    <w:rsid w:val="00815AAC"/>
    <w:rsid w:val="00815CD5"/>
    <w:rsid w:val="00815DED"/>
    <w:rsid w:val="00816213"/>
    <w:rsid w:val="00816607"/>
    <w:rsid w:val="00816688"/>
    <w:rsid w:val="0081709A"/>
    <w:rsid w:val="008178F7"/>
    <w:rsid w:val="00817ACF"/>
    <w:rsid w:val="00817CE5"/>
    <w:rsid w:val="00817F9B"/>
    <w:rsid w:val="00820490"/>
    <w:rsid w:val="008205F2"/>
    <w:rsid w:val="00820776"/>
    <w:rsid w:val="00820ECC"/>
    <w:rsid w:val="008215AF"/>
    <w:rsid w:val="00821845"/>
    <w:rsid w:val="008218EB"/>
    <w:rsid w:val="00821AC5"/>
    <w:rsid w:val="00821CB2"/>
    <w:rsid w:val="00821D0A"/>
    <w:rsid w:val="00822069"/>
    <w:rsid w:val="0082228F"/>
    <w:rsid w:val="00822823"/>
    <w:rsid w:val="008231F8"/>
    <w:rsid w:val="00823724"/>
    <w:rsid w:val="00823CB8"/>
    <w:rsid w:val="00823CD2"/>
    <w:rsid w:val="00823F3E"/>
    <w:rsid w:val="00824231"/>
    <w:rsid w:val="00824258"/>
    <w:rsid w:val="008248CE"/>
    <w:rsid w:val="008249BC"/>
    <w:rsid w:val="00825728"/>
    <w:rsid w:val="008258FC"/>
    <w:rsid w:val="00825A28"/>
    <w:rsid w:val="00825C7B"/>
    <w:rsid w:val="00826338"/>
    <w:rsid w:val="00826578"/>
    <w:rsid w:val="00826E96"/>
    <w:rsid w:val="00826FE6"/>
    <w:rsid w:val="008272A0"/>
    <w:rsid w:val="00827447"/>
    <w:rsid w:val="008309BD"/>
    <w:rsid w:val="00830FC7"/>
    <w:rsid w:val="0083106F"/>
    <w:rsid w:val="00831167"/>
    <w:rsid w:val="00831AA3"/>
    <w:rsid w:val="00831AB8"/>
    <w:rsid w:val="00831D6C"/>
    <w:rsid w:val="00831E63"/>
    <w:rsid w:val="008322CE"/>
    <w:rsid w:val="00832809"/>
    <w:rsid w:val="00832965"/>
    <w:rsid w:val="008334E2"/>
    <w:rsid w:val="00833540"/>
    <w:rsid w:val="00834AA5"/>
    <w:rsid w:val="00834B9C"/>
    <w:rsid w:val="00834BE7"/>
    <w:rsid w:val="00834D2A"/>
    <w:rsid w:val="00834E17"/>
    <w:rsid w:val="00835EBC"/>
    <w:rsid w:val="00836058"/>
    <w:rsid w:val="00836905"/>
    <w:rsid w:val="00836DA4"/>
    <w:rsid w:val="00836F61"/>
    <w:rsid w:val="00836FDD"/>
    <w:rsid w:val="00837A05"/>
    <w:rsid w:val="00837DC0"/>
    <w:rsid w:val="00840287"/>
    <w:rsid w:val="0084045F"/>
    <w:rsid w:val="00840DD5"/>
    <w:rsid w:val="00840E81"/>
    <w:rsid w:val="008413C6"/>
    <w:rsid w:val="008414AD"/>
    <w:rsid w:val="00841787"/>
    <w:rsid w:val="0084195E"/>
    <w:rsid w:val="00841B55"/>
    <w:rsid w:val="00842512"/>
    <w:rsid w:val="00842C08"/>
    <w:rsid w:val="00842C63"/>
    <w:rsid w:val="00842D0B"/>
    <w:rsid w:val="0084348E"/>
    <w:rsid w:val="008440C9"/>
    <w:rsid w:val="0084425D"/>
    <w:rsid w:val="00844356"/>
    <w:rsid w:val="008447CB"/>
    <w:rsid w:val="008448D9"/>
    <w:rsid w:val="00844D11"/>
    <w:rsid w:val="00844F1C"/>
    <w:rsid w:val="008455C0"/>
    <w:rsid w:val="00845A66"/>
    <w:rsid w:val="00846619"/>
    <w:rsid w:val="0084685D"/>
    <w:rsid w:val="0084774A"/>
    <w:rsid w:val="00847FCC"/>
    <w:rsid w:val="008505DC"/>
    <w:rsid w:val="00850655"/>
    <w:rsid w:val="00850CFA"/>
    <w:rsid w:val="00850DB6"/>
    <w:rsid w:val="00851C0C"/>
    <w:rsid w:val="008521C8"/>
    <w:rsid w:val="00852322"/>
    <w:rsid w:val="00852DF5"/>
    <w:rsid w:val="00853F27"/>
    <w:rsid w:val="0085489A"/>
    <w:rsid w:val="008549F9"/>
    <w:rsid w:val="00854CC4"/>
    <w:rsid w:val="00854DEA"/>
    <w:rsid w:val="00855B9A"/>
    <w:rsid w:val="008560B2"/>
    <w:rsid w:val="00856C2B"/>
    <w:rsid w:val="00856E8E"/>
    <w:rsid w:val="00856FE6"/>
    <w:rsid w:val="00857207"/>
    <w:rsid w:val="008603AA"/>
    <w:rsid w:val="00860453"/>
    <w:rsid w:val="0086092C"/>
    <w:rsid w:val="00860F30"/>
    <w:rsid w:val="00861000"/>
    <w:rsid w:val="008610C5"/>
    <w:rsid w:val="00861583"/>
    <w:rsid w:val="00861C00"/>
    <w:rsid w:val="00862466"/>
    <w:rsid w:val="008626E6"/>
    <w:rsid w:val="00862C90"/>
    <w:rsid w:val="00862CE0"/>
    <w:rsid w:val="008633DD"/>
    <w:rsid w:val="0086349F"/>
    <w:rsid w:val="00863807"/>
    <w:rsid w:val="00863963"/>
    <w:rsid w:val="00863A4D"/>
    <w:rsid w:val="0086498F"/>
    <w:rsid w:val="00864A76"/>
    <w:rsid w:val="008651EE"/>
    <w:rsid w:val="00866586"/>
    <w:rsid w:val="00866ABE"/>
    <w:rsid w:val="00866E0A"/>
    <w:rsid w:val="0086702D"/>
    <w:rsid w:val="0086704A"/>
    <w:rsid w:val="00867CBC"/>
    <w:rsid w:val="00867E2C"/>
    <w:rsid w:val="00867F4D"/>
    <w:rsid w:val="008700FF"/>
    <w:rsid w:val="00870210"/>
    <w:rsid w:val="00870320"/>
    <w:rsid w:val="00870BAE"/>
    <w:rsid w:val="00870D59"/>
    <w:rsid w:val="0087124E"/>
    <w:rsid w:val="00871570"/>
    <w:rsid w:val="00871A72"/>
    <w:rsid w:val="00871F52"/>
    <w:rsid w:val="00871F67"/>
    <w:rsid w:val="0087258A"/>
    <w:rsid w:val="0087323B"/>
    <w:rsid w:val="008737FB"/>
    <w:rsid w:val="00873FBE"/>
    <w:rsid w:val="00874003"/>
    <w:rsid w:val="00874017"/>
    <w:rsid w:val="00874304"/>
    <w:rsid w:val="008743E5"/>
    <w:rsid w:val="00874553"/>
    <w:rsid w:val="00874863"/>
    <w:rsid w:val="00874BDB"/>
    <w:rsid w:val="008750D3"/>
    <w:rsid w:val="00875139"/>
    <w:rsid w:val="00875164"/>
    <w:rsid w:val="00875285"/>
    <w:rsid w:val="0087554D"/>
    <w:rsid w:val="008756FE"/>
    <w:rsid w:val="00875A65"/>
    <w:rsid w:val="0087629E"/>
    <w:rsid w:val="008766C6"/>
    <w:rsid w:val="00876D18"/>
    <w:rsid w:val="00876E5C"/>
    <w:rsid w:val="008770E9"/>
    <w:rsid w:val="008771BC"/>
    <w:rsid w:val="008776D7"/>
    <w:rsid w:val="0087770E"/>
    <w:rsid w:val="008777C9"/>
    <w:rsid w:val="008777EC"/>
    <w:rsid w:val="00877EBF"/>
    <w:rsid w:val="00880364"/>
    <w:rsid w:val="0088045E"/>
    <w:rsid w:val="008808F4"/>
    <w:rsid w:val="00880A87"/>
    <w:rsid w:val="00880BBE"/>
    <w:rsid w:val="008816DA"/>
    <w:rsid w:val="00882194"/>
    <w:rsid w:val="008824D0"/>
    <w:rsid w:val="008824E6"/>
    <w:rsid w:val="00882A26"/>
    <w:rsid w:val="00883887"/>
    <w:rsid w:val="008838E2"/>
    <w:rsid w:val="00883AE0"/>
    <w:rsid w:val="00883C49"/>
    <w:rsid w:val="008844DE"/>
    <w:rsid w:val="00886A03"/>
    <w:rsid w:val="00886F77"/>
    <w:rsid w:val="0088722D"/>
    <w:rsid w:val="00887C77"/>
    <w:rsid w:val="00887F02"/>
    <w:rsid w:val="008906B9"/>
    <w:rsid w:val="00890DAB"/>
    <w:rsid w:val="008911AE"/>
    <w:rsid w:val="00891553"/>
    <w:rsid w:val="008915B8"/>
    <w:rsid w:val="008915C2"/>
    <w:rsid w:val="00891732"/>
    <w:rsid w:val="00891FF6"/>
    <w:rsid w:val="00892608"/>
    <w:rsid w:val="00892DD3"/>
    <w:rsid w:val="00893025"/>
    <w:rsid w:val="0089336D"/>
    <w:rsid w:val="008939AB"/>
    <w:rsid w:val="00893DA9"/>
    <w:rsid w:val="00894169"/>
    <w:rsid w:val="0089444B"/>
    <w:rsid w:val="00894720"/>
    <w:rsid w:val="00894FA1"/>
    <w:rsid w:val="00895166"/>
    <w:rsid w:val="00895B0C"/>
    <w:rsid w:val="00895BE6"/>
    <w:rsid w:val="0089620C"/>
    <w:rsid w:val="008965EE"/>
    <w:rsid w:val="00896911"/>
    <w:rsid w:val="0089694F"/>
    <w:rsid w:val="00896A71"/>
    <w:rsid w:val="00896A99"/>
    <w:rsid w:val="00896E45"/>
    <w:rsid w:val="00896F54"/>
    <w:rsid w:val="008974A5"/>
    <w:rsid w:val="008975A3"/>
    <w:rsid w:val="0089762A"/>
    <w:rsid w:val="00897DA5"/>
    <w:rsid w:val="008A00B4"/>
    <w:rsid w:val="008A03DC"/>
    <w:rsid w:val="008A081E"/>
    <w:rsid w:val="008A0B4E"/>
    <w:rsid w:val="008A0B9B"/>
    <w:rsid w:val="008A0BED"/>
    <w:rsid w:val="008A0FB6"/>
    <w:rsid w:val="008A1403"/>
    <w:rsid w:val="008A14F2"/>
    <w:rsid w:val="008A185C"/>
    <w:rsid w:val="008A18C6"/>
    <w:rsid w:val="008A19E2"/>
    <w:rsid w:val="008A1ABE"/>
    <w:rsid w:val="008A1CC3"/>
    <w:rsid w:val="008A1DB8"/>
    <w:rsid w:val="008A227E"/>
    <w:rsid w:val="008A3076"/>
    <w:rsid w:val="008A3123"/>
    <w:rsid w:val="008A3499"/>
    <w:rsid w:val="008A36B9"/>
    <w:rsid w:val="008A3C3C"/>
    <w:rsid w:val="008A4187"/>
    <w:rsid w:val="008A4919"/>
    <w:rsid w:val="008A4FDD"/>
    <w:rsid w:val="008A5847"/>
    <w:rsid w:val="008A67A7"/>
    <w:rsid w:val="008A690E"/>
    <w:rsid w:val="008A6CBE"/>
    <w:rsid w:val="008A6D41"/>
    <w:rsid w:val="008A7036"/>
    <w:rsid w:val="008A71A7"/>
    <w:rsid w:val="008A7339"/>
    <w:rsid w:val="008A7797"/>
    <w:rsid w:val="008A78A2"/>
    <w:rsid w:val="008A7FC3"/>
    <w:rsid w:val="008B0C62"/>
    <w:rsid w:val="008B10E0"/>
    <w:rsid w:val="008B111A"/>
    <w:rsid w:val="008B1920"/>
    <w:rsid w:val="008B1DBA"/>
    <w:rsid w:val="008B1F2F"/>
    <w:rsid w:val="008B242D"/>
    <w:rsid w:val="008B25E7"/>
    <w:rsid w:val="008B2776"/>
    <w:rsid w:val="008B2B4F"/>
    <w:rsid w:val="008B2BB6"/>
    <w:rsid w:val="008B315E"/>
    <w:rsid w:val="008B36FA"/>
    <w:rsid w:val="008B3737"/>
    <w:rsid w:val="008B46C3"/>
    <w:rsid w:val="008B4934"/>
    <w:rsid w:val="008B4F66"/>
    <w:rsid w:val="008B536D"/>
    <w:rsid w:val="008B5C2B"/>
    <w:rsid w:val="008B5DF7"/>
    <w:rsid w:val="008B6014"/>
    <w:rsid w:val="008B608B"/>
    <w:rsid w:val="008B611A"/>
    <w:rsid w:val="008B61B0"/>
    <w:rsid w:val="008B62C9"/>
    <w:rsid w:val="008B677A"/>
    <w:rsid w:val="008B69AA"/>
    <w:rsid w:val="008B6EAE"/>
    <w:rsid w:val="008B75A7"/>
    <w:rsid w:val="008B7821"/>
    <w:rsid w:val="008B7FBA"/>
    <w:rsid w:val="008C0004"/>
    <w:rsid w:val="008C05A2"/>
    <w:rsid w:val="008C097E"/>
    <w:rsid w:val="008C13BC"/>
    <w:rsid w:val="008C1901"/>
    <w:rsid w:val="008C1A37"/>
    <w:rsid w:val="008C1C8F"/>
    <w:rsid w:val="008C23C8"/>
    <w:rsid w:val="008C2765"/>
    <w:rsid w:val="008C31AD"/>
    <w:rsid w:val="008C3253"/>
    <w:rsid w:val="008C4579"/>
    <w:rsid w:val="008C46C6"/>
    <w:rsid w:val="008C4927"/>
    <w:rsid w:val="008C5716"/>
    <w:rsid w:val="008C58D9"/>
    <w:rsid w:val="008C5988"/>
    <w:rsid w:val="008C5CFC"/>
    <w:rsid w:val="008C624F"/>
    <w:rsid w:val="008C648A"/>
    <w:rsid w:val="008C6E62"/>
    <w:rsid w:val="008C706F"/>
    <w:rsid w:val="008C7F93"/>
    <w:rsid w:val="008C7FE1"/>
    <w:rsid w:val="008D0882"/>
    <w:rsid w:val="008D1109"/>
    <w:rsid w:val="008D1312"/>
    <w:rsid w:val="008D134F"/>
    <w:rsid w:val="008D19B1"/>
    <w:rsid w:val="008D1C84"/>
    <w:rsid w:val="008D25EF"/>
    <w:rsid w:val="008D27FA"/>
    <w:rsid w:val="008D2F20"/>
    <w:rsid w:val="008D3848"/>
    <w:rsid w:val="008D3E25"/>
    <w:rsid w:val="008D3F25"/>
    <w:rsid w:val="008D430D"/>
    <w:rsid w:val="008D454E"/>
    <w:rsid w:val="008D46A9"/>
    <w:rsid w:val="008D4887"/>
    <w:rsid w:val="008D4E6B"/>
    <w:rsid w:val="008D54DF"/>
    <w:rsid w:val="008D56A3"/>
    <w:rsid w:val="008D58CD"/>
    <w:rsid w:val="008D5963"/>
    <w:rsid w:val="008D6E84"/>
    <w:rsid w:val="008D707F"/>
    <w:rsid w:val="008D7CA7"/>
    <w:rsid w:val="008D7D1E"/>
    <w:rsid w:val="008E007F"/>
    <w:rsid w:val="008E0665"/>
    <w:rsid w:val="008E0E01"/>
    <w:rsid w:val="008E13C8"/>
    <w:rsid w:val="008E1BC5"/>
    <w:rsid w:val="008E256D"/>
    <w:rsid w:val="008E3087"/>
    <w:rsid w:val="008E32B7"/>
    <w:rsid w:val="008E33C9"/>
    <w:rsid w:val="008E3B88"/>
    <w:rsid w:val="008E447A"/>
    <w:rsid w:val="008E46C3"/>
    <w:rsid w:val="008E4FC9"/>
    <w:rsid w:val="008E532D"/>
    <w:rsid w:val="008E53FE"/>
    <w:rsid w:val="008E55A6"/>
    <w:rsid w:val="008E5684"/>
    <w:rsid w:val="008E56BD"/>
    <w:rsid w:val="008E5F63"/>
    <w:rsid w:val="008E62C3"/>
    <w:rsid w:val="008E6AE8"/>
    <w:rsid w:val="008E6BB7"/>
    <w:rsid w:val="008E6E56"/>
    <w:rsid w:val="008E723F"/>
    <w:rsid w:val="008E760B"/>
    <w:rsid w:val="008E7D63"/>
    <w:rsid w:val="008F0037"/>
    <w:rsid w:val="008F0125"/>
    <w:rsid w:val="008F03A8"/>
    <w:rsid w:val="008F07CA"/>
    <w:rsid w:val="008F08B1"/>
    <w:rsid w:val="008F0D90"/>
    <w:rsid w:val="008F0DBF"/>
    <w:rsid w:val="008F1005"/>
    <w:rsid w:val="008F11FD"/>
    <w:rsid w:val="008F1288"/>
    <w:rsid w:val="008F1414"/>
    <w:rsid w:val="008F1595"/>
    <w:rsid w:val="008F25CB"/>
    <w:rsid w:val="008F2ECD"/>
    <w:rsid w:val="008F3093"/>
    <w:rsid w:val="008F30AB"/>
    <w:rsid w:val="008F3784"/>
    <w:rsid w:val="008F41AF"/>
    <w:rsid w:val="008F433C"/>
    <w:rsid w:val="008F4B9D"/>
    <w:rsid w:val="008F561B"/>
    <w:rsid w:val="008F5EA3"/>
    <w:rsid w:val="008F6151"/>
    <w:rsid w:val="008F6158"/>
    <w:rsid w:val="008F624E"/>
    <w:rsid w:val="008F62C8"/>
    <w:rsid w:val="008F646A"/>
    <w:rsid w:val="008F6A29"/>
    <w:rsid w:val="008F70DD"/>
    <w:rsid w:val="008F72D6"/>
    <w:rsid w:val="008F788E"/>
    <w:rsid w:val="009000E1"/>
    <w:rsid w:val="009004DC"/>
    <w:rsid w:val="009004FE"/>
    <w:rsid w:val="00901A01"/>
    <w:rsid w:val="00901D9E"/>
    <w:rsid w:val="00902218"/>
    <w:rsid w:val="00902F0A"/>
    <w:rsid w:val="00903398"/>
    <w:rsid w:val="00903471"/>
    <w:rsid w:val="00903958"/>
    <w:rsid w:val="0090448C"/>
    <w:rsid w:val="0090467B"/>
    <w:rsid w:val="009047B0"/>
    <w:rsid w:val="00906B4A"/>
    <w:rsid w:val="00906C94"/>
    <w:rsid w:val="009079D0"/>
    <w:rsid w:val="00907C0E"/>
    <w:rsid w:val="00907C43"/>
    <w:rsid w:val="0091039E"/>
    <w:rsid w:val="00910481"/>
    <w:rsid w:val="0091062F"/>
    <w:rsid w:val="00910A2D"/>
    <w:rsid w:val="00911047"/>
    <w:rsid w:val="00911B07"/>
    <w:rsid w:val="00912138"/>
    <w:rsid w:val="0091225E"/>
    <w:rsid w:val="00912EB5"/>
    <w:rsid w:val="009139E0"/>
    <w:rsid w:val="00914C5C"/>
    <w:rsid w:val="0091518F"/>
    <w:rsid w:val="009166BE"/>
    <w:rsid w:val="00916E48"/>
    <w:rsid w:val="00917A0C"/>
    <w:rsid w:val="00920343"/>
    <w:rsid w:val="009203CC"/>
    <w:rsid w:val="00920C52"/>
    <w:rsid w:val="00920D91"/>
    <w:rsid w:val="00920E02"/>
    <w:rsid w:val="00921127"/>
    <w:rsid w:val="009216D3"/>
    <w:rsid w:val="00921ADC"/>
    <w:rsid w:val="00922385"/>
    <w:rsid w:val="0092298A"/>
    <w:rsid w:val="00922B28"/>
    <w:rsid w:val="00922C81"/>
    <w:rsid w:val="009232D2"/>
    <w:rsid w:val="0092339D"/>
    <w:rsid w:val="0092358D"/>
    <w:rsid w:val="009236AC"/>
    <w:rsid w:val="0092371C"/>
    <w:rsid w:val="0092388F"/>
    <w:rsid w:val="009242A2"/>
    <w:rsid w:val="009246CE"/>
    <w:rsid w:val="009247A3"/>
    <w:rsid w:val="00924A9B"/>
    <w:rsid w:val="00924C31"/>
    <w:rsid w:val="00925A3D"/>
    <w:rsid w:val="00926435"/>
    <w:rsid w:val="00926710"/>
    <w:rsid w:val="00926817"/>
    <w:rsid w:val="009268EC"/>
    <w:rsid w:val="00926DE9"/>
    <w:rsid w:val="009273F3"/>
    <w:rsid w:val="00927D4E"/>
    <w:rsid w:val="009300AC"/>
    <w:rsid w:val="00930F9D"/>
    <w:rsid w:val="00931EB9"/>
    <w:rsid w:val="00932864"/>
    <w:rsid w:val="009329A5"/>
    <w:rsid w:val="00932C53"/>
    <w:rsid w:val="00932EFD"/>
    <w:rsid w:val="0093387A"/>
    <w:rsid w:val="00933C38"/>
    <w:rsid w:val="00934D81"/>
    <w:rsid w:val="009353A8"/>
    <w:rsid w:val="00936117"/>
    <w:rsid w:val="0093656C"/>
    <w:rsid w:val="00936E00"/>
    <w:rsid w:val="00937073"/>
    <w:rsid w:val="00937283"/>
    <w:rsid w:val="00937833"/>
    <w:rsid w:val="00937B1C"/>
    <w:rsid w:val="00937E7C"/>
    <w:rsid w:val="0094031B"/>
    <w:rsid w:val="009403AA"/>
    <w:rsid w:val="00940569"/>
    <w:rsid w:val="00940790"/>
    <w:rsid w:val="00941109"/>
    <w:rsid w:val="00941472"/>
    <w:rsid w:val="009417F2"/>
    <w:rsid w:val="00941A34"/>
    <w:rsid w:val="00941C9C"/>
    <w:rsid w:val="00941E99"/>
    <w:rsid w:val="00941FD1"/>
    <w:rsid w:val="0094242F"/>
    <w:rsid w:val="009426B8"/>
    <w:rsid w:val="00942A5B"/>
    <w:rsid w:val="00942FFF"/>
    <w:rsid w:val="009430E0"/>
    <w:rsid w:val="00943234"/>
    <w:rsid w:val="00943894"/>
    <w:rsid w:val="009441A3"/>
    <w:rsid w:val="00944BE6"/>
    <w:rsid w:val="00945149"/>
    <w:rsid w:val="00945A03"/>
    <w:rsid w:val="00945CB0"/>
    <w:rsid w:val="00945D02"/>
    <w:rsid w:val="00945FA2"/>
    <w:rsid w:val="0094606C"/>
    <w:rsid w:val="009461D6"/>
    <w:rsid w:val="009462B5"/>
    <w:rsid w:val="00946CCC"/>
    <w:rsid w:val="00947696"/>
    <w:rsid w:val="00947C5B"/>
    <w:rsid w:val="00947E87"/>
    <w:rsid w:val="0095043C"/>
    <w:rsid w:val="00950604"/>
    <w:rsid w:val="00950D42"/>
    <w:rsid w:val="00950F3D"/>
    <w:rsid w:val="0095102C"/>
    <w:rsid w:val="00951161"/>
    <w:rsid w:val="00951826"/>
    <w:rsid w:val="00952ADF"/>
    <w:rsid w:val="00953615"/>
    <w:rsid w:val="0095427A"/>
    <w:rsid w:val="0095498F"/>
    <w:rsid w:val="00954B78"/>
    <w:rsid w:val="009552DD"/>
    <w:rsid w:val="00955469"/>
    <w:rsid w:val="00955528"/>
    <w:rsid w:val="00955657"/>
    <w:rsid w:val="00956D2A"/>
    <w:rsid w:val="00957236"/>
    <w:rsid w:val="009572A3"/>
    <w:rsid w:val="0095789A"/>
    <w:rsid w:val="00957C50"/>
    <w:rsid w:val="009606DD"/>
    <w:rsid w:val="00960814"/>
    <w:rsid w:val="00960B14"/>
    <w:rsid w:val="00960FC9"/>
    <w:rsid w:val="0096177C"/>
    <w:rsid w:val="009624A6"/>
    <w:rsid w:val="00962C73"/>
    <w:rsid w:val="00962D82"/>
    <w:rsid w:val="00962F9F"/>
    <w:rsid w:val="00963105"/>
    <w:rsid w:val="0096333C"/>
    <w:rsid w:val="00963362"/>
    <w:rsid w:val="009633CD"/>
    <w:rsid w:val="009635B4"/>
    <w:rsid w:val="009637C6"/>
    <w:rsid w:val="009637D6"/>
    <w:rsid w:val="0096388A"/>
    <w:rsid w:val="00963C23"/>
    <w:rsid w:val="00963F5E"/>
    <w:rsid w:val="009645D3"/>
    <w:rsid w:val="009645E9"/>
    <w:rsid w:val="00964C73"/>
    <w:rsid w:val="00964E74"/>
    <w:rsid w:val="009650E8"/>
    <w:rsid w:val="00965665"/>
    <w:rsid w:val="0096592C"/>
    <w:rsid w:val="00966254"/>
    <w:rsid w:val="009669DB"/>
    <w:rsid w:val="00966CE8"/>
    <w:rsid w:val="0096703E"/>
    <w:rsid w:val="00967165"/>
    <w:rsid w:val="009679E0"/>
    <w:rsid w:val="00967B06"/>
    <w:rsid w:val="00970591"/>
    <w:rsid w:val="00970C3A"/>
    <w:rsid w:val="00971B2C"/>
    <w:rsid w:val="00972734"/>
    <w:rsid w:val="009727B6"/>
    <w:rsid w:val="00972BF1"/>
    <w:rsid w:val="00972C81"/>
    <w:rsid w:val="00972D4E"/>
    <w:rsid w:val="00972E72"/>
    <w:rsid w:val="009731D6"/>
    <w:rsid w:val="009737DA"/>
    <w:rsid w:val="00973834"/>
    <w:rsid w:val="00973F16"/>
    <w:rsid w:val="00974BD4"/>
    <w:rsid w:val="00975194"/>
    <w:rsid w:val="009758BF"/>
    <w:rsid w:val="009759F6"/>
    <w:rsid w:val="00976103"/>
    <w:rsid w:val="0097678D"/>
    <w:rsid w:val="00976F54"/>
    <w:rsid w:val="0097723D"/>
    <w:rsid w:val="0097745F"/>
    <w:rsid w:val="0097796C"/>
    <w:rsid w:val="00980521"/>
    <w:rsid w:val="00980D0D"/>
    <w:rsid w:val="00981974"/>
    <w:rsid w:val="00981CEE"/>
    <w:rsid w:val="00981EFF"/>
    <w:rsid w:val="0098207A"/>
    <w:rsid w:val="00983A06"/>
    <w:rsid w:val="00983AB5"/>
    <w:rsid w:val="00984445"/>
    <w:rsid w:val="009847AD"/>
    <w:rsid w:val="00984D70"/>
    <w:rsid w:val="009852CA"/>
    <w:rsid w:val="0098554A"/>
    <w:rsid w:val="0098593A"/>
    <w:rsid w:val="009872A8"/>
    <w:rsid w:val="009879A2"/>
    <w:rsid w:val="00987BDC"/>
    <w:rsid w:val="00987FE1"/>
    <w:rsid w:val="0099063B"/>
    <w:rsid w:val="00990A09"/>
    <w:rsid w:val="00990BBB"/>
    <w:rsid w:val="00990C66"/>
    <w:rsid w:val="009917C5"/>
    <w:rsid w:val="00991839"/>
    <w:rsid w:val="00992251"/>
    <w:rsid w:val="009922C9"/>
    <w:rsid w:val="00992453"/>
    <w:rsid w:val="00992482"/>
    <w:rsid w:val="00992667"/>
    <w:rsid w:val="009926CE"/>
    <w:rsid w:val="00992C2A"/>
    <w:rsid w:val="00992EF6"/>
    <w:rsid w:val="00993968"/>
    <w:rsid w:val="009939B9"/>
    <w:rsid w:val="009941C0"/>
    <w:rsid w:val="0099506B"/>
    <w:rsid w:val="0099517B"/>
    <w:rsid w:val="009951BF"/>
    <w:rsid w:val="0099533F"/>
    <w:rsid w:val="00995D33"/>
    <w:rsid w:val="00995DA7"/>
    <w:rsid w:val="00995F95"/>
    <w:rsid w:val="00996D74"/>
    <w:rsid w:val="00996E26"/>
    <w:rsid w:val="0099702A"/>
    <w:rsid w:val="009976A8"/>
    <w:rsid w:val="00997E4A"/>
    <w:rsid w:val="009A0AB3"/>
    <w:rsid w:val="009A1023"/>
    <w:rsid w:val="009A13DE"/>
    <w:rsid w:val="009A1523"/>
    <w:rsid w:val="009A16F7"/>
    <w:rsid w:val="009A1A28"/>
    <w:rsid w:val="009A1BD6"/>
    <w:rsid w:val="009A1C12"/>
    <w:rsid w:val="009A2221"/>
    <w:rsid w:val="009A2733"/>
    <w:rsid w:val="009A2CB6"/>
    <w:rsid w:val="009A3547"/>
    <w:rsid w:val="009A3ACE"/>
    <w:rsid w:val="009A3EDC"/>
    <w:rsid w:val="009A42F7"/>
    <w:rsid w:val="009A492C"/>
    <w:rsid w:val="009A4A33"/>
    <w:rsid w:val="009A52F0"/>
    <w:rsid w:val="009A5AC9"/>
    <w:rsid w:val="009A5B09"/>
    <w:rsid w:val="009A62BD"/>
    <w:rsid w:val="009A651F"/>
    <w:rsid w:val="009A66E9"/>
    <w:rsid w:val="009A69FE"/>
    <w:rsid w:val="009A6BE3"/>
    <w:rsid w:val="009A6DC7"/>
    <w:rsid w:val="009A7379"/>
    <w:rsid w:val="009A754E"/>
    <w:rsid w:val="009A79B1"/>
    <w:rsid w:val="009A7CFD"/>
    <w:rsid w:val="009B055B"/>
    <w:rsid w:val="009B1355"/>
    <w:rsid w:val="009B13EE"/>
    <w:rsid w:val="009B1A51"/>
    <w:rsid w:val="009B20E3"/>
    <w:rsid w:val="009B2860"/>
    <w:rsid w:val="009B297E"/>
    <w:rsid w:val="009B2C0D"/>
    <w:rsid w:val="009B3144"/>
    <w:rsid w:val="009B3959"/>
    <w:rsid w:val="009B3CC5"/>
    <w:rsid w:val="009B3EFA"/>
    <w:rsid w:val="009B404D"/>
    <w:rsid w:val="009B4918"/>
    <w:rsid w:val="009B49F5"/>
    <w:rsid w:val="009B4B0D"/>
    <w:rsid w:val="009B5A6E"/>
    <w:rsid w:val="009B5BD4"/>
    <w:rsid w:val="009B5FA4"/>
    <w:rsid w:val="009B60A8"/>
    <w:rsid w:val="009B6211"/>
    <w:rsid w:val="009B630C"/>
    <w:rsid w:val="009B7019"/>
    <w:rsid w:val="009B717C"/>
    <w:rsid w:val="009B73C6"/>
    <w:rsid w:val="009B7611"/>
    <w:rsid w:val="009B76F8"/>
    <w:rsid w:val="009B7DD0"/>
    <w:rsid w:val="009C0451"/>
    <w:rsid w:val="009C0747"/>
    <w:rsid w:val="009C090B"/>
    <w:rsid w:val="009C0D95"/>
    <w:rsid w:val="009C11AD"/>
    <w:rsid w:val="009C1970"/>
    <w:rsid w:val="009C2305"/>
    <w:rsid w:val="009C2AE9"/>
    <w:rsid w:val="009C3049"/>
    <w:rsid w:val="009C3153"/>
    <w:rsid w:val="009C32DC"/>
    <w:rsid w:val="009C3381"/>
    <w:rsid w:val="009C48C5"/>
    <w:rsid w:val="009C4ED0"/>
    <w:rsid w:val="009C5064"/>
    <w:rsid w:val="009C51C2"/>
    <w:rsid w:val="009C5A24"/>
    <w:rsid w:val="009C5DC6"/>
    <w:rsid w:val="009C5EF9"/>
    <w:rsid w:val="009C6AFF"/>
    <w:rsid w:val="009C70D9"/>
    <w:rsid w:val="009C7421"/>
    <w:rsid w:val="009D1211"/>
    <w:rsid w:val="009D13A4"/>
    <w:rsid w:val="009D1FF5"/>
    <w:rsid w:val="009D2040"/>
    <w:rsid w:val="009D2108"/>
    <w:rsid w:val="009D33BA"/>
    <w:rsid w:val="009D3408"/>
    <w:rsid w:val="009D3894"/>
    <w:rsid w:val="009D3AEB"/>
    <w:rsid w:val="009D3C71"/>
    <w:rsid w:val="009D3E12"/>
    <w:rsid w:val="009D3EE8"/>
    <w:rsid w:val="009D3F69"/>
    <w:rsid w:val="009D4C89"/>
    <w:rsid w:val="009D4CC5"/>
    <w:rsid w:val="009D50DC"/>
    <w:rsid w:val="009D512D"/>
    <w:rsid w:val="009D5400"/>
    <w:rsid w:val="009D54A9"/>
    <w:rsid w:val="009D5502"/>
    <w:rsid w:val="009D577C"/>
    <w:rsid w:val="009D5AF1"/>
    <w:rsid w:val="009D5CA4"/>
    <w:rsid w:val="009D5E7C"/>
    <w:rsid w:val="009D6047"/>
    <w:rsid w:val="009D6144"/>
    <w:rsid w:val="009D6469"/>
    <w:rsid w:val="009D6836"/>
    <w:rsid w:val="009D7588"/>
    <w:rsid w:val="009D7673"/>
    <w:rsid w:val="009D79A3"/>
    <w:rsid w:val="009D79FB"/>
    <w:rsid w:val="009D7C88"/>
    <w:rsid w:val="009D7DA5"/>
    <w:rsid w:val="009E04FF"/>
    <w:rsid w:val="009E07BB"/>
    <w:rsid w:val="009E0D32"/>
    <w:rsid w:val="009E0ECE"/>
    <w:rsid w:val="009E15E9"/>
    <w:rsid w:val="009E2054"/>
    <w:rsid w:val="009E21E9"/>
    <w:rsid w:val="009E2960"/>
    <w:rsid w:val="009E2D61"/>
    <w:rsid w:val="009E3331"/>
    <w:rsid w:val="009E341A"/>
    <w:rsid w:val="009E369B"/>
    <w:rsid w:val="009E39BF"/>
    <w:rsid w:val="009E3B1C"/>
    <w:rsid w:val="009E4206"/>
    <w:rsid w:val="009E453F"/>
    <w:rsid w:val="009E4B06"/>
    <w:rsid w:val="009E4BB2"/>
    <w:rsid w:val="009E4CDA"/>
    <w:rsid w:val="009E4E15"/>
    <w:rsid w:val="009E50DD"/>
    <w:rsid w:val="009E5404"/>
    <w:rsid w:val="009E5505"/>
    <w:rsid w:val="009E5551"/>
    <w:rsid w:val="009E60FC"/>
    <w:rsid w:val="009E6CB0"/>
    <w:rsid w:val="009E6FDA"/>
    <w:rsid w:val="009E76ED"/>
    <w:rsid w:val="009E76FF"/>
    <w:rsid w:val="009E7CB6"/>
    <w:rsid w:val="009F09AB"/>
    <w:rsid w:val="009F0D08"/>
    <w:rsid w:val="009F174B"/>
    <w:rsid w:val="009F1E69"/>
    <w:rsid w:val="009F2242"/>
    <w:rsid w:val="009F26C4"/>
    <w:rsid w:val="009F2960"/>
    <w:rsid w:val="009F2C48"/>
    <w:rsid w:val="009F398F"/>
    <w:rsid w:val="009F3AB6"/>
    <w:rsid w:val="009F42D6"/>
    <w:rsid w:val="009F44E1"/>
    <w:rsid w:val="009F4897"/>
    <w:rsid w:val="009F492E"/>
    <w:rsid w:val="009F4A51"/>
    <w:rsid w:val="009F50B3"/>
    <w:rsid w:val="009F52E5"/>
    <w:rsid w:val="009F598B"/>
    <w:rsid w:val="009F5ADA"/>
    <w:rsid w:val="009F611D"/>
    <w:rsid w:val="009F632F"/>
    <w:rsid w:val="009F669A"/>
    <w:rsid w:val="009F66CE"/>
    <w:rsid w:val="009F69DC"/>
    <w:rsid w:val="009F71E8"/>
    <w:rsid w:val="009F7324"/>
    <w:rsid w:val="009F7830"/>
    <w:rsid w:val="009F787A"/>
    <w:rsid w:val="00A00669"/>
    <w:rsid w:val="00A014C5"/>
    <w:rsid w:val="00A015CD"/>
    <w:rsid w:val="00A01645"/>
    <w:rsid w:val="00A01669"/>
    <w:rsid w:val="00A016F0"/>
    <w:rsid w:val="00A01967"/>
    <w:rsid w:val="00A01B8C"/>
    <w:rsid w:val="00A01EAA"/>
    <w:rsid w:val="00A0226A"/>
    <w:rsid w:val="00A02AE6"/>
    <w:rsid w:val="00A02BDF"/>
    <w:rsid w:val="00A02CE7"/>
    <w:rsid w:val="00A02D87"/>
    <w:rsid w:val="00A0382A"/>
    <w:rsid w:val="00A03D37"/>
    <w:rsid w:val="00A03FBE"/>
    <w:rsid w:val="00A040C0"/>
    <w:rsid w:val="00A04C38"/>
    <w:rsid w:val="00A04CDA"/>
    <w:rsid w:val="00A05328"/>
    <w:rsid w:val="00A055BA"/>
    <w:rsid w:val="00A057C5"/>
    <w:rsid w:val="00A05DB6"/>
    <w:rsid w:val="00A064F4"/>
    <w:rsid w:val="00A067AD"/>
    <w:rsid w:val="00A06D74"/>
    <w:rsid w:val="00A06FBE"/>
    <w:rsid w:val="00A0707C"/>
    <w:rsid w:val="00A074BD"/>
    <w:rsid w:val="00A07EAF"/>
    <w:rsid w:val="00A1009C"/>
    <w:rsid w:val="00A106F7"/>
    <w:rsid w:val="00A10B79"/>
    <w:rsid w:val="00A11181"/>
    <w:rsid w:val="00A11ADC"/>
    <w:rsid w:val="00A11BCE"/>
    <w:rsid w:val="00A11F2C"/>
    <w:rsid w:val="00A1211C"/>
    <w:rsid w:val="00A1243B"/>
    <w:rsid w:val="00A12476"/>
    <w:rsid w:val="00A12797"/>
    <w:rsid w:val="00A129B1"/>
    <w:rsid w:val="00A12B25"/>
    <w:rsid w:val="00A1305A"/>
    <w:rsid w:val="00A130E9"/>
    <w:rsid w:val="00A131F7"/>
    <w:rsid w:val="00A135F0"/>
    <w:rsid w:val="00A13DB6"/>
    <w:rsid w:val="00A14823"/>
    <w:rsid w:val="00A14871"/>
    <w:rsid w:val="00A14A9C"/>
    <w:rsid w:val="00A14EDE"/>
    <w:rsid w:val="00A1581E"/>
    <w:rsid w:val="00A15BA9"/>
    <w:rsid w:val="00A15EA0"/>
    <w:rsid w:val="00A15FDA"/>
    <w:rsid w:val="00A160FF"/>
    <w:rsid w:val="00A16386"/>
    <w:rsid w:val="00A16599"/>
    <w:rsid w:val="00A16608"/>
    <w:rsid w:val="00A16821"/>
    <w:rsid w:val="00A169DB"/>
    <w:rsid w:val="00A172B2"/>
    <w:rsid w:val="00A202E2"/>
    <w:rsid w:val="00A20946"/>
    <w:rsid w:val="00A20F48"/>
    <w:rsid w:val="00A2162F"/>
    <w:rsid w:val="00A21769"/>
    <w:rsid w:val="00A217BA"/>
    <w:rsid w:val="00A21ED2"/>
    <w:rsid w:val="00A223B8"/>
    <w:rsid w:val="00A224C9"/>
    <w:rsid w:val="00A23174"/>
    <w:rsid w:val="00A233AF"/>
    <w:rsid w:val="00A2355A"/>
    <w:rsid w:val="00A2411E"/>
    <w:rsid w:val="00A24A39"/>
    <w:rsid w:val="00A24BA6"/>
    <w:rsid w:val="00A250B6"/>
    <w:rsid w:val="00A256AC"/>
    <w:rsid w:val="00A25C3E"/>
    <w:rsid w:val="00A263B1"/>
    <w:rsid w:val="00A27844"/>
    <w:rsid w:val="00A27E82"/>
    <w:rsid w:val="00A27FC2"/>
    <w:rsid w:val="00A3031A"/>
    <w:rsid w:val="00A30E62"/>
    <w:rsid w:val="00A32355"/>
    <w:rsid w:val="00A32662"/>
    <w:rsid w:val="00A328C6"/>
    <w:rsid w:val="00A32C57"/>
    <w:rsid w:val="00A33DC0"/>
    <w:rsid w:val="00A340DB"/>
    <w:rsid w:val="00A34556"/>
    <w:rsid w:val="00A348D4"/>
    <w:rsid w:val="00A34F6F"/>
    <w:rsid w:val="00A35130"/>
    <w:rsid w:val="00A353B5"/>
    <w:rsid w:val="00A35BC3"/>
    <w:rsid w:val="00A35C63"/>
    <w:rsid w:val="00A36C57"/>
    <w:rsid w:val="00A3785C"/>
    <w:rsid w:val="00A40C5E"/>
    <w:rsid w:val="00A41061"/>
    <w:rsid w:val="00A4154A"/>
    <w:rsid w:val="00A416DA"/>
    <w:rsid w:val="00A419EE"/>
    <w:rsid w:val="00A423A5"/>
    <w:rsid w:val="00A43100"/>
    <w:rsid w:val="00A431B8"/>
    <w:rsid w:val="00A43227"/>
    <w:rsid w:val="00A435BE"/>
    <w:rsid w:val="00A43DEF"/>
    <w:rsid w:val="00A44585"/>
    <w:rsid w:val="00A44A3B"/>
    <w:rsid w:val="00A44A96"/>
    <w:rsid w:val="00A44BB0"/>
    <w:rsid w:val="00A44F1F"/>
    <w:rsid w:val="00A456BD"/>
    <w:rsid w:val="00A45A72"/>
    <w:rsid w:val="00A45B0C"/>
    <w:rsid w:val="00A45B92"/>
    <w:rsid w:val="00A46D08"/>
    <w:rsid w:val="00A46F21"/>
    <w:rsid w:val="00A46FFF"/>
    <w:rsid w:val="00A47156"/>
    <w:rsid w:val="00A473F4"/>
    <w:rsid w:val="00A47450"/>
    <w:rsid w:val="00A47C38"/>
    <w:rsid w:val="00A47DA6"/>
    <w:rsid w:val="00A50B72"/>
    <w:rsid w:val="00A5125F"/>
    <w:rsid w:val="00A5146F"/>
    <w:rsid w:val="00A51A0F"/>
    <w:rsid w:val="00A51D72"/>
    <w:rsid w:val="00A52414"/>
    <w:rsid w:val="00A52668"/>
    <w:rsid w:val="00A5274E"/>
    <w:rsid w:val="00A52A25"/>
    <w:rsid w:val="00A52A30"/>
    <w:rsid w:val="00A52DCD"/>
    <w:rsid w:val="00A52FE7"/>
    <w:rsid w:val="00A5351D"/>
    <w:rsid w:val="00A536BD"/>
    <w:rsid w:val="00A536CA"/>
    <w:rsid w:val="00A5383B"/>
    <w:rsid w:val="00A54033"/>
    <w:rsid w:val="00A54244"/>
    <w:rsid w:val="00A5436F"/>
    <w:rsid w:val="00A548F3"/>
    <w:rsid w:val="00A54B3D"/>
    <w:rsid w:val="00A54C24"/>
    <w:rsid w:val="00A55B37"/>
    <w:rsid w:val="00A560A1"/>
    <w:rsid w:val="00A5719D"/>
    <w:rsid w:val="00A571F8"/>
    <w:rsid w:val="00A577F1"/>
    <w:rsid w:val="00A5783C"/>
    <w:rsid w:val="00A57AB0"/>
    <w:rsid w:val="00A60728"/>
    <w:rsid w:val="00A61233"/>
    <w:rsid w:val="00A614F8"/>
    <w:rsid w:val="00A6152A"/>
    <w:rsid w:val="00A61980"/>
    <w:rsid w:val="00A61B16"/>
    <w:rsid w:val="00A620D8"/>
    <w:rsid w:val="00A626CC"/>
    <w:rsid w:val="00A629A0"/>
    <w:rsid w:val="00A62AE9"/>
    <w:rsid w:val="00A62F42"/>
    <w:rsid w:val="00A6318B"/>
    <w:rsid w:val="00A6356B"/>
    <w:rsid w:val="00A63E19"/>
    <w:rsid w:val="00A63EC7"/>
    <w:rsid w:val="00A6418E"/>
    <w:rsid w:val="00A655E9"/>
    <w:rsid w:val="00A65630"/>
    <w:rsid w:val="00A657EF"/>
    <w:rsid w:val="00A658D0"/>
    <w:rsid w:val="00A661AE"/>
    <w:rsid w:val="00A666F0"/>
    <w:rsid w:val="00A66DC1"/>
    <w:rsid w:val="00A67593"/>
    <w:rsid w:val="00A67676"/>
    <w:rsid w:val="00A67A21"/>
    <w:rsid w:val="00A7005F"/>
    <w:rsid w:val="00A704EB"/>
    <w:rsid w:val="00A70AEA"/>
    <w:rsid w:val="00A70C6C"/>
    <w:rsid w:val="00A70F4A"/>
    <w:rsid w:val="00A70FAE"/>
    <w:rsid w:val="00A72101"/>
    <w:rsid w:val="00A724B2"/>
    <w:rsid w:val="00A72FC7"/>
    <w:rsid w:val="00A7412A"/>
    <w:rsid w:val="00A7461D"/>
    <w:rsid w:val="00A74637"/>
    <w:rsid w:val="00A747BA"/>
    <w:rsid w:val="00A74C7C"/>
    <w:rsid w:val="00A75568"/>
    <w:rsid w:val="00A756EC"/>
    <w:rsid w:val="00A762AC"/>
    <w:rsid w:val="00A763DB"/>
    <w:rsid w:val="00A766AE"/>
    <w:rsid w:val="00A769B1"/>
    <w:rsid w:val="00A76A13"/>
    <w:rsid w:val="00A76BEC"/>
    <w:rsid w:val="00A76C05"/>
    <w:rsid w:val="00A771C2"/>
    <w:rsid w:val="00A775D7"/>
    <w:rsid w:val="00A803C0"/>
    <w:rsid w:val="00A80BC3"/>
    <w:rsid w:val="00A80E94"/>
    <w:rsid w:val="00A8171A"/>
    <w:rsid w:val="00A81D0A"/>
    <w:rsid w:val="00A81DCC"/>
    <w:rsid w:val="00A82066"/>
    <w:rsid w:val="00A82085"/>
    <w:rsid w:val="00A825DA"/>
    <w:rsid w:val="00A8275E"/>
    <w:rsid w:val="00A828E5"/>
    <w:rsid w:val="00A83127"/>
    <w:rsid w:val="00A83152"/>
    <w:rsid w:val="00A831C2"/>
    <w:rsid w:val="00A833CE"/>
    <w:rsid w:val="00A838D6"/>
    <w:rsid w:val="00A83D92"/>
    <w:rsid w:val="00A83DFA"/>
    <w:rsid w:val="00A84257"/>
    <w:rsid w:val="00A84B44"/>
    <w:rsid w:val="00A85772"/>
    <w:rsid w:val="00A857B3"/>
    <w:rsid w:val="00A8590D"/>
    <w:rsid w:val="00A86211"/>
    <w:rsid w:val="00A86C1F"/>
    <w:rsid w:val="00A86F97"/>
    <w:rsid w:val="00A87604"/>
    <w:rsid w:val="00A878CD"/>
    <w:rsid w:val="00A87AFE"/>
    <w:rsid w:val="00A87E23"/>
    <w:rsid w:val="00A9075E"/>
    <w:rsid w:val="00A90A0A"/>
    <w:rsid w:val="00A90D6C"/>
    <w:rsid w:val="00A9109E"/>
    <w:rsid w:val="00A91709"/>
    <w:rsid w:val="00A91A35"/>
    <w:rsid w:val="00A91E94"/>
    <w:rsid w:val="00A92178"/>
    <w:rsid w:val="00A92434"/>
    <w:rsid w:val="00A9308B"/>
    <w:rsid w:val="00A936B1"/>
    <w:rsid w:val="00A95A28"/>
    <w:rsid w:val="00A95A41"/>
    <w:rsid w:val="00A95BAC"/>
    <w:rsid w:val="00A95DDC"/>
    <w:rsid w:val="00A95FE4"/>
    <w:rsid w:val="00A960F5"/>
    <w:rsid w:val="00A961BA"/>
    <w:rsid w:val="00A96F0C"/>
    <w:rsid w:val="00A96F56"/>
    <w:rsid w:val="00A97E6B"/>
    <w:rsid w:val="00AA010C"/>
    <w:rsid w:val="00AA01E2"/>
    <w:rsid w:val="00AA02ED"/>
    <w:rsid w:val="00AA0651"/>
    <w:rsid w:val="00AA0C87"/>
    <w:rsid w:val="00AA10A8"/>
    <w:rsid w:val="00AA110F"/>
    <w:rsid w:val="00AA1396"/>
    <w:rsid w:val="00AA13FB"/>
    <w:rsid w:val="00AA1BDD"/>
    <w:rsid w:val="00AA1E9E"/>
    <w:rsid w:val="00AA252D"/>
    <w:rsid w:val="00AA2842"/>
    <w:rsid w:val="00AA2BC7"/>
    <w:rsid w:val="00AA2C04"/>
    <w:rsid w:val="00AA2D1F"/>
    <w:rsid w:val="00AA36DC"/>
    <w:rsid w:val="00AA3FDB"/>
    <w:rsid w:val="00AA4B86"/>
    <w:rsid w:val="00AA4CE6"/>
    <w:rsid w:val="00AA4DDA"/>
    <w:rsid w:val="00AA50D4"/>
    <w:rsid w:val="00AA518E"/>
    <w:rsid w:val="00AA56E2"/>
    <w:rsid w:val="00AA5BA4"/>
    <w:rsid w:val="00AA5D46"/>
    <w:rsid w:val="00AA5D51"/>
    <w:rsid w:val="00AA5F2E"/>
    <w:rsid w:val="00AA63BA"/>
    <w:rsid w:val="00AA641A"/>
    <w:rsid w:val="00AA6512"/>
    <w:rsid w:val="00AA6F0A"/>
    <w:rsid w:val="00AA7021"/>
    <w:rsid w:val="00AA776A"/>
    <w:rsid w:val="00AA77B0"/>
    <w:rsid w:val="00AA7CBD"/>
    <w:rsid w:val="00AB0298"/>
    <w:rsid w:val="00AB055C"/>
    <w:rsid w:val="00AB0A18"/>
    <w:rsid w:val="00AB0F7D"/>
    <w:rsid w:val="00AB1A5E"/>
    <w:rsid w:val="00AB1C52"/>
    <w:rsid w:val="00AB2096"/>
    <w:rsid w:val="00AB20C2"/>
    <w:rsid w:val="00AB2229"/>
    <w:rsid w:val="00AB25D5"/>
    <w:rsid w:val="00AB2603"/>
    <w:rsid w:val="00AB2A8F"/>
    <w:rsid w:val="00AB2C75"/>
    <w:rsid w:val="00AB2CA9"/>
    <w:rsid w:val="00AB30AC"/>
    <w:rsid w:val="00AB3568"/>
    <w:rsid w:val="00AB3592"/>
    <w:rsid w:val="00AB3644"/>
    <w:rsid w:val="00AB3A5F"/>
    <w:rsid w:val="00AB4269"/>
    <w:rsid w:val="00AB4487"/>
    <w:rsid w:val="00AB492F"/>
    <w:rsid w:val="00AB4ACC"/>
    <w:rsid w:val="00AB4C7E"/>
    <w:rsid w:val="00AB5693"/>
    <w:rsid w:val="00AB56F8"/>
    <w:rsid w:val="00AB57B8"/>
    <w:rsid w:val="00AB59C3"/>
    <w:rsid w:val="00AB5DB9"/>
    <w:rsid w:val="00AB619F"/>
    <w:rsid w:val="00AB61B4"/>
    <w:rsid w:val="00AB61EE"/>
    <w:rsid w:val="00AB6723"/>
    <w:rsid w:val="00AB6BB5"/>
    <w:rsid w:val="00AB6E64"/>
    <w:rsid w:val="00AB6EBE"/>
    <w:rsid w:val="00AB7BDC"/>
    <w:rsid w:val="00AC02B9"/>
    <w:rsid w:val="00AC0F52"/>
    <w:rsid w:val="00AC1227"/>
    <w:rsid w:val="00AC1BF3"/>
    <w:rsid w:val="00AC1CDC"/>
    <w:rsid w:val="00AC23D6"/>
    <w:rsid w:val="00AC2993"/>
    <w:rsid w:val="00AC2B4C"/>
    <w:rsid w:val="00AC2C13"/>
    <w:rsid w:val="00AC2E83"/>
    <w:rsid w:val="00AC3502"/>
    <w:rsid w:val="00AC35FA"/>
    <w:rsid w:val="00AC3933"/>
    <w:rsid w:val="00AC3B06"/>
    <w:rsid w:val="00AC47A8"/>
    <w:rsid w:val="00AC4B58"/>
    <w:rsid w:val="00AC4F69"/>
    <w:rsid w:val="00AC51DD"/>
    <w:rsid w:val="00AC5314"/>
    <w:rsid w:val="00AC600F"/>
    <w:rsid w:val="00AC6686"/>
    <w:rsid w:val="00AC6858"/>
    <w:rsid w:val="00AC6FF3"/>
    <w:rsid w:val="00AC7420"/>
    <w:rsid w:val="00AC7A37"/>
    <w:rsid w:val="00AC7F2F"/>
    <w:rsid w:val="00AD0292"/>
    <w:rsid w:val="00AD060F"/>
    <w:rsid w:val="00AD06D6"/>
    <w:rsid w:val="00AD11F2"/>
    <w:rsid w:val="00AD20F1"/>
    <w:rsid w:val="00AD24DB"/>
    <w:rsid w:val="00AD2588"/>
    <w:rsid w:val="00AD2744"/>
    <w:rsid w:val="00AD2A34"/>
    <w:rsid w:val="00AD2CE9"/>
    <w:rsid w:val="00AD3068"/>
    <w:rsid w:val="00AD36C7"/>
    <w:rsid w:val="00AD396B"/>
    <w:rsid w:val="00AD39B9"/>
    <w:rsid w:val="00AD3D32"/>
    <w:rsid w:val="00AD3DBE"/>
    <w:rsid w:val="00AD4001"/>
    <w:rsid w:val="00AD41AD"/>
    <w:rsid w:val="00AD45EE"/>
    <w:rsid w:val="00AD5078"/>
    <w:rsid w:val="00AD58E7"/>
    <w:rsid w:val="00AD5A4E"/>
    <w:rsid w:val="00AD6326"/>
    <w:rsid w:val="00AD6819"/>
    <w:rsid w:val="00AD6D19"/>
    <w:rsid w:val="00AD6D2F"/>
    <w:rsid w:val="00AD7071"/>
    <w:rsid w:val="00AD7592"/>
    <w:rsid w:val="00AD7BAD"/>
    <w:rsid w:val="00AE0450"/>
    <w:rsid w:val="00AE06D6"/>
    <w:rsid w:val="00AE0F66"/>
    <w:rsid w:val="00AE184D"/>
    <w:rsid w:val="00AE1E31"/>
    <w:rsid w:val="00AE226F"/>
    <w:rsid w:val="00AE320C"/>
    <w:rsid w:val="00AE356F"/>
    <w:rsid w:val="00AE3C3C"/>
    <w:rsid w:val="00AE3D2C"/>
    <w:rsid w:val="00AE3FBF"/>
    <w:rsid w:val="00AE4032"/>
    <w:rsid w:val="00AE4929"/>
    <w:rsid w:val="00AE5EE7"/>
    <w:rsid w:val="00AE6098"/>
    <w:rsid w:val="00AE643C"/>
    <w:rsid w:val="00AE67FC"/>
    <w:rsid w:val="00AE6897"/>
    <w:rsid w:val="00AE7CAB"/>
    <w:rsid w:val="00AE7F84"/>
    <w:rsid w:val="00AF020E"/>
    <w:rsid w:val="00AF0908"/>
    <w:rsid w:val="00AF0B04"/>
    <w:rsid w:val="00AF0CDC"/>
    <w:rsid w:val="00AF10A5"/>
    <w:rsid w:val="00AF192F"/>
    <w:rsid w:val="00AF1AFB"/>
    <w:rsid w:val="00AF1E25"/>
    <w:rsid w:val="00AF1E34"/>
    <w:rsid w:val="00AF1F8A"/>
    <w:rsid w:val="00AF227F"/>
    <w:rsid w:val="00AF239A"/>
    <w:rsid w:val="00AF26EF"/>
    <w:rsid w:val="00AF28F2"/>
    <w:rsid w:val="00AF2BCF"/>
    <w:rsid w:val="00AF2FE6"/>
    <w:rsid w:val="00AF30EE"/>
    <w:rsid w:val="00AF41BB"/>
    <w:rsid w:val="00AF424D"/>
    <w:rsid w:val="00AF4D2D"/>
    <w:rsid w:val="00AF530A"/>
    <w:rsid w:val="00AF549E"/>
    <w:rsid w:val="00AF5C1B"/>
    <w:rsid w:val="00AF6292"/>
    <w:rsid w:val="00AF6372"/>
    <w:rsid w:val="00AF6B22"/>
    <w:rsid w:val="00AF6C95"/>
    <w:rsid w:val="00AF6D72"/>
    <w:rsid w:val="00AF6DFE"/>
    <w:rsid w:val="00AF76D1"/>
    <w:rsid w:val="00AF7C5A"/>
    <w:rsid w:val="00B001B8"/>
    <w:rsid w:val="00B00D32"/>
    <w:rsid w:val="00B018D2"/>
    <w:rsid w:val="00B01A47"/>
    <w:rsid w:val="00B01CB7"/>
    <w:rsid w:val="00B01D63"/>
    <w:rsid w:val="00B01E87"/>
    <w:rsid w:val="00B0265C"/>
    <w:rsid w:val="00B028C0"/>
    <w:rsid w:val="00B03A79"/>
    <w:rsid w:val="00B03B53"/>
    <w:rsid w:val="00B03C63"/>
    <w:rsid w:val="00B040D1"/>
    <w:rsid w:val="00B04399"/>
    <w:rsid w:val="00B0452C"/>
    <w:rsid w:val="00B0457A"/>
    <w:rsid w:val="00B05A84"/>
    <w:rsid w:val="00B05AA3"/>
    <w:rsid w:val="00B05DBB"/>
    <w:rsid w:val="00B05E93"/>
    <w:rsid w:val="00B0627C"/>
    <w:rsid w:val="00B06460"/>
    <w:rsid w:val="00B066D3"/>
    <w:rsid w:val="00B06AB7"/>
    <w:rsid w:val="00B0741D"/>
    <w:rsid w:val="00B076DC"/>
    <w:rsid w:val="00B077AD"/>
    <w:rsid w:val="00B079E6"/>
    <w:rsid w:val="00B107F3"/>
    <w:rsid w:val="00B10867"/>
    <w:rsid w:val="00B1094C"/>
    <w:rsid w:val="00B10A02"/>
    <w:rsid w:val="00B10D6F"/>
    <w:rsid w:val="00B11649"/>
    <w:rsid w:val="00B1188C"/>
    <w:rsid w:val="00B118CC"/>
    <w:rsid w:val="00B11A98"/>
    <w:rsid w:val="00B11EA8"/>
    <w:rsid w:val="00B12050"/>
    <w:rsid w:val="00B129CB"/>
    <w:rsid w:val="00B12ABA"/>
    <w:rsid w:val="00B13095"/>
    <w:rsid w:val="00B13314"/>
    <w:rsid w:val="00B13522"/>
    <w:rsid w:val="00B1353D"/>
    <w:rsid w:val="00B14063"/>
    <w:rsid w:val="00B1439A"/>
    <w:rsid w:val="00B143D9"/>
    <w:rsid w:val="00B14888"/>
    <w:rsid w:val="00B14AF4"/>
    <w:rsid w:val="00B14C60"/>
    <w:rsid w:val="00B14CBE"/>
    <w:rsid w:val="00B14FD9"/>
    <w:rsid w:val="00B15076"/>
    <w:rsid w:val="00B1529A"/>
    <w:rsid w:val="00B1554F"/>
    <w:rsid w:val="00B155AB"/>
    <w:rsid w:val="00B162A3"/>
    <w:rsid w:val="00B16596"/>
    <w:rsid w:val="00B16EF9"/>
    <w:rsid w:val="00B16FD6"/>
    <w:rsid w:val="00B172FA"/>
    <w:rsid w:val="00B17345"/>
    <w:rsid w:val="00B1736E"/>
    <w:rsid w:val="00B174CB"/>
    <w:rsid w:val="00B17E0B"/>
    <w:rsid w:val="00B17ED4"/>
    <w:rsid w:val="00B207D5"/>
    <w:rsid w:val="00B213FA"/>
    <w:rsid w:val="00B21DB3"/>
    <w:rsid w:val="00B222A4"/>
    <w:rsid w:val="00B22B15"/>
    <w:rsid w:val="00B23952"/>
    <w:rsid w:val="00B23ABD"/>
    <w:rsid w:val="00B24334"/>
    <w:rsid w:val="00B244E4"/>
    <w:rsid w:val="00B24916"/>
    <w:rsid w:val="00B24AC7"/>
    <w:rsid w:val="00B25AE6"/>
    <w:rsid w:val="00B262F4"/>
    <w:rsid w:val="00B263D2"/>
    <w:rsid w:val="00B264E7"/>
    <w:rsid w:val="00B2677C"/>
    <w:rsid w:val="00B267A5"/>
    <w:rsid w:val="00B27542"/>
    <w:rsid w:val="00B2782B"/>
    <w:rsid w:val="00B27C42"/>
    <w:rsid w:val="00B3034D"/>
    <w:rsid w:val="00B30926"/>
    <w:rsid w:val="00B30A50"/>
    <w:rsid w:val="00B311BF"/>
    <w:rsid w:val="00B311D8"/>
    <w:rsid w:val="00B31307"/>
    <w:rsid w:val="00B3183A"/>
    <w:rsid w:val="00B31F9E"/>
    <w:rsid w:val="00B329A3"/>
    <w:rsid w:val="00B32AD8"/>
    <w:rsid w:val="00B32DDA"/>
    <w:rsid w:val="00B33110"/>
    <w:rsid w:val="00B33172"/>
    <w:rsid w:val="00B333DD"/>
    <w:rsid w:val="00B33C3B"/>
    <w:rsid w:val="00B33E8D"/>
    <w:rsid w:val="00B33ED7"/>
    <w:rsid w:val="00B34194"/>
    <w:rsid w:val="00B3430C"/>
    <w:rsid w:val="00B344CB"/>
    <w:rsid w:val="00B348CB"/>
    <w:rsid w:val="00B34F3E"/>
    <w:rsid w:val="00B3553B"/>
    <w:rsid w:val="00B3650C"/>
    <w:rsid w:val="00B366D5"/>
    <w:rsid w:val="00B37045"/>
    <w:rsid w:val="00B37083"/>
    <w:rsid w:val="00B373CB"/>
    <w:rsid w:val="00B37A91"/>
    <w:rsid w:val="00B37DD7"/>
    <w:rsid w:val="00B40A8D"/>
    <w:rsid w:val="00B41049"/>
    <w:rsid w:val="00B410EE"/>
    <w:rsid w:val="00B415DA"/>
    <w:rsid w:val="00B4194F"/>
    <w:rsid w:val="00B41BB6"/>
    <w:rsid w:val="00B41DAC"/>
    <w:rsid w:val="00B41F18"/>
    <w:rsid w:val="00B42488"/>
    <w:rsid w:val="00B42529"/>
    <w:rsid w:val="00B426A4"/>
    <w:rsid w:val="00B430AE"/>
    <w:rsid w:val="00B430B2"/>
    <w:rsid w:val="00B443F0"/>
    <w:rsid w:val="00B4446D"/>
    <w:rsid w:val="00B44561"/>
    <w:rsid w:val="00B4470E"/>
    <w:rsid w:val="00B44921"/>
    <w:rsid w:val="00B449FE"/>
    <w:rsid w:val="00B44E2B"/>
    <w:rsid w:val="00B4512E"/>
    <w:rsid w:val="00B45C42"/>
    <w:rsid w:val="00B46169"/>
    <w:rsid w:val="00B47313"/>
    <w:rsid w:val="00B475F8"/>
    <w:rsid w:val="00B47693"/>
    <w:rsid w:val="00B476DB"/>
    <w:rsid w:val="00B47AB0"/>
    <w:rsid w:val="00B47CCF"/>
    <w:rsid w:val="00B47E66"/>
    <w:rsid w:val="00B5080F"/>
    <w:rsid w:val="00B50843"/>
    <w:rsid w:val="00B50D90"/>
    <w:rsid w:val="00B50EF2"/>
    <w:rsid w:val="00B51471"/>
    <w:rsid w:val="00B5149E"/>
    <w:rsid w:val="00B55186"/>
    <w:rsid w:val="00B556F4"/>
    <w:rsid w:val="00B557D6"/>
    <w:rsid w:val="00B55DEA"/>
    <w:rsid w:val="00B56491"/>
    <w:rsid w:val="00B56828"/>
    <w:rsid w:val="00B56BAB"/>
    <w:rsid w:val="00B56F79"/>
    <w:rsid w:val="00B6022E"/>
    <w:rsid w:val="00B605A7"/>
    <w:rsid w:val="00B61665"/>
    <w:rsid w:val="00B619A3"/>
    <w:rsid w:val="00B61D53"/>
    <w:rsid w:val="00B62B7C"/>
    <w:rsid w:val="00B62CA9"/>
    <w:rsid w:val="00B637C1"/>
    <w:rsid w:val="00B63943"/>
    <w:rsid w:val="00B63FC9"/>
    <w:rsid w:val="00B64434"/>
    <w:rsid w:val="00B64FC3"/>
    <w:rsid w:val="00B656A5"/>
    <w:rsid w:val="00B65806"/>
    <w:rsid w:val="00B66074"/>
    <w:rsid w:val="00B66404"/>
    <w:rsid w:val="00B6658A"/>
    <w:rsid w:val="00B672C5"/>
    <w:rsid w:val="00B674A7"/>
    <w:rsid w:val="00B67601"/>
    <w:rsid w:val="00B67A10"/>
    <w:rsid w:val="00B70209"/>
    <w:rsid w:val="00B703C4"/>
    <w:rsid w:val="00B70961"/>
    <w:rsid w:val="00B71597"/>
    <w:rsid w:val="00B715C2"/>
    <w:rsid w:val="00B71807"/>
    <w:rsid w:val="00B71BE9"/>
    <w:rsid w:val="00B71CE6"/>
    <w:rsid w:val="00B72263"/>
    <w:rsid w:val="00B7230E"/>
    <w:rsid w:val="00B72728"/>
    <w:rsid w:val="00B72D8D"/>
    <w:rsid w:val="00B733D7"/>
    <w:rsid w:val="00B73490"/>
    <w:rsid w:val="00B736DC"/>
    <w:rsid w:val="00B73A96"/>
    <w:rsid w:val="00B740E1"/>
    <w:rsid w:val="00B743D8"/>
    <w:rsid w:val="00B746C4"/>
    <w:rsid w:val="00B746D1"/>
    <w:rsid w:val="00B74ABD"/>
    <w:rsid w:val="00B74AEC"/>
    <w:rsid w:val="00B74C47"/>
    <w:rsid w:val="00B74DCA"/>
    <w:rsid w:val="00B752F3"/>
    <w:rsid w:val="00B758D5"/>
    <w:rsid w:val="00B7591B"/>
    <w:rsid w:val="00B75987"/>
    <w:rsid w:val="00B75F5E"/>
    <w:rsid w:val="00B76074"/>
    <w:rsid w:val="00B762B2"/>
    <w:rsid w:val="00B76601"/>
    <w:rsid w:val="00B76726"/>
    <w:rsid w:val="00B76ABD"/>
    <w:rsid w:val="00B76C5B"/>
    <w:rsid w:val="00B77207"/>
    <w:rsid w:val="00B77418"/>
    <w:rsid w:val="00B776E7"/>
    <w:rsid w:val="00B77C00"/>
    <w:rsid w:val="00B77E30"/>
    <w:rsid w:val="00B77ECF"/>
    <w:rsid w:val="00B77F3D"/>
    <w:rsid w:val="00B80087"/>
    <w:rsid w:val="00B80F42"/>
    <w:rsid w:val="00B813A9"/>
    <w:rsid w:val="00B81589"/>
    <w:rsid w:val="00B817F2"/>
    <w:rsid w:val="00B81C11"/>
    <w:rsid w:val="00B81D11"/>
    <w:rsid w:val="00B82274"/>
    <w:rsid w:val="00B8227A"/>
    <w:rsid w:val="00B827A0"/>
    <w:rsid w:val="00B827FC"/>
    <w:rsid w:val="00B82995"/>
    <w:rsid w:val="00B82C00"/>
    <w:rsid w:val="00B82C6D"/>
    <w:rsid w:val="00B8318E"/>
    <w:rsid w:val="00B8359A"/>
    <w:rsid w:val="00B83D0A"/>
    <w:rsid w:val="00B8426E"/>
    <w:rsid w:val="00B84514"/>
    <w:rsid w:val="00B85057"/>
    <w:rsid w:val="00B85169"/>
    <w:rsid w:val="00B8697B"/>
    <w:rsid w:val="00B86BCE"/>
    <w:rsid w:val="00B87198"/>
    <w:rsid w:val="00B87814"/>
    <w:rsid w:val="00B9069F"/>
    <w:rsid w:val="00B906A3"/>
    <w:rsid w:val="00B90788"/>
    <w:rsid w:val="00B90F87"/>
    <w:rsid w:val="00B91352"/>
    <w:rsid w:val="00B9142C"/>
    <w:rsid w:val="00B914F1"/>
    <w:rsid w:val="00B9171B"/>
    <w:rsid w:val="00B91B99"/>
    <w:rsid w:val="00B91FD7"/>
    <w:rsid w:val="00B924A2"/>
    <w:rsid w:val="00B9273E"/>
    <w:rsid w:val="00B9284F"/>
    <w:rsid w:val="00B92B8F"/>
    <w:rsid w:val="00B92BFD"/>
    <w:rsid w:val="00B92CAA"/>
    <w:rsid w:val="00B94026"/>
    <w:rsid w:val="00B94180"/>
    <w:rsid w:val="00B947C5"/>
    <w:rsid w:val="00B9486D"/>
    <w:rsid w:val="00B95A50"/>
    <w:rsid w:val="00B95FE9"/>
    <w:rsid w:val="00B96A05"/>
    <w:rsid w:val="00B96D73"/>
    <w:rsid w:val="00B96E74"/>
    <w:rsid w:val="00B973D7"/>
    <w:rsid w:val="00B974BF"/>
    <w:rsid w:val="00B97522"/>
    <w:rsid w:val="00BA0245"/>
    <w:rsid w:val="00BA0348"/>
    <w:rsid w:val="00BA07BF"/>
    <w:rsid w:val="00BA08B1"/>
    <w:rsid w:val="00BA0979"/>
    <w:rsid w:val="00BA0999"/>
    <w:rsid w:val="00BA0D2A"/>
    <w:rsid w:val="00BA11E4"/>
    <w:rsid w:val="00BA1C0A"/>
    <w:rsid w:val="00BA1C2E"/>
    <w:rsid w:val="00BA1FD5"/>
    <w:rsid w:val="00BA2BEF"/>
    <w:rsid w:val="00BA2D0A"/>
    <w:rsid w:val="00BA31FC"/>
    <w:rsid w:val="00BA3443"/>
    <w:rsid w:val="00BA4596"/>
    <w:rsid w:val="00BA4779"/>
    <w:rsid w:val="00BA4BDA"/>
    <w:rsid w:val="00BA4DA8"/>
    <w:rsid w:val="00BA4E81"/>
    <w:rsid w:val="00BA53DD"/>
    <w:rsid w:val="00BA5B74"/>
    <w:rsid w:val="00BA5C2C"/>
    <w:rsid w:val="00BA6AC7"/>
    <w:rsid w:val="00BA6C76"/>
    <w:rsid w:val="00BA716D"/>
    <w:rsid w:val="00BA7354"/>
    <w:rsid w:val="00BA7649"/>
    <w:rsid w:val="00BA766D"/>
    <w:rsid w:val="00BA7A93"/>
    <w:rsid w:val="00BA7BD0"/>
    <w:rsid w:val="00BB00F9"/>
    <w:rsid w:val="00BB0377"/>
    <w:rsid w:val="00BB0770"/>
    <w:rsid w:val="00BB0E45"/>
    <w:rsid w:val="00BB15A1"/>
    <w:rsid w:val="00BB16A5"/>
    <w:rsid w:val="00BB17DF"/>
    <w:rsid w:val="00BB1872"/>
    <w:rsid w:val="00BB1BEC"/>
    <w:rsid w:val="00BB1D97"/>
    <w:rsid w:val="00BB1F56"/>
    <w:rsid w:val="00BB277C"/>
    <w:rsid w:val="00BB28D7"/>
    <w:rsid w:val="00BB2DD2"/>
    <w:rsid w:val="00BB36F3"/>
    <w:rsid w:val="00BB37F5"/>
    <w:rsid w:val="00BB3D21"/>
    <w:rsid w:val="00BB424D"/>
    <w:rsid w:val="00BB4568"/>
    <w:rsid w:val="00BB4E8F"/>
    <w:rsid w:val="00BB5A51"/>
    <w:rsid w:val="00BB5B33"/>
    <w:rsid w:val="00BB61A8"/>
    <w:rsid w:val="00BB6437"/>
    <w:rsid w:val="00BB668B"/>
    <w:rsid w:val="00BB6CE8"/>
    <w:rsid w:val="00BB7164"/>
    <w:rsid w:val="00BB721A"/>
    <w:rsid w:val="00BB75AB"/>
    <w:rsid w:val="00BC0100"/>
    <w:rsid w:val="00BC0495"/>
    <w:rsid w:val="00BC0685"/>
    <w:rsid w:val="00BC0A13"/>
    <w:rsid w:val="00BC0A52"/>
    <w:rsid w:val="00BC0F35"/>
    <w:rsid w:val="00BC1113"/>
    <w:rsid w:val="00BC1298"/>
    <w:rsid w:val="00BC142D"/>
    <w:rsid w:val="00BC2981"/>
    <w:rsid w:val="00BC2CEA"/>
    <w:rsid w:val="00BC36FF"/>
    <w:rsid w:val="00BC37BF"/>
    <w:rsid w:val="00BC38EE"/>
    <w:rsid w:val="00BC3C80"/>
    <w:rsid w:val="00BC3E8F"/>
    <w:rsid w:val="00BC529A"/>
    <w:rsid w:val="00BC55A6"/>
    <w:rsid w:val="00BC573D"/>
    <w:rsid w:val="00BC62BF"/>
    <w:rsid w:val="00BC6ABC"/>
    <w:rsid w:val="00BC7264"/>
    <w:rsid w:val="00BC7781"/>
    <w:rsid w:val="00BC7E57"/>
    <w:rsid w:val="00BD0BDA"/>
    <w:rsid w:val="00BD17B9"/>
    <w:rsid w:val="00BD1D41"/>
    <w:rsid w:val="00BD1D8E"/>
    <w:rsid w:val="00BD21E2"/>
    <w:rsid w:val="00BD24CF"/>
    <w:rsid w:val="00BD3831"/>
    <w:rsid w:val="00BD3B12"/>
    <w:rsid w:val="00BD3EA9"/>
    <w:rsid w:val="00BD4C09"/>
    <w:rsid w:val="00BD54A8"/>
    <w:rsid w:val="00BD6CBC"/>
    <w:rsid w:val="00BD6E5E"/>
    <w:rsid w:val="00BD7850"/>
    <w:rsid w:val="00BD7B72"/>
    <w:rsid w:val="00BE0344"/>
    <w:rsid w:val="00BE0523"/>
    <w:rsid w:val="00BE054D"/>
    <w:rsid w:val="00BE05FC"/>
    <w:rsid w:val="00BE0B03"/>
    <w:rsid w:val="00BE0B73"/>
    <w:rsid w:val="00BE117C"/>
    <w:rsid w:val="00BE1CD4"/>
    <w:rsid w:val="00BE1D9C"/>
    <w:rsid w:val="00BE2BD1"/>
    <w:rsid w:val="00BE2C44"/>
    <w:rsid w:val="00BE2CA1"/>
    <w:rsid w:val="00BE2E2F"/>
    <w:rsid w:val="00BE30CE"/>
    <w:rsid w:val="00BE3250"/>
    <w:rsid w:val="00BE3421"/>
    <w:rsid w:val="00BE3982"/>
    <w:rsid w:val="00BE401A"/>
    <w:rsid w:val="00BE4D55"/>
    <w:rsid w:val="00BE4E87"/>
    <w:rsid w:val="00BE6144"/>
    <w:rsid w:val="00BE6B93"/>
    <w:rsid w:val="00BF00A0"/>
    <w:rsid w:val="00BF1129"/>
    <w:rsid w:val="00BF127F"/>
    <w:rsid w:val="00BF13E4"/>
    <w:rsid w:val="00BF13F9"/>
    <w:rsid w:val="00BF231A"/>
    <w:rsid w:val="00BF243A"/>
    <w:rsid w:val="00BF2D7A"/>
    <w:rsid w:val="00BF2D81"/>
    <w:rsid w:val="00BF304E"/>
    <w:rsid w:val="00BF37EA"/>
    <w:rsid w:val="00BF3E79"/>
    <w:rsid w:val="00BF4145"/>
    <w:rsid w:val="00BF510C"/>
    <w:rsid w:val="00BF5512"/>
    <w:rsid w:val="00BF5772"/>
    <w:rsid w:val="00BF5DB4"/>
    <w:rsid w:val="00BF6B3C"/>
    <w:rsid w:val="00BF76B2"/>
    <w:rsid w:val="00BF76C5"/>
    <w:rsid w:val="00BF7B18"/>
    <w:rsid w:val="00BF7D1A"/>
    <w:rsid w:val="00C0008F"/>
    <w:rsid w:val="00C001E1"/>
    <w:rsid w:val="00C00358"/>
    <w:rsid w:val="00C006E5"/>
    <w:rsid w:val="00C00B56"/>
    <w:rsid w:val="00C00BC0"/>
    <w:rsid w:val="00C00DE6"/>
    <w:rsid w:val="00C01CA6"/>
    <w:rsid w:val="00C01E91"/>
    <w:rsid w:val="00C02033"/>
    <w:rsid w:val="00C0293F"/>
    <w:rsid w:val="00C02E45"/>
    <w:rsid w:val="00C03017"/>
    <w:rsid w:val="00C032CB"/>
    <w:rsid w:val="00C037B9"/>
    <w:rsid w:val="00C037BD"/>
    <w:rsid w:val="00C03CCF"/>
    <w:rsid w:val="00C04537"/>
    <w:rsid w:val="00C04591"/>
    <w:rsid w:val="00C046F2"/>
    <w:rsid w:val="00C0473D"/>
    <w:rsid w:val="00C05012"/>
    <w:rsid w:val="00C055C9"/>
    <w:rsid w:val="00C059CE"/>
    <w:rsid w:val="00C05BA1"/>
    <w:rsid w:val="00C06058"/>
    <w:rsid w:val="00C062C0"/>
    <w:rsid w:val="00C06B85"/>
    <w:rsid w:val="00C06C5F"/>
    <w:rsid w:val="00C06CA9"/>
    <w:rsid w:val="00C0784C"/>
    <w:rsid w:val="00C0794C"/>
    <w:rsid w:val="00C10210"/>
    <w:rsid w:val="00C10784"/>
    <w:rsid w:val="00C10A71"/>
    <w:rsid w:val="00C10AF3"/>
    <w:rsid w:val="00C10CED"/>
    <w:rsid w:val="00C118EF"/>
    <w:rsid w:val="00C11E71"/>
    <w:rsid w:val="00C12047"/>
    <w:rsid w:val="00C12797"/>
    <w:rsid w:val="00C128D9"/>
    <w:rsid w:val="00C130BE"/>
    <w:rsid w:val="00C131EF"/>
    <w:rsid w:val="00C13389"/>
    <w:rsid w:val="00C13B32"/>
    <w:rsid w:val="00C140E2"/>
    <w:rsid w:val="00C14192"/>
    <w:rsid w:val="00C14FCF"/>
    <w:rsid w:val="00C15193"/>
    <w:rsid w:val="00C151CE"/>
    <w:rsid w:val="00C1538D"/>
    <w:rsid w:val="00C155E5"/>
    <w:rsid w:val="00C15861"/>
    <w:rsid w:val="00C160F7"/>
    <w:rsid w:val="00C1707A"/>
    <w:rsid w:val="00C1735C"/>
    <w:rsid w:val="00C173E9"/>
    <w:rsid w:val="00C17F6E"/>
    <w:rsid w:val="00C2016E"/>
    <w:rsid w:val="00C201A6"/>
    <w:rsid w:val="00C2027F"/>
    <w:rsid w:val="00C202E9"/>
    <w:rsid w:val="00C207A6"/>
    <w:rsid w:val="00C20B3A"/>
    <w:rsid w:val="00C21102"/>
    <w:rsid w:val="00C214C2"/>
    <w:rsid w:val="00C2181B"/>
    <w:rsid w:val="00C21B58"/>
    <w:rsid w:val="00C21F1F"/>
    <w:rsid w:val="00C21F3C"/>
    <w:rsid w:val="00C21FDB"/>
    <w:rsid w:val="00C22304"/>
    <w:rsid w:val="00C22512"/>
    <w:rsid w:val="00C227BD"/>
    <w:rsid w:val="00C23698"/>
    <w:rsid w:val="00C23E47"/>
    <w:rsid w:val="00C23E7A"/>
    <w:rsid w:val="00C23EBC"/>
    <w:rsid w:val="00C2401F"/>
    <w:rsid w:val="00C24158"/>
    <w:rsid w:val="00C246EF"/>
    <w:rsid w:val="00C24766"/>
    <w:rsid w:val="00C247D0"/>
    <w:rsid w:val="00C2498B"/>
    <w:rsid w:val="00C24B7D"/>
    <w:rsid w:val="00C24BFF"/>
    <w:rsid w:val="00C250FE"/>
    <w:rsid w:val="00C2512D"/>
    <w:rsid w:val="00C25179"/>
    <w:rsid w:val="00C258C7"/>
    <w:rsid w:val="00C258D0"/>
    <w:rsid w:val="00C25FBA"/>
    <w:rsid w:val="00C27395"/>
    <w:rsid w:val="00C2761D"/>
    <w:rsid w:val="00C27DB9"/>
    <w:rsid w:val="00C3065B"/>
    <w:rsid w:val="00C30F23"/>
    <w:rsid w:val="00C31496"/>
    <w:rsid w:val="00C31785"/>
    <w:rsid w:val="00C31B05"/>
    <w:rsid w:val="00C3251A"/>
    <w:rsid w:val="00C32C27"/>
    <w:rsid w:val="00C32D2C"/>
    <w:rsid w:val="00C32E87"/>
    <w:rsid w:val="00C3305F"/>
    <w:rsid w:val="00C332FF"/>
    <w:rsid w:val="00C3390E"/>
    <w:rsid w:val="00C33EDD"/>
    <w:rsid w:val="00C34076"/>
    <w:rsid w:val="00C34312"/>
    <w:rsid w:val="00C34366"/>
    <w:rsid w:val="00C34506"/>
    <w:rsid w:val="00C3470C"/>
    <w:rsid w:val="00C34ACA"/>
    <w:rsid w:val="00C34B67"/>
    <w:rsid w:val="00C34CEC"/>
    <w:rsid w:val="00C34D29"/>
    <w:rsid w:val="00C34DAE"/>
    <w:rsid w:val="00C3503D"/>
    <w:rsid w:val="00C35686"/>
    <w:rsid w:val="00C35837"/>
    <w:rsid w:val="00C36179"/>
    <w:rsid w:val="00C363F6"/>
    <w:rsid w:val="00C36D68"/>
    <w:rsid w:val="00C36FA6"/>
    <w:rsid w:val="00C372F7"/>
    <w:rsid w:val="00C4008D"/>
    <w:rsid w:val="00C4028A"/>
    <w:rsid w:val="00C402D3"/>
    <w:rsid w:val="00C402E3"/>
    <w:rsid w:val="00C4099A"/>
    <w:rsid w:val="00C4147D"/>
    <w:rsid w:val="00C417B1"/>
    <w:rsid w:val="00C41C01"/>
    <w:rsid w:val="00C420D7"/>
    <w:rsid w:val="00C4259F"/>
    <w:rsid w:val="00C42888"/>
    <w:rsid w:val="00C42926"/>
    <w:rsid w:val="00C42B0C"/>
    <w:rsid w:val="00C42C48"/>
    <w:rsid w:val="00C43328"/>
    <w:rsid w:val="00C433AA"/>
    <w:rsid w:val="00C43730"/>
    <w:rsid w:val="00C43ECB"/>
    <w:rsid w:val="00C449C8"/>
    <w:rsid w:val="00C44EA8"/>
    <w:rsid w:val="00C44F7E"/>
    <w:rsid w:val="00C453B7"/>
    <w:rsid w:val="00C454B3"/>
    <w:rsid w:val="00C45A9F"/>
    <w:rsid w:val="00C45B48"/>
    <w:rsid w:val="00C466EE"/>
    <w:rsid w:val="00C46907"/>
    <w:rsid w:val="00C469AC"/>
    <w:rsid w:val="00C46EA1"/>
    <w:rsid w:val="00C4737F"/>
    <w:rsid w:val="00C473D0"/>
    <w:rsid w:val="00C474C2"/>
    <w:rsid w:val="00C478D7"/>
    <w:rsid w:val="00C47A8C"/>
    <w:rsid w:val="00C47EB6"/>
    <w:rsid w:val="00C504E7"/>
    <w:rsid w:val="00C504F6"/>
    <w:rsid w:val="00C505DE"/>
    <w:rsid w:val="00C507D5"/>
    <w:rsid w:val="00C50B27"/>
    <w:rsid w:val="00C50E02"/>
    <w:rsid w:val="00C50F61"/>
    <w:rsid w:val="00C5101B"/>
    <w:rsid w:val="00C5109C"/>
    <w:rsid w:val="00C5130A"/>
    <w:rsid w:val="00C51628"/>
    <w:rsid w:val="00C51897"/>
    <w:rsid w:val="00C518C7"/>
    <w:rsid w:val="00C51EEB"/>
    <w:rsid w:val="00C51F21"/>
    <w:rsid w:val="00C52310"/>
    <w:rsid w:val="00C523EC"/>
    <w:rsid w:val="00C5267D"/>
    <w:rsid w:val="00C52F25"/>
    <w:rsid w:val="00C53634"/>
    <w:rsid w:val="00C538F5"/>
    <w:rsid w:val="00C53B7E"/>
    <w:rsid w:val="00C53D64"/>
    <w:rsid w:val="00C53F64"/>
    <w:rsid w:val="00C541B1"/>
    <w:rsid w:val="00C54334"/>
    <w:rsid w:val="00C544FE"/>
    <w:rsid w:val="00C54989"/>
    <w:rsid w:val="00C54A3F"/>
    <w:rsid w:val="00C54EC6"/>
    <w:rsid w:val="00C553F2"/>
    <w:rsid w:val="00C55629"/>
    <w:rsid w:val="00C5580C"/>
    <w:rsid w:val="00C55891"/>
    <w:rsid w:val="00C55D48"/>
    <w:rsid w:val="00C55D6F"/>
    <w:rsid w:val="00C55E97"/>
    <w:rsid w:val="00C55F34"/>
    <w:rsid w:val="00C56318"/>
    <w:rsid w:val="00C56479"/>
    <w:rsid w:val="00C56682"/>
    <w:rsid w:val="00C57614"/>
    <w:rsid w:val="00C57D4B"/>
    <w:rsid w:val="00C57FA5"/>
    <w:rsid w:val="00C60158"/>
    <w:rsid w:val="00C606F7"/>
    <w:rsid w:val="00C6084B"/>
    <w:rsid w:val="00C61004"/>
    <w:rsid w:val="00C61159"/>
    <w:rsid w:val="00C617C8"/>
    <w:rsid w:val="00C61EC7"/>
    <w:rsid w:val="00C623F8"/>
    <w:rsid w:val="00C62821"/>
    <w:rsid w:val="00C62D49"/>
    <w:rsid w:val="00C62EEE"/>
    <w:rsid w:val="00C63061"/>
    <w:rsid w:val="00C63186"/>
    <w:rsid w:val="00C634F2"/>
    <w:rsid w:val="00C6352D"/>
    <w:rsid w:val="00C63D78"/>
    <w:rsid w:val="00C645AD"/>
    <w:rsid w:val="00C64686"/>
    <w:rsid w:val="00C64879"/>
    <w:rsid w:val="00C64B2D"/>
    <w:rsid w:val="00C6506C"/>
    <w:rsid w:val="00C65A7B"/>
    <w:rsid w:val="00C65D6D"/>
    <w:rsid w:val="00C66472"/>
    <w:rsid w:val="00C66A90"/>
    <w:rsid w:val="00C66F46"/>
    <w:rsid w:val="00C67040"/>
    <w:rsid w:val="00C675AF"/>
    <w:rsid w:val="00C679C5"/>
    <w:rsid w:val="00C67D56"/>
    <w:rsid w:val="00C67DB1"/>
    <w:rsid w:val="00C67F79"/>
    <w:rsid w:val="00C70451"/>
    <w:rsid w:val="00C708BE"/>
    <w:rsid w:val="00C70E1D"/>
    <w:rsid w:val="00C70ED2"/>
    <w:rsid w:val="00C70F73"/>
    <w:rsid w:val="00C71038"/>
    <w:rsid w:val="00C71298"/>
    <w:rsid w:val="00C718A3"/>
    <w:rsid w:val="00C72764"/>
    <w:rsid w:val="00C7298A"/>
    <w:rsid w:val="00C730F8"/>
    <w:rsid w:val="00C7322C"/>
    <w:rsid w:val="00C7343C"/>
    <w:rsid w:val="00C73807"/>
    <w:rsid w:val="00C73FD8"/>
    <w:rsid w:val="00C74B6D"/>
    <w:rsid w:val="00C74BBF"/>
    <w:rsid w:val="00C74DBB"/>
    <w:rsid w:val="00C74FF7"/>
    <w:rsid w:val="00C757F9"/>
    <w:rsid w:val="00C75D46"/>
    <w:rsid w:val="00C75DF5"/>
    <w:rsid w:val="00C7602F"/>
    <w:rsid w:val="00C765A5"/>
    <w:rsid w:val="00C77AB3"/>
    <w:rsid w:val="00C77E5C"/>
    <w:rsid w:val="00C80218"/>
    <w:rsid w:val="00C802BA"/>
    <w:rsid w:val="00C811C2"/>
    <w:rsid w:val="00C815CC"/>
    <w:rsid w:val="00C82630"/>
    <w:rsid w:val="00C82CB7"/>
    <w:rsid w:val="00C82DD7"/>
    <w:rsid w:val="00C82E59"/>
    <w:rsid w:val="00C82ECB"/>
    <w:rsid w:val="00C82F73"/>
    <w:rsid w:val="00C8304D"/>
    <w:rsid w:val="00C83CCB"/>
    <w:rsid w:val="00C83CD5"/>
    <w:rsid w:val="00C846E1"/>
    <w:rsid w:val="00C84CFF"/>
    <w:rsid w:val="00C84D37"/>
    <w:rsid w:val="00C84EBF"/>
    <w:rsid w:val="00C85B2B"/>
    <w:rsid w:val="00C85BED"/>
    <w:rsid w:val="00C85D02"/>
    <w:rsid w:val="00C86C86"/>
    <w:rsid w:val="00C86DC4"/>
    <w:rsid w:val="00C878A9"/>
    <w:rsid w:val="00C9031C"/>
    <w:rsid w:val="00C903C1"/>
    <w:rsid w:val="00C90539"/>
    <w:rsid w:val="00C90688"/>
    <w:rsid w:val="00C90765"/>
    <w:rsid w:val="00C908EC"/>
    <w:rsid w:val="00C909F5"/>
    <w:rsid w:val="00C90B50"/>
    <w:rsid w:val="00C91553"/>
    <w:rsid w:val="00C9177A"/>
    <w:rsid w:val="00C92255"/>
    <w:rsid w:val="00C922CD"/>
    <w:rsid w:val="00C923D9"/>
    <w:rsid w:val="00C92550"/>
    <w:rsid w:val="00C925E7"/>
    <w:rsid w:val="00C928D6"/>
    <w:rsid w:val="00C93D3A"/>
    <w:rsid w:val="00C93E05"/>
    <w:rsid w:val="00C93FAB"/>
    <w:rsid w:val="00C94333"/>
    <w:rsid w:val="00C94356"/>
    <w:rsid w:val="00C943A6"/>
    <w:rsid w:val="00C9456F"/>
    <w:rsid w:val="00C94D0A"/>
    <w:rsid w:val="00C9513C"/>
    <w:rsid w:val="00C95300"/>
    <w:rsid w:val="00C954B5"/>
    <w:rsid w:val="00C954D2"/>
    <w:rsid w:val="00C95617"/>
    <w:rsid w:val="00C958B2"/>
    <w:rsid w:val="00C958BF"/>
    <w:rsid w:val="00C95D9E"/>
    <w:rsid w:val="00C95EB8"/>
    <w:rsid w:val="00C9639D"/>
    <w:rsid w:val="00C965B5"/>
    <w:rsid w:val="00C96A7A"/>
    <w:rsid w:val="00C96F20"/>
    <w:rsid w:val="00C96FEC"/>
    <w:rsid w:val="00C971D4"/>
    <w:rsid w:val="00C976D4"/>
    <w:rsid w:val="00CA0752"/>
    <w:rsid w:val="00CA0793"/>
    <w:rsid w:val="00CA0D14"/>
    <w:rsid w:val="00CA0D48"/>
    <w:rsid w:val="00CA1E6F"/>
    <w:rsid w:val="00CA21F2"/>
    <w:rsid w:val="00CA24C5"/>
    <w:rsid w:val="00CA2DDF"/>
    <w:rsid w:val="00CA38BB"/>
    <w:rsid w:val="00CA38CA"/>
    <w:rsid w:val="00CA4067"/>
    <w:rsid w:val="00CA42DB"/>
    <w:rsid w:val="00CA431F"/>
    <w:rsid w:val="00CA4991"/>
    <w:rsid w:val="00CA50FF"/>
    <w:rsid w:val="00CA528C"/>
    <w:rsid w:val="00CA532A"/>
    <w:rsid w:val="00CA5371"/>
    <w:rsid w:val="00CA5608"/>
    <w:rsid w:val="00CA5FD3"/>
    <w:rsid w:val="00CA650D"/>
    <w:rsid w:val="00CA6916"/>
    <w:rsid w:val="00CA6EFD"/>
    <w:rsid w:val="00CB0217"/>
    <w:rsid w:val="00CB0394"/>
    <w:rsid w:val="00CB0769"/>
    <w:rsid w:val="00CB0D00"/>
    <w:rsid w:val="00CB0E50"/>
    <w:rsid w:val="00CB1477"/>
    <w:rsid w:val="00CB1974"/>
    <w:rsid w:val="00CB1BD9"/>
    <w:rsid w:val="00CB27E5"/>
    <w:rsid w:val="00CB2BAD"/>
    <w:rsid w:val="00CB321B"/>
    <w:rsid w:val="00CB332C"/>
    <w:rsid w:val="00CB37A9"/>
    <w:rsid w:val="00CB415B"/>
    <w:rsid w:val="00CB43A9"/>
    <w:rsid w:val="00CB480F"/>
    <w:rsid w:val="00CB4EAB"/>
    <w:rsid w:val="00CB529B"/>
    <w:rsid w:val="00CB52FB"/>
    <w:rsid w:val="00CB63F5"/>
    <w:rsid w:val="00CB645E"/>
    <w:rsid w:val="00CB6B76"/>
    <w:rsid w:val="00CB6BC1"/>
    <w:rsid w:val="00CB6C1C"/>
    <w:rsid w:val="00CB7C18"/>
    <w:rsid w:val="00CB7E7A"/>
    <w:rsid w:val="00CC0C06"/>
    <w:rsid w:val="00CC0C3A"/>
    <w:rsid w:val="00CC1D7A"/>
    <w:rsid w:val="00CC2FBD"/>
    <w:rsid w:val="00CC3BE2"/>
    <w:rsid w:val="00CC4212"/>
    <w:rsid w:val="00CC4770"/>
    <w:rsid w:val="00CC4A1F"/>
    <w:rsid w:val="00CC4D39"/>
    <w:rsid w:val="00CC58AA"/>
    <w:rsid w:val="00CC5E4F"/>
    <w:rsid w:val="00CC5F59"/>
    <w:rsid w:val="00CC6261"/>
    <w:rsid w:val="00CC6C94"/>
    <w:rsid w:val="00CC772A"/>
    <w:rsid w:val="00CC7A0B"/>
    <w:rsid w:val="00CD0722"/>
    <w:rsid w:val="00CD1015"/>
    <w:rsid w:val="00CD1245"/>
    <w:rsid w:val="00CD1440"/>
    <w:rsid w:val="00CD152B"/>
    <w:rsid w:val="00CD1890"/>
    <w:rsid w:val="00CD1FF3"/>
    <w:rsid w:val="00CD2C81"/>
    <w:rsid w:val="00CD2D4F"/>
    <w:rsid w:val="00CD2F07"/>
    <w:rsid w:val="00CD3481"/>
    <w:rsid w:val="00CD3516"/>
    <w:rsid w:val="00CD3573"/>
    <w:rsid w:val="00CD3A1F"/>
    <w:rsid w:val="00CD3A3D"/>
    <w:rsid w:val="00CD3C43"/>
    <w:rsid w:val="00CD3F13"/>
    <w:rsid w:val="00CD4107"/>
    <w:rsid w:val="00CD4C3C"/>
    <w:rsid w:val="00CD4D1B"/>
    <w:rsid w:val="00CD4EB2"/>
    <w:rsid w:val="00CD552A"/>
    <w:rsid w:val="00CD5594"/>
    <w:rsid w:val="00CD5B4C"/>
    <w:rsid w:val="00CD5F5B"/>
    <w:rsid w:val="00CD716C"/>
    <w:rsid w:val="00CD7B90"/>
    <w:rsid w:val="00CD7CF7"/>
    <w:rsid w:val="00CD7D77"/>
    <w:rsid w:val="00CE0039"/>
    <w:rsid w:val="00CE0972"/>
    <w:rsid w:val="00CE09C2"/>
    <w:rsid w:val="00CE0BE2"/>
    <w:rsid w:val="00CE1865"/>
    <w:rsid w:val="00CE19C8"/>
    <w:rsid w:val="00CE234D"/>
    <w:rsid w:val="00CE249C"/>
    <w:rsid w:val="00CE2976"/>
    <w:rsid w:val="00CE2AC8"/>
    <w:rsid w:val="00CE2EB1"/>
    <w:rsid w:val="00CE39B0"/>
    <w:rsid w:val="00CE4073"/>
    <w:rsid w:val="00CE4171"/>
    <w:rsid w:val="00CE4592"/>
    <w:rsid w:val="00CE4997"/>
    <w:rsid w:val="00CE50A2"/>
    <w:rsid w:val="00CE56F0"/>
    <w:rsid w:val="00CE6062"/>
    <w:rsid w:val="00CE62AC"/>
    <w:rsid w:val="00CE65E9"/>
    <w:rsid w:val="00CE7005"/>
    <w:rsid w:val="00CE76A3"/>
    <w:rsid w:val="00CE7F77"/>
    <w:rsid w:val="00CE7F8C"/>
    <w:rsid w:val="00CF0B04"/>
    <w:rsid w:val="00CF0D5C"/>
    <w:rsid w:val="00CF0F3D"/>
    <w:rsid w:val="00CF0FBA"/>
    <w:rsid w:val="00CF122A"/>
    <w:rsid w:val="00CF1A42"/>
    <w:rsid w:val="00CF2407"/>
    <w:rsid w:val="00CF3B76"/>
    <w:rsid w:val="00CF3DCD"/>
    <w:rsid w:val="00CF40F0"/>
    <w:rsid w:val="00CF41A5"/>
    <w:rsid w:val="00CF43C8"/>
    <w:rsid w:val="00CF4403"/>
    <w:rsid w:val="00CF455C"/>
    <w:rsid w:val="00CF488A"/>
    <w:rsid w:val="00CF48A7"/>
    <w:rsid w:val="00CF4BA4"/>
    <w:rsid w:val="00CF580A"/>
    <w:rsid w:val="00CF5C96"/>
    <w:rsid w:val="00CF5DB0"/>
    <w:rsid w:val="00CF605D"/>
    <w:rsid w:val="00CF61FB"/>
    <w:rsid w:val="00CF67F2"/>
    <w:rsid w:val="00CF686E"/>
    <w:rsid w:val="00CF6C3C"/>
    <w:rsid w:val="00CF7314"/>
    <w:rsid w:val="00CF74B9"/>
    <w:rsid w:val="00CF792B"/>
    <w:rsid w:val="00CF7999"/>
    <w:rsid w:val="00D00691"/>
    <w:rsid w:val="00D00909"/>
    <w:rsid w:val="00D009EA"/>
    <w:rsid w:val="00D00DBD"/>
    <w:rsid w:val="00D0273C"/>
    <w:rsid w:val="00D0280E"/>
    <w:rsid w:val="00D0302F"/>
    <w:rsid w:val="00D03326"/>
    <w:rsid w:val="00D033B9"/>
    <w:rsid w:val="00D033BE"/>
    <w:rsid w:val="00D03D01"/>
    <w:rsid w:val="00D04D21"/>
    <w:rsid w:val="00D04E96"/>
    <w:rsid w:val="00D05264"/>
    <w:rsid w:val="00D05824"/>
    <w:rsid w:val="00D05886"/>
    <w:rsid w:val="00D05BF4"/>
    <w:rsid w:val="00D05D04"/>
    <w:rsid w:val="00D0642B"/>
    <w:rsid w:val="00D0653C"/>
    <w:rsid w:val="00D06818"/>
    <w:rsid w:val="00D068BF"/>
    <w:rsid w:val="00D06A0A"/>
    <w:rsid w:val="00D06DA5"/>
    <w:rsid w:val="00D072C7"/>
    <w:rsid w:val="00D103E2"/>
    <w:rsid w:val="00D104CB"/>
    <w:rsid w:val="00D104E4"/>
    <w:rsid w:val="00D10965"/>
    <w:rsid w:val="00D10B02"/>
    <w:rsid w:val="00D110C1"/>
    <w:rsid w:val="00D116DD"/>
    <w:rsid w:val="00D129D8"/>
    <w:rsid w:val="00D12DFE"/>
    <w:rsid w:val="00D12E1C"/>
    <w:rsid w:val="00D12F3C"/>
    <w:rsid w:val="00D131D3"/>
    <w:rsid w:val="00D1345F"/>
    <w:rsid w:val="00D13478"/>
    <w:rsid w:val="00D1381D"/>
    <w:rsid w:val="00D14187"/>
    <w:rsid w:val="00D148F4"/>
    <w:rsid w:val="00D14A10"/>
    <w:rsid w:val="00D152D5"/>
    <w:rsid w:val="00D1579F"/>
    <w:rsid w:val="00D15894"/>
    <w:rsid w:val="00D15A88"/>
    <w:rsid w:val="00D15ED8"/>
    <w:rsid w:val="00D15F81"/>
    <w:rsid w:val="00D160C5"/>
    <w:rsid w:val="00D172BF"/>
    <w:rsid w:val="00D1773D"/>
    <w:rsid w:val="00D177D1"/>
    <w:rsid w:val="00D17FD3"/>
    <w:rsid w:val="00D205FF"/>
    <w:rsid w:val="00D209E3"/>
    <w:rsid w:val="00D20CF6"/>
    <w:rsid w:val="00D20DD3"/>
    <w:rsid w:val="00D20E0C"/>
    <w:rsid w:val="00D20FA4"/>
    <w:rsid w:val="00D217FF"/>
    <w:rsid w:val="00D218C5"/>
    <w:rsid w:val="00D21CBD"/>
    <w:rsid w:val="00D22232"/>
    <w:rsid w:val="00D223B0"/>
    <w:rsid w:val="00D2255C"/>
    <w:rsid w:val="00D22B93"/>
    <w:rsid w:val="00D22EB6"/>
    <w:rsid w:val="00D23437"/>
    <w:rsid w:val="00D237F6"/>
    <w:rsid w:val="00D244CE"/>
    <w:rsid w:val="00D24831"/>
    <w:rsid w:val="00D24DB3"/>
    <w:rsid w:val="00D25826"/>
    <w:rsid w:val="00D25961"/>
    <w:rsid w:val="00D25A7B"/>
    <w:rsid w:val="00D25BCC"/>
    <w:rsid w:val="00D26633"/>
    <w:rsid w:val="00D26978"/>
    <w:rsid w:val="00D26E2F"/>
    <w:rsid w:val="00D26EA1"/>
    <w:rsid w:val="00D26F08"/>
    <w:rsid w:val="00D27260"/>
    <w:rsid w:val="00D273F4"/>
    <w:rsid w:val="00D30876"/>
    <w:rsid w:val="00D30E8E"/>
    <w:rsid w:val="00D30ECA"/>
    <w:rsid w:val="00D30FE2"/>
    <w:rsid w:val="00D3105B"/>
    <w:rsid w:val="00D3134F"/>
    <w:rsid w:val="00D31ADC"/>
    <w:rsid w:val="00D32461"/>
    <w:rsid w:val="00D327A8"/>
    <w:rsid w:val="00D32A3C"/>
    <w:rsid w:val="00D32C0D"/>
    <w:rsid w:val="00D33109"/>
    <w:rsid w:val="00D3337C"/>
    <w:rsid w:val="00D3346F"/>
    <w:rsid w:val="00D33784"/>
    <w:rsid w:val="00D33809"/>
    <w:rsid w:val="00D33B15"/>
    <w:rsid w:val="00D33F61"/>
    <w:rsid w:val="00D34452"/>
    <w:rsid w:val="00D34802"/>
    <w:rsid w:val="00D348C0"/>
    <w:rsid w:val="00D35100"/>
    <w:rsid w:val="00D36882"/>
    <w:rsid w:val="00D36973"/>
    <w:rsid w:val="00D36BF6"/>
    <w:rsid w:val="00D36DF6"/>
    <w:rsid w:val="00D37132"/>
    <w:rsid w:val="00D37468"/>
    <w:rsid w:val="00D377A4"/>
    <w:rsid w:val="00D3787E"/>
    <w:rsid w:val="00D37D30"/>
    <w:rsid w:val="00D37EC3"/>
    <w:rsid w:val="00D37F82"/>
    <w:rsid w:val="00D40289"/>
    <w:rsid w:val="00D40501"/>
    <w:rsid w:val="00D407A3"/>
    <w:rsid w:val="00D40955"/>
    <w:rsid w:val="00D40A36"/>
    <w:rsid w:val="00D40BE7"/>
    <w:rsid w:val="00D41455"/>
    <w:rsid w:val="00D41F90"/>
    <w:rsid w:val="00D42679"/>
    <w:rsid w:val="00D427CF"/>
    <w:rsid w:val="00D4324E"/>
    <w:rsid w:val="00D4334D"/>
    <w:rsid w:val="00D43B1C"/>
    <w:rsid w:val="00D43DE6"/>
    <w:rsid w:val="00D44001"/>
    <w:rsid w:val="00D44021"/>
    <w:rsid w:val="00D44A34"/>
    <w:rsid w:val="00D44B4C"/>
    <w:rsid w:val="00D4565A"/>
    <w:rsid w:val="00D457F1"/>
    <w:rsid w:val="00D45B3C"/>
    <w:rsid w:val="00D45C9B"/>
    <w:rsid w:val="00D45C9F"/>
    <w:rsid w:val="00D4612E"/>
    <w:rsid w:val="00D461EA"/>
    <w:rsid w:val="00D466D8"/>
    <w:rsid w:val="00D46D82"/>
    <w:rsid w:val="00D46E5C"/>
    <w:rsid w:val="00D4728D"/>
    <w:rsid w:val="00D477A2"/>
    <w:rsid w:val="00D4782A"/>
    <w:rsid w:val="00D478BF"/>
    <w:rsid w:val="00D47ADB"/>
    <w:rsid w:val="00D5089A"/>
    <w:rsid w:val="00D51039"/>
    <w:rsid w:val="00D510B6"/>
    <w:rsid w:val="00D51B92"/>
    <w:rsid w:val="00D522E3"/>
    <w:rsid w:val="00D52816"/>
    <w:rsid w:val="00D5297D"/>
    <w:rsid w:val="00D52B3E"/>
    <w:rsid w:val="00D536CC"/>
    <w:rsid w:val="00D555AD"/>
    <w:rsid w:val="00D55956"/>
    <w:rsid w:val="00D5595E"/>
    <w:rsid w:val="00D564D1"/>
    <w:rsid w:val="00D565C0"/>
    <w:rsid w:val="00D56AC2"/>
    <w:rsid w:val="00D576B9"/>
    <w:rsid w:val="00D57D91"/>
    <w:rsid w:val="00D57EB1"/>
    <w:rsid w:val="00D60483"/>
    <w:rsid w:val="00D60775"/>
    <w:rsid w:val="00D60862"/>
    <w:rsid w:val="00D60D81"/>
    <w:rsid w:val="00D61312"/>
    <w:rsid w:val="00D61445"/>
    <w:rsid w:val="00D61618"/>
    <w:rsid w:val="00D61869"/>
    <w:rsid w:val="00D6189C"/>
    <w:rsid w:val="00D61BEC"/>
    <w:rsid w:val="00D61F87"/>
    <w:rsid w:val="00D627DD"/>
    <w:rsid w:val="00D62842"/>
    <w:rsid w:val="00D62854"/>
    <w:rsid w:val="00D62E71"/>
    <w:rsid w:val="00D630A0"/>
    <w:rsid w:val="00D64457"/>
    <w:rsid w:val="00D64D2E"/>
    <w:rsid w:val="00D6562C"/>
    <w:rsid w:val="00D65A81"/>
    <w:rsid w:val="00D65EA1"/>
    <w:rsid w:val="00D6632D"/>
    <w:rsid w:val="00D669AE"/>
    <w:rsid w:val="00D66CEF"/>
    <w:rsid w:val="00D6711F"/>
    <w:rsid w:val="00D67416"/>
    <w:rsid w:val="00D67554"/>
    <w:rsid w:val="00D67802"/>
    <w:rsid w:val="00D67B97"/>
    <w:rsid w:val="00D708DE"/>
    <w:rsid w:val="00D70A56"/>
    <w:rsid w:val="00D70AFA"/>
    <w:rsid w:val="00D70D09"/>
    <w:rsid w:val="00D71455"/>
    <w:rsid w:val="00D716CD"/>
    <w:rsid w:val="00D717F1"/>
    <w:rsid w:val="00D717F8"/>
    <w:rsid w:val="00D71EC1"/>
    <w:rsid w:val="00D7242B"/>
    <w:rsid w:val="00D72A37"/>
    <w:rsid w:val="00D73698"/>
    <w:rsid w:val="00D73C50"/>
    <w:rsid w:val="00D742F3"/>
    <w:rsid w:val="00D748B8"/>
    <w:rsid w:val="00D74A16"/>
    <w:rsid w:val="00D750B4"/>
    <w:rsid w:val="00D755CA"/>
    <w:rsid w:val="00D75643"/>
    <w:rsid w:val="00D757CE"/>
    <w:rsid w:val="00D758BF"/>
    <w:rsid w:val="00D75953"/>
    <w:rsid w:val="00D75CEB"/>
    <w:rsid w:val="00D76946"/>
    <w:rsid w:val="00D76F8F"/>
    <w:rsid w:val="00D7767D"/>
    <w:rsid w:val="00D77AFF"/>
    <w:rsid w:val="00D800EC"/>
    <w:rsid w:val="00D802F6"/>
    <w:rsid w:val="00D80C6A"/>
    <w:rsid w:val="00D812A6"/>
    <w:rsid w:val="00D81636"/>
    <w:rsid w:val="00D8163C"/>
    <w:rsid w:val="00D81B17"/>
    <w:rsid w:val="00D81C19"/>
    <w:rsid w:val="00D82086"/>
    <w:rsid w:val="00D82188"/>
    <w:rsid w:val="00D82AA9"/>
    <w:rsid w:val="00D83178"/>
    <w:rsid w:val="00D8319D"/>
    <w:rsid w:val="00D832E2"/>
    <w:rsid w:val="00D83400"/>
    <w:rsid w:val="00D83C7B"/>
    <w:rsid w:val="00D83EA2"/>
    <w:rsid w:val="00D84118"/>
    <w:rsid w:val="00D84140"/>
    <w:rsid w:val="00D85222"/>
    <w:rsid w:val="00D865A8"/>
    <w:rsid w:val="00D86FBB"/>
    <w:rsid w:val="00D87009"/>
    <w:rsid w:val="00D87321"/>
    <w:rsid w:val="00D874F4"/>
    <w:rsid w:val="00D87652"/>
    <w:rsid w:val="00D87AFC"/>
    <w:rsid w:val="00D90AD8"/>
    <w:rsid w:val="00D90B33"/>
    <w:rsid w:val="00D912D1"/>
    <w:rsid w:val="00D91AFE"/>
    <w:rsid w:val="00D92167"/>
    <w:rsid w:val="00D924B1"/>
    <w:rsid w:val="00D92CE4"/>
    <w:rsid w:val="00D93463"/>
    <w:rsid w:val="00D941F0"/>
    <w:rsid w:val="00D9427F"/>
    <w:rsid w:val="00D94766"/>
    <w:rsid w:val="00D949C1"/>
    <w:rsid w:val="00D949FD"/>
    <w:rsid w:val="00D94BAE"/>
    <w:rsid w:val="00D9524B"/>
    <w:rsid w:val="00D9568E"/>
    <w:rsid w:val="00D95695"/>
    <w:rsid w:val="00D95C6D"/>
    <w:rsid w:val="00D95C7D"/>
    <w:rsid w:val="00D95D32"/>
    <w:rsid w:val="00D95D5F"/>
    <w:rsid w:val="00D95ED0"/>
    <w:rsid w:val="00D966C2"/>
    <w:rsid w:val="00D96C75"/>
    <w:rsid w:val="00D96C7E"/>
    <w:rsid w:val="00D96CBB"/>
    <w:rsid w:val="00D96FFC"/>
    <w:rsid w:val="00D9793C"/>
    <w:rsid w:val="00D97E74"/>
    <w:rsid w:val="00DA06AF"/>
    <w:rsid w:val="00DA06BD"/>
    <w:rsid w:val="00DA071A"/>
    <w:rsid w:val="00DA0A85"/>
    <w:rsid w:val="00DA0C8E"/>
    <w:rsid w:val="00DA16EE"/>
    <w:rsid w:val="00DA18DA"/>
    <w:rsid w:val="00DA1D26"/>
    <w:rsid w:val="00DA2252"/>
    <w:rsid w:val="00DA24A8"/>
    <w:rsid w:val="00DA274C"/>
    <w:rsid w:val="00DA2E7D"/>
    <w:rsid w:val="00DA35F0"/>
    <w:rsid w:val="00DA383F"/>
    <w:rsid w:val="00DA39BA"/>
    <w:rsid w:val="00DA3AFC"/>
    <w:rsid w:val="00DA4D4C"/>
    <w:rsid w:val="00DA52B0"/>
    <w:rsid w:val="00DA54CB"/>
    <w:rsid w:val="00DA5C5B"/>
    <w:rsid w:val="00DA6160"/>
    <w:rsid w:val="00DA7235"/>
    <w:rsid w:val="00DA799A"/>
    <w:rsid w:val="00DB0107"/>
    <w:rsid w:val="00DB01C3"/>
    <w:rsid w:val="00DB0265"/>
    <w:rsid w:val="00DB1CAD"/>
    <w:rsid w:val="00DB2259"/>
    <w:rsid w:val="00DB27FB"/>
    <w:rsid w:val="00DB31A3"/>
    <w:rsid w:val="00DB336B"/>
    <w:rsid w:val="00DB4071"/>
    <w:rsid w:val="00DB441E"/>
    <w:rsid w:val="00DB47CE"/>
    <w:rsid w:val="00DB4F41"/>
    <w:rsid w:val="00DB57A6"/>
    <w:rsid w:val="00DB591C"/>
    <w:rsid w:val="00DB5BAC"/>
    <w:rsid w:val="00DB5E0F"/>
    <w:rsid w:val="00DB5E44"/>
    <w:rsid w:val="00DB602B"/>
    <w:rsid w:val="00DB62C1"/>
    <w:rsid w:val="00DB68F1"/>
    <w:rsid w:val="00DB6CB8"/>
    <w:rsid w:val="00DB7D5C"/>
    <w:rsid w:val="00DB7F91"/>
    <w:rsid w:val="00DC0301"/>
    <w:rsid w:val="00DC0693"/>
    <w:rsid w:val="00DC0698"/>
    <w:rsid w:val="00DC1AA7"/>
    <w:rsid w:val="00DC209C"/>
    <w:rsid w:val="00DC20AA"/>
    <w:rsid w:val="00DC228D"/>
    <w:rsid w:val="00DC2C79"/>
    <w:rsid w:val="00DC344E"/>
    <w:rsid w:val="00DC3831"/>
    <w:rsid w:val="00DC3918"/>
    <w:rsid w:val="00DC486C"/>
    <w:rsid w:val="00DC536C"/>
    <w:rsid w:val="00DC5562"/>
    <w:rsid w:val="00DC55BD"/>
    <w:rsid w:val="00DC56C0"/>
    <w:rsid w:val="00DC57AD"/>
    <w:rsid w:val="00DC58D2"/>
    <w:rsid w:val="00DC6432"/>
    <w:rsid w:val="00DC64FD"/>
    <w:rsid w:val="00DC6B92"/>
    <w:rsid w:val="00DC6FCD"/>
    <w:rsid w:val="00DC7120"/>
    <w:rsid w:val="00DC7573"/>
    <w:rsid w:val="00DC7C51"/>
    <w:rsid w:val="00DD0485"/>
    <w:rsid w:val="00DD04A6"/>
    <w:rsid w:val="00DD05CF"/>
    <w:rsid w:val="00DD0901"/>
    <w:rsid w:val="00DD0D5D"/>
    <w:rsid w:val="00DD0E35"/>
    <w:rsid w:val="00DD0F5E"/>
    <w:rsid w:val="00DD1150"/>
    <w:rsid w:val="00DD123A"/>
    <w:rsid w:val="00DD177F"/>
    <w:rsid w:val="00DD1D98"/>
    <w:rsid w:val="00DD264C"/>
    <w:rsid w:val="00DD2A30"/>
    <w:rsid w:val="00DD2A34"/>
    <w:rsid w:val="00DD325D"/>
    <w:rsid w:val="00DD3525"/>
    <w:rsid w:val="00DD3D22"/>
    <w:rsid w:val="00DD3D57"/>
    <w:rsid w:val="00DD3E16"/>
    <w:rsid w:val="00DD3F7A"/>
    <w:rsid w:val="00DD3FA3"/>
    <w:rsid w:val="00DD4A45"/>
    <w:rsid w:val="00DD4C5B"/>
    <w:rsid w:val="00DD4F8D"/>
    <w:rsid w:val="00DD5466"/>
    <w:rsid w:val="00DD55D4"/>
    <w:rsid w:val="00DD5DEE"/>
    <w:rsid w:val="00DD5F61"/>
    <w:rsid w:val="00DD614C"/>
    <w:rsid w:val="00DD6237"/>
    <w:rsid w:val="00DD6348"/>
    <w:rsid w:val="00DD6FD4"/>
    <w:rsid w:val="00DE0102"/>
    <w:rsid w:val="00DE028A"/>
    <w:rsid w:val="00DE0348"/>
    <w:rsid w:val="00DE039F"/>
    <w:rsid w:val="00DE073F"/>
    <w:rsid w:val="00DE0EA7"/>
    <w:rsid w:val="00DE10F5"/>
    <w:rsid w:val="00DE11A2"/>
    <w:rsid w:val="00DE185F"/>
    <w:rsid w:val="00DE1BAB"/>
    <w:rsid w:val="00DE1C98"/>
    <w:rsid w:val="00DE2128"/>
    <w:rsid w:val="00DE220E"/>
    <w:rsid w:val="00DE26A5"/>
    <w:rsid w:val="00DE31BF"/>
    <w:rsid w:val="00DE357C"/>
    <w:rsid w:val="00DE3CD5"/>
    <w:rsid w:val="00DE3D22"/>
    <w:rsid w:val="00DE4185"/>
    <w:rsid w:val="00DE4287"/>
    <w:rsid w:val="00DE4AA3"/>
    <w:rsid w:val="00DE4BB1"/>
    <w:rsid w:val="00DE5310"/>
    <w:rsid w:val="00DE5316"/>
    <w:rsid w:val="00DE5599"/>
    <w:rsid w:val="00DE596A"/>
    <w:rsid w:val="00DE5A1C"/>
    <w:rsid w:val="00DE6215"/>
    <w:rsid w:val="00DE6476"/>
    <w:rsid w:val="00DE670C"/>
    <w:rsid w:val="00DE67F1"/>
    <w:rsid w:val="00DE7201"/>
    <w:rsid w:val="00DE7614"/>
    <w:rsid w:val="00DE7851"/>
    <w:rsid w:val="00DE7EAE"/>
    <w:rsid w:val="00DF0095"/>
    <w:rsid w:val="00DF014F"/>
    <w:rsid w:val="00DF0347"/>
    <w:rsid w:val="00DF0A0A"/>
    <w:rsid w:val="00DF0BC2"/>
    <w:rsid w:val="00DF14FC"/>
    <w:rsid w:val="00DF15BD"/>
    <w:rsid w:val="00DF17E1"/>
    <w:rsid w:val="00DF1970"/>
    <w:rsid w:val="00DF20DB"/>
    <w:rsid w:val="00DF2806"/>
    <w:rsid w:val="00DF29D4"/>
    <w:rsid w:val="00DF2D5C"/>
    <w:rsid w:val="00DF2F04"/>
    <w:rsid w:val="00DF33FA"/>
    <w:rsid w:val="00DF39BA"/>
    <w:rsid w:val="00DF3B2B"/>
    <w:rsid w:val="00DF3D1B"/>
    <w:rsid w:val="00DF4125"/>
    <w:rsid w:val="00DF4207"/>
    <w:rsid w:val="00DF42A4"/>
    <w:rsid w:val="00DF461A"/>
    <w:rsid w:val="00DF4F39"/>
    <w:rsid w:val="00DF5522"/>
    <w:rsid w:val="00DF5778"/>
    <w:rsid w:val="00DF5909"/>
    <w:rsid w:val="00DF5AE3"/>
    <w:rsid w:val="00DF5E10"/>
    <w:rsid w:val="00DF6634"/>
    <w:rsid w:val="00DF69B5"/>
    <w:rsid w:val="00DF72AB"/>
    <w:rsid w:val="00DF7722"/>
    <w:rsid w:val="00DF7CF9"/>
    <w:rsid w:val="00DF7FBB"/>
    <w:rsid w:val="00E00BCC"/>
    <w:rsid w:val="00E01082"/>
    <w:rsid w:val="00E0192E"/>
    <w:rsid w:val="00E01AD0"/>
    <w:rsid w:val="00E02659"/>
    <w:rsid w:val="00E029D9"/>
    <w:rsid w:val="00E02F94"/>
    <w:rsid w:val="00E035FA"/>
    <w:rsid w:val="00E03D1C"/>
    <w:rsid w:val="00E04450"/>
    <w:rsid w:val="00E048C9"/>
    <w:rsid w:val="00E04E55"/>
    <w:rsid w:val="00E05224"/>
    <w:rsid w:val="00E05403"/>
    <w:rsid w:val="00E0574A"/>
    <w:rsid w:val="00E05D94"/>
    <w:rsid w:val="00E060A2"/>
    <w:rsid w:val="00E06339"/>
    <w:rsid w:val="00E066C5"/>
    <w:rsid w:val="00E06BAD"/>
    <w:rsid w:val="00E06EEC"/>
    <w:rsid w:val="00E06F38"/>
    <w:rsid w:val="00E06FCA"/>
    <w:rsid w:val="00E07C43"/>
    <w:rsid w:val="00E101DD"/>
    <w:rsid w:val="00E10597"/>
    <w:rsid w:val="00E105CB"/>
    <w:rsid w:val="00E10CB1"/>
    <w:rsid w:val="00E11678"/>
    <w:rsid w:val="00E11B9B"/>
    <w:rsid w:val="00E11D34"/>
    <w:rsid w:val="00E11F78"/>
    <w:rsid w:val="00E11FEB"/>
    <w:rsid w:val="00E1201A"/>
    <w:rsid w:val="00E12431"/>
    <w:rsid w:val="00E12F2A"/>
    <w:rsid w:val="00E13860"/>
    <w:rsid w:val="00E144D6"/>
    <w:rsid w:val="00E149DA"/>
    <w:rsid w:val="00E14B32"/>
    <w:rsid w:val="00E14BEE"/>
    <w:rsid w:val="00E15BA8"/>
    <w:rsid w:val="00E15F50"/>
    <w:rsid w:val="00E16AF4"/>
    <w:rsid w:val="00E170EC"/>
    <w:rsid w:val="00E17570"/>
    <w:rsid w:val="00E17649"/>
    <w:rsid w:val="00E17909"/>
    <w:rsid w:val="00E179D1"/>
    <w:rsid w:val="00E17A87"/>
    <w:rsid w:val="00E202B7"/>
    <w:rsid w:val="00E20478"/>
    <w:rsid w:val="00E205C6"/>
    <w:rsid w:val="00E20AE4"/>
    <w:rsid w:val="00E20D81"/>
    <w:rsid w:val="00E217EB"/>
    <w:rsid w:val="00E21936"/>
    <w:rsid w:val="00E21CAA"/>
    <w:rsid w:val="00E22221"/>
    <w:rsid w:val="00E222CA"/>
    <w:rsid w:val="00E22A3F"/>
    <w:rsid w:val="00E22CB5"/>
    <w:rsid w:val="00E22FF7"/>
    <w:rsid w:val="00E23271"/>
    <w:rsid w:val="00E234ED"/>
    <w:rsid w:val="00E2383F"/>
    <w:rsid w:val="00E23DF8"/>
    <w:rsid w:val="00E23E19"/>
    <w:rsid w:val="00E23F75"/>
    <w:rsid w:val="00E24C08"/>
    <w:rsid w:val="00E24C28"/>
    <w:rsid w:val="00E24C8C"/>
    <w:rsid w:val="00E252BC"/>
    <w:rsid w:val="00E25441"/>
    <w:rsid w:val="00E25757"/>
    <w:rsid w:val="00E257F0"/>
    <w:rsid w:val="00E25935"/>
    <w:rsid w:val="00E25AD3"/>
    <w:rsid w:val="00E25B00"/>
    <w:rsid w:val="00E25C2A"/>
    <w:rsid w:val="00E25D1D"/>
    <w:rsid w:val="00E25D6B"/>
    <w:rsid w:val="00E260F5"/>
    <w:rsid w:val="00E265C8"/>
    <w:rsid w:val="00E26AEC"/>
    <w:rsid w:val="00E26D0A"/>
    <w:rsid w:val="00E27298"/>
    <w:rsid w:val="00E2790C"/>
    <w:rsid w:val="00E27BBA"/>
    <w:rsid w:val="00E27CC1"/>
    <w:rsid w:val="00E27EE7"/>
    <w:rsid w:val="00E305EF"/>
    <w:rsid w:val="00E31379"/>
    <w:rsid w:val="00E313A9"/>
    <w:rsid w:val="00E31589"/>
    <w:rsid w:val="00E3190A"/>
    <w:rsid w:val="00E322AF"/>
    <w:rsid w:val="00E322F8"/>
    <w:rsid w:val="00E32382"/>
    <w:rsid w:val="00E32B2C"/>
    <w:rsid w:val="00E32CDE"/>
    <w:rsid w:val="00E32F66"/>
    <w:rsid w:val="00E3348C"/>
    <w:rsid w:val="00E33B15"/>
    <w:rsid w:val="00E33C1C"/>
    <w:rsid w:val="00E33CEC"/>
    <w:rsid w:val="00E34CBC"/>
    <w:rsid w:val="00E35525"/>
    <w:rsid w:val="00E357F8"/>
    <w:rsid w:val="00E35BBA"/>
    <w:rsid w:val="00E362D8"/>
    <w:rsid w:val="00E366E5"/>
    <w:rsid w:val="00E36A91"/>
    <w:rsid w:val="00E36E09"/>
    <w:rsid w:val="00E375E5"/>
    <w:rsid w:val="00E37C6A"/>
    <w:rsid w:val="00E37C91"/>
    <w:rsid w:val="00E37FB6"/>
    <w:rsid w:val="00E403C8"/>
    <w:rsid w:val="00E41269"/>
    <w:rsid w:val="00E4187C"/>
    <w:rsid w:val="00E41E05"/>
    <w:rsid w:val="00E42441"/>
    <w:rsid w:val="00E424D0"/>
    <w:rsid w:val="00E4269B"/>
    <w:rsid w:val="00E428B3"/>
    <w:rsid w:val="00E42B5C"/>
    <w:rsid w:val="00E42EFE"/>
    <w:rsid w:val="00E4318C"/>
    <w:rsid w:val="00E43418"/>
    <w:rsid w:val="00E438EC"/>
    <w:rsid w:val="00E43CDE"/>
    <w:rsid w:val="00E44130"/>
    <w:rsid w:val="00E4431E"/>
    <w:rsid w:val="00E44C75"/>
    <w:rsid w:val="00E44D34"/>
    <w:rsid w:val="00E4510E"/>
    <w:rsid w:val="00E4518F"/>
    <w:rsid w:val="00E45D2D"/>
    <w:rsid w:val="00E4664C"/>
    <w:rsid w:val="00E46858"/>
    <w:rsid w:val="00E47392"/>
    <w:rsid w:val="00E502E1"/>
    <w:rsid w:val="00E50307"/>
    <w:rsid w:val="00E503D5"/>
    <w:rsid w:val="00E50CFC"/>
    <w:rsid w:val="00E50F0A"/>
    <w:rsid w:val="00E518DB"/>
    <w:rsid w:val="00E51CF4"/>
    <w:rsid w:val="00E52298"/>
    <w:rsid w:val="00E5244D"/>
    <w:rsid w:val="00E52B45"/>
    <w:rsid w:val="00E52B6C"/>
    <w:rsid w:val="00E531C3"/>
    <w:rsid w:val="00E536CD"/>
    <w:rsid w:val="00E537FF"/>
    <w:rsid w:val="00E539F5"/>
    <w:rsid w:val="00E53C82"/>
    <w:rsid w:val="00E5414A"/>
    <w:rsid w:val="00E545F7"/>
    <w:rsid w:val="00E54BC0"/>
    <w:rsid w:val="00E55022"/>
    <w:rsid w:val="00E5522C"/>
    <w:rsid w:val="00E56B16"/>
    <w:rsid w:val="00E56E1C"/>
    <w:rsid w:val="00E56E22"/>
    <w:rsid w:val="00E576B1"/>
    <w:rsid w:val="00E5774B"/>
    <w:rsid w:val="00E5779D"/>
    <w:rsid w:val="00E57CF4"/>
    <w:rsid w:val="00E600E3"/>
    <w:rsid w:val="00E60123"/>
    <w:rsid w:val="00E603C3"/>
    <w:rsid w:val="00E61494"/>
    <w:rsid w:val="00E615DC"/>
    <w:rsid w:val="00E61834"/>
    <w:rsid w:val="00E61CBB"/>
    <w:rsid w:val="00E628F8"/>
    <w:rsid w:val="00E62ED8"/>
    <w:rsid w:val="00E630FD"/>
    <w:rsid w:val="00E632A7"/>
    <w:rsid w:val="00E638DA"/>
    <w:rsid w:val="00E64028"/>
    <w:rsid w:val="00E64154"/>
    <w:rsid w:val="00E64548"/>
    <w:rsid w:val="00E646E9"/>
    <w:rsid w:val="00E650F4"/>
    <w:rsid w:val="00E653B0"/>
    <w:rsid w:val="00E65538"/>
    <w:rsid w:val="00E65BA2"/>
    <w:rsid w:val="00E65EB9"/>
    <w:rsid w:val="00E66B26"/>
    <w:rsid w:val="00E67547"/>
    <w:rsid w:val="00E67745"/>
    <w:rsid w:val="00E6792E"/>
    <w:rsid w:val="00E67934"/>
    <w:rsid w:val="00E679E0"/>
    <w:rsid w:val="00E67C14"/>
    <w:rsid w:val="00E67EA0"/>
    <w:rsid w:val="00E70040"/>
    <w:rsid w:val="00E709CF"/>
    <w:rsid w:val="00E70D53"/>
    <w:rsid w:val="00E71971"/>
    <w:rsid w:val="00E71E18"/>
    <w:rsid w:val="00E71EFE"/>
    <w:rsid w:val="00E71F40"/>
    <w:rsid w:val="00E7279C"/>
    <w:rsid w:val="00E72996"/>
    <w:rsid w:val="00E72A37"/>
    <w:rsid w:val="00E73142"/>
    <w:rsid w:val="00E732C9"/>
    <w:rsid w:val="00E73400"/>
    <w:rsid w:val="00E7353D"/>
    <w:rsid w:val="00E73688"/>
    <w:rsid w:val="00E73AD0"/>
    <w:rsid w:val="00E744E3"/>
    <w:rsid w:val="00E74A08"/>
    <w:rsid w:val="00E75097"/>
    <w:rsid w:val="00E753BE"/>
    <w:rsid w:val="00E75739"/>
    <w:rsid w:val="00E75AAD"/>
    <w:rsid w:val="00E75CB3"/>
    <w:rsid w:val="00E76591"/>
    <w:rsid w:val="00E766A8"/>
    <w:rsid w:val="00E76B72"/>
    <w:rsid w:val="00E8009F"/>
    <w:rsid w:val="00E8064E"/>
    <w:rsid w:val="00E80757"/>
    <w:rsid w:val="00E81097"/>
    <w:rsid w:val="00E8128A"/>
    <w:rsid w:val="00E82A5C"/>
    <w:rsid w:val="00E82BC2"/>
    <w:rsid w:val="00E83594"/>
    <w:rsid w:val="00E83E8B"/>
    <w:rsid w:val="00E8428A"/>
    <w:rsid w:val="00E8429B"/>
    <w:rsid w:val="00E8437D"/>
    <w:rsid w:val="00E856E3"/>
    <w:rsid w:val="00E86A05"/>
    <w:rsid w:val="00E86E44"/>
    <w:rsid w:val="00E8705A"/>
    <w:rsid w:val="00E87C82"/>
    <w:rsid w:val="00E87D7D"/>
    <w:rsid w:val="00E90049"/>
    <w:rsid w:val="00E900E4"/>
    <w:rsid w:val="00E90308"/>
    <w:rsid w:val="00E90636"/>
    <w:rsid w:val="00E90B98"/>
    <w:rsid w:val="00E91148"/>
    <w:rsid w:val="00E9144F"/>
    <w:rsid w:val="00E917E0"/>
    <w:rsid w:val="00E91D1D"/>
    <w:rsid w:val="00E91E13"/>
    <w:rsid w:val="00E924B0"/>
    <w:rsid w:val="00E930F1"/>
    <w:rsid w:val="00E937E1"/>
    <w:rsid w:val="00E95746"/>
    <w:rsid w:val="00E957B6"/>
    <w:rsid w:val="00E96072"/>
    <w:rsid w:val="00E967D7"/>
    <w:rsid w:val="00E96A41"/>
    <w:rsid w:val="00E97185"/>
    <w:rsid w:val="00E979A0"/>
    <w:rsid w:val="00E97ABE"/>
    <w:rsid w:val="00E97D87"/>
    <w:rsid w:val="00EA0384"/>
    <w:rsid w:val="00EA09E4"/>
    <w:rsid w:val="00EA0CE5"/>
    <w:rsid w:val="00EA1FED"/>
    <w:rsid w:val="00EA2099"/>
    <w:rsid w:val="00EA2B6A"/>
    <w:rsid w:val="00EA324D"/>
    <w:rsid w:val="00EA3351"/>
    <w:rsid w:val="00EA34EA"/>
    <w:rsid w:val="00EA371E"/>
    <w:rsid w:val="00EA3A3F"/>
    <w:rsid w:val="00EA3C22"/>
    <w:rsid w:val="00EA3FD4"/>
    <w:rsid w:val="00EA4290"/>
    <w:rsid w:val="00EA461C"/>
    <w:rsid w:val="00EA4AC4"/>
    <w:rsid w:val="00EA5647"/>
    <w:rsid w:val="00EA56E3"/>
    <w:rsid w:val="00EA5E63"/>
    <w:rsid w:val="00EA6139"/>
    <w:rsid w:val="00EA657A"/>
    <w:rsid w:val="00EA6734"/>
    <w:rsid w:val="00EA677A"/>
    <w:rsid w:val="00EA6BEA"/>
    <w:rsid w:val="00EA7199"/>
    <w:rsid w:val="00EA7525"/>
    <w:rsid w:val="00EA7A4A"/>
    <w:rsid w:val="00EA7B82"/>
    <w:rsid w:val="00EA7F21"/>
    <w:rsid w:val="00EB0043"/>
    <w:rsid w:val="00EB0805"/>
    <w:rsid w:val="00EB0896"/>
    <w:rsid w:val="00EB09CA"/>
    <w:rsid w:val="00EB0B4A"/>
    <w:rsid w:val="00EB0BE4"/>
    <w:rsid w:val="00EB0D42"/>
    <w:rsid w:val="00EB1929"/>
    <w:rsid w:val="00EB1E05"/>
    <w:rsid w:val="00EB2023"/>
    <w:rsid w:val="00EB20B2"/>
    <w:rsid w:val="00EB2158"/>
    <w:rsid w:val="00EB222C"/>
    <w:rsid w:val="00EB2CB2"/>
    <w:rsid w:val="00EB2D62"/>
    <w:rsid w:val="00EB30EA"/>
    <w:rsid w:val="00EB34D3"/>
    <w:rsid w:val="00EB3C8F"/>
    <w:rsid w:val="00EB3E02"/>
    <w:rsid w:val="00EB3F45"/>
    <w:rsid w:val="00EB4B4F"/>
    <w:rsid w:val="00EB4EB7"/>
    <w:rsid w:val="00EB51E9"/>
    <w:rsid w:val="00EB5262"/>
    <w:rsid w:val="00EB565B"/>
    <w:rsid w:val="00EB5B80"/>
    <w:rsid w:val="00EB6068"/>
    <w:rsid w:val="00EB606D"/>
    <w:rsid w:val="00EB629C"/>
    <w:rsid w:val="00EB6337"/>
    <w:rsid w:val="00EB634A"/>
    <w:rsid w:val="00EB63D1"/>
    <w:rsid w:val="00EB672C"/>
    <w:rsid w:val="00EB6C0E"/>
    <w:rsid w:val="00EB6D8E"/>
    <w:rsid w:val="00EB6F4B"/>
    <w:rsid w:val="00EB6FBE"/>
    <w:rsid w:val="00EB7105"/>
    <w:rsid w:val="00EB734B"/>
    <w:rsid w:val="00EB7A58"/>
    <w:rsid w:val="00EC055A"/>
    <w:rsid w:val="00EC0598"/>
    <w:rsid w:val="00EC07CA"/>
    <w:rsid w:val="00EC0B0F"/>
    <w:rsid w:val="00EC1C75"/>
    <w:rsid w:val="00EC1DA8"/>
    <w:rsid w:val="00EC1DEF"/>
    <w:rsid w:val="00EC1EA5"/>
    <w:rsid w:val="00EC26B9"/>
    <w:rsid w:val="00EC301B"/>
    <w:rsid w:val="00EC3746"/>
    <w:rsid w:val="00EC3A09"/>
    <w:rsid w:val="00EC3A9F"/>
    <w:rsid w:val="00EC3D58"/>
    <w:rsid w:val="00EC4337"/>
    <w:rsid w:val="00EC4EFD"/>
    <w:rsid w:val="00EC5520"/>
    <w:rsid w:val="00EC59D9"/>
    <w:rsid w:val="00EC681F"/>
    <w:rsid w:val="00EC6AD3"/>
    <w:rsid w:val="00EC761D"/>
    <w:rsid w:val="00EC77C6"/>
    <w:rsid w:val="00ED09CA"/>
    <w:rsid w:val="00ED0E64"/>
    <w:rsid w:val="00ED1794"/>
    <w:rsid w:val="00ED1E2D"/>
    <w:rsid w:val="00ED1EE3"/>
    <w:rsid w:val="00ED2163"/>
    <w:rsid w:val="00ED21A5"/>
    <w:rsid w:val="00ED2374"/>
    <w:rsid w:val="00ED252D"/>
    <w:rsid w:val="00ED2BBF"/>
    <w:rsid w:val="00ED3144"/>
    <w:rsid w:val="00ED3AE7"/>
    <w:rsid w:val="00ED3EC0"/>
    <w:rsid w:val="00ED4298"/>
    <w:rsid w:val="00ED5241"/>
    <w:rsid w:val="00ED533F"/>
    <w:rsid w:val="00ED537E"/>
    <w:rsid w:val="00ED5549"/>
    <w:rsid w:val="00ED5F38"/>
    <w:rsid w:val="00ED5F46"/>
    <w:rsid w:val="00ED6725"/>
    <w:rsid w:val="00ED68A6"/>
    <w:rsid w:val="00ED6921"/>
    <w:rsid w:val="00ED6DAF"/>
    <w:rsid w:val="00ED6F09"/>
    <w:rsid w:val="00ED73B6"/>
    <w:rsid w:val="00ED7821"/>
    <w:rsid w:val="00ED7836"/>
    <w:rsid w:val="00EE0008"/>
    <w:rsid w:val="00EE0609"/>
    <w:rsid w:val="00EE0832"/>
    <w:rsid w:val="00EE0A25"/>
    <w:rsid w:val="00EE10DD"/>
    <w:rsid w:val="00EE1605"/>
    <w:rsid w:val="00EE1760"/>
    <w:rsid w:val="00EE188A"/>
    <w:rsid w:val="00EE1B9C"/>
    <w:rsid w:val="00EE226C"/>
    <w:rsid w:val="00EE2301"/>
    <w:rsid w:val="00EE2376"/>
    <w:rsid w:val="00EE2993"/>
    <w:rsid w:val="00EE2BB4"/>
    <w:rsid w:val="00EE2E67"/>
    <w:rsid w:val="00EE3318"/>
    <w:rsid w:val="00EE33C3"/>
    <w:rsid w:val="00EE446E"/>
    <w:rsid w:val="00EE48BE"/>
    <w:rsid w:val="00EE50B9"/>
    <w:rsid w:val="00EE598C"/>
    <w:rsid w:val="00EE5A23"/>
    <w:rsid w:val="00EE6F31"/>
    <w:rsid w:val="00EE7B15"/>
    <w:rsid w:val="00EE7E70"/>
    <w:rsid w:val="00EF015E"/>
    <w:rsid w:val="00EF05A4"/>
    <w:rsid w:val="00EF0E87"/>
    <w:rsid w:val="00EF1853"/>
    <w:rsid w:val="00EF2594"/>
    <w:rsid w:val="00EF2B14"/>
    <w:rsid w:val="00EF2E0A"/>
    <w:rsid w:val="00EF32FE"/>
    <w:rsid w:val="00EF3563"/>
    <w:rsid w:val="00EF381C"/>
    <w:rsid w:val="00EF3A1F"/>
    <w:rsid w:val="00EF3A69"/>
    <w:rsid w:val="00EF5055"/>
    <w:rsid w:val="00EF5779"/>
    <w:rsid w:val="00EF5C6F"/>
    <w:rsid w:val="00EF5CDF"/>
    <w:rsid w:val="00EF5EBB"/>
    <w:rsid w:val="00EF600C"/>
    <w:rsid w:val="00EF60B0"/>
    <w:rsid w:val="00EF60F2"/>
    <w:rsid w:val="00EF72A0"/>
    <w:rsid w:val="00F00539"/>
    <w:rsid w:val="00F00A3F"/>
    <w:rsid w:val="00F00A9B"/>
    <w:rsid w:val="00F00CF3"/>
    <w:rsid w:val="00F00D28"/>
    <w:rsid w:val="00F01413"/>
    <w:rsid w:val="00F01BC6"/>
    <w:rsid w:val="00F01ECC"/>
    <w:rsid w:val="00F02C8F"/>
    <w:rsid w:val="00F0319C"/>
    <w:rsid w:val="00F03860"/>
    <w:rsid w:val="00F0466A"/>
    <w:rsid w:val="00F04995"/>
    <w:rsid w:val="00F04A42"/>
    <w:rsid w:val="00F04ABC"/>
    <w:rsid w:val="00F04D4F"/>
    <w:rsid w:val="00F04FA5"/>
    <w:rsid w:val="00F051DC"/>
    <w:rsid w:val="00F05BA4"/>
    <w:rsid w:val="00F06635"/>
    <w:rsid w:val="00F06868"/>
    <w:rsid w:val="00F07180"/>
    <w:rsid w:val="00F0748E"/>
    <w:rsid w:val="00F10211"/>
    <w:rsid w:val="00F10918"/>
    <w:rsid w:val="00F112B8"/>
    <w:rsid w:val="00F11906"/>
    <w:rsid w:val="00F11F58"/>
    <w:rsid w:val="00F122F7"/>
    <w:rsid w:val="00F12482"/>
    <w:rsid w:val="00F12644"/>
    <w:rsid w:val="00F12A3D"/>
    <w:rsid w:val="00F13187"/>
    <w:rsid w:val="00F134EC"/>
    <w:rsid w:val="00F1359A"/>
    <w:rsid w:val="00F13893"/>
    <w:rsid w:val="00F14355"/>
    <w:rsid w:val="00F14735"/>
    <w:rsid w:val="00F1500A"/>
    <w:rsid w:val="00F1503A"/>
    <w:rsid w:val="00F15ED1"/>
    <w:rsid w:val="00F16010"/>
    <w:rsid w:val="00F17018"/>
    <w:rsid w:val="00F17056"/>
    <w:rsid w:val="00F1714B"/>
    <w:rsid w:val="00F1769F"/>
    <w:rsid w:val="00F17CA5"/>
    <w:rsid w:val="00F17E01"/>
    <w:rsid w:val="00F201F8"/>
    <w:rsid w:val="00F206BF"/>
    <w:rsid w:val="00F2080F"/>
    <w:rsid w:val="00F20815"/>
    <w:rsid w:val="00F20B91"/>
    <w:rsid w:val="00F20F7A"/>
    <w:rsid w:val="00F21018"/>
    <w:rsid w:val="00F213A4"/>
    <w:rsid w:val="00F217A8"/>
    <w:rsid w:val="00F222E7"/>
    <w:rsid w:val="00F223AB"/>
    <w:rsid w:val="00F2264C"/>
    <w:rsid w:val="00F230FD"/>
    <w:rsid w:val="00F23495"/>
    <w:rsid w:val="00F239E3"/>
    <w:rsid w:val="00F23D41"/>
    <w:rsid w:val="00F24772"/>
    <w:rsid w:val="00F24D1B"/>
    <w:rsid w:val="00F25154"/>
    <w:rsid w:val="00F25480"/>
    <w:rsid w:val="00F2606C"/>
    <w:rsid w:val="00F2621A"/>
    <w:rsid w:val="00F2627C"/>
    <w:rsid w:val="00F26458"/>
    <w:rsid w:val="00F27540"/>
    <w:rsid w:val="00F27560"/>
    <w:rsid w:val="00F277BA"/>
    <w:rsid w:val="00F2780B"/>
    <w:rsid w:val="00F2791A"/>
    <w:rsid w:val="00F279D7"/>
    <w:rsid w:val="00F301B3"/>
    <w:rsid w:val="00F3025F"/>
    <w:rsid w:val="00F30330"/>
    <w:rsid w:val="00F30A99"/>
    <w:rsid w:val="00F3144F"/>
    <w:rsid w:val="00F3164D"/>
    <w:rsid w:val="00F333D6"/>
    <w:rsid w:val="00F341DB"/>
    <w:rsid w:val="00F343A6"/>
    <w:rsid w:val="00F344C6"/>
    <w:rsid w:val="00F34541"/>
    <w:rsid w:val="00F346C4"/>
    <w:rsid w:val="00F34741"/>
    <w:rsid w:val="00F34D12"/>
    <w:rsid w:val="00F34D94"/>
    <w:rsid w:val="00F34E45"/>
    <w:rsid w:val="00F354C5"/>
    <w:rsid w:val="00F3550D"/>
    <w:rsid w:val="00F357FB"/>
    <w:rsid w:val="00F3641E"/>
    <w:rsid w:val="00F3685C"/>
    <w:rsid w:val="00F36AA6"/>
    <w:rsid w:val="00F36B0D"/>
    <w:rsid w:val="00F36B29"/>
    <w:rsid w:val="00F36D68"/>
    <w:rsid w:val="00F37275"/>
    <w:rsid w:val="00F3728A"/>
    <w:rsid w:val="00F374F8"/>
    <w:rsid w:val="00F3770A"/>
    <w:rsid w:val="00F37739"/>
    <w:rsid w:val="00F37A78"/>
    <w:rsid w:val="00F37B3D"/>
    <w:rsid w:val="00F40DD3"/>
    <w:rsid w:val="00F410B0"/>
    <w:rsid w:val="00F413DE"/>
    <w:rsid w:val="00F41D41"/>
    <w:rsid w:val="00F4205D"/>
    <w:rsid w:val="00F424C0"/>
    <w:rsid w:val="00F426DE"/>
    <w:rsid w:val="00F428AE"/>
    <w:rsid w:val="00F42EF3"/>
    <w:rsid w:val="00F43673"/>
    <w:rsid w:val="00F43A17"/>
    <w:rsid w:val="00F43A75"/>
    <w:rsid w:val="00F43A9E"/>
    <w:rsid w:val="00F4404C"/>
    <w:rsid w:val="00F446DC"/>
    <w:rsid w:val="00F44EB0"/>
    <w:rsid w:val="00F4596B"/>
    <w:rsid w:val="00F459D0"/>
    <w:rsid w:val="00F45EFF"/>
    <w:rsid w:val="00F46209"/>
    <w:rsid w:val="00F465D8"/>
    <w:rsid w:val="00F46A14"/>
    <w:rsid w:val="00F46EDF"/>
    <w:rsid w:val="00F47505"/>
    <w:rsid w:val="00F47683"/>
    <w:rsid w:val="00F47CB2"/>
    <w:rsid w:val="00F5007F"/>
    <w:rsid w:val="00F50473"/>
    <w:rsid w:val="00F5068F"/>
    <w:rsid w:val="00F51441"/>
    <w:rsid w:val="00F51A9F"/>
    <w:rsid w:val="00F52507"/>
    <w:rsid w:val="00F52D62"/>
    <w:rsid w:val="00F534F6"/>
    <w:rsid w:val="00F53B2C"/>
    <w:rsid w:val="00F540D1"/>
    <w:rsid w:val="00F54398"/>
    <w:rsid w:val="00F546A1"/>
    <w:rsid w:val="00F547F4"/>
    <w:rsid w:val="00F54CC9"/>
    <w:rsid w:val="00F54DB9"/>
    <w:rsid w:val="00F54F1B"/>
    <w:rsid w:val="00F55346"/>
    <w:rsid w:val="00F559EF"/>
    <w:rsid w:val="00F560AF"/>
    <w:rsid w:val="00F56251"/>
    <w:rsid w:val="00F57376"/>
    <w:rsid w:val="00F574C7"/>
    <w:rsid w:val="00F57718"/>
    <w:rsid w:val="00F57A3B"/>
    <w:rsid w:val="00F57F7F"/>
    <w:rsid w:val="00F60890"/>
    <w:rsid w:val="00F60C12"/>
    <w:rsid w:val="00F60D38"/>
    <w:rsid w:val="00F60F7D"/>
    <w:rsid w:val="00F61298"/>
    <w:rsid w:val="00F620F3"/>
    <w:rsid w:val="00F62262"/>
    <w:rsid w:val="00F623AB"/>
    <w:rsid w:val="00F6246E"/>
    <w:rsid w:val="00F6383D"/>
    <w:rsid w:val="00F63B27"/>
    <w:rsid w:val="00F63C2E"/>
    <w:rsid w:val="00F63DD5"/>
    <w:rsid w:val="00F64BA4"/>
    <w:rsid w:val="00F65335"/>
    <w:rsid w:val="00F653CC"/>
    <w:rsid w:val="00F6544A"/>
    <w:rsid w:val="00F65892"/>
    <w:rsid w:val="00F659FE"/>
    <w:rsid w:val="00F661B4"/>
    <w:rsid w:val="00F66ADA"/>
    <w:rsid w:val="00F66E30"/>
    <w:rsid w:val="00F673DE"/>
    <w:rsid w:val="00F6757D"/>
    <w:rsid w:val="00F67909"/>
    <w:rsid w:val="00F67C1F"/>
    <w:rsid w:val="00F70E49"/>
    <w:rsid w:val="00F71258"/>
    <w:rsid w:val="00F712AD"/>
    <w:rsid w:val="00F71381"/>
    <w:rsid w:val="00F71DE3"/>
    <w:rsid w:val="00F71EEE"/>
    <w:rsid w:val="00F71F55"/>
    <w:rsid w:val="00F72C3C"/>
    <w:rsid w:val="00F72CAE"/>
    <w:rsid w:val="00F72D04"/>
    <w:rsid w:val="00F73020"/>
    <w:rsid w:val="00F73256"/>
    <w:rsid w:val="00F73376"/>
    <w:rsid w:val="00F73B7E"/>
    <w:rsid w:val="00F746C3"/>
    <w:rsid w:val="00F74A5C"/>
    <w:rsid w:val="00F74D20"/>
    <w:rsid w:val="00F74DED"/>
    <w:rsid w:val="00F7548F"/>
    <w:rsid w:val="00F75663"/>
    <w:rsid w:val="00F76563"/>
    <w:rsid w:val="00F76F90"/>
    <w:rsid w:val="00F7744C"/>
    <w:rsid w:val="00F777C0"/>
    <w:rsid w:val="00F8015D"/>
    <w:rsid w:val="00F80565"/>
    <w:rsid w:val="00F80B7B"/>
    <w:rsid w:val="00F80BB8"/>
    <w:rsid w:val="00F81606"/>
    <w:rsid w:val="00F81974"/>
    <w:rsid w:val="00F81D5C"/>
    <w:rsid w:val="00F82484"/>
    <w:rsid w:val="00F826EA"/>
    <w:rsid w:val="00F82E6E"/>
    <w:rsid w:val="00F82E94"/>
    <w:rsid w:val="00F83457"/>
    <w:rsid w:val="00F835A4"/>
    <w:rsid w:val="00F83762"/>
    <w:rsid w:val="00F83A3F"/>
    <w:rsid w:val="00F842B4"/>
    <w:rsid w:val="00F84310"/>
    <w:rsid w:val="00F8501F"/>
    <w:rsid w:val="00F853C9"/>
    <w:rsid w:val="00F85A15"/>
    <w:rsid w:val="00F85A52"/>
    <w:rsid w:val="00F85A8C"/>
    <w:rsid w:val="00F8715C"/>
    <w:rsid w:val="00F87676"/>
    <w:rsid w:val="00F87CE2"/>
    <w:rsid w:val="00F87EDD"/>
    <w:rsid w:val="00F9003B"/>
    <w:rsid w:val="00F9045C"/>
    <w:rsid w:val="00F90927"/>
    <w:rsid w:val="00F90929"/>
    <w:rsid w:val="00F90997"/>
    <w:rsid w:val="00F90DA6"/>
    <w:rsid w:val="00F90E35"/>
    <w:rsid w:val="00F911F4"/>
    <w:rsid w:val="00F91288"/>
    <w:rsid w:val="00F9142A"/>
    <w:rsid w:val="00F92786"/>
    <w:rsid w:val="00F92787"/>
    <w:rsid w:val="00F9368A"/>
    <w:rsid w:val="00F93978"/>
    <w:rsid w:val="00F93AF8"/>
    <w:rsid w:val="00F93CBD"/>
    <w:rsid w:val="00F93E15"/>
    <w:rsid w:val="00F940AD"/>
    <w:rsid w:val="00F94681"/>
    <w:rsid w:val="00F9471D"/>
    <w:rsid w:val="00F95341"/>
    <w:rsid w:val="00F95516"/>
    <w:rsid w:val="00F95A0E"/>
    <w:rsid w:val="00F9622D"/>
    <w:rsid w:val="00F965F0"/>
    <w:rsid w:val="00F96AE6"/>
    <w:rsid w:val="00F97D02"/>
    <w:rsid w:val="00F97D40"/>
    <w:rsid w:val="00FA088C"/>
    <w:rsid w:val="00FA1016"/>
    <w:rsid w:val="00FA1063"/>
    <w:rsid w:val="00FA1307"/>
    <w:rsid w:val="00FA16B6"/>
    <w:rsid w:val="00FA22FC"/>
    <w:rsid w:val="00FA23D8"/>
    <w:rsid w:val="00FA2663"/>
    <w:rsid w:val="00FA26BD"/>
    <w:rsid w:val="00FA32C8"/>
    <w:rsid w:val="00FA341F"/>
    <w:rsid w:val="00FA36C1"/>
    <w:rsid w:val="00FA36DF"/>
    <w:rsid w:val="00FA3AE3"/>
    <w:rsid w:val="00FA3B8B"/>
    <w:rsid w:val="00FA3C5B"/>
    <w:rsid w:val="00FA403D"/>
    <w:rsid w:val="00FA4117"/>
    <w:rsid w:val="00FA4219"/>
    <w:rsid w:val="00FA4999"/>
    <w:rsid w:val="00FA4B0D"/>
    <w:rsid w:val="00FA4F07"/>
    <w:rsid w:val="00FA56E1"/>
    <w:rsid w:val="00FA591A"/>
    <w:rsid w:val="00FA61D2"/>
    <w:rsid w:val="00FA6AE5"/>
    <w:rsid w:val="00FA6B08"/>
    <w:rsid w:val="00FA7343"/>
    <w:rsid w:val="00FA74C9"/>
    <w:rsid w:val="00FA74F1"/>
    <w:rsid w:val="00FB0310"/>
    <w:rsid w:val="00FB0636"/>
    <w:rsid w:val="00FB07F9"/>
    <w:rsid w:val="00FB0BD0"/>
    <w:rsid w:val="00FB0CAC"/>
    <w:rsid w:val="00FB188F"/>
    <w:rsid w:val="00FB1C76"/>
    <w:rsid w:val="00FB25F2"/>
    <w:rsid w:val="00FB267D"/>
    <w:rsid w:val="00FB27EE"/>
    <w:rsid w:val="00FB34D3"/>
    <w:rsid w:val="00FB3AE6"/>
    <w:rsid w:val="00FB42AD"/>
    <w:rsid w:val="00FB4311"/>
    <w:rsid w:val="00FB455E"/>
    <w:rsid w:val="00FB4646"/>
    <w:rsid w:val="00FB4E6E"/>
    <w:rsid w:val="00FB52D1"/>
    <w:rsid w:val="00FB5430"/>
    <w:rsid w:val="00FB5D98"/>
    <w:rsid w:val="00FB5DC3"/>
    <w:rsid w:val="00FB5FC8"/>
    <w:rsid w:val="00FB60F2"/>
    <w:rsid w:val="00FB6C88"/>
    <w:rsid w:val="00FB6E13"/>
    <w:rsid w:val="00FB7487"/>
    <w:rsid w:val="00FB7DDC"/>
    <w:rsid w:val="00FB7DE5"/>
    <w:rsid w:val="00FB7E8C"/>
    <w:rsid w:val="00FC07DA"/>
    <w:rsid w:val="00FC2086"/>
    <w:rsid w:val="00FC240D"/>
    <w:rsid w:val="00FC2693"/>
    <w:rsid w:val="00FC2BDE"/>
    <w:rsid w:val="00FC32E0"/>
    <w:rsid w:val="00FC3625"/>
    <w:rsid w:val="00FC3E05"/>
    <w:rsid w:val="00FC3E1C"/>
    <w:rsid w:val="00FC443A"/>
    <w:rsid w:val="00FC480F"/>
    <w:rsid w:val="00FC4878"/>
    <w:rsid w:val="00FC4BDE"/>
    <w:rsid w:val="00FC5C08"/>
    <w:rsid w:val="00FC6397"/>
    <w:rsid w:val="00FC665C"/>
    <w:rsid w:val="00FC6CBF"/>
    <w:rsid w:val="00FC6D0A"/>
    <w:rsid w:val="00FC6EB8"/>
    <w:rsid w:val="00FC76E7"/>
    <w:rsid w:val="00FC79AF"/>
    <w:rsid w:val="00FC7A6F"/>
    <w:rsid w:val="00FC7C73"/>
    <w:rsid w:val="00FD0045"/>
    <w:rsid w:val="00FD0D1D"/>
    <w:rsid w:val="00FD1396"/>
    <w:rsid w:val="00FD2036"/>
    <w:rsid w:val="00FD20BB"/>
    <w:rsid w:val="00FD2300"/>
    <w:rsid w:val="00FD2F47"/>
    <w:rsid w:val="00FD2F84"/>
    <w:rsid w:val="00FD381F"/>
    <w:rsid w:val="00FD38F0"/>
    <w:rsid w:val="00FD3ECD"/>
    <w:rsid w:val="00FD43E7"/>
    <w:rsid w:val="00FD492F"/>
    <w:rsid w:val="00FD499C"/>
    <w:rsid w:val="00FD4B17"/>
    <w:rsid w:val="00FD5522"/>
    <w:rsid w:val="00FD59AC"/>
    <w:rsid w:val="00FD5CDA"/>
    <w:rsid w:val="00FD5EB6"/>
    <w:rsid w:val="00FD6234"/>
    <w:rsid w:val="00FD632C"/>
    <w:rsid w:val="00FD654B"/>
    <w:rsid w:val="00FD67BA"/>
    <w:rsid w:val="00FD67BD"/>
    <w:rsid w:val="00FD701D"/>
    <w:rsid w:val="00FD7114"/>
    <w:rsid w:val="00FD7700"/>
    <w:rsid w:val="00FD7BC9"/>
    <w:rsid w:val="00FD7D28"/>
    <w:rsid w:val="00FE0136"/>
    <w:rsid w:val="00FE0261"/>
    <w:rsid w:val="00FE08AA"/>
    <w:rsid w:val="00FE09B3"/>
    <w:rsid w:val="00FE0C21"/>
    <w:rsid w:val="00FE1430"/>
    <w:rsid w:val="00FE1599"/>
    <w:rsid w:val="00FE16CB"/>
    <w:rsid w:val="00FE1780"/>
    <w:rsid w:val="00FE194E"/>
    <w:rsid w:val="00FE233F"/>
    <w:rsid w:val="00FE2A6A"/>
    <w:rsid w:val="00FE2B1E"/>
    <w:rsid w:val="00FE2FEA"/>
    <w:rsid w:val="00FE3279"/>
    <w:rsid w:val="00FE397A"/>
    <w:rsid w:val="00FE4337"/>
    <w:rsid w:val="00FE4431"/>
    <w:rsid w:val="00FE498B"/>
    <w:rsid w:val="00FE4A77"/>
    <w:rsid w:val="00FE4CD7"/>
    <w:rsid w:val="00FE4F55"/>
    <w:rsid w:val="00FE543E"/>
    <w:rsid w:val="00FE54C3"/>
    <w:rsid w:val="00FE565C"/>
    <w:rsid w:val="00FE68C4"/>
    <w:rsid w:val="00FE6FFB"/>
    <w:rsid w:val="00FE70CB"/>
    <w:rsid w:val="00FE7382"/>
    <w:rsid w:val="00FE7B41"/>
    <w:rsid w:val="00FF0184"/>
    <w:rsid w:val="00FF0E93"/>
    <w:rsid w:val="00FF1113"/>
    <w:rsid w:val="00FF15EA"/>
    <w:rsid w:val="00FF1BD2"/>
    <w:rsid w:val="00FF21FA"/>
    <w:rsid w:val="00FF241D"/>
    <w:rsid w:val="00FF28C5"/>
    <w:rsid w:val="00FF29EC"/>
    <w:rsid w:val="00FF2D91"/>
    <w:rsid w:val="00FF3209"/>
    <w:rsid w:val="00FF3C25"/>
    <w:rsid w:val="00FF447D"/>
    <w:rsid w:val="00FF4675"/>
    <w:rsid w:val="00FF4DBC"/>
    <w:rsid w:val="00FF4DF6"/>
    <w:rsid w:val="00FF54B8"/>
    <w:rsid w:val="00FF5639"/>
    <w:rsid w:val="00FF56AC"/>
    <w:rsid w:val="00FF56B3"/>
    <w:rsid w:val="00FF58D3"/>
    <w:rsid w:val="00FF5E5B"/>
    <w:rsid w:val="00FF64CB"/>
    <w:rsid w:val="00FF66B7"/>
    <w:rsid w:val="00FF6BB0"/>
    <w:rsid w:val="00FF6E41"/>
    <w:rsid w:val="00FF7470"/>
    <w:rsid w:val="00FF7D15"/>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A178B"/>
  <w15:chartTrackingRefBased/>
  <w15:docId w15:val="{EEEE49CC-851D-418F-8B26-DCF86865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DFA"/>
    <w:pPr>
      <w:widowControl w:val="0"/>
      <w:jc w:val="both"/>
    </w:pPr>
    <w:rPr>
      <w:rFonts w:ascii="Century" w:eastAsia="ＭＳ 明朝" w:hAnsi="Century" w:cs="Times New Roman"/>
      <w:szCs w:val="24"/>
      <w:lang w:val="en-GB"/>
    </w:rPr>
  </w:style>
  <w:style w:type="paragraph" w:styleId="1">
    <w:name w:val="heading 1"/>
    <w:basedOn w:val="a"/>
    <w:link w:val="10"/>
    <w:uiPriority w:val="9"/>
    <w:qFormat/>
    <w:rsid w:val="004A3FC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lang w:val="en-US"/>
    </w:rPr>
  </w:style>
  <w:style w:type="paragraph" w:styleId="2">
    <w:name w:val="heading 2"/>
    <w:basedOn w:val="a"/>
    <w:next w:val="a"/>
    <w:link w:val="20"/>
    <w:uiPriority w:val="9"/>
    <w:semiHidden/>
    <w:unhideWhenUsed/>
    <w:qFormat/>
    <w:rsid w:val="000D38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E532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52309"/>
    <w:pPr>
      <w:snapToGrid w:val="0"/>
      <w:jc w:val="left"/>
    </w:pPr>
  </w:style>
  <w:style w:type="character" w:customStyle="1" w:styleId="a4">
    <w:name w:val="脚注文字列 (文字)"/>
    <w:basedOn w:val="a0"/>
    <w:link w:val="a3"/>
    <w:semiHidden/>
    <w:rsid w:val="00652309"/>
    <w:rPr>
      <w:rFonts w:ascii="Century" w:eastAsia="ＭＳ 明朝" w:hAnsi="Century" w:cs="Times New Roman"/>
      <w:szCs w:val="24"/>
      <w:lang w:val="en-GB"/>
    </w:rPr>
  </w:style>
  <w:style w:type="character" w:styleId="a5">
    <w:name w:val="footnote reference"/>
    <w:semiHidden/>
    <w:rsid w:val="00652309"/>
    <w:rPr>
      <w:vertAlign w:val="superscript"/>
    </w:rPr>
  </w:style>
  <w:style w:type="character" w:styleId="a6">
    <w:name w:val="Hyperlink"/>
    <w:rsid w:val="00652309"/>
    <w:rPr>
      <w:color w:val="0000FF"/>
      <w:u w:val="single"/>
    </w:rPr>
  </w:style>
  <w:style w:type="paragraph" w:styleId="a7">
    <w:name w:val="footer"/>
    <w:basedOn w:val="a"/>
    <w:link w:val="a8"/>
    <w:uiPriority w:val="99"/>
    <w:rsid w:val="00652309"/>
    <w:pPr>
      <w:tabs>
        <w:tab w:val="center" w:pos="4252"/>
        <w:tab w:val="right" w:pos="8504"/>
      </w:tabs>
      <w:snapToGrid w:val="0"/>
    </w:pPr>
  </w:style>
  <w:style w:type="character" w:customStyle="1" w:styleId="a8">
    <w:name w:val="フッター (文字)"/>
    <w:basedOn w:val="a0"/>
    <w:link w:val="a7"/>
    <w:uiPriority w:val="99"/>
    <w:rsid w:val="00652309"/>
    <w:rPr>
      <w:rFonts w:ascii="Century" w:eastAsia="ＭＳ 明朝" w:hAnsi="Century" w:cs="Times New Roman"/>
      <w:szCs w:val="24"/>
      <w:lang w:val="en-GB"/>
    </w:rPr>
  </w:style>
  <w:style w:type="character" w:styleId="a9">
    <w:name w:val="page number"/>
    <w:basedOn w:val="a0"/>
    <w:rsid w:val="00652309"/>
  </w:style>
  <w:style w:type="paragraph" w:styleId="aa">
    <w:name w:val="header"/>
    <w:basedOn w:val="a"/>
    <w:link w:val="ab"/>
    <w:rsid w:val="00652309"/>
    <w:pPr>
      <w:tabs>
        <w:tab w:val="center" w:pos="4252"/>
        <w:tab w:val="right" w:pos="8504"/>
      </w:tabs>
      <w:snapToGrid w:val="0"/>
    </w:pPr>
  </w:style>
  <w:style w:type="character" w:customStyle="1" w:styleId="ab">
    <w:name w:val="ヘッダー (文字)"/>
    <w:basedOn w:val="a0"/>
    <w:link w:val="aa"/>
    <w:rsid w:val="00652309"/>
    <w:rPr>
      <w:rFonts w:ascii="Century" w:eastAsia="ＭＳ 明朝" w:hAnsi="Century" w:cs="Times New Roman"/>
      <w:szCs w:val="24"/>
      <w:lang w:val="en-GB"/>
    </w:rPr>
  </w:style>
  <w:style w:type="paragraph" w:customStyle="1" w:styleId="CM61">
    <w:name w:val="CM61"/>
    <w:basedOn w:val="a"/>
    <w:next w:val="a"/>
    <w:uiPriority w:val="99"/>
    <w:rsid w:val="00652309"/>
    <w:pPr>
      <w:autoSpaceDE w:val="0"/>
      <w:autoSpaceDN w:val="0"/>
      <w:adjustRightInd w:val="0"/>
      <w:jc w:val="left"/>
    </w:pPr>
    <w:rPr>
      <w:rFonts w:ascii="Times New Roman" w:hAnsi="Times New Roman"/>
      <w:kern w:val="0"/>
      <w:sz w:val="24"/>
      <w:lang w:val="en-US"/>
    </w:rPr>
  </w:style>
  <w:style w:type="paragraph" w:customStyle="1" w:styleId="CM5">
    <w:name w:val="CM5"/>
    <w:basedOn w:val="a"/>
    <w:next w:val="a"/>
    <w:uiPriority w:val="99"/>
    <w:rsid w:val="00652309"/>
    <w:pPr>
      <w:autoSpaceDE w:val="0"/>
      <w:autoSpaceDN w:val="0"/>
      <w:adjustRightInd w:val="0"/>
      <w:jc w:val="left"/>
    </w:pPr>
    <w:rPr>
      <w:rFonts w:ascii="Times New Roman" w:hAnsi="Times New Roman"/>
      <w:kern w:val="0"/>
      <w:sz w:val="24"/>
      <w:lang w:val="en-US"/>
    </w:rPr>
  </w:style>
  <w:style w:type="character" w:styleId="ac">
    <w:name w:val="Strong"/>
    <w:uiPriority w:val="22"/>
    <w:qFormat/>
    <w:rsid w:val="00652309"/>
    <w:rPr>
      <w:b/>
      <w:bCs/>
    </w:rPr>
  </w:style>
  <w:style w:type="paragraph" w:styleId="ad">
    <w:name w:val="List Paragraph"/>
    <w:basedOn w:val="a"/>
    <w:uiPriority w:val="34"/>
    <w:qFormat/>
    <w:rsid w:val="00652309"/>
    <w:pPr>
      <w:ind w:leftChars="400" w:left="840"/>
    </w:pPr>
  </w:style>
  <w:style w:type="character" w:styleId="ae">
    <w:name w:val="annotation reference"/>
    <w:basedOn w:val="a0"/>
    <w:uiPriority w:val="99"/>
    <w:semiHidden/>
    <w:unhideWhenUsed/>
    <w:rsid w:val="00652309"/>
    <w:rPr>
      <w:sz w:val="18"/>
      <w:szCs w:val="18"/>
    </w:rPr>
  </w:style>
  <w:style w:type="paragraph" w:styleId="af">
    <w:name w:val="annotation text"/>
    <w:basedOn w:val="a"/>
    <w:link w:val="af0"/>
    <w:uiPriority w:val="99"/>
    <w:semiHidden/>
    <w:unhideWhenUsed/>
    <w:rsid w:val="00652309"/>
    <w:pPr>
      <w:jc w:val="left"/>
    </w:pPr>
  </w:style>
  <w:style w:type="character" w:customStyle="1" w:styleId="af0">
    <w:name w:val="コメント文字列 (文字)"/>
    <w:basedOn w:val="a0"/>
    <w:link w:val="af"/>
    <w:uiPriority w:val="99"/>
    <w:semiHidden/>
    <w:rsid w:val="00652309"/>
    <w:rPr>
      <w:rFonts w:ascii="Century" w:eastAsia="ＭＳ 明朝" w:hAnsi="Century" w:cs="Times New Roman"/>
      <w:szCs w:val="24"/>
      <w:lang w:val="en-GB"/>
    </w:rPr>
  </w:style>
  <w:style w:type="paragraph" w:styleId="af1">
    <w:name w:val="annotation subject"/>
    <w:basedOn w:val="af"/>
    <w:next w:val="af"/>
    <w:link w:val="af2"/>
    <w:uiPriority w:val="99"/>
    <w:semiHidden/>
    <w:unhideWhenUsed/>
    <w:rsid w:val="00652309"/>
    <w:rPr>
      <w:b/>
      <w:bCs/>
    </w:rPr>
  </w:style>
  <w:style w:type="character" w:customStyle="1" w:styleId="af2">
    <w:name w:val="コメント内容 (文字)"/>
    <w:basedOn w:val="af0"/>
    <w:link w:val="af1"/>
    <w:uiPriority w:val="99"/>
    <w:semiHidden/>
    <w:rsid w:val="00652309"/>
    <w:rPr>
      <w:rFonts w:ascii="Century" w:eastAsia="ＭＳ 明朝" w:hAnsi="Century" w:cs="Times New Roman"/>
      <w:b/>
      <w:bCs/>
      <w:szCs w:val="24"/>
      <w:lang w:val="en-GB"/>
    </w:rPr>
  </w:style>
  <w:style w:type="paragraph" w:styleId="af3">
    <w:name w:val="Balloon Text"/>
    <w:basedOn w:val="a"/>
    <w:link w:val="af4"/>
    <w:uiPriority w:val="99"/>
    <w:semiHidden/>
    <w:unhideWhenUsed/>
    <w:rsid w:val="00652309"/>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52309"/>
    <w:rPr>
      <w:rFonts w:asciiTheme="majorHAnsi" w:eastAsiaTheme="majorEastAsia" w:hAnsiTheme="majorHAnsi" w:cstheme="majorBidi"/>
      <w:sz w:val="18"/>
      <w:szCs w:val="18"/>
      <w:lang w:val="en-GB"/>
    </w:rPr>
  </w:style>
  <w:style w:type="character" w:styleId="af5">
    <w:name w:val="Emphasis"/>
    <w:basedOn w:val="a0"/>
    <w:uiPriority w:val="20"/>
    <w:qFormat/>
    <w:rsid w:val="00652309"/>
    <w:rPr>
      <w:i/>
      <w:iCs/>
    </w:rPr>
  </w:style>
  <w:style w:type="paragraph" w:styleId="Web">
    <w:name w:val="Normal (Web)"/>
    <w:basedOn w:val="a"/>
    <w:uiPriority w:val="99"/>
    <w:unhideWhenUsed/>
    <w:rsid w:val="00652309"/>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f6">
    <w:name w:val="Revision"/>
    <w:hidden/>
    <w:uiPriority w:val="99"/>
    <w:semiHidden/>
    <w:rsid w:val="00652309"/>
    <w:rPr>
      <w:rFonts w:ascii="Century" w:eastAsia="ＭＳ 明朝" w:hAnsi="Century" w:cs="Times New Roman"/>
      <w:szCs w:val="24"/>
      <w:lang w:val="en-GB"/>
    </w:rPr>
  </w:style>
  <w:style w:type="character" w:customStyle="1" w:styleId="10">
    <w:name w:val="見出し 1 (文字)"/>
    <w:basedOn w:val="a0"/>
    <w:link w:val="1"/>
    <w:uiPriority w:val="9"/>
    <w:rsid w:val="004A3FCB"/>
    <w:rPr>
      <w:rFonts w:ascii="ＭＳ Ｐゴシック" w:eastAsia="ＭＳ Ｐゴシック" w:hAnsi="ＭＳ Ｐゴシック" w:cs="ＭＳ Ｐゴシック"/>
      <w:b/>
      <w:bCs/>
      <w:kern w:val="36"/>
      <w:sz w:val="48"/>
      <w:szCs w:val="48"/>
    </w:rPr>
  </w:style>
  <w:style w:type="paragraph" w:customStyle="1" w:styleId="Default">
    <w:name w:val="Default"/>
    <w:rsid w:val="00661433"/>
    <w:pPr>
      <w:widowControl w:val="0"/>
      <w:autoSpaceDE w:val="0"/>
      <w:autoSpaceDN w:val="0"/>
      <w:adjustRightInd w:val="0"/>
    </w:pPr>
    <w:rPr>
      <w:rFonts w:ascii="Garamond" w:hAnsi="Garamond" w:cs="Garamond"/>
      <w:color w:val="000000"/>
      <w:kern w:val="0"/>
      <w:sz w:val="24"/>
      <w:szCs w:val="24"/>
    </w:rPr>
  </w:style>
  <w:style w:type="character" w:customStyle="1" w:styleId="creator-type-label">
    <w:name w:val="creator-type-label"/>
    <w:basedOn w:val="a0"/>
    <w:rsid w:val="00967B06"/>
  </w:style>
  <w:style w:type="character" w:customStyle="1" w:styleId="citationarticletitle">
    <w:name w:val="citationarticletitle"/>
    <w:basedOn w:val="a0"/>
    <w:rsid w:val="00967B06"/>
  </w:style>
  <w:style w:type="character" w:customStyle="1" w:styleId="citationjournaltitle">
    <w:name w:val="citationjournaltitle"/>
    <w:basedOn w:val="a0"/>
    <w:rsid w:val="00967B06"/>
  </w:style>
  <w:style w:type="character" w:customStyle="1" w:styleId="citationjournalvolumeandpart">
    <w:name w:val="citationjournalvolumeandpart"/>
    <w:basedOn w:val="a0"/>
    <w:rsid w:val="00967B06"/>
  </w:style>
  <w:style w:type="character" w:customStyle="1" w:styleId="citationjournalpages">
    <w:name w:val="citationjournalpages"/>
    <w:basedOn w:val="a0"/>
    <w:rsid w:val="00967B06"/>
  </w:style>
  <w:style w:type="character" w:customStyle="1" w:styleId="30">
    <w:name w:val="見出し 3 (文字)"/>
    <w:basedOn w:val="a0"/>
    <w:link w:val="3"/>
    <w:uiPriority w:val="9"/>
    <w:rsid w:val="008E532D"/>
    <w:rPr>
      <w:rFonts w:asciiTheme="majorHAnsi" w:eastAsiaTheme="majorEastAsia" w:hAnsiTheme="majorHAnsi" w:cstheme="majorBidi"/>
      <w:szCs w:val="24"/>
      <w:lang w:val="en-GB"/>
    </w:rPr>
  </w:style>
  <w:style w:type="character" w:customStyle="1" w:styleId="20">
    <w:name w:val="見出し 2 (文字)"/>
    <w:basedOn w:val="a0"/>
    <w:link w:val="2"/>
    <w:uiPriority w:val="9"/>
    <w:semiHidden/>
    <w:rsid w:val="000D38A0"/>
    <w:rPr>
      <w:rFonts w:asciiTheme="majorHAnsi" w:eastAsiaTheme="majorEastAsia" w:hAnsiTheme="majorHAnsi" w:cstheme="majorBidi"/>
      <w:szCs w:val="24"/>
      <w:lang w:val="en-GB"/>
    </w:rPr>
  </w:style>
  <w:style w:type="character" w:customStyle="1" w:styleId="italic">
    <w:name w:val="italic"/>
    <w:basedOn w:val="a0"/>
    <w:rsid w:val="00531F19"/>
  </w:style>
  <w:style w:type="character" w:customStyle="1" w:styleId="casedoc-date">
    <w:name w:val="casedoc-date"/>
    <w:basedOn w:val="a0"/>
    <w:rsid w:val="00393AE7"/>
  </w:style>
  <w:style w:type="character" w:customStyle="1" w:styleId="casedoc-link">
    <w:name w:val="casedoc-link"/>
    <w:basedOn w:val="a0"/>
    <w:rsid w:val="00393AE7"/>
  </w:style>
  <w:style w:type="paragraph" w:styleId="af7">
    <w:name w:val="endnote text"/>
    <w:basedOn w:val="a"/>
    <w:link w:val="af8"/>
    <w:uiPriority w:val="99"/>
    <w:semiHidden/>
    <w:unhideWhenUsed/>
    <w:rsid w:val="003E2C3E"/>
    <w:pPr>
      <w:snapToGrid w:val="0"/>
      <w:jc w:val="left"/>
    </w:pPr>
  </w:style>
  <w:style w:type="character" w:customStyle="1" w:styleId="af8">
    <w:name w:val="文末脚注文字列 (文字)"/>
    <w:basedOn w:val="a0"/>
    <w:link w:val="af7"/>
    <w:uiPriority w:val="99"/>
    <w:semiHidden/>
    <w:rsid w:val="003E2C3E"/>
    <w:rPr>
      <w:rFonts w:ascii="Century" w:eastAsia="ＭＳ 明朝" w:hAnsi="Century" w:cs="Times New Roman"/>
      <w:szCs w:val="24"/>
      <w:lang w:val="en-GB"/>
    </w:rPr>
  </w:style>
  <w:style w:type="character" w:styleId="af9">
    <w:name w:val="endnote reference"/>
    <w:basedOn w:val="a0"/>
    <w:uiPriority w:val="99"/>
    <w:semiHidden/>
    <w:unhideWhenUsed/>
    <w:rsid w:val="003E2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7340">
      <w:bodyDiv w:val="1"/>
      <w:marLeft w:val="0"/>
      <w:marRight w:val="0"/>
      <w:marTop w:val="0"/>
      <w:marBottom w:val="0"/>
      <w:divBdr>
        <w:top w:val="none" w:sz="0" w:space="0" w:color="auto"/>
        <w:left w:val="none" w:sz="0" w:space="0" w:color="auto"/>
        <w:bottom w:val="none" w:sz="0" w:space="0" w:color="auto"/>
        <w:right w:val="none" w:sz="0" w:space="0" w:color="auto"/>
      </w:divBdr>
    </w:div>
    <w:div w:id="264966525">
      <w:bodyDiv w:val="1"/>
      <w:marLeft w:val="0"/>
      <w:marRight w:val="0"/>
      <w:marTop w:val="0"/>
      <w:marBottom w:val="0"/>
      <w:divBdr>
        <w:top w:val="none" w:sz="0" w:space="0" w:color="auto"/>
        <w:left w:val="none" w:sz="0" w:space="0" w:color="auto"/>
        <w:bottom w:val="none" w:sz="0" w:space="0" w:color="auto"/>
        <w:right w:val="none" w:sz="0" w:space="0" w:color="auto"/>
      </w:divBdr>
    </w:div>
    <w:div w:id="437914471">
      <w:bodyDiv w:val="1"/>
      <w:marLeft w:val="0"/>
      <w:marRight w:val="0"/>
      <w:marTop w:val="0"/>
      <w:marBottom w:val="0"/>
      <w:divBdr>
        <w:top w:val="none" w:sz="0" w:space="0" w:color="auto"/>
        <w:left w:val="none" w:sz="0" w:space="0" w:color="auto"/>
        <w:bottom w:val="none" w:sz="0" w:space="0" w:color="auto"/>
        <w:right w:val="none" w:sz="0" w:space="0" w:color="auto"/>
      </w:divBdr>
    </w:div>
    <w:div w:id="563032021">
      <w:bodyDiv w:val="1"/>
      <w:marLeft w:val="0"/>
      <w:marRight w:val="0"/>
      <w:marTop w:val="0"/>
      <w:marBottom w:val="0"/>
      <w:divBdr>
        <w:top w:val="none" w:sz="0" w:space="0" w:color="auto"/>
        <w:left w:val="none" w:sz="0" w:space="0" w:color="auto"/>
        <w:bottom w:val="none" w:sz="0" w:space="0" w:color="auto"/>
        <w:right w:val="none" w:sz="0" w:space="0" w:color="auto"/>
      </w:divBdr>
    </w:div>
    <w:div w:id="577715468">
      <w:bodyDiv w:val="1"/>
      <w:marLeft w:val="0"/>
      <w:marRight w:val="0"/>
      <w:marTop w:val="0"/>
      <w:marBottom w:val="0"/>
      <w:divBdr>
        <w:top w:val="none" w:sz="0" w:space="0" w:color="auto"/>
        <w:left w:val="none" w:sz="0" w:space="0" w:color="auto"/>
        <w:bottom w:val="none" w:sz="0" w:space="0" w:color="auto"/>
        <w:right w:val="none" w:sz="0" w:space="0" w:color="auto"/>
      </w:divBdr>
      <w:divsChild>
        <w:div w:id="1786315864">
          <w:marLeft w:val="0"/>
          <w:marRight w:val="0"/>
          <w:marTop w:val="0"/>
          <w:marBottom w:val="0"/>
          <w:divBdr>
            <w:top w:val="none" w:sz="0" w:space="0" w:color="auto"/>
            <w:left w:val="none" w:sz="0" w:space="0" w:color="auto"/>
            <w:bottom w:val="none" w:sz="0" w:space="0" w:color="auto"/>
            <w:right w:val="none" w:sz="0" w:space="0" w:color="auto"/>
          </w:divBdr>
          <w:divsChild>
            <w:div w:id="45143850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96405976">
      <w:bodyDiv w:val="1"/>
      <w:marLeft w:val="0"/>
      <w:marRight w:val="0"/>
      <w:marTop w:val="0"/>
      <w:marBottom w:val="0"/>
      <w:divBdr>
        <w:top w:val="none" w:sz="0" w:space="0" w:color="auto"/>
        <w:left w:val="none" w:sz="0" w:space="0" w:color="auto"/>
        <w:bottom w:val="none" w:sz="0" w:space="0" w:color="auto"/>
        <w:right w:val="none" w:sz="0" w:space="0" w:color="auto"/>
      </w:divBdr>
    </w:div>
    <w:div w:id="623121165">
      <w:bodyDiv w:val="1"/>
      <w:marLeft w:val="0"/>
      <w:marRight w:val="0"/>
      <w:marTop w:val="0"/>
      <w:marBottom w:val="0"/>
      <w:divBdr>
        <w:top w:val="none" w:sz="0" w:space="0" w:color="auto"/>
        <w:left w:val="none" w:sz="0" w:space="0" w:color="auto"/>
        <w:bottom w:val="none" w:sz="0" w:space="0" w:color="auto"/>
        <w:right w:val="none" w:sz="0" w:space="0" w:color="auto"/>
      </w:divBdr>
    </w:div>
    <w:div w:id="869805442">
      <w:bodyDiv w:val="1"/>
      <w:marLeft w:val="0"/>
      <w:marRight w:val="0"/>
      <w:marTop w:val="0"/>
      <w:marBottom w:val="0"/>
      <w:divBdr>
        <w:top w:val="none" w:sz="0" w:space="0" w:color="auto"/>
        <w:left w:val="none" w:sz="0" w:space="0" w:color="auto"/>
        <w:bottom w:val="none" w:sz="0" w:space="0" w:color="auto"/>
        <w:right w:val="none" w:sz="0" w:space="0" w:color="auto"/>
      </w:divBdr>
    </w:div>
    <w:div w:id="903103940">
      <w:bodyDiv w:val="1"/>
      <w:marLeft w:val="0"/>
      <w:marRight w:val="0"/>
      <w:marTop w:val="0"/>
      <w:marBottom w:val="0"/>
      <w:divBdr>
        <w:top w:val="none" w:sz="0" w:space="0" w:color="auto"/>
        <w:left w:val="none" w:sz="0" w:space="0" w:color="auto"/>
        <w:bottom w:val="none" w:sz="0" w:space="0" w:color="auto"/>
        <w:right w:val="none" w:sz="0" w:space="0" w:color="auto"/>
      </w:divBdr>
    </w:div>
    <w:div w:id="1005597361">
      <w:bodyDiv w:val="1"/>
      <w:marLeft w:val="0"/>
      <w:marRight w:val="0"/>
      <w:marTop w:val="0"/>
      <w:marBottom w:val="0"/>
      <w:divBdr>
        <w:top w:val="none" w:sz="0" w:space="0" w:color="auto"/>
        <w:left w:val="none" w:sz="0" w:space="0" w:color="auto"/>
        <w:bottom w:val="none" w:sz="0" w:space="0" w:color="auto"/>
        <w:right w:val="none" w:sz="0" w:space="0" w:color="auto"/>
      </w:divBdr>
    </w:div>
    <w:div w:id="1096291752">
      <w:bodyDiv w:val="1"/>
      <w:marLeft w:val="0"/>
      <w:marRight w:val="0"/>
      <w:marTop w:val="0"/>
      <w:marBottom w:val="0"/>
      <w:divBdr>
        <w:top w:val="none" w:sz="0" w:space="0" w:color="auto"/>
        <w:left w:val="none" w:sz="0" w:space="0" w:color="auto"/>
        <w:bottom w:val="none" w:sz="0" w:space="0" w:color="auto"/>
        <w:right w:val="none" w:sz="0" w:space="0" w:color="auto"/>
      </w:divBdr>
    </w:div>
    <w:div w:id="1162621179">
      <w:bodyDiv w:val="1"/>
      <w:marLeft w:val="0"/>
      <w:marRight w:val="0"/>
      <w:marTop w:val="0"/>
      <w:marBottom w:val="0"/>
      <w:divBdr>
        <w:top w:val="none" w:sz="0" w:space="0" w:color="auto"/>
        <w:left w:val="none" w:sz="0" w:space="0" w:color="auto"/>
        <w:bottom w:val="none" w:sz="0" w:space="0" w:color="auto"/>
        <w:right w:val="none" w:sz="0" w:space="0" w:color="auto"/>
      </w:divBdr>
    </w:div>
    <w:div w:id="1217819125">
      <w:bodyDiv w:val="1"/>
      <w:marLeft w:val="0"/>
      <w:marRight w:val="0"/>
      <w:marTop w:val="0"/>
      <w:marBottom w:val="0"/>
      <w:divBdr>
        <w:top w:val="none" w:sz="0" w:space="0" w:color="auto"/>
        <w:left w:val="none" w:sz="0" w:space="0" w:color="auto"/>
        <w:bottom w:val="none" w:sz="0" w:space="0" w:color="auto"/>
        <w:right w:val="none" w:sz="0" w:space="0" w:color="auto"/>
      </w:divBdr>
      <w:divsChild>
        <w:div w:id="1718552664">
          <w:marLeft w:val="0"/>
          <w:marRight w:val="0"/>
          <w:marTop w:val="0"/>
          <w:marBottom w:val="0"/>
          <w:divBdr>
            <w:top w:val="none" w:sz="0" w:space="0" w:color="auto"/>
            <w:left w:val="none" w:sz="0" w:space="0" w:color="auto"/>
            <w:bottom w:val="none" w:sz="0" w:space="0" w:color="auto"/>
            <w:right w:val="none" w:sz="0" w:space="0" w:color="auto"/>
          </w:divBdr>
          <w:divsChild>
            <w:div w:id="436174431">
              <w:marLeft w:val="0"/>
              <w:marRight w:val="0"/>
              <w:marTop w:val="0"/>
              <w:marBottom w:val="0"/>
              <w:divBdr>
                <w:top w:val="none" w:sz="0" w:space="0" w:color="auto"/>
                <w:left w:val="none" w:sz="0" w:space="0" w:color="auto"/>
                <w:bottom w:val="none" w:sz="0" w:space="0" w:color="auto"/>
                <w:right w:val="none" w:sz="0" w:space="0" w:color="auto"/>
              </w:divBdr>
            </w:div>
            <w:div w:id="978340632">
              <w:marLeft w:val="0"/>
              <w:marRight w:val="0"/>
              <w:marTop w:val="0"/>
              <w:marBottom w:val="0"/>
              <w:divBdr>
                <w:top w:val="none" w:sz="0" w:space="0" w:color="auto"/>
                <w:left w:val="none" w:sz="0" w:space="0" w:color="auto"/>
                <w:bottom w:val="none" w:sz="0" w:space="0" w:color="auto"/>
                <w:right w:val="none" w:sz="0" w:space="0" w:color="auto"/>
              </w:divBdr>
            </w:div>
          </w:divsChild>
        </w:div>
        <w:div w:id="333456356">
          <w:marLeft w:val="0"/>
          <w:marRight w:val="0"/>
          <w:marTop w:val="0"/>
          <w:marBottom w:val="0"/>
          <w:divBdr>
            <w:top w:val="none" w:sz="0" w:space="0" w:color="auto"/>
            <w:left w:val="none" w:sz="0" w:space="0" w:color="auto"/>
            <w:bottom w:val="none" w:sz="0" w:space="0" w:color="auto"/>
            <w:right w:val="none" w:sz="0" w:space="0" w:color="auto"/>
          </w:divBdr>
        </w:div>
        <w:div w:id="1842625288">
          <w:marLeft w:val="0"/>
          <w:marRight w:val="0"/>
          <w:marTop w:val="0"/>
          <w:marBottom w:val="0"/>
          <w:divBdr>
            <w:top w:val="none" w:sz="0" w:space="0" w:color="auto"/>
            <w:left w:val="none" w:sz="0" w:space="0" w:color="auto"/>
            <w:bottom w:val="none" w:sz="0" w:space="0" w:color="auto"/>
            <w:right w:val="none" w:sz="0" w:space="0" w:color="auto"/>
          </w:divBdr>
        </w:div>
        <w:div w:id="1041977466">
          <w:marLeft w:val="0"/>
          <w:marRight w:val="0"/>
          <w:marTop w:val="0"/>
          <w:marBottom w:val="0"/>
          <w:divBdr>
            <w:top w:val="none" w:sz="0" w:space="0" w:color="auto"/>
            <w:left w:val="none" w:sz="0" w:space="0" w:color="auto"/>
            <w:bottom w:val="none" w:sz="0" w:space="0" w:color="auto"/>
            <w:right w:val="none" w:sz="0" w:space="0" w:color="auto"/>
          </w:divBdr>
        </w:div>
        <w:div w:id="2140031804">
          <w:marLeft w:val="0"/>
          <w:marRight w:val="0"/>
          <w:marTop w:val="0"/>
          <w:marBottom w:val="0"/>
          <w:divBdr>
            <w:top w:val="none" w:sz="0" w:space="0" w:color="auto"/>
            <w:left w:val="none" w:sz="0" w:space="0" w:color="auto"/>
            <w:bottom w:val="none" w:sz="0" w:space="0" w:color="auto"/>
            <w:right w:val="none" w:sz="0" w:space="0" w:color="auto"/>
          </w:divBdr>
        </w:div>
      </w:divsChild>
    </w:div>
    <w:div w:id="1339698892">
      <w:bodyDiv w:val="1"/>
      <w:marLeft w:val="0"/>
      <w:marRight w:val="0"/>
      <w:marTop w:val="0"/>
      <w:marBottom w:val="0"/>
      <w:divBdr>
        <w:top w:val="none" w:sz="0" w:space="0" w:color="auto"/>
        <w:left w:val="none" w:sz="0" w:space="0" w:color="auto"/>
        <w:bottom w:val="none" w:sz="0" w:space="0" w:color="auto"/>
        <w:right w:val="none" w:sz="0" w:space="0" w:color="auto"/>
      </w:divBdr>
    </w:div>
    <w:div w:id="1343162801">
      <w:bodyDiv w:val="1"/>
      <w:marLeft w:val="0"/>
      <w:marRight w:val="0"/>
      <w:marTop w:val="0"/>
      <w:marBottom w:val="0"/>
      <w:divBdr>
        <w:top w:val="none" w:sz="0" w:space="0" w:color="auto"/>
        <w:left w:val="none" w:sz="0" w:space="0" w:color="auto"/>
        <w:bottom w:val="none" w:sz="0" w:space="0" w:color="auto"/>
        <w:right w:val="none" w:sz="0" w:space="0" w:color="auto"/>
      </w:divBdr>
      <w:divsChild>
        <w:div w:id="1394161340">
          <w:marLeft w:val="0"/>
          <w:marRight w:val="0"/>
          <w:marTop w:val="0"/>
          <w:marBottom w:val="0"/>
          <w:divBdr>
            <w:top w:val="none" w:sz="0" w:space="0" w:color="auto"/>
            <w:left w:val="none" w:sz="0" w:space="0" w:color="auto"/>
            <w:bottom w:val="none" w:sz="0" w:space="0" w:color="auto"/>
            <w:right w:val="none" w:sz="0" w:space="0" w:color="auto"/>
          </w:divBdr>
          <w:divsChild>
            <w:div w:id="6562213">
              <w:marLeft w:val="0"/>
              <w:marRight w:val="0"/>
              <w:marTop w:val="0"/>
              <w:marBottom w:val="0"/>
              <w:divBdr>
                <w:top w:val="none" w:sz="0" w:space="0" w:color="auto"/>
                <w:left w:val="none" w:sz="0" w:space="0" w:color="auto"/>
                <w:bottom w:val="none" w:sz="0" w:space="0" w:color="auto"/>
                <w:right w:val="none" w:sz="0" w:space="0" w:color="auto"/>
              </w:divBdr>
            </w:div>
          </w:divsChild>
        </w:div>
        <w:div w:id="1813406803">
          <w:marLeft w:val="0"/>
          <w:marRight w:val="0"/>
          <w:marTop w:val="0"/>
          <w:marBottom w:val="0"/>
          <w:divBdr>
            <w:top w:val="none" w:sz="0" w:space="0" w:color="auto"/>
            <w:left w:val="none" w:sz="0" w:space="0" w:color="auto"/>
            <w:bottom w:val="none" w:sz="0" w:space="0" w:color="auto"/>
            <w:right w:val="none" w:sz="0" w:space="0" w:color="auto"/>
          </w:divBdr>
        </w:div>
        <w:div w:id="1892496128">
          <w:marLeft w:val="0"/>
          <w:marRight w:val="0"/>
          <w:marTop w:val="0"/>
          <w:marBottom w:val="0"/>
          <w:divBdr>
            <w:top w:val="none" w:sz="0" w:space="0" w:color="auto"/>
            <w:left w:val="none" w:sz="0" w:space="0" w:color="auto"/>
            <w:bottom w:val="none" w:sz="0" w:space="0" w:color="auto"/>
            <w:right w:val="none" w:sz="0" w:space="0" w:color="auto"/>
          </w:divBdr>
        </w:div>
        <w:div w:id="325404485">
          <w:marLeft w:val="0"/>
          <w:marRight w:val="0"/>
          <w:marTop w:val="0"/>
          <w:marBottom w:val="0"/>
          <w:divBdr>
            <w:top w:val="none" w:sz="0" w:space="0" w:color="auto"/>
            <w:left w:val="none" w:sz="0" w:space="0" w:color="auto"/>
            <w:bottom w:val="none" w:sz="0" w:space="0" w:color="auto"/>
            <w:right w:val="none" w:sz="0" w:space="0" w:color="auto"/>
          </w:divBdr>
        </w:div>
      </w:divsChild>
    </w:div>
    <w:div w:id="1386753482">
      <w:bodyDiv w:val="1"/>
      <w:marLeft w:val="0"/>
      <w:marRight w:val="0"/>
      <w:marTop w:val="0"/>
      <w:marBottom w:val="0"/>
      <w:divBdr>
        <w:top w:val="none" w:sz="0" w:space="0" w:color="auto"/>
        <w:left w:val="none" w:sz="0" w:space="0" w:color="auto"/>
        <w:bottom w:val="none" w:sz="0" w:space="0" w:color="auto"/>
        <w:right w:val="none" w:sz="0" w:space="0" w:color="auto"/>
      </w:divBdr>
    </w:div>
    <w:div w:id="1501776021">
      <w:bodyDiv w:val="1"/>
      <w:marLeft w:val="0"/>
      <w:marRight w:val="0"/>
      <w:marTop w:val="0"/>
      <w:marBottom w:val="0"/>
      <w:divBdr>
        <w:top w:val="none" w:sz="0" w:space="0" w:color="auto"/>
        <w:left w:val="none" w:sz="0" w:space="0" w:color="auto"/>
        <w:bottom w:val="none" w:sz="0" w:space="0" w:color="auto"/>
        <w:right w:val="none" w:sz="0" w:space="0" w:color="auto"/>
      </w:divBdr>
    </w:div>
    <w:div w:id="1506287352">
      <w:bodyDiv w:val="1"/>
      <w:marLeft w:val="0"/>
      <w:marRight w:val="0"/>
      <w:marTop w:val="0"/>
      <w:marBottom w:val="0"/>
      <w:divBdr>
        <w:top w:val="none" w:sz="0" w:space="0" w:color="auto"/>
        <w:left w:val="none" w:sz="0" w:space="0" w:color="auto"/>
        <w:bottom w:val="none" w:sz="0" w:space="0" w:color="auto"/>
        <w:right w:val="none" w:sz="0" w:space="0" w:color="auto"/>
      </w:divBdr>
    </w:div>
    <w:div w:id="1540777309">
      <w:bodyDiv w:val="1"/>
      <w:marLeft w:val="0"/>
      <w:marRight w:val="0"/>
      <w:marTop w:val="0"/>
      <w:marBottom w:val="0"/>
      <w:divBdr>
        <w:top w:val="none" w:sz="0" w:space="0" w:color="auto"/>
        <w:left w:val="none" w:sz="0" w:space="0" w:color="auto"/>
        <w:bottom w:val="none" w:sz="0" w:space="0" w:color="auto"/>
        <w:right w:val="none" w:sz="0" w:space="0" w:color="auto"/>
      </w:divBdr>
    </w:div>
    <w:div w:id="1651862948">
      <w:bodyDiv w:val="1"/>
      <w:marLeft w:val="0"/>
      <w:marRight w:val="0"/>
      <w:marTop w:val="0"/>
      <w:marBottom w:val="0"/>
      <w:divBdr>
        <w:top w:val="none" w:sz="0" w:space="0" w:color="auto"/>
        <w:left w:val="none" w:sz="0" w:space="0" w:color="auto"/>
        <w:bottom w:val="none" w:sz="0" w:space="0" w:color="auto"/>
        <w:right w:val="none" w:sz="0" w:space="0" w:color="auto"/>
      </w:divBdr>
    </w:div>
    <w:div w:id="1692796409">
      <w:bodyDiv w:val="1"/>
      <w:marLeft w:val="0"/>
      <w:marRight w:val="0"/>
      <w:marTop w:val="0"/>
      <w:marBottom w:val="0"/>
      <w:divBdr>
        <w:top w:val="none" w:sz="0" w:space="0" w:color="auto"/>
        <w:left w:val="none" w:sz="0" w:space="0" w:color="auto"/>
        <w:bottom w:val="none" w:sz="0" w:space="0" w:color="auto"/>
        <w:right w:val="none" w:sz="0" w:space="0" w:color="auto"/>
      </w:divBdr>
    </w:div>
    <w:div w:id="1750230042">
      <w:bodyDiv w:val="1"/>
      <w:marLeft w:val="0"/>
      <w:marRight w:val="0"/>
      <w:marTop w:val="0"/>
      <w:marBottom w:val="0"/>
      <w:divBdr>
        <w:top w:val="none" w:sz="0" w:space="0" w:color="auto"/>
        <w:left w:val="none" w:sz="0" w:space="0" w:color="auto"/>
        <w:bottom w:val="none" w:sz="0" w:space="0" w:color="auto"/>
        <w:right w:val="none" w:sz="0" w:space="0" w:color="auto"/>
      </w:divBdr>
    </w:div>
    <w:div w:id="1768309174">
      <w:marLeft w:val="0"/>
      <w:marRight w:val="0"/>
      <w:marTop w:val="0"/>
      <w:marBottom w:val="0"/>
      <w:divBdr>
        <w:top w:val="none" w:sz="0" w:space="0" w:color="auto"/>
        <w:left w:val="none" w:sz="0" w:space="0" w:color="auto"/>
        <w:bottom w:val="none" w:sz="0" w:space="0" w:color="auto"/>
        <w:right w:val="none" w:sz="0" w:space="0" w:color="auto"/>
      </w:divBdr>
      <w:divsChild>
        <w:div w:id="1561402403">
          <w:marLeft w:val="0"/>
          <w:marRight w:val="0"/>
          <w:marTop w:val="0"/>
          <w:marBottom w:val="0"/>
          <w:divBdr>
            <w:top w:val="none" w:sz="0" w:space="0" w:color="auto"/>
            <w:left w:val="none" w:sz="0" w:space="0" w:color="auto"/>
            <w:bottom w:val="none" w:sz="0" w:space="0" w:color="auto"/>
            <w:right w:val="none" w:sz="0" w:space="0" w:color="auto"/>
          </w:divBdr>
          <w:divsChild>
            <w:div w:id="2062091408">
              <w:marLeft w:val="300"/>
              <w:marRight w:val="300"/>
              <w:marTop w:val="0"/>
              <w:marBottom w:val="0"/>
              <w:divBdr>
                <w:top w:val="none" w:sz="0" w:space="0" w:color="auto"/>
                <w:left w:val="none" w:sz="0" w:space="0" w:color="auto"/>
                <w:bottom w:val="none" w:sz="0" w:space="0" w:color="auto"/>
                <w:right w:val="none" w:sz="0" w:space="0" w:color="auto"/>
              </w:divBdr>
              <w:divsChild>
                <w:div w:id="968437540">
                  <w:marLeft w:val="0"/>
                  <w:marRight w:val="0"/>
                  <w:marTop w:val="0"/>
                  <w:marBottom w:val="0"/>
                  <w:divBdr>
                    <w:top w:val="none" w:sz="0" w:space="0" w:color="auto"/>
                    <w:left w:val="none" w:sz="0" w:space="0" w:color="auto"/>
                    <w:bottom w:val="none" w:sz="0" w:space="0" w:color="auto"/>
                    <w:right w:val="none" w:sz="0" w:space="0" w:color="auto"/>
                  </w:divBdr>
                </w:div>
              </w:divsChild>
            </w:div>
            <w:div w:id="1360623570">
              <w:marLeft w:val="0"/>
              <w:marRight w:val="0"/>
              <w:marTop w:val="1500"/>
              <w:marBottom w:val="0"/>
              <w:divBdr>
                <w:top w:val="none" w:sz="0" w:space="0" w:color="auto"/>
                <w:left w:val="none" w:sz="0" w:space="0" w:color="auto"/>
                <w:bottom w:val="none" w:sz="0" w:space="0" w:color="auto"/>
                <w:right w:val="none" w:sz="0" w:space="0" w:color="auto"/>
              </w:divBdr>
              <w:divsChild>
                <w:div w:id="2078747351">
                  <w:marLeft w:val="0"/>
                  <w:marRight w:val="0"/>
                  <w:marTop w:val="0"/>
                  <w:marBottom w:val="0"/>
                  <w:divBdr>
                    <w:top w:val="none" w:sz="0" w:space="0" w:color="auto"/>
                    <w:left w:val="none" w:sz="0" w:space="0" w:color="auto"/>
                    <w:bottom w:val="none" w:sz="0" w:space="0" w:color="auto"/>
                    <w:right w:val="none" w:sz="0" w:space="0" w:color="auto"/>
                  </w:divBdr>
                  <w:divsChild>
                    <w:div w:id="1385904702">
                      <w:marLeft w:val="0"/>
                      <w:marRight w:val="0"/>
                      <w:marTop w:val="0"/>
                      <w:marBottom w:val="0"/>
                      <w:divBdr>
                        <w:top w:val="none" w:sz="0" w:space="0" w:color="auto"/>
                        <w:left w:val="none" w:sz="0" w:space="0" w:color="auto"/>
                        <w:bottom w:val="none" w:sz="0" w:space="0" w:color="auto"/>
                        <w:right w:val="none" w:sz="0" w:space="0" w:color="auto"/>
                      </w:divBdr>
                      <w:divsChild>
                        <w:div w:id="1849640633">
                          <w:marLeft w:val="0"/>
                          <w:marRight w:val="0"/>
                          <w:marTop w:val="0"/>
                          <w:marBottom w:val="0"/>
                          <w:divBdr>
                            <w:top w:val="none" w:sz="0" w:space="0" w:color="auto"/>
                            <w:left w:val="none" w:sz="0" w:space="0" w:color="auto"/>
                            <w:bottom w:val="none" w:sz="0" w:space="0" w:color="auto"/>
                            <w:right w:val="none" w:sz="0" w:space="0" w:color="auto"/>
                          </w:divBdr>
                          <w:divsChild>
                            <w:div w:id="502430694">
                              <w:marLeft w:val="0"/>
                              <w:marRight w:val="0"/>
                              <w:marTop w:val="0"/>
                              <w:marBottom w:val="0"/>
                              <w:divBdr>
                                <w:top w:val="none" w:sz="0" w:space="0" w:color="auto"/>
                                <w:left w:val="none" w:sz="0" w:space="0" w:color="auto"/>
                                <w:bottom w:val="none" w:sz="0" w:space="0" w:color="auto"/>
                                <w:right w:val="none" w:sz="0" w:space="0" w:color="auto"/>
                              </w:divBdr>
                              <w:divsChild>
                                <w:div w:id="1046182991">
                                  <w:marLeft w:val="0"/>
                                  <w:marRight w:val="0"/>
                                  <w:marTop w:val="0"/>
                                  <w:marBottom w:val="0"/>
                                  <w:divBdr>
                                    <w:top w:val="none" w:sz="0" w:space="0" w:color="auto"/>
                                    <w:left w:val="none" w:sz="0" w:space="0" w:color="auto"/>
                                    <w:bottom w:val="none" w:sz="0" w:space="0" w:color="auto"/>
                                    <w:right w:val="none" w:sz="0" w:space="0" w:color="auto"/>
                                  </w:divBdr>
                                  <w:divsChild>
                                    <w:div w:id="265428063">
                                      <w:marLeft w:val="0"/>
                                      <w:marRight w:val="0"/>
                                      <w:marTop w:val="0"/>
                                      <w:marBottom w:val="0"/>
                                      <w:divBdr>
                                        <w:top w:val="none" w:sz="0" w:space="0" w:color="auto"/>
                                        <w:left w:val="none" w:sz="0" w:space="0" w:color="auto"/>
                                        <w:bottom w:val="single" w:sz="6" w:space="0" w:color="EFEFEF"/>
                                        <w:right w:val="none" w:sz="0" w:space="0" w:color="auto"/>
                                      </w:divBdr>
                                      <w:divsChild>
                                        <w:div w:id="522666136">
                                          <w:marLeft w:val="0"/>
                                          <w:marRight w:val="0"/>
                                          <w:marTop w:val="300"/>
                                          <w:marBottom w:val="0"/>
                                          <w:divBdr>
                                            <w:top w:val="none" w:sz="0" w:space="0" w:color="auto"/>
                                            <w:left w:val="none" w:sz="0" w:space="0" w:color="auto"/>
                                            <w:bottom w:val="none" w:sz="0" w:space="0" w:color="auto"/>
                                            <w:right w:val="none" w:sz="0" w:space="0" w:color="auto"/>
                                          </w:divBdr>
                                        </w:div>
                                      </w:divsChild>
                                    </w:div>
                                    <w:div w:id="1328702653">
                                      <w:marLeft w:val="0"/>
                                      <w:marRight w:val="0"/>
                                      <w:marTop w:val="0"/>
                                      <w:marBottom w:val="0"/>
                                      <w:divBdr>
                                        <w:top w:val="none" w:sz="0" w:space="0" w:color="auto"/>
                                        <w:left w:val="none" w:sz="0" w:space="0" w:color="auto"/>
                                        <w:bottom w:val="none" w:sz="0" w:space="0" w:color="auto"/>
                                        <w:right w:val="none" w:sz="0" w:space="0" w:color="auto"/>
                                      </w:divBdr>
                                      <w:divsChild>
                                        <w:div w:id="58208915">
                                          <w:marLeft w:val="0"/>
                                          <w:marRight w:val="0"/>
                                          <w:marTop w:val="180"/>
                                          <w:marBottom w:val="0"/>
                                          <w:divBdr>
                                            <w:top w:val="none" w:sz="0" w:space="0" w:color="auto"/>
                                            <w:left w:val="none" w:sz="0" w:space="0" w:color="auto"/>
                                            <w:bottom w:val="none" w:sz="0" w:space="0" w:color="auto"/>
                                            <w:right w:val="none" w:sz="0" w:space="0" w:color="auto"/>
                                          </w:divBdr>
                                        </w:div>
                                        <w:div w:id="1324432249">
                                          <w:marLeft w:val="0"/>
                                          <w:marRight w:val="0"/>
                                          <w:marTop w:val="240"/>
                                          <w:marBottom w:val="0"/>
                                          <w:divBdr>
                                            <w:top w:val="none" w:sz="0" w:space="0" w:color="auto"/>
                                            <w:left w:val="none" w:sz="0" w:space="0" w:color="auto"/>
                                            <w:bottom w:val="none" w:sz="0" w:space="0" w:color="auto"/>
                                            <w:right w:val="none" w:sz="0" w:space="0" w:color="auto"/>
                                          </w:divBdr>
                                        </w:div>
                                        <w:div w:id="301350858">
                                          <w:marLeft w:val="0"/>
                                          <w:marRight w:val="0"/>
                                          <w:marTop w:val="0"/>
                                          <w:marBottom w:val="0"/>
                                          <w:divBdr>
                                            <w:top w:val="none" w:sz="0" w:space="0" w:color="auto"/>
                                            <w:left w:val="none" w:sz="0" w:space="0" w:color="auto"/>
                                            <w:bottom w:val="none" w:sz="0" w:space="0" w:color="auto"/>
                                            <w:right w:val="none" w:sz="0" w:space="0" w:color="auto"/>
                                          </w:divBdr>
                                          <w:divsChild>
                                            <w:div w:id="2088963730">
                                              <w:marLeft w:val="0"/>
                                              <w:marRight w:val="0"/>
                                              <w:marTop w:val="0"/>
                                              <w:marBottom w:val="0"/>
                                              <w:divBdr>
                                                <w:top w:val="none" w:sz="0" w:space="0" w:color="auto"/>
                                                <w:left w:val="none" w:sz="0" w:space="0" w:color="auto"/>
                                                <w:bottom w:val="none" w:sz="0" w:space="0" w:color="auto"/>
                                                <w:right w:val="none" w:sz="0" w:space="0" w:color="auto"/>
                                              </w:divBdr>
                                              <w:divsChild>
                                                <w:div w:id="1055154836">
                                                  <w:marLeft w:val="0"/>
                                                  <w:marRight w:val="0"/>
                                                  <w:marTop w:val="0"/>
                                                  <w:marBottom w:val="0"/>
                                                  <w:divBdr>
                                                    <w:top w:val="none" w:sz="0" w:space="0" w:color="auto"/>
                                                    <w:left w:val="none" w:sz="0" w:space="0" w:color="auto"/>
                                                    <w:bottom w:val="none" w:sz="0" w:space="0" w:color="auto"/>
                                                    <w:right w:val="none" w:sz="0" w:space="0" w:color="auto"/>
                                                  </w:divBdr>
                                                </w:div>
                                              </w:divsChild>
                                            </w:div>
                                            <w:div w:id="1757359685">
                                              <w:marLeft w:val="0"/>
                                              <w:marRight w:val="0"/>
                                              <w:marTop w:val="0"/>
                                              <w:marBottom w:val="0"/>
                                              <w:divBdr>
                                                <w:top w:val="none" w:sz="0" w:space="0" w:color="auto"/>
                                                <w:left w:val="none" w:sz="0" w:space="0" w:color="auto"/>
                                                <w:bottom w:val="none" w:sz="0" w:space="0" w:color="auto"/>
                                                <w:right w:val="none" w:sz="0" w:space="0" w:color="auto"/>
                                              </w:divBdr>
                                              <w:divsChild>
                                                <w:div w:id="1655571946">
                                                  <w:marLeft w:val="0"/>
                                                  <w:marRight w:val="0"/>
                                                  <w:marTop w:val="0"/>
                                                  <w:marBottom w:val="0"/>
                                                  <w:divBdr>
                                                    <w:top w:val="none" w:sz="0" w:space="0" w:color="auto"/>
                                                    <w:left w:val="none" w:sz="0" w:space="0" w:color="auto"/>
                                                    <w:bottom w:val="none" w:sz="0" w:space="0" w:color="auto"/>
                                                    <w:right w:val="none" w:sz="0" w:space="0" w:color="auto"/>
                                                  </w:divBdr>
                                                </w:div>
                                              </w:divsChild>
                                            </w:div>
                                            <w:div w:id="1293898112">
                                              <w:marLeft w:val="0"/>
                                              <w:marRight w:val="0"/>
                                              <w:marTop w:val="0"/>
                                              <w:marBottom w:val="0"/>
                                              <w:divBdr>
                                                <w:top w:val="none" w:sz="0" w:space="0" w:color="auto"/>
                                                <w:left w:val="none" w:sz="0" w:space="0" w:color="auto"/>
                                                <w:bottom w:val="none" w:sz="0" w:space="0" w:color="auto"/>
                                                <w:right w:val="none" w:sz="0" w:space="0" w:color="auto"/>
                                              </w:divBdr>
                                              <w:divsChild>
                                                <w:div w:id="938173252">
                                                  <w:marLeft w:val="0"/>
                                                  <w:marRight w:val="0"/>
                                                  <w:marTop w:val="0"/>
                                                  <w:marBottom w:val="0"/>
                                                  <w:divBdr>
                                                    <w:top w:val="none" w:sz="0" w:space="0" w:color="auto"/>
                                                    <w:left w:val="none" w:sz="0" w:space="0" w:color="auto"/>
                                                    <w:bottom w:val="none" w:sz="0" w:space="0" w:color="auto"/>
                                                    <w:right w:val="none" w:sz="0" w:space="0" w:color="auto"/>
                                                  </w:divBdr>
                                                </w:div>
                                              </w:divsChild>
                                            </w:div>
                                            <w:div w:id="449008009">
                                              <w:marLeft w:val="0"/>
                                              <w:marRight w:val="0"/>
                                              <w:marTop w:val="0"/>
                                              <w:marBottom w:val="0"/>
                                              <w:divBdr>
                                                <w:top w:val="none" w:sz="0" w:space="0" w:color="auto"/>
                                                <w:left w:val="none" w:sz="0" w:space="0" w:color="auto"/>
                                                <w:bottom w:val="none" w:sz="0" w:space="0" w:color="auto"/>
                                                <w:right w:val="none" w:sz="0" w:space="0" w:color="auto"/>
                                              </w:divBdr>
                                              <w:divsChild>
                                                <w:div w:id="1911646469">
                                                  <w:marLeft w:val="0"/>
                                                  <w:marRight w:val="0"/>
                                                  <w:marTop w:val="0"/>
                                                  <w:marBottom w:val="0"/>
                                                  <w:divBdr>
                                                    <w:top w:val="none" w:sz="0" w:space="0" w:color="auto"/>
                                                    <w:left w:val="none" w:sz="0" w:space="0" w:color="auto"/>
                                                    <w:bottom w:val="none" w:sz="0" w:space="0" w:color="auto"/>
                                                    <w:right w:val="none" w:sz="0" w:space="0" w:color="auto"/>
                                                  </w:divBdr>
                                                </w:div>
                                              </w:divsChild>
                                            </w:div>
                                            <w:div w:id="137457486">
                                              <w:marLeft w:val="0"/>
                                              <w:marRight w:val="0"/>
                                              <w:marTop w:val="0"/>
                                              <w:marBottom w:val="0"/>
                                              <w:divBdr>
                                                <w:top w:val="none" w:sz="0" w:space="0" w:color="auto"/>
                                                <w:left w:val="none" w:sz="0" w:space="0" w:color="auto"/>
                                                <w:bottom w:val="none" w:sz="0" w:space="0" w:color="auto"/>
                                                <w:right w:val="none" w:sz="0" w:space="0" w:color="auto"/>
                                              </w:divBdr>
                                              <w:divsChild>
                                                <w:div w:id="863132688">
                                                  <w:marLeft w:val="0"/>
                                                  <w:marRight w:val="0"/>
                                                  <w:marTop w:val="0"/>
                                                  <w:marBottom w:val="0"/>
                                                  <w:divBdr>
                                                    <w:top w:val="none" w:sz="0" w:space="0" w:color="auto"/>
                                                    <w:left w:val="none" w:sz="0" w:space="0" w:color="auto"/>
                                                    <w:bottom w:val="none" w:sz="0" w:space="0" w:color="auto"/>
                                                    <w:right w:val="none" w:sz="0" w:space="0" w:color="auto"/>
                                                  </w:divBdr>
                                                </w:div>
                                              </w:divsChild>
                                            </w:div>
                                            <w:div w:id="1240601061">
                                              <w:marLeft w:val="0"/>
                                              <w:marRight w:val="0"/>
                                              <w:marTop w:val="0"/>
                                              <w:marBottom w:val="0"/>
                                              <w:divBdr>
                                                <w:top w:val="none" w:sz="0" w:space="0" w:color="auto"/>
                                                <w:left w:val="none" w:sz="0" w:space="0" w:color="auto"/>
                                                <w:bottom w:val="none" w:sz="0" w:space="0" w:color="auto"/>
                                                <w:right w:val="none" w:sz="0" w:space="0" w:color="auto"/>
                                              </w:divBdr>
                                              <w:divsChild>
                                                <w:div w:id="14826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09646">
                              <w:marLeft w:val="0"/>
                              <w:marRight w:val="0"/>
                              <w:marTop w:val="0"/>
                              <w:marBottom w:val="0"/>
                              <w:divBdr>
                                <w:top w:val="none" w:sz="0" w:space="0" w:color="auto"/>
                                <w:left w:val="none" w:sz="0" w:space="0" w:color="auto"/>
                                <w:bottom w:val="none" w:sz="0" w:space="0" w:color="auto"/>
                                <w:right w:val="none" w:sz="0" w:space="0" w:color="auto"/>
                              </w:divBdr>
                              <w:divsChild>
                                <w:div w:id="1668634609">
                                  <w:marLeft w:val="0"/>
                                  <w:marRight w:val="0"/>
                                  <w:marTop w:val="0"/>
                                  <w:marBottom w:val="0"/>
                                  <w:divBdr>
                                    <w:top w:val="none" w:sz="0" w:space="0" w:color="auto"/>
                                    <w:left w:val="none" w:sz="0" w:space="0" w:color="auto"/>
                                    <w:bottom w:val="none" w:sz="0" w:space="0" w:color="auto"/>
                                    <w:right w:val="none" w:sz="0" w:space="0" w:color="auto"/>
                                  </w:divBdr>
                                  <w:divsChild>
                                    <w:div w:id="707485400">
                                      <w:marLeft w:val="0"/>
                                      <w:marRight w:val="0"/>
                                      <w:marTop w:val="0"/>
                                      <w:marBottom w:val="0"/>
                                      <w:divBdr>
                                        <w:top w:val="none" w:sz="0" w:space="0" w:color="auto"/>
                                        <w:left w:val="none" w:sz="0" w:space="0" w:color="auto"/>
                                        <w:bottom w:val="none" w:sz="0" w:space="0" w:color="auto"/>
                                        <w:right w:val="none" w:sz="0" w:space="0" w:color="auto"/>
                                      </w:divBdr>
                                      <w:divsChild>
                                        <w:div w:id="1029264057">
                                          <w:marLeft w:val="0"/>
                                          <w:marRight w:val="0"/>
                                          <w:marTop w:val="0"/>
                                          <w:marBottom w:val="0"/>
                                          <w:divBdr>
                                            <w:top w:val="none" w:sz="0" w:space="0" w:color="auto"/>
                                            <w:left w:val="none" w:sz="0" w:space="0" w:color="auto"/>
                                            <w:bottom w:val="none" w:sz="0" w:space="0" w:color="auto"/>
                                            <w:right w:val="none" w:sz="0" w:space="0" w:color="auto"/>
                                          </w:divBdr>
                                          <w:divsChild>
                                            <w:div w:id="423648629">
                                              <w:marLeft w:val="0"/>
                                              <w:marRight w:val="0"/>
                                              <w:marTop w:val="0"/>
                                              <w:marBottom w:val="0"/>
                                              <w:divBdr>
                                                <w:top w:val="none" w:sz="0" w:space="0" w:color="auto"/>
                                                <w:left w:val="none" w:sz="0" w:space="0" w:color="auto"/>
                                                <w:bottom w:val="single" w:sz="6" w:space="0" w:color="EFEFEF"/>
                                                <w:right w:val="none" w:sz="0" w:space="0" w:color="auto"/>
                                              </w:divBdr>
                                              <w:divsChild>
                                                <w:div w:id="1704015443">
                                                  <w:marLeft w:val="0"/>
                                                  <w:marRight w:val="0"/>
                                                  <w:marTop w:val="300"/>
                                                  <w:marBottom w:val="0"/>
                                                  <w:divBdr>
                                                    <w:top w:val="none" w:sz="0" w:space="0" w:color="auto"/>
                                                    <w:left w:val="none" w:sz="0" w:space="0" w:color="auto"/>
                                                    <w:bottom w:val="none" w:sz="0" w:space="0" w:color="auto"/>
                                                    <w:right w:val="none" w:sz="0" w:space="0" w:color="auto"/>
                                                  </w:divBdr>
                                                </w:div>
                                              </w:divsChild>
                                            </w:div>
                                            <w:div w:id="1034770396">
                                              <w:marLeft w:val="0"/>
                                              <w:marRight w:val="0"/>
                                              <w:marTop w:val="0"/>
                                              <w:marBottom w:val="0"/>
                                              <w:divBdr>
                                                <w:top w:val="none" w:sz="0" w:space="0" w:color="auto"/>
                                                <w:left w:val="none" w:sz="0" w:space="0" w:color="auto"/>
                                                <w:bottom w:val="none" w:sz="0" w:space="0" w:color="auto"/>
                                                <w:right w:val="none" w:sz="0" w:space="0" w:color="auto"/>
                                              </w:divBdr>
                                              <w:divsChild>
                                                <w:div w:id="128017715">
                                                  <w:marLeft w:val="0"/>
                                                  <w:marRight w:val="0"/>
                                                  <w:marTop w:val="180"/>
                                                  <w:marBottom w:val="0"/>
                                                  <w:divBdr>
                                                    <w:top w:val="none" w:sz="0" w:space="0" w:color="auto"/>
                                                    <w:left w:val="none" w:sz="0" w:space="0" w:color="auto"/>
                                                    <w:bottom w:val="none" w:sz="0" w:space="0" w:color="auto"/>
                                                    <w:right w:val="none" w:sz="0" w:space="0" w:color="auto"/>
                                                  </w:divBdr>
                                                </w:div>
                                                <w:div w:id="2039819246">
                                                  <w:marLeft w:val="0"/>
                                                  <w:marRight w:val="0"/>
                                                  <w:marTop w:val="240"/>
                                                  <w:marBottom w:val="0"/>
                                                  <w:divBdr>
                                                    <w:top w:val="none" w:sz="0" w:space="0" w:color="auto"/>
                                                    <w:left w:val="none" w:sz="0" w:space="0" w:color="auto"/>
                                                    <w:bottom w:val="none" w:sz="0" w:space="0" w:color="auto"/>
                                                    <w:right w:val="none" w:sz="0" w:space="0" w:color="auto"/>
                                                  </w:divBdr>
                                                </w:div>
                                                <w:div w:id="1440222914">
                                                  <w:marLeft w:val="0"/>
                                                  <w:marRight w:val="0"/>
                                                  <w:marTop w:val="0"/>
                                                  <w:marBottom w:val="0"/>
                                                  <w:divBdr>
                                                    <w:top w:val="none" w:sz="0" w:space="0" w:color="auto"/>
                                                    <w:left w:val="none" w:sz="0" w:space="0" w:color="auto"/>
                                                    <w:bottom w:val="none" w:sz="0" w:space="0" w:color="auto"/>
                                                    <w:right w:val="none" w:sz="0" w:space="0" w:color="auto"/>
                                                  </w:divBdr>
                                                  <w:divsChild>
                                                    <w:div w:id="208346504">
                                                      <w:marLeft w:val="0"/>
                                                      <w:marRight w:val="0"/>
                                                      <w:marTop w:val="0"/>
                                                      <w:marBottom w:val="0"/>
                                                      <w:divBdr>
                                                        <w:top w:val="none" w:sz="0" w:space="0" w:color="auto"/>
                                                        <w:left w:val="none" w:sz="0" w:space="0" w:color="auto"/>
                                                        <w:bottom w:val="none" w:sz="0" w:space="0" w:color="auto"/>
                                                        <w:right w:val="none" w:sz="0" w:space="0" w:color="auto"/>
                                                      </w:divBdr>
                                                      <w:divsChild>
                                                        <w:div w:id="857694452">
                                                          <w:marLeft w:val="0"/>
                                                          <w:marRight w:val="0"/>
                                                          <w:marTop w:val="0"/>
                                                          <w:marBottom w:val="0"/>
                                                          <w:divBdr>
                                                            <w:top w:val="none" w:sz="0" w:space="0" w:color="auto"/>
                                                            <w:left w:val="none" w:sz="0" w:space="0" w:color="auto"/>
                                                            <w:bottom w:val="none" w:sz="0" w:space="0" w:color="auto"/>
                                                            <w:right w:val="none" w:sz="0" w:space="0" w:color="auto"/>
                                                          </w:divBdr>
                                                        </w:div>
                                                      </w:divsChild>
                                                    </w:div>
                                                    <w:div w:id="1704087029">
                                                      <w:marLeft w:val="0"/>
                                                      <w:marRight w:val="0"/>
                                                      <w:marTop w:val="0"/>
                                                      <w:marBottom w:val="0"/>
                                                      <w:divBdr>
                                                        <w:top w:val="none" w:sz="0" w:space="0" w:color="auto"/>
                                                        <w:left w:val="none" w:sz="0" w:space="0" w:color="auto"/>
                                                        <w:bottom w:val="none" w:sz="0" w:space="0" w:color="auto"/>
                                                        <w:right w:val="none" w:sz="0" w:space="0" w:color="auto"/>
                                                      </w:divBdr>
                                                      <w:divsChild>
                                                        <w:div w:id="2058554091">
                                                          <w:marLeft w:val="0"/>
                                                          <w:marRight w:val="0"/>
                                                          <w:marTop w:val="0"/>
                                                          <w:marBottom w:val="0"/>
                                                          <w:divBdr>
                                                            <w:top w:val="none" w:sz="0" w:space="0" w:color="auto"/>
                                                            <w:left w:val="none" w:sz="0" w:space="0" w:color="auto"/>
                                                            <w:bottom w:val="none" w:sz="0" w:space="0" w:color="auto"/>
                                                            <w:right w:val="none" w:sz="0" w:space="0" w:color="auto"/>
                                                          </w:divBdr>
                                                        </w:div>
                                                      </w:divsChild>
                                                    </w:div>
                                                    <w:div w:id="1820727035">
                                                      <w:marLeft w:val="0"/>
                                                      <w:marRight w:val="0"/>
                                                      <w:marTop w:val="0"/>
                                                      <w:marBottom w:val="0"/>
                                                      <w:divBdr>
                                                        <w:top w:val="none" w:sz="0" w:space="0" w:color="auto"/>
                                                        <w:left w:val="none" w:sz="0" w:space="0" w:color="auto"/>
                                                        <w:bottom w:val="none" w:sz="0" w:space="0" w:color="auto"/>
                                                        <w:right w:val="none" w:sz="0" w:space="0" w:color="auto"/>
                                                      </w:divBdr>
                                                      <w:divsChild>
                                                        <w:div w:id="1368599154">
                                                          <w:marLeft w:val="0"/>
                                                          <w:marRight w:val="0"/>
                                                          <w:marTop w:val="0"/>
                                                          <w:marBottom w:val="0"/>
                                                          <w:divBdr>
                                                            <w:top w:val="none" w:sz="0" w:space="0" w:color="auto"/>
                                                            <w:left w:val="none" w:sz="0" w:space="0" w:color="auto"/>
                                                            <w:bottom w:val="none" w:sz="0" w:space="0" w:color="auto"/>
                                                            <w:right w:val="none" w:sz="0" w:space="0" w:color="auto"/>
                                                          </w:divBdr>
                                                        </w:div>
                                                      </w:divsChild>
                                                    </w:div>
                                                    <w:div w:id="1356613179">
                                                      <w:marLeft w:val="0"/>
                                                      <w:marRight w:val="0"/>
                                                      <w:marTop w:val="0"/>
                                                      <w:marBottom w:val="0"/>
                                                      <w:divBdr>
                                                        <w:top w:val="none" w:sz="0" w:space="0" w:color="auto"/>
                                                        <w:left w:val="none" w:sz="0" w:space="0" w:color="auto"/>
                                                        <w:bottom w:val="none" w:sz="0" w:space="0" w:color="auto"/>
                                                        <w:right w:val="none" w:sz="0" w:space="0" w:color="auto"/>
                                                      </w:divBdr>
                                                      <w:divsChild>
                                                        <w:div w:id="749425658">
                                                          <w:marLeft w:val="0"/>
                                                          <w:marRight w:val="0"/>
                                                          <w:marTop w:val="0"/>
                                                          <w:marBottom w:val="0"/>
                                                          <w:divBdr>
                                                            <w:top w:val="none" w:sz="0" w:space="0" w:color="auto"/>
                                                            <w:left w:val="none" w:sz="0" w:space="0" w:color="auto"/>
                                                            <w:bottom w:val="none" w:sz="0" w:space="0" w:color="auto"/>
                                                            <w:right w:val="none" w:sz="0" w:space="0" w:color="auto"/>
                                                          </w:divBdr>
                                                        </w:div>
                                                      </w:divsChild>
                                                    </w:div>
                                                    <w:div w:id="548885128">
                                                      <w:marLeft w:val="0"/>
                                                      <w:marRight w:val="0"/>
                                                      <w:marTop w:val="0"/>
                                                      <w:marBottom w:val="0"/>
                                                      <w:divBdr>
                                                        <w:top w:val="none" w:sz="0" w:space="0" w:color="auto"/>
                                                        <w:left w:val="none" w:sz="0" w:space="0" w:color="auto"/>
                                                        <w:bottom w:val="none" w:sz="0" w:space="0" w:color="auto"/>
                                                        <w:right w:val="none" w:sz="0" w:space="0" w:color="auto"/>
                                                      </w:divBdr>
                                                      <w:divsChild>
                                                        <w:div w:id="212040280">
                                                          <w:marLeft w:val="0"/>
                                                          <w:marRight w:val="0"/>
                                                          <w:marTop w:val="0"/>
                                                          <w:marBottom w:val="0"/>
                                                          <w:divBdr>
                                                            <w:top w:val="none" w:sz="0" w:space="0" w:color="auto"/>
                                                            <w:left w:val="none" w:sz="0" w:space="0" w:color="auto"/>
                                                            <w:bottom w:val="none" w:sz="0" w:space="0" w:color="auto"/>
                                                            <w:right w:val="none" w:sz="0" w:space="0" w:color="auto"/>
                                                          </w:divBdr>
                                                        </w:div>
                                                      </w:divsChild>
                                                    </w:div>
                                                    <w:div w:id="2102022969">
                                                      <w:marLeft w:val="0"/>
                                                      <w:marRight w:val="0"/>
                                                      <w:marTop w:val="0"/>
                                                      <w:marBottom w:val="0"/>
                                                      <w:divBdr>
                                                        <w:top w:val="none" w:sz="0" w:space="0" w:color="auto"/>
                                                        <w:left w:val="none" w:sz="0" w:space="0" w:color="auto"/>
                                                        <w:bottom w:val="none" w:sz="0" w:space="0" w:color="auto"/>
                                                        <w:right w:val="none" w:sz="0" w:space="0" w:color="auto"/>
                                                      </w:divBdr>
                                                      <w:divsChild>
                                                        <w:div w:id="10839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5895">
                                      <w:marLeft w:val="0"/>
                                      <w:marRight w:val="0"/>
                                      <w:marTop w:val="0"/>
                                      <w:marBottom w:val="0"/>
                                      <w:divBdr>
                                        <w:top w:val="none" w:sz="0" w:space="0" w:color="auto"/>
                                        <w:left w:val="none" w:sz="0" w:space="0" w:color="auto"/>
                                        <w:bottom w:val="none" w:sz="0" w:space="0" w:color="auto"/>
                                        <w:right w:val="none" w:sz="0" w:space="0" w:color="auto"/>
                                      </w:divBdr>
                                      <w:divsChild>
                                        <w:div w:id="195851418">
                                          <w:marLeft w:val="0"/>
                                          <w:marRight w:val="0"/>
                                          <w:marTop w:val="0"/>
                                          <w:marBottom w:val="0"/>
                                          <w:divBdr>
                                            <w:top w:val="none" w:sz="0" w:space="0" w:color="auto"/>
                                            <w:left w:val="none" w:sz="0" w:space="0" w:color="auto"/>
                                            <w:bottom w:val="none" w:sz="0" w:space="0" w:color="auto"/>
                                            <w:right w:val="none" w:sz="0" w:space="0" w:color="auto"/>
                                          </w:divBdr>
                                          <w:divsChild>
                                            <w:div w:id="1925917217">
                                              <w:marLeft w:val="0"/>
                                              <w:marRight w:val="0"/>
                                              <w:marTop w:val="0"/>
                                              <w:marBottom w:val="0"/>
                                              <w:divBdr>
                                                <w:top w:val="none" w:sz="0" w:space="0" w:color="auto"/>
                                                <w:left w:val="none" w:sz="0" w:space="0" w:color="auto"/>
                                                <w:bottom w:val="none" w:sz="0" w:space="0" w:color="auto"/>
                                                <w:right w:val="none" w:sz="0" w:space="0" w:color="auto"/>
                                              </w:divBdr>
                                              <w:divsChild>
                                                <w:div w:id="416557085">
                                                  <w:marLeft w:val="0"/>
                                                  <w:marRight w:val="0"/>
                                                  <w:marTop w:val="0"/>
                                                  <w:marBottom w:val="0"/>
                                                  <w:divBdr>
                                                    <w:top w:val="none" w:sz="0" w:space="0" w:color="auto"/>
                                                    <w:left w:val="none" w:sz="0" w:space="0" w:color="auto"/>
                                                    <w:bottom w:val="none" w:sz="0" w:space="0" w:color="auto"/>
                                                    <w:right w:val="none" w:sz="0" w:space="0" w:color="auto"/>
                                                  </w:divBdr>
                                                </w:div>
                                              </w:divsChild>
                                            </w:div>
                                            <w:div w:id="1454133250">
                                              <w:marLeft w:val="0"/>
                                              <w:marRight w:val="0"/>
                                              <w:marTop w:val="0"/>
                                              <w:marBottom w:val="0"/>
                                              <w:divBdr>
                                                <w:top w:val="none" w:sz="0" w:space="0" w:color="auto"/>
                                                <w:left w:val="none" w:sz="0" w:space="0" w:color="auto"/>
                                                <w:bottom w:val="none" w:sz="0" w:space="0" w:color="auto"/>
                                                <w:right w:val="none" w:sz="0" w:space="0" w:color="auto"/>
                                              </w:divBdr>
                                              <w:divsChild>
                                                <w:div w:id="2029256763">
                                                  <w:marLeft w:val="0"/>
                                                  <w:marRight w:val="0"/>
                                                  <w:marTop w:val="0"/>
                                                  <w:marBottom w:val="0"/>
                                                  <w:divBdr>
                                                    <w:top w:val="none" w:sz="0" w:space="0" w:color="auto"/>
                                                    <w:left w:val="none" w:sz="0" w:space="0" w:color="auto"/>
                                                    <w:bottom w:val="none" w:sz="0" w:space="0" w:color="auto"/>
                                                    <w:right w:val="none" w:sz="0" w:space="0" w:color="auto"/>
                                                  </w:divBdr>
                                                  <w:divsChild>
                                                    <w:div w:id="1283073660">
                                                      <w:marLeft w:val="0"/>
                                                      <w:marRight w:val="0"/>
                                                      <w:marTop w:val="0"/>
                                                      <w:marBottom w:val="0"/>
                                                      <w:divBdr>
                                                        <w:top w:val="none" w:sz="0" w:space="0" w:color="auto"/>
                                                        <w:left w:val="none" w:sz="0" w:space="0" w:color="auto"/>
                                                        <w:bottom w:val="none" w:sz="0" w:space="0" w:color="auto"/>
                                                        <w:right w:val="none" w:sz="0" w:space="0" w:color="auto"/>
                                                      </w:divBdr>
                                                      <w:divsChild>
                                                        <w:div w:id="318660820">
                                                          <w:marLeft w:val="0"/>
                                                          <w:marRight w:val="0"/>
                                                          <w:marTop w:val="0"/>
                                                          <w:marBottom w:val="0"/>
                                                          <w:divBdr>
                                                            <w:top w:val="none" w:sz="0" w:space="0" w:color="auto"/>
                                                            <w:left w:val="none" w:sz="0" w:space="0" w:color="auto"/>
                                                            <w:bottom w:val="none" w:sz="0" w:space="0" w:color="auto"/>
                                                            <w:right w:val="none" w:sz="0" w:space="0" w:color="auto"/>
                                                          </w:divBdr>
                                                          <w:divsChild>
                                                            <w:div w:id="1421021916">
                                                              <w:marLeft w:val="0"/>
                                                              <w:marRight w:val="0"/>
                                                              <w:marTop w:val="0"/>
                                                              <w:marBottom w:val="0"/>
                                                              <w:divBdr>
                                                                <w:top w:val="none" w:sz="0" w:space="0" w:color="auto"/>
                                                                <w:left w:val="none" w:sz="0" w:space="0" w:color="auto"/>
                                                                <w:bottom w:val="none" w:sz="0" w:space="0" w:color="auto"/>
                                                                <w:right w:val="none" w:sz="0" w:space="0" w:color="auto"/>
                                                              </w:divBdr>
                                                              <w:divsChild>
                                                                <w:div w:id="21433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09079">
                                      <w:marLeft w:val="0"/>
                                      <w:marRight w:val="0"/>
                                      <w:marTop w:val="0"/>
                                      <w:marBottom w:val="0"/>
                                      <w:divBdr>
                                        <w:top w:val="none" w:sz="0" w:space="0" w:color="auto"/>
                                        <w:left w:val="none" w:sz="0" w:space="0" w:color="auto"/>
                                        <w:bottom w:val="none" w:sz="0" w:space="0" w:color="auto"/>
                                        <w:right w:val="none" w:sz="0" w:space="0" w:color="auto"/>
                                      </w:divBdr>
                                      <w:divsChild>
                                        <w:div w:id="1197961365">
                                          <w:marLeft w:val="0"/>
                                          <w:marRight w:val="0"/>
                                          <w:marTop w:val="0"/>
                                          <w:marBottom w:val="0"/>
                                          <w:divBdr>
                                            <w:top w:val="none" w:sz="0" w:space="0" w:color="auto"/>
                                            <w:left w:val="none" w:sz="0" w:space="0" w:color="auto"/>
                                            <w:bottom w:val="none" w:sz="0" w:space="0" w:color="auto"/>
                                            <w:right w:val="none" w:sz="0" w:space="0" w:color="auto"/>
                                          </w:divBdr>
                                          <w:divsChild>
                                            <w:div w:id="914779975">
                                              <w:marLeft w:val="0"/>
                                              <w:marRight w:val="0"/>
                                              <w:marTop w:val="0"/>
                                              <w:marBottom w:val="0"/>
                                              <w:divBdr>
                                                <w:top w:val="none" w:sz="0" w:space="0" w:color="auto"/>
                                                <w:left w:val="none" w:sz="0" w:space="0" w:color="auto"/>
                                                <w:bottom w:val="none" w:sz="0" w:space="0" w:color="auto"/>
                                                <w:right w:val="none" w:sz="0" w:space="0" w:color="auto"/>
                                              </w:divBdr>
                                              <w:divsChild>
                                                <w:div w:id="409426755">
                                                  <w:marLeft w:val="0"/>
                                                  <w:marRight w:val="0"/>
                                                  <w:marTop w:val="0"/>
                                                  <w:marBottom w:val="0"/>
                                                  <w:divBdr>
                                                    <w:top w:val="none" w:sz="0" w:space="0" w:color="auto"/>
                                                    <w:left w:val="none" w:sz="0" w:space="0" w:color="auto"/>
                                                    <w:bottom w:val="none" w:sz="0" w:space="0" w:color="auto"/>
                                                    <w:right w:val="none" w:sz="0" w:space="0" w:color="auto"/>
                                                  </w:divBdr>
                                                </w:div>
                                              </w:divsChild>
                                            </w:div>
                                            <w:div w:id="158157222">
                                              <w:marLeft w:val="0"/>
                                              <w:marRight w:val="0"/>
                                              <w:marTop w:val="0"/>
                                              <w:marBottom w:val="0"/>
                                              <w:divBdr>
                                                <w:top w:val="none" w:sz="0" w:space="0" w:color="auto"/>
                                                <w:left w:val="none" w:sz="0" w:space="0" w:color="auto"/>
                                                <w:bottom w:val="none" w:sz="0" w:space="0" w:color="auto"/>
                                                <w:right w:val="none" w:sz="0" w:space="0" w:color="auto"/>
                                              </w:divBdr>
                                              <w:divsChild>
                                                <w:div w:id="675885196">
                                                  <w:marLeft w:val="0"/>
                                                  <w:marRight w:val="0"/>
                                                  <w:marTop w:val="0"/>
                                                  <w:marBottom w:val="0"/>
                                                  <w:divBdr>
                                                    <w:top w:val="none" w:sz="0" w:space="0" w:color="auto"/>
                                                    <w:left w:val="none" w:sz="0" w:space="0" w:color="auto"/>
                                                    <w:bottom w:val="none" w:sz="0" w:space="0" w:color="auto"/>
                                                    <w:right w:val="none" w:sz="0" w:space="0" w:color="auto"/>
                                                  </w:divBdr>
                                                </w:div>
                                              </w:divsChild>
                                            </w:div>
                                            <w:div w:id="1366253272">
                                              <w:marLeft w:val="0"/>
                                              <w:marRight w:val="0"/>
                                              <w:marTop w:val="60"/>
                                              <w:marBottom w:val="0"/>
                                              <w:divBdr>
                                                <w:top w:val="none" w:sz="0" w:space="0" w:color="auto"/>
                                                <w:left w:val="none" w:sz="0" w:space="0" w:color="auto"/>
                                                <w:bottom w:val="none" w:sz="0" w:space="0" w:color="auto"/>
                                                <w:right w:val="none" w:sz="0" w:space="0" w:color="auto"/>
                                              </w:divBdr>
                                              <w:divsChild>
                                                <w:div w:id="290525691">
                                                  <w:marLeft w:val="0"/>
                                                  <w:marRight w:val="0"/>
                                                  <w:marTop w:val="0"/>
                                                  <w:marBottom w:val="0"/>
                                                  <w:divBdr>
                                                    <w:top w:val="none" w:sz="0" w:space="0" w:color="auto"/>
                                                    <w:left w:val="none" w:sz="0" w:space="0" w:color="auto"/>
                                                    <w:bottom w:val="none" w:sz="0" w:space="0" w:color="auto"/>
                                                    <w:right w:val="none" w:sz="0" w:space="0" w:color="auto"/>
                                                  </w:divBdr>
                                                </w:div>
                                              </w:divsChild>
                                            </w:div>
                                            <w:div w:id="1190413657">
                                              <w:marLeft w:val="0"/>
                                              <w:marRight w:val="0"/>
                                              <w:marTop w:val="180"/>
                                              <w:marBottom w:val="0"/>
                                              <w:divBdr>
                                                <w:top w:val="none" w:sz="0" w:space="0" w:color="auto"/>
                                                <w:left w:val="none" w:sz="0" w:space="0" w:color="auto"/>
                                                <w:bottom w:val="none" w:sz="0" w:space="0" w:color="auto"/>
                                                <w:right w:val="none" w:sz="0" w:space="0" w:color="auto"/>
                                              </w:divBdr>
                                              <w:divsChild>
                                                <w:div w:id="1208563638">
                                                  <w:marLeft w:val="0"/>
                                                  <w:marRight w:val="0"/>
                                                  <w:marTop w:val="0"/>
                                                  <w:marBottom w:val="0"/>
                                                  <w:divBdr>
                                                    <w:top w:val="none" w:sz="0" w:space="0" w:color="auto"/>
                                                    <w:left w:val="none" w:sz="0" w:space="0" w:color="auto"/>
                                                    <w:bottom w:val="none" w:sz="0" w:space="0" w:color="auto"/>
                                                    <w:right w:val="none" w:sz="0" w:space="0" w:color="auto"/>
                                                  </w:divBdr>
                                                  <w:divsChild>
                                                    <w:div w:id="4950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5579">
                                              <w:marLeft w:val="0"/>
                                              <w:marRight w:val="0"/>
                                              <w:marTop w:val="180"/>
                                              <w:marBottom w:val="0"/>
                                              <w:divBdr>
                                                <w:top w:val="none" w:sz="0" w:space="0" w:color="auto"/>
                                                <w:left w:val="none" w:sz="0" w:space="0" w:color="auto"/>
                                                <w:bottom w:val="none" w:sz="0" w:space="0" w:color="auto"/>
                                                <w:right w:val="none" w:sz="0" w:space="0" w:color="auto"/>
                                              </w:divBdr>
                                              <w:divsChild>
                                                <w:div w:id="316106659">
                                                  <w:marLeft w:val="0"/>
                                                  <w:marRight w:val="0"/>
                                                  <w:marTop w:val="0"/>
                                                  <w:marBottom w:val="0"/>
                                                  <w:divBdr>
                                                    <w:top w:val="none" w:sz="0" w:space="0" w:color="auto"/>
                                                    <w:left w:val="none" w:sz="0" w:space="0" w:color="auto"/>
                                                    <w:bottom w:val="none" w:sz="0" w:space="0" w:color="auto"/>
                                                    <w:right w:val="none" w:sz="0" w:space="0" w:color="auto"/>
                                                  </w:divBdr>
                                                  <w:divsChild>
                                                    <w:div w:id="3001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19639">
                                              <w:marLeft w:val="0"/>
                                              <w:marRight w:val="0"/>
                                              <w:marTop w:val="60"/>
                                              <w:marBottom w:val="0"/>
                                              <w:divBdr>
                                                <w:top w:val="none" w:sz="0" w:space="0" w:color="auto"/>
                                                <w:left w:val="none" w:sz="0" w:space="0" w:color="auto"/>
                                                <w:bottom w:val="none" w:sz="0" w:space="0" w:color="auto"/>
                                                <w:right w:val="none" w:sz="0" w:space="0" w:color="auto"/>
                                              </w:divBdr>
                                            </w:div>
                                          </w:divsChild>
                                        </w:div>
                                        <w:div w:id="1055204536">
                                          <w:marLeft w:val="0"/>
                                          <w:marRight w:val="0"/>
                                          <w:marTop w:val="0"/>
                                          <w:marBottom w:val="0"/>
                                          <w:divBdr>
                                            <w:top w:val="none" w:sz="0" w:space="0" w:color="auto"/>
                                            <w:left w:val="none" w:sz="0" w:space="0" w:color="auto"/>
                                            <w:bottom w:val="none" w:sz="0" w:space="0" w:color="auto"/>
                                            <w:right w:val="none" w:sz="0" w:space="0" w:color="auto"/>
                                          </w:divBdr>
                                          <w:divsChild>
                                            <w:div w:id="612857116">
                                              <w:marLeft w:val="0"/>
                                              <w:marRight w:val="0"/>
                                              <w:marTop w:val="0"/>
                                              <w:marBottom w:val="0"/>
                                              <w:divBdr>
                                                <w:top w:val="none" w:sz="0" w:space="0" w:color="auto"/>
                                                <w:left w:val="none" w:sz="0" w:space="0" w:color="auto"/>
                                                <w:bottom w:val="none" w:sz="0" w:space="0" w:color="auto"/>
                                                <w:right w:val="none" w:sz="0" w:space="0" w:color="auto"/>
                                              </w:divBdr>
                                              <w:divsChild>
                                                <w:div w:id="1533347641">
                                                  <w:marLeft w:val="0"/>
                                                  <w:marRight w:val="0"/>
                                                  <w:marTop w:val="0"/>
                                                  <w:marBottom w:val="0"/>
                                                  <w:divBdr>
                                                    <w:top w:val="none" w:sz="0" w:space="0" w:color="auto"/>
                                                    <w:left w:val="none" w:sz="0" w:space="0" w:color="auto"/>
                                                    <w:bottom w:val="none" w:sz="0" w:space="0" w:color="auto"/>
                                                    <w:right w:val="none" w:sz="0" w:space="0" w:color="auto"/>
                                                  </w:divBdr>
                                                  <w:divsChild>
                                                    <w:div w:id="5878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5591">
                                              <w:marLeft w:val="0"/>
                                              <w:marRight w:val="0"/>
                                              <w:marTop w:val="0"/>
                                              <w:marBottom w:val="0"/>
                                              <w:divBdr>
                                                <w:top w:val="none" w:sz="0" w:space="0" w:color="auto"/>
                                                <w:left w:val="none" w:sz="0" w:space="0" w:color="auto"/>
                                                <w:bottom w:val="none" w:sz="0" w:space="0" w:color="auto"/>
                                                <w:right w:val="none" w:sz="0" w:space="0" w:color="auto"/>
                                              </w:divBdr>
                                              <w:divsChild>
                                                <w:div w:id="18487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088">
                                  <w:marLeft w:val="0"/>
                                  <w:marRight w:val="0"/>
                                  <w:marTop w:val="0"/>
                                  <w:marBottom w:val="0"/>
                                  <w:divBdr>
                                    <w:top w:val="none" w:sz="0" w:space="0" w:color="auto"/>
                                    <w:left w:val="none" w:sz="0" w:space="0" w:color="auto"/>
                                    <w:bottom w:val="none" w:sz="0" w:space="0" w:color="auto"/>
                                    <w:right w:val="none" w:sz="0" w:space="0" w:color="auto"/>
                                  </w:divBdr>
                                </w:div>
                                <w:div w:id="2135713140">
                                  <w:marLeft w:val="0"/>
                                  <w:marRight w:val="0"/>
                                  <w:marTop w:val="0"/>
                                  <w:marBottom w:val="0"/>
                                  <w:divBdr>
                                    <w:top w:val="none" w:sz="0" w:space="0" w:color="auto"/>
                                    <w:left w:val="none" w:sz="0" w:space="0" w:color="auto"/>
                                    <w:bottom w:val="none" w:sz="0" w:space="0" w:color="auto"/>
                                    <w:right w:val="none" w:sz="0" w:space="0" w:color="auto"/>
                                  </w:divBdr>
                                  <w:divsChild>
                                    <w:div w:id="157842090">
                                      <w:marLeft w:val="0"/>
                                      <w:marRight w:val="0"/>
                                      <w:marTop w:val="0"/>
                                      <w:marBottom w:val="0"/>
                                      <w:divBdr>
                                        <w:top w:val="none" w:sz="0" w:space="0" w:color="auto"/>
                                        <w:left w:val="none" w:sz="0" w:space="0" w:color="auto"/>
                                        <w:bottom w:val="none" w:sz="0" w:space="0" w:color="auto"/>
                                        <w:right w:val="none" w:sz="0" w:space="0" w:color="auto"/>
                                      </w:divBdr>
                                      <w:divsChild>
                                        <w:div w:id="1859394338">
                                          <w:marLeft w:val="0"/>
                                          <w:marRight w:val="0"/>
                                          <w:marTop w:val="0"/>
                                          <w:marBottom w:val="0"/>
                                          <w:divBdr>
                                            <w:top w:val="none" w:sz="0" w:space="0" w:color="auto"/>
                                            <w:left w:val="none" w:sz="0" w:space="0" w:color="auto"/>
                                            <w:bottom w:val="none" w:sz="0" w:space="0" w:color="auto"/>
                                            <w:right w:val="none" w:sz="0" w:space="0" w:color="auto"/>
                                          </w:divBdr>
                                          <w:divsChild>
                                            <w:div w:id="27531675">
                                              <w:marLeft w:val="0"/>
                                              <w:marRight w:val="0"/>
                                              <w:marTop w:val="0"/>
                                              <w:marBottom w:val="0"/>
                                              <w:divBdr>
                                                <w:top w:val="none" w:sz="0" w:space="0" w:color="auto"/>
                                                <w:left w:val="none" w:sz="0" w:space="0" w:color="auto"/>
                                                <w:bottom w:val="none" w:sz="0" w:space="0" w:color="auto"/>
                                                <w:right w:val="none" w:sz="0" w:space="0" w:color="auto"/>
                                              </w:divBdr>
                                              <w:divsChild>
                                                <w:div w:id="1011645329">
                                                  <w:marLeft w:val="0"/>
                                                  <w:marRight w:val="0"/>
                                                  <w:marTop w:val="0"/>
                                                  <w:marBottom w:val="0"/>
                                                  <w:divBdr>
                                                    <w:top w:val="none" w:sz="0" w:space="0" w:color="auto"/>
                                                    <w:left w:val="none" w:sz="0" w:space="0" w:color="auto"/>
                                                    <w:bottom w:val="none" w:sz="0" w:space="0" w:color="auto"/>
                                                    <w:right w:val="none" w:sz="0" w:space="0" w:color="auto"/>
                                                  </w:divBdr>
                                                </w:div>
                                                <w:div w:id="841968643">
                                                  <w:marLeft w:val="0"/>
                                                  <w:marRight w:val="0"/>
                                                  <w:marTop w:val="0"/>
                                                  <w:marBottom w:val="0"/>
                                                  <w:divBdr>
                                                    <w:top w:val="none" w:sz="0" w:space="0" w:color="auto"/>
                                                    <w:left w:val="none" w:sz="0" w:space="0" w:color="auto"/>
                                                    <w:bottom w:val="none" w:sz="0" w:space="0" w:color="auto"/>
                                                    <w:right w:val="none" w:sz="0" w:space="0" w:color="auto"/>
                                                  </w:divBdr>
                                                  <w:divsChild>
                                                    <w:div w:id="316307255">
                                                      <w:marLeft w:val="0"/>
                                                      <w:marRight w:val="0"/>
                                                      <w:marTop w:val="0"/>
                                                      <w:marBottom w:val="0"/>
                                                      <w:divBdr>
                                                        <w:top w:val="none" w:sz="0" w:space="0" w:color="auto"/>
                                                        <w:left w:val="none" w:sz="0" w:space="0" w:color="auto"/>
                                                        <w:bottom w:val="none" w:sz="0" w:space="0" w:color="auto"/>
                                                        <w:right w:val="none" w:sz="0" w:space="0" w:color="auto"/>
                                                      </w:divBdr>
                                                    </w:div>
                                                  </w:divsChild>
                                                </w:div>
                                                <w:div w:id="1562668410">
                                                  <w:marLeft w:val="0"/>
                                                  <w:marRight w:val="0"/>
                                                  <w:marTop w:val="0"/>
                                                  <w:marBottom w:val="60"/>
                                                  <w:divBdr>
                                                    <w:top w:val="none" w:sz="0" w:space="0" w:color="auto"/>
                                                    <w:left w:val="none" w:sz="0" w:space="0" w:color="auto"/>
                                                    <w:bottom w:val="none" w:sz="0" w:space="0" w:color="auto"/>
                                                    <w:right w:val="none" w:sz="0" w:space="0" w:color="auto"/>
                                                  </w:divBdr>
                                                  <w:divsChild>
                                                    <w:div w:id="5361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4514">
                                          <w:marLeft w:val="0"/>
                                          <w:marRight w:val="0"/>
                                          <w:marTop w:val="0"/>
                                          <w:marBottom w:val="0"/>
                                          <w:divBdr>
                                            <w:top w:val="none" w:sz="0" w:space="0" w:color="auto"/>
                                            <w:left w:val="none" w:sz="0" w:space="0" w:color="auto"/>
                                            <w:bottom w:val="none" w:sz="0" w:space="0" w:color="auto"/>
                                            <w:right w:val="none" w:sz="0" w:space="0" w:color="auto"/>
                                          </w:divBdr>
                                          <w:divsChild>
                                            <w:div w:id="977799381">
                                              <w:marLeft w:val="0"/>
                                              <w:marRight w:val="0"/>
                                              <w:marTop w:val="0"/>
                                              <w:marBottom w:val="0"/>
                                              <w:divBdr>
                                                <w:top w:val="none" w:sz="0" w:space="0" w:color="auto"/>
                                                <w:left w:val="none" w:sz="0" w:space="0" w:color="auto"/>
                                                <w:bottom w:val="none" w:sz="0" w:space="0" w:color="auto"/>
                                                <w:right w:val="none" w:sz="0" w:space="0" w:color="auto"/>
                                              </w:divBdr>
                                              <w:divsChild>
                                                <w:div w:id="1954046007">
                                                  <w:marLeft w:val="0"/>
                                                  <w:marRight w:val="0"/>
                                                  <w:marTop w:val="0"/>
                                                  <w:marBottom w:val="0"/>
                                                  <w:divBdr>
                                                    <w:top w:val="none" w:sz="0" w:space="0" w:color="auto"/>
                                                    <w:left w:val="none" w:sz="0" w:space="0" w:color="auto"/>
                                                    <w:bottom w:val="none" w:sz="0" w:space="0" w:color="auto"/>
                                                    <w:right w:val="none" w:sz="0" w:space="0" w:color="auto"/>
                                                  </w:divBdr>
                                                </w:div>
                                                <w:div w:id="325790911">
                                                  <w:marLeft w:val="0"/>
                                                  <w:marRight w:val="0"/>
                                                  <w:marTop w:val="0"/>
                                                  <w:marBottom w:val="0"/>
                                                  <w:divBdr>
                                                    <w:top w:val="none" w:sz="0" w:space="0" w:color="auto"/>
                                                    <w:left w:val="none" w:sz="0" w:space="0" w:color="auto"/>
                                                    <w:bottom w:val="none" w:sz="0" w:space="0" w:color="auto"/>
                                                    <w:right w:val="none" w:sz="0" w:space="0" w:color="auto"/>
                                                  </w:divBdr>
                                                  <w:divsChild>
                                                    <w:div w:id="1148473814">
                                                      <w:marLeft w:val="0"/>
                                                      <w:marRight w:val="0"/>
                                                      <w:marTop w:val="0"/>
                                                      <w:marBottom w:val="0"/>
                                                      <w:divBdr>
                                                        <w:top w:val="none" w:sz="0" w:space="0" w:color="auto"/>
                                                        <w:left w:val="none" w:sz="0" w:space="0" w:color="auto"/>
                                                        <w:bottom w:val="none" w:sz="0" w:space="0" w:color="auto"/>
                                                        <w:right w:val="none" w:sz="0" w:space="0" w:color="auto"/>
                                                      </w:divBdr>
                                                    </w:div>
                                                  </w:divsChild>
                                                </w:div>
                                                <w:div w:id="1127316607">
                                                  <w:marLeft w:val="0"/>
                                                  <w:marRight w:val="0"/>
                                                  <w:marTop w:val="0"/>
                                                  <w:marBottom w:val="60"/>
                                                  <w:divBdr>
                                                    <w:top w:val="none" w:sz="0" w:space="0" w:color="auto"/>
                                                    <w:left w:val="none" w:sz="0" w:space="0" w:color="auto"/>
                                                    <w:bottom w:val="none" w:sz="0" w:space="0" w:color="auto"/>
                                                    <w:right w:val="none" w:sz="0" w:space="0" w:color="auto"/>
                                                  </w:divBdr>
                                                  <w:divsChild>
                                                    <w:div w:id="21262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9128">
                                          <w:marLeft w:val="0"/>
                                          <w:marRight w:val="0"/>
                                          <w:marTop w:val="0"/>
                                          <w:marBottom w:val="0"/>
                                          <w:divBdr>
                                            <w:top w:val="none" w:sz="0" w:space="0" w:color="auto"/>
                                            <w:left w:val="none" w:sz="0" w:space="0" w:color="auto"/>
                                            <w:bottom w:val="none" w:sz="0" w:space="0" w:color="auto"/>
                                            <w:right w:val="none" w:sz="0" w:space="0" w:color="auto"/>
                                          </w:divBdr>
                                          <w:divsChild>
                                            <w:div w:id="584188013">
                                              <w:marLeft w:val="0"/>
                                              <w:marRight w:val="0"/>
                                              <w:marTop w:val="0"/>
                                              <w:marBottom w:val="0"/>
                                              <w:divBdr>
                                                <w:top w:val="none" w:sz="0" w:space="0" w:color="auto"/>
                                                <w:left w:val="none" w:sz="0" w:space="0" w:color="auto"/>
                                                <w:bottom w:val="none" w:sz="0" w:space="0" w:color="auto"/>
                                                <w:right w:val="none" w:sz="0" w:space="0" w:color="auto"/>
                                              </w:divBdr>
                                              <w:divsChild>
                                                <w:div w:id="1672642500">
                                                  <w:marLeft w:val="0"/>
                                                  <w:marRight w:val="0"/>
                                                  <w:marTop w:val="0"/>
                                                  <w:marBottom w:val="0"/>
                                                  <w:divBdr>
                                                    <w:top w:val="none" w:sz="0" w:space="0" w:color="auto"/>
                                                    <w:left w:val="none" w:sz="0" w:space="0" w:color="auto"/>
                                                    <w:bottom w:val="none" w:sz="0" w:space="0" w:color="auto"/>
                                                    <w:right w:val="none" w:sz="0" w:space="0" w:color="auto"/>
                                                  </w:divBdr>
                                                </w:div>
                                                <w:div w:id="117645812">
                                                  <w:marLeft w:val="0"/>
                                                  <w:marRight w:val="0"/>
                                                  <w:marTop w:val="0"/>
                                                  <w:marBottom w:val="0"/>
                                                  <w:divBdr>
                                                    <w:top w:val="none" w:sz="0" w:space="0" w:color="auto"/>
                                                    <w:left w:val="none" w:sz="0" w:space="0" w:color="auto"/>
                                                    <w:bottom w:val="none" w:sz="0" w:space="0" w:color="auto"/>
                                                    <w:right w:val="none" w:sz="0" w:space="0" w:color="auto"/>
                                                  </w:divBdr>
                                                  <w:divsChild>
                                                    <w:div w:id="748818333">
                                                      <w:marLeft w:val="0"/>
                                                      <w:marRight w:val="0"/>
                                                      <w:marTop w:val="0"/>
                                                      <w:marBottom w:val="0"/>
                                                      <w:divBdr>
                                                        <w:top w:val="none" w:sz="0" w:space="0" w:color="auto"/>
                                                        <w:left w:val="none" w:sz="0" w:space="0" w:color="auto"/>
                                                        <w:bottom w:val="none" w:sz="0" w:space="0" w:color="auto"/>
                                                        <w:right w:val="none" w:sz="0" w:space="0" w:color="auto"/>
                                                      </w:divBdr>
                                                    </w:div>
                                                  </w:divsChild>
                                                </w:div>
                                                <w:div w:id="422072687">
                                                  <w:marLeft w:val="0"/>
                                                  <w:marRight w:val="0"/>
                                                  <w:marTop w:val="0"/>
                                                  <w:marBottom w:val="60"/>
                                                  <w:divBdr>
                                                    <w:top w:val="none" w:sz="0" w:space="0" w:color="auto"/>
                                                    <w:left w:val="none" w:sz="0" w:space="0" w:color="auto"/>
                                                    <w:bottom w:val="none" w:sz="0" w:space="0" w:color="auto"/>
                                                    <w:right w:val="none" w:sz="0" w:space="0" w:color="auto"/>
                                                  </w:divBdr>
                                                  <w:divsChild>
                                                    <w:div w:id="12962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783">
                                          <w:marLeft w:val="0"/>
                                          <w:marRight w:val="0"/>
                                          <w:marTop w:val="0"/>
                                          <w:marBottom w:val="0"/>
                                          <w:divBdr>
                                            <w:top w:val="none" w:sz="0" w:space="0" w:color="auto"/>
                                            <w:left w:val="none" w:sz="0" w:space="0" w:color="auto"/>
                                            <w:bottom w:val="none" w:sz="0" w:space="0" w:color="auto"/>
                                            <w:right w:val="none" w:sz="0" w:space="0" w:color="auto"/>
                                          </w:divBdr>
                                          <w:divsChild>
                                            <w:div w:id="208804974">
                                              <w:marLeft w:val="0"/>
                                              <w:marRight w:val="0"/>
                                              <w:marTop w:val="0"/>
                                              <w:marBottom w:val="0"/>
                                              <w:divBdr>
                                                <w:top w:val="none" w:sz="0" w:space="0" w:color="auto"/>
                                                <w:left w:val="none" w:sz="0" w:space="0" w:color="auto"/>
                                                <w:bottom w:val="none" w:sz="0" w:space="0" w:color="auto"/>
                                                <w:right w:val="none" w:sz="0" w:space="0" w:color="auto"/>
                                              </w:divBdr>
                                              <w:divsChild>
                                                <w:div w:id="1227376636">
                                                  <w:marLeft w:val="0"/>
                                                  <w:marRight w:val="0"/>
                                                  <w:marTop w:val="0"/>
                                                  <w:marBottom w:val="0"/>
                                                  <w:divBdr>
                                                    <w:top w:val="none" w:sz="0" w:space="0" w:color="auto"/>
                                                    <w:left w:val="none" w:sz="0" w:space="0" w:color="auto"/>
                                                    <w:bottom w:val="none" w:sz="0" w:space="0" w:color="auto"/>
                                                    <w:right w:val="none" w:sz="0" w:space="0" w:color="auto"/>
                                                  </w:divBdr>
                                                </w:div>
                                                <w:div w:id="454956289">
                                                  <w:marLeft w:val="0"/>
                                                  <w:marRight w:val="0"/>
                                                  <w:marTop w:val="0"/>
                                                  <w:marBottom w:val="0"/>
                                                  <w:divBdr>
                                                    <w:top w:val="none" w:sz="0" w:space="0" w:color="auto"/>
                                                    <w:left w:val="none" w:sz="0" w:space="0" w:color="auto"/>
                                                    <w:bottom w:val="none" w:sz="0" w:space="0" w:color="auto"/>
                                                    <w:right w:val="none" w:sz="0" w:space="0" w:color="auto"/>
                                                  </w:divBdr>
                                                  <w:divsChild>
                                                    <w:div w:id="855268636">
                                                      <w:marLeft w:val="0"/>
                                                      <w:marRight w:val="0"/>
                                                      <w:marTop w:val="0"/>
                                                      <w:marBottom w:val="0"/>
                                                      <w:divBdr>
                                                        <w:top w:val="none" w:sz="0" w:space="0" w:color="auto"/>
                                                        <w:left w:val="none" w:sz="0" w:space="0" w:color="auto"/>
                                                        <w:bottom w:val="none" w:sz="0" w:space="0" w:color="auto"/>
                                                        <w:right w:val="none" w:sz="0" w:space="0" w:color="auto"/>
                                                      </w:divBdr>
                                                    </w:div>
                                                  </w:divsChild>
                                                </w:div>
                                                <w:div w:id="1264193691">
                                                  <w:marLeft w:val="0"/>
                                                  <w:marRight w:val="0"/>
                                                  <w:marTop w:val="0"/>
                                                  <w:marBottom w:val="60"/>
                                                  <w:divBdr>
                                                    <w:top w:val="none" w:sz="0" w:space="0" w:color="auto"/>
                                                    <w:left w:val="none" w:sz="0" w:space="0" w:color="auto"/>
                                                    <w:bottom w:val="none" w:sz="0" w:space="0" w:color="auto"/>
                                                    <w:right w:val="none" w:sz="0" w:space="0" w:color="auto"/>
                                                  </w:divBdr>
                                                  <w:divsChild>
                                                    <w:div w:id="16961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839">
                                          <w:marLeft w:val="0"/>
                                          <w:marRight w:val="0"/>
                                          <w:marTop w:val="0"/>
                                          <w:marBottom w:val="0"/>
                                          <w:divBdr>
                                            <w:top w:val="none" w:sz="0" w:space="0" w:color="auto"/>
                                            <w:left w:val="none" w:sz="0" w:space="0" w:color="auto"/>
                                            <w:bottom w:val="none" w:sz="0" w:space="0" w:color="auto"/>
                                            <w:right w:val="none" w:sz="0" w:space="0" w:color="auto"/>
                                          </w:divBdr>
                                          <w:divsChild>
                                            <w:div w:id="1669089977">
                                              <w:marLeft w:val="0"/>
                                              <w:marRight w:val="0"/>
                                              <w:marTop w:val="0"/>
                                              <w:marBottom w:val="0"/>
                                              <w:divBdr>
                                                <w:top w:val="none" w:sz="0" w:space="0" w:color="auto"/>
                                                <w:left w:val="none" w:sz="0" w:space="0" w:color="auto"/>
                                                <w:bottom w:val="none" w:sz="0" w:space="0" w:color="auto"/>
                                                <w:right w:val="none" w:sz="0" w:space="0" w:color="auto"/>
                                              </w:divBdr>
                                              <w:divsChild>
                                                <w:div w:id="1779518684">
                                                  <w:marLeft w:val="0"/>
                                                  <w:marRight w:val="0"/>
                                                  <w:marTop w:val="0"/>
                                                  <w:marBottom w:val="0"/>
                                                  <w:divBdr>
                                                    <w:top w:val="none" w:sz="0" w:space="0" w:color="auto"/>
                                                    <w:left w:val="none" w:sz="0" w:space="0" w:color="auto"/>
                                                    <w:bottom w:val="none" w:sz="0" w:space="0" w:color="auto"/>
                                                    <w:right w:val="none" w:sz="0" w:space="0" w:color="auto"/>
                                                  </w:divBdr>
                                                </w:div>
                                                <w:div w:id="79722276">
                                                  <w:marLeft w:val="0"/>
                                                  <w:marRight w:val="0"/>
                                                  <w:marTop w:val="0"/>
                                                  <w:marBottom w:val="0"/>
                                                  <w:divBdr>
                                                    <w:top w:val="none" w:sz="0" w:space="0" w:color="auto"/>
                                                    <w:left w:val="none" w:sz="0" w:space="0" w:color="auto"/>
                                                    <w:bottom w:val="none" w:sz="0" w:space="0" w:color="auto"/>
                                                    <w:right w:val="none" w:sz="0" w:space="0" w:color="auto"/>
                                                  </w:divBdr>
                                                  <w:divsChild>
                                                    <w:div w:id="565577381">
                                                      <w:marLeft w:val="0"/>
                                                      <w:marRight w:val="0"/>
                                                      <w:marTop w:val="0"/>
                                                      <w:marBottom w:val="0"/>
                                                      <w:divBdr>
                                                        <w:top w:val="none" w:sz="0" w:space="0" w:color="auto"/>
                                                        <w:left w:val="none" w:sz="0" w:space="0" w:color="auto"/>
                                                        <w:bottom w:val="none" w:sz="0" w:space="0" w:color="auto"/>
                                                        <w:right w:val="none" w:sz="0" w:space="0" w:color="auto"/>
                                                      </w:divBdr>
                                                    </w:div>
                                                  </w:divsChild>
                                                </w:div>
                                                <w:div w:id="811025816">
                                                  <w:marLeft w:val="0"/>
                                                  <w:marRight w:val="0"/>
                                                  <w:marTop w:val="0"/>
                                                  <w:marBottom w:val="60"/>
                                                  <w:divBdr>
                                                    <w:top w:val="none" w:sz="0" w:space="0" w:color="auto"/>
                                                    <w:left w:val="none" w:sz="0" w:space="0" w:color="auto"/>
                                                    <w:bottom w:val="none" w:sz="0" w:space="0" w:color="auto"/>
                                                    <w:right w:val="none" w:sz="0" w:space="0" w:color="auto"/>
                                                  </w:divBdr>
                                                  <w:divsChild>
                                                    <w:div w:id="14612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04">
                                          <w:marLeft w:val="0"/>
                                          <w:marRight w:val="0"/>
                                          <w:marTop w:val="0"/>
                                          <w:marBottom w:val="0"/>
                                          <w:divBdr>
                                            <w:top w:val="none" w:sz="0" w:space="0" w:color="auto"/>
                                            <w:left w:val="none" w:sz="0" w:space="0" w:color="auto"/>
                                            <w:bottom w:val="none" w:sz="0" w:space="0" w:color="auto"/>
                                            <w:right w:val="none" w:sz="0" w:space="0" w:color="auto"/>
                                          </w:divBdr>
                                          <w:divsChild>
                                            <w:div w:id="903370785">
                                              <w:marLeft w:val="0"/>
                                              <w:marRight w:val="0"/>
                                              <w:marTop w:val="0"/>
                                              <w:marBottom w:val="0"/>
                                              <w:divBdr>
                                                <w:top w:val="none" w:sz="0" w:space="0" w:color="auto"/>
                                                <w:left w:val="none" w:sz="0" w:space="0" w:color="auto"/>
                                                <w:bottom w:val="none" w:sz="0" w:space="0" w:color="auto"/>
                                                <w:right w:val="none" w:sz="0" w:space="0" w:color="auto"/>
                                              </w:divBdr>
                                              <w:divsChild>
                                                <w:div w:id="802430631">
                                                  <w:marLeft w:val="0"/>
                                                  <w:marRight w:val="0"/>
                                                  <w:marTop w:val="0"/>
                                                  <w:marBottom w:val="0"/>
                                                  <w:divBdr>
                                                    <w:top w:val="none" w:sz="0" w:space="0" w:color="auto"/>
                                                    <w:left w:val="none" w:sz="0" w:space="0" w:color="auto"/>
                                                    <w:bottom w:val="none" w:sz="0" w:space="0" w:color="auto"/>
                                                    <w:right w:val="none" w:sz="0" w:space="0" w:color="auto"/>
                                                  </w:divBdr>
                                                </w:div>
                                                <w:div w:id="1023357726">
                                                  <w:marLeft w:val="0"/>
                                                  <w:marRight w:val="0"/>
                                                  <w:marTop w:val="0"/>
                                                  <w:marBottom w:val="0"/>
                                                  <w:divBdr>
                                                    <w:top w:val="none" w:sz="0" w:space="0" w:color="auto"/>
                                                    <w:left w:val="none" w:sz="0" w:space="0" w:color="auto"/>
                                                    <w:bottom w:val="none" w:sz="0" w:space="0" w:color="auto"/>
                                                    <w:right w:val="none" w:sz="0" w:space="0" w:color="auto"/>
                                                  </w:divBdr>
                                                  <w:divsChild>
                                                    <w:div w:id="1896963704">
                                                      <w:marLeft w:val="0"/>
                                                      <w:marRight w:val="0"/>
                                                      <w:marTop w:val="0"/>
                                                      <w:marBottom w:val="0"/>
                                                      <w:divBdr>
                                                        <w:top w:val="none" w:sz="0" w:space="0" w:color="auto"/>
                                                        <w:left w:val="none" w:sz="0" w:space="0" w:color="auto"/>
                                                        <w:bottom w:val="none" w:sz="0" w:space="0" w:color="auto"/>
                                                        <w:right w:val="none" w:sz="0" w:space="0" w:color="auto"/>
                                                      </w:divBdr>
                                                    </w:div>
                                                  </w:divsChild>
                                                </w:div>
                                                <w:div w:id="235483691">
                                                  <w:marLeft w:val="0"/>
                                                  <w:marRight w:val="0"/>
                                                  <w:marTop w:val="0"/>
                                                  <w:marBottom w:val="60"/>
                                                  <w:divBdr>
                                                    <w:top w:val="none" w:sz="0" w:space="0" w:color="auto"/>
                                                    <w:left w:val="none" w:sz="0" w:space="0" w:color="auto"/>
                                                    <w:bottom w:val="none" w:sz="0" w:space="0" w:color="auto"/>
                                                    <w:right w:val="none" w:sz="0" w:space="0" w:color="auto"/>
                                                  </w:divBdr>
                                                  <w:divsChild>
                                                    <w:div w:id="4057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8172">
                                          <w:marLeft w:val="0"/>
                                          <w:marRight w:val="0"/>
                                          <w:marTop w:val="0"/>
                                          <w:marBottom w:val="0"/>
                                          <w:divBdr>
                                            <w:top w:val="none" w:sz="0" w:space="0" w:color="auto"/>
                                            <w:left w:val="none" w:sz="0" w:space="0" w:color="auto"/>
                                            <w:bottom w:val="none" w:sz="0" w:space="0" w:color="auto"/>
                                            <w:right w:val="none" w:sz="0" w:space="0" w:color="auto"/>
                                          </w:divBdr>
                                          <w:divsChild>
                                            <w:div w:id="1701272250">
                                              <w:marLeft w:val="0"/>
                                              <w:marRight w:val="0"/>
                                              <w:marTop w:val="0"/>
                                              <w:marBottom w:val="0"/>
                                              <w:divBdr>
                                                <w:top w:val="none" w:sz="0" w:space="0" w:color="auto"/>
                                                <w:left w:val="none" w:sz="0" w:space="0" w:color="auto"/>
                                                <w:bottom w:val="none" w:sz="0" w:space="0" w:color="auto"/>
                                                <w:right w:val="none" w:sz="0" w:space="0" w:color="auto"/>
                                              </w:divBdr>
                                              <w:divsChild>
                                                <w:div w:id="1217208053">
                                                  <w:marLeft w:val="0"/>
                                                  <w:marRight w:val="0"/>
                                                  <w:marTop w:val="0"/>
                                                  <w:marBottom w:val="0"/>
                                                  <w:divBdr>
                                                    <w:top w:val="none" w:sz="0" w:space="0" w:color="auto"/>
                                                    <w:left w:val="none" w:sz="0" w:space="0" w:color="auto"/>
                                                    <w:bottom w:val="none" w:sz="0" w:space="0" w:color="auto"/>
                                                    <w:right w:val="none" w:sz="0" w:space="0" w:color="auto"/>
                                                  </w:divBdr>
                                                </w:div>
                                                <w:div w:id="1593784372">
                                                  <w:marLeft w:val="0"/>
                                                  <w:marRight w:val="0"/>
                                                  <w:marTop w:val="0"/>
                                                  <w:marBottom w:val="0"/>
                                                  <w:divBdr>
                                                    <w:top w:val="none" w:sz="0" w:space="0" w:color="auto"/>
                                                    <w:left w:val="none" w:sz="0" w:space="0" w:color="auto"/>
                                                    <w:bottom w:val="none" w:sz="0" w:space="0" w:color="auto"/>
                                                    <w:right w:val="none" w:sz="0" w:space="0" w:color="auto"/>
                                                  </w:divBdr>
                                                  <w:divsChild>
                                                    <w:div w:id="594286065">
                                                      <w:marLeft w:val="0"/>
                                                      <w:marRight w:val="0"/>
                                                      <w:marTop w:val="0"/>
                                                      <w:marBottom w:val="0"/>
                                                      <w:divBdr>
                                                        <w:top w:val="none" w:sz="0" w:space="0" w:color="auto"/>
                                                        <w:left w:val="none" w:sz="0" w:space="0" w:color="auto"/>
                                                        <w:bottom w:val="none" w:sz="0" w:space="0" w:color="auto"/>
                                                        <w:right w:val="none" w:sz="0" w:space="0" w:color="auto"/>
                                                      </w:divBdr>
                                                    </w:div>
                                                  </w:divsChild>
                                                </w:div>
                                                <w:div w:id="1025403400">
                                                  <w:marLeft w:val="0"/>
                                                  <w:marRight w:val="0"/>
                                                  <w:marTop w:val="0"/>
                                                  <w:marBottom w:val="60"/>
                                                  <w:divBdr>
                                                    <w:top w:val="none" w:sz="0" w:space="0" w:color="auto"/>
                                                    <w:left w:val="none" w:sz="0" w:space="0" w:color="auto"/>
                                                    <w:bottom w:val="none" w:sz="0" w:space="0" w:color="auto"/>
                                                    <w:right w:val="none" w:sz="0" w:space="0" w:color="auto"/>
                                                  </w:divBdr>
                                                  <w:divsChild>
                                                    <w:div w:id="472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2722">
                                          <w:marLeft w:val="0"/>
                                          <w:marRight w:val="0"/>
                                          <w:marTop w:val="0"/>
                                          <w:marBottom w:val="0"/>
                                          <w:divBdr>
                                            <w:top w:val="none" w:sz="0" w:space="0" w:color="auto"/>
                                            <w:left w:val="none" w:sz="0" w:space="0" w:color="auto"/>
                                            <w:bottom w:val="none" w:sz="0" w:space="0" w:color="auto"/>
                                            <w:right w:val="none" w:sz="0" w:space="0" w:color="auto"/>
                                          </w:divBdr>
                                          <w:divsChild>
                                            <w:div w:id="1750034667">
                                              <w:marLeft w:val="0"/>
                                              <w:marRight w:val="0"/>
                                              <w:marTop w:val="0"/>
                                              <w:marBottom w:val="0"/>
                                              <w:divBdr>
                                                <w:top w:val="none" w:sz="0" w:space="0" w:color="auto"/>
                                                <w:left w:val="none" w:sz="0" w:space="0" w:color="auto"/>
                                                <w:bottom w:val="none" w:sz="0" w:space="0" w:color="auto"/>
                                                <w:right w:val="none" w:sz="0" w:space="0" w:color="auto"/>
                                              </w:divBdr>
                                              <w:divsChild>
                                                <w:div w:id="1865710927">
                                                  <w:marLeft w:val="0"/>
                                                  <w:marRight w:val="0"/>
                                                  <w:marTop w:val="0"/>
                                                  <w:marBottom w:val="0"/>
                                                  <w:divBdr>
                                                    <w:top w:val="none" w:sz="0" w:space="0" w:color="auto"/>
                                                    <w:left w:val="none" w:sz="0" w:space="0" w:color="auto"/>
                                                    <w:bottom w:val="none" w:sz="0" w:space="0" w:color="auto"/>
                                                    <w:right w:val="none" w:sz="0" w:space="0" w:color="auto"/>
                                                  </w:divBdr>
                                                </w:div>
                                                <w:div w:id="1028289855">
                                                  <w:marLeft w:val="0"/>
                                                  <w:marRight w:val="0"/>
                                                  <w:marTop w:val="0"/>
                                                  <w:marBottom w:val="0"/>
                                                  <w:divBdr>
                                                    <w:top w:val="none" w:sz="0" w:space="0" w:color="auto"/>
                                                    <w:left w:val="none" w:sz="0" w:space="0" w:color="auto"/>
                                                    <w:bottom w:val="none" w:sz="0" w:space="0" w:color="auto"/>
                                                    <w:right w:val="none" w:sz="0" w:space="0" w:color="auto"/>
                                                  </w:divBdr>
                                                  <w:divsChild>
                                                    <w:div w:id="1683622621">
                                                      <w:marLeft w:val="0"/>
                                                      <w:marRight w:val="0"/>
                                                      <w:marTop w:val="0"/>
                                                      <w:marBottom w:val="0"/>
                                                      <w:divBdr>
                                                        <w:top w:val="none" w:sz="0" w:space="0" w:color="auto"/>
                                                        <w:left w:val="none" w:sz="0" w:space="0" w:color="auto"/>
                                                        <w:bottom w:val="none" w:sz="0" w:space="0" w:color="auto"/>
                                                        <w:right w:val="none" w:sz="0" w:space="0" w:color="auto"/>
                                                      </w:divBdr>
                                                    </w:div>
                                                  </w:divsChild>
                                                </w:div>
                                                <w:div w:id="2144349777">
                                                  <w:marLeft w:val="0"/>
                                                  <w:marRight w:val="0"/>
                                                  <w:marTop w:val="0"/>
                                                  <w:marBottom w:val="60"/>
                                                  <w:divBdr>
                                                    <w:top w:val="none" w:sz="0" w:space="0" w:color="auto"/>
                                                    <w:left w:val="none" w:sz="0" w:space="0" w:color="auto"/>
                                                    <w:bottom w:val="none" w:sz="0" w:space="0" w:color="auto"/>
                                                    <w:right w:val="none" w:sz="0" w:space="0" w:color="auto"/>
                                                  </w:divBdr>
                                                  <w:divsChild>
                                                    <w:div w:id="13130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2579">
                                          <w:marLeft w:val="0"/>
                                          <w:marRight w:val="0"/>
                                          <w:marTop w:val="0"/>
                                          <w:marBottom w:val="0"/>
                                          <w:divBdr>
                                            <w:top w:val="none" w:sz="0" w:space="0" w:color="auto"/>
                                            <w:left w:val="none" w:sz="0" w:space="0" w:color="auto"/>
                                            <w:bottom w:val="none" w:sz="0" w:space="0" w:color="auto"/>
                                            <w:right w:val="none" w:sz="0" w:space="0" w:color="auto"/>
                                          </w:divBdr>
                                          <w:divsChild>
                                            <w:div w:id="786435875">
                                              <w:marLeft w:val="0"/>
                                              <w:marRight w:val="0"/>
                                              <w:marTop w:val="0"/>
                                              <w:marBottom w:val="0"/>
                                              <w:divBdr>
                                                <w:top w:val="none" w:sz="0" w:space="0" w:color="auto"/>
                                                <w:left w:val="none" w:sz="0" w:space="0" w:color="auto"/>
                                                <w:bottom w:val="none" w:sz="0" w:space="0" w:color="auto"/>
                                                <w:right w:val="none" w:sz="0" w:space="0" w:color="auto"/>
                                              </w:divBdr>
                                              <w:divsChild>
                                                <w:div w:id="796686002">
                                                  <w:marLeft w:val="0"/>
                                                  <w:marRight w:val="0"/>
                                                  <w:marTop w:val="0"/>
                                                  <w:marBottom w:val="0"/>
                                                  <w:divBdr>
                                                    <w:top w:val="none" w:sz="0" w:space="0" w:color="auto"/>
                                                    <w:left w:val="none" w:sz="0" w:space="0" w:color="auto"/>
                                                    <w:bottom w:val="none" w:sz="0" w:space="0" w:color="auto"/>
                                                    <w:right w:val="none" w:sz="0" w:space="0" w:color="auto"/>
                                                  </w:divBdr>
                                                </w:div>
                                                <w:div w:id="1506898688">
                                                  <w:marLeft w:val="0"/>
                                                  <w:marRight w:val="0"/>
                                                  <w:marTop w:val="0"/>
                                                  <w:marBottom w:val="0"/>
                                                  <w:divBdr>
                                                    <w:top w:val="none" w:sz="0" w:space="0" w:color="auto"/>
                                                    <w:left w:val="none" w:sz="0" w:space="0" w:color="auto"/>
                                                    <w:bottom w:val="none" w:sz="0" w:space="0" w:color="auto"/>
                                                    <w:right w:val="none" w:sz="0" w:space="0" w:color="auto"/>
                                                  </w:divBdr>
                                                  <w:divsChild>
                                                    <w:div w:id="815217977">
                                                      <w:marLeft w:val="0"/>
                                                      <w:marRight w:val="0"/>
                                                      <w:marTop w:val="0"/>
                                                      <w:marBottom w:val="0"/>
                                                      <w:divBdr>
                                                        <w:top w:val="none" w:sz="0" w:space="0" w:color="auto"/>
                                                        <w:left w:val="none" w:sz="0" w:space="0" w:color="auto"/>
                                                        <w:bottom w:val="none" w:sz="0" w:space="0" w:color="auto"/>
                                                        <w:right w:val="none" w:sz="0" w:space="0" w:color="auto"/>
                                                      </w:divBdr>
                                                    </w:div>
                                                  </w:divsChild>
                                                </w:div>
                                                <w:div w:id="87897270">
                                                  <w:marLeft w:val="0"/>
                                                  <w:marRight w:val="0"/>
                                                  <w:marTop w:val="0"/>
                                                  <w:marBottom w:val="60"/>
                                                  <w:divBdr>
                                                    <w:top w:val="none" w:sz="0" w:space="0" w:color="auto"/>
                                                    <w:left w:val="none" w:sz="0" w:space="0" w:color="auto"/>
                                                    <w:bottom w:val="none" w:sz="0" w:space="0" w:color="auto"/>
                                                    <w:right w:val="none" w:sz="0" w:space="0" w:color="auto"/>
                                                  </w:divBdr>
                                                  <w:divsChild>
                                                    <w:div w:id="6408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1969">
                                          <w:marLeft w:val="0"/>
                                          <w:marRight w:val="0"/>
                                          <w:marTop w:val="0"/>
                                          <w:marBottom w:val="0"/>
                                          <w:divBdr>
                                            <w:top w:val="none" w:sz="0" w:space="0" w:color="auto"/>
                                            <w:left w:val="none" w:sz="0" w:space="0" w:color="auto"/>
                                            <w:bottom w:val="none" w:sz="0" w:space="0" w:color="auto"/>
                                            <w:right w:val="none" w:sz="0" w:space="0" w:color="auto"/>
                                          </w:divBdr>
                                          <w:divsChild>
                                            <w:div w:id="378633410">
                                              <w:marLeft w:val="0"/>
                                              <w:marRight w:val="0"/>
                                              <w:marTop w:val="0"/>
                                              <w:marBottom w:val="0"/>
                                              <w:divBdr>
                                                <w:top w:val="none" w:sz="0" w:space="0" w:color="auto"/>
                                                <w:left w:val="none" w:sz="0" w:space="0" w:color="auto"/>
                                                <w:bottom w:val="none" w:sz="0" w:space="0" w:color="auto"/>
                                                <w:right w:val="none" w:sz="0" w:space="0" w:color="auto"/>
                                              </w:divBdr>
                                              <w:divsChild>
                                                <w:div w:id="1212225561">
                                                  <w:marLeft w:val="0"/>
                                                  <w:marRight w:val="0"/>
                                                  <w:marTop w:val="0"/>
                                                  <w:marBottom w:val="0"/>
                                                  <w:divBdr>
                                                    <w:top w:val="none" w:sz="0" w:space="0" w:color="auto"/>
                                                    <w:left w:val="none" w:sz="0" w:space="0" w:color="auto"/>
                                                    <w:bottom w:val="none" w:sz="0" w:space="0" w:color="auto"/>
                                                    <w:right w:val="none" w:sz="0" w:space="0" w:color="auto"/>
                                                  </w:divBdr>
                                                </w:div>
                                                <w:div w:id="113404548">
                                                  <w:marLeft w:val="0"/>
                                                  <w:marRight w:val="0"/>
                                                  <w:marTop w:val="0"/>
                                                  <w:marBottom w:val="0"/>
                                                  <w:divBdr>
                                                    <w:top w:val="none" w:sz="0" w:space="0" w:color="auto"/>
                                                    <w:left w:val="none" w:sz="0" w:space="0" w:color="auto"/>
                                                    <w:bottom w:val="none" w:sz="0" w:space="0" w:color="auto"/>
                                                    <w:right w:val="none" w:sz="0" w:space="0" w:color="auto"/>
                                                  </w:divBdr>
                                                  <w:divsChild>
                                                    <w:div w:id="2011054828">
                                                      <w:marLeft w:val="0"/>
                                                      <w:marRight w:val="0"/>
                                                      <w:marTop w:val="0"/>
                                                      <w:marBottom w:val="0"/>
                                                      <w:divBdr>
                                                        <w:top w:val="none" w:sz="0" w:space="0" w:color="auto"/>
                                                        <w:left w:val="none" w:sz="0" w:space="0" w:color="auto"/>
                                                        <w:bottom w:val="none" w:sz="0" w:space="0" w:color="auto"/>
                                                        <w:right w:val="none" w:sz="0" w:space="0" w:color="auto"/>
                                                      </w:divBdr>
                                                    </w:div>
                                                  </w:divsChild>
                                                </w:div>
                                                <w:div w:id="1932348158">
                                                  <w:marLeft w:val="0"/>
                                                  <w:marRight w:val="0"/>
                                                  <w:marTop w:val="0"/>
                                                  <w:marBottom w:val="60"/>
                                                  <w:divBdr>
                                                    <w:top w:val="none" w:sz="0" w:space="0" w:color="auto"/>
                                                    <w:left w:val="none" w:sz="0" w:space="0" w:color="auto"/>
                                                    <w:bottom w:val="none" w:sz="0" w:space="0" w:color="auto"/>
                                                    <w:right w:val="none" w:sz="0" w:space="0" w:color="auto"/>
                                                  </w:divBdr>
                                                  <w:divsChild>
                                                    <w:div w:id="2035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9">
                                          <w:marLeft w:val="0"/>
                                          <w:marRight w:val="0"/>
                                          <w:marTop w:val="0"/>
                                          <w:marBottom w:val="0"/>
                                          <w:divBdr>
                                            <w:top w:val="none" w:sz="0" w:space="0" w:color="auto"/>
                                            <w:left w:val="none" w:sz="0" w:space="0" w:color="auto"/>
                                            <w:bottom w:val="none" w:sz="0" w:space="0" w:color="auto"/>
                                            <w:right w:val="none" w:sz="0" w:space="0" w:color="auto"/>
                                          </w:divBdr>
                                          <w:divsChild>
                                            <w:div w:id="395977412">
                                              <w:marLeft w:val="0"/>
                                              <w:marRight w:val="0"/>
                                              <w:marTop w:val="0"/>
                                              <w:marBottom w:val="0"/>
                                              <w:divBdr>
                                                <w:top w:val="none" w:sz="0" w:space="0" w:color="auto"/>
                                                <w:left w:val="none" w:sz="0" w:space="0" w:color="auto"/>
                                                <w:bottom w:val="none" w:sz="0" w:space="0" w:color="auto"/>
                                                <w:right w:val="none" w:sz="0" w:space="0" w:color="auto"/>
                                              </w:divBdr>
                                              <w:divsChild>
                                                <w:div w:id="1809007657">
                                                  <w:marLeft w:val="0"/>
                                                  <w:marRight w:val="0"/>
                                                  <w:marTop w:val="0"/>
                                                  <w:marBottom w:val="0"/>
                                                  <w:divBdr>
                                                    <w:top w:val="none" w:sz="0" w:space="0" w:color="auto"/>
                                                    <w:left w:val="none" w:sz="0" w:space="0" w:color="auto"/>
                                                    <w:bottom w:val="none" w:sz="0" w:space="0" w:color="auto"/>
                                                    <w:right w:val="none" w:sz="0" w:space="0" w:color="auto"/>
                                                  </w:divBdr>
                                                </w:div>
                                                <w:div w:id="1096637593">
                                                  <w:marLeft w:val="0"/>
                                                  <w:marRight w:val="0"/>
                                                  <w:marTop w:val="0"/>
                                                  <w:marBottom w:val="0"/>
                                                  <w:divBdr>
                                                    <w:top w:val="none" w:sz="0" w:space="0" w:color="auto"/>
                                                    <w:left w:val="none" w:sz="0" w:space="0" w:color="auto"/>
                                                    <w:bottom w:val="none" w:sz="0" w:space="0" w:color="auto"/>
                                                    <w:right w:val="none" w:sz="0" w:space="0" w:color="auto"/>
                                                  </w:divBdr>
                                                  <w:divsChild>
                                                    <w:div w:id="105924998">
                                                      <w:marLeft w:val="0"/>
                                                      <w:marRight w:val="0"/>
                                                      <w:marTop w:val="0"/>
                                                      <w:marBottom w:val="0"/>
                                                      <w:divBdr>
                                                        <w:top w:val="none" w:sz="0" w:space="0" w:color="auto"/>
                                                        <w:left w:val="none" w:sz="0" w:space="0" w:color="auto"/>
                                                        <w:bottom w:val="none" w:sz="0" w:space="0" w:color="auto"/>
                                                        <w:right w:val="none" w:sz="0" w:space="0" w:color="auto"/>
                                                      </w:divBdr>
                                                    </w:div>
                                                  </w:divsChild>
                                                </w:div>
                                                <w:div w:id="1074739808">
                                                  <w:marLeft w:val="0"/>
                                                  <w:marRight w:val="0"/>
                                                  <w:marTop w:val="0"/>
                                                  <w:marBottom w:val="60"/>
                                                  <w:divBdr>
                                                    <w:top w:val="none" w:sz="0" w:space="0" w:color="auto"/>
                                                    <w:left w:val="none" w:sz="0" w:space="0" w:color="auto"/>
                                                    <w:bottom w:val="none" w:sz="0" w:space="0" w:color="auto"/>
                                                    <w:right w:val="none" w:sz="0" w:space="0" w:color="auto"/>
                                                  </w:divBdr>
                                                  <w:divsChild>
                                                    <w:div w:id="89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350">
                                          <w:marLeft w:val="0"/>
                                          <w:marRight w:val="0"/>
                                          <w:marTop w:val="0"/>
                                          <w:marBottom w:val="0"/>
                                          <w:divBdr>
                                            <w:top w:val="none" w:sz="0" w:space="0" w:color="auto"/>
                                            <w:left w:val="none" w:sz="0" w:space="0" w:color="auto"/>
                                            <w:bottom w:val="none" w:sz="0" w:space="0" w:color="auto"/>
                                            <w:right w:val="none" w:sz="0" w:space="0" w:color="auto"/>
                                          </w:divBdr>
                                          <w:divsChild>
                                            <w:div w:id="1230387579">
                                              <w:marLeft w:val="0"/>
                                              <w:marRight w:val="0"/>
                                              <w:marTop w:val="0"/>
                                              <w:marBottom w:val="0"/>
                                              <w:divBdr>
                                                <w:top w:val="none" w:sz="0" w:space="0" w:color="auto"/>
                                                <w:left w:val="none" w:sz="0" w:space="0" w:color="auto"/>
                                                <w:bottom w:val="none" w:sz="0" w:space="0" w:color="auto"/>
                                                <w:right w:val="none" w:sz="0" w:space="0" w:color="auto"/>
                                              </w:divBdr>
                                              <w:divsChild>
                                                <w:div w:id="1506245439">
                                                  <w:marLeft w:val="0"/>
                                                  <w:marRight w:val="0"/>
                                                  <w:marTop w:val="0"/>
                                                  <w:marBottom w:val="0"/>
                                                  <w:divBdr>
                                                    <w:top w:val="none" w:sz="0" w:space="0" w:color="auto"/>
                                                    <w:left w:val="none" w:sz="0" w:space="0" w:color="auto"/>
                                                    <w:bottom w:val="none" w:sz="0" w:space="0" w:color="auto"/>
                                                    <w:right w:val="none" w:sz="0" w:space="0" w:color="auto"/>
                                                  </w:divBdr>
                                                </w:div>
                                                <w:div w:id="1742096790">
                                                  <w:marLeft w:val="0"/>
                                                  <w:marRight w:val="0"/>
                                                  <w:marTop w:val="0"/>
                                                  <w:marBottom w:val="0"/>
                                                  <w:divBdr>
                                                    <w:top w:val="none" w:sz="0" w:space="0" w:color="auto"/>
                                                    <w:left w:val="none" w:sz="0" w:space="0" w:color="auto"/>
                                                    <w:bottom w:val="none" w:sz="0" w:space="0" w:color="auto"/>
                                                    <w:right w:val="none" w:sz="0" w:space="0" w:color="auto"/>
                                                  </w:divBdr>
                                                  <w:divsChild>
                                                    <w:div w:id="1458067468">
                                                      <w:marLeft w:val="0"/>
                                                      <w:marRight w:val="0"/>
                                                      <w:marTop w:val="0"/>
                                                      <w:marBottom w:val="0"/>
                                                      <w:divBdr>
                                                        <w:top w:val="none" w:sz="0" w:space="0" w:color="auto"/>
                                                        <w:left w:val="none" w:sz="0" w:space="0" w:color="auto"/>
                                                        <w:bottom w:val="none" w:sz="0" w:space="0" w:color="auto"/>
                                                        <w:right w:val="none" w:sz="0" w:space="0" w:color="auto"/>
                                                      </w:divBdr>
                                                    </w:div>
                                                  </w:divsChild>
                                                </w:div>
                                                <w:div w:id="1928690448">
                                                  <w:marLeft w:val="0"/>
                                                  <w:marRight w:val="0"/>
                                                  <w:marTop w:val="0"/>
                                                  <w:marBottom w:val="60"/>
                                                  <w:divBdr>
                                                    <w:top w:val="none" w:sz="0" w:space="0" w:color="auto"/>
                                                    <w:left w:val="none" w:sz="0" w:space="0" w:color="auto"/>
                                                    <w:bottom w:val="none" w:sz="0" w:space="0" w:color="auto"/>
                                                    <w:right w:val="none" w:sz="0" w:space="0" w:color="auto"/>
                                                  </w:divBdr>
                                                  <w:divsChild>
                                                    <w:div w:id="1912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8885">
                                          <w:marLeft w:val="0"/>
                                          <w:marRight w:val="0"/>
                                          <w:marTop w:val="0"/>
                                          <w:marBottom w:val="0"/>
                                          <w:divBdr>
                                            <w:top w:val="none" w:sz="0" w:space="0" w:color="auto"/>
                                            <w:left w:val="none" w:sz="0" w:space="0" w:color="auto"/>
                                            <w:bottom w:val="none" w:sz="0" w:space="0" w:color="auto"/>
                                            <w:right w:val="none" w:sz="0" w:space="0" w:color="auto"/>
                                          </w:divBdr>
                                          <w:divsChild>
                                            <w:div w:id="1628200643">
                                              <w:marLeft w:val="0"/>
                                              <w:marRight w:val="0"/>
                                              <w:marTop w:val="0"/>
                                              <w:marBottom w:val="0"/>
                                              <w:divBdr>
                                                <w:top w:val="none" w:sz="0" w:space="0" w:color="auto"/>
                                                <w:left w:val="none" w:sz="0" w:space="0" w:color="auto"/>
                                                <w:bottom w:val="none" w:sz="0" w:space="0" w:color="auto"/>
                                                <w:right w:val="none" w:sz="0" w:space="0" w:color="auto"/>
                                              </w:divBdr>
                                              <w:divsChild>
                                                <w:div w:id="61833128">
                                                  <w:marLeft w:val="0"/>
                                                  <w:marRight w:val="0"/>
                                                  <w:marTop w:val="0"/>
                                                  <w:marBottom w:val="0"/>
                                                  <w:divBdr>
                                                    <w:top w:val="none" w:sz="0" w:space="0" w:color="auto"/>
                                                    <w:left w:val="none" w:sz="0" w:space="0" w:color="auto"/>
                                                    <w:bottom w:val="none" w:sz="0" w:space="0" w:color="auto"/>
                                                    <w:right w:val="none" w:sz="0" w:space="0" w:color="auto"/>
                                                  </w:divBdr>
                                                </w:div>
                                                <w:div w:id="2001082490">
                                                  <w:marLeft w:val="0"/>
                                                  <w:marRight w:val="0"/>
                                                  <w:marTop w:val="0"/>
                                                  <w:marBottom w:val="0"/>
                                                  <w:divBdr>
                                                    <w:top w:val="none" w:sz="0" w:space="0" w:color="auto"/>
                                                    <w:left w:val="none" w:sz="0" w:space="0" w:color="auto"/>
                                                    <w:bottom w:val="none" w:sz="0" w:space="0" w:color="auto"/>
                                                    <w:right w:val="none" w:sz="0" w:space="0" w:color="auto"/>
                                                  </w:divBdr>
                                                  <w:divsChild>
                                                    <w:div w:id="60101596">
                                                      <w:marLeft w:val="0"/>
                                                      <w:marRight w:val="0"/>
                                                      <w:marTop w:val="0"/>
                                                      <w:marBottom w:val="0"/>
                                                      <w:divBdr>
                                                        <w:top w:val="none" w:sz="0" w:space="0" w:color="auto"/>
                                                        <w:left w:val="none" w:sz="0" w:space="0" w:color="auto"/>
                                                        <w:bottom w:val="none" w:sz="0" w:space="0" w:color="auto"/>
                                                        <w:right w:val="none" w:sz="0" w:space="0" w:color="auto"/>
                                                      </w:divBdr>
                                                    </w:div>
                                                  </w:divsChild>
                                                </w:div>
                                                <w:div w:id="794636988">
                                                  <w:marLeft w:val="0"/>
                                                  <w:marRight w:val="0"/>
                                                  <w:marTop w:val="0"/>
                                                  <w:marBottom w:val="60"/>
                                                  <w:divBdr>
                                                    <w:top w:val="none" w:sz="0" w:space="0" w:color="auto"/>
                                                    <w:left w:val="none" w:sz="0" w:space="0" w:color="auto"/>
                                                    <w:bottom w:val="none" w:sz="0" w:space="0" w:color="auto"/>
                                                    <w:right w:val="none" w:sz="0" w:space="0" w:color="auto"/>
                                                  </w:divBdr>
                                                  <w:divsChild>
                                                    <w:div w:id="1781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5272">
                                          <w:marLeft w:val="0"/>
                                          <w:marRight w:val="0"/>
                                          <w:marTop w:val="0"/>
                                          <w:marBottom w:val="0"/>
                                          <w:divBdr>
                                            <w:top w:val="none" w:sz="0" w:space="0" w:color="auto"/>
                                            <w:left w:val="none" w:sz="0" w:space="0" w:color="auto"/>
                                            <w:bottom w:val="none" w:sz="0" w:space="0" w:color="auto"/>
                                            <w:right w:val="none" w:sz="0" w:space="0" w:color="auto"/>
                                          </w:divBdr>
                                          <w:divsChild>
                                            <w:div w:id="273369455">
                                              <w:marLeft w:val="0"/>
                                              <w:marRight w:val="0"/>
                                              <w:marTop w:val="0"/>
                                              <w:marBottom w:val="0"/>
                                              <w:divBdr>
                                                <w:top w:val="none" w:sz="0" w:space="0" w:color="auto"/>
                                                <w:left w:val="none" w:sz="0" w:space="0" w:color="auto"/>
                                                <w:bottom w:val="none" w:sz="0" w:space="0" w:color="auto"/>
                                                <w:right w:val="none" w:sz="0" w:space="0" w:color="auto"/>
                                              </w:divBdr>
                                              <w:divsChild>
                                                <w:div w:id="542867333">
                                                  <w:marLeft w:val="0"/>
                                                  <w:marRight w:val="0"/>
                                                  <w:marTop w:val="0"/>
                                                  <w:marBottom w:val="0"/>
                                                  <w:divBdr>
                                                    <w:top w:val="none" w:sz="0" w:space="0" w:color="auto"/>
                                                    <w:left w:val="none" w:sz="0" w:space="0" w:color="auto"/>
                                                    <w:bottom w:val="none" w:sz="0" w:space="0" w:color="auto"/>
                                                    <w:right w:val="none" w:sz="0" w:space="0" w:color="auto"/>
                                                  </w:divBdr>
                                                </w:div>
                                                <w:div w:id="1439564902">
                                                  <w:marLeft w:val="0"/>
                                                  <w:marRight w:val="0"/>
                                                  <w:marTop w:val="0"/>
                                                  <w:marBottom w:val="0"/>
                                                  <w:divBdr>
                                                    <w:top w:val="none" w:sz="0" w:space="0" w:color="auto"/>
                                                    <w:left w:val="none" w:sz="0" w:space="0" w:color="auto"/>
                                                    <w:bottom w:val="none" w:sz="0" w:space="0" w:color="auto"/>
                                                    <w:right w:val="none" w:sz="0" w:space="0" w:color="auto"/>
                                                  </w:divBdr>
                                                  <w:divsChild>
                                                    <w:div w:id="1008021966">
                                                      <w:marLeft w:val="0"/>
                                                      <w:marRight w:val="0"/>
                                                      <w:marTop w:val="0"/>
                                                      <w:marBottom w:val="0"/>
                                                      <w:divBdr>
                                                        <w:top w:val="none" w:sz="0" w:space="0" w:color="auto"/>
                                                        <w:left w:val="none" w:sz="0" w:space="0" w:color="auto"/>
                                                        <w:bottom w:val="none" w:sz="0" w:space="0" w:color="auto"/>
                                                        <w:right w:val="none" w:sz="0" w:space="0" w:color="auto"/>
                                                      </w:divBdr>
                                                    </w:div>
                                                  </w:divsChild>
                                                </w:div>
                                                <w:div w:id="1220626347">
                                                  <w:marLeft w:val="0"/>
                                                  <w:marRight w:val="0"/>
                                                  <w:marTop w:val="0"/>
                                                  <w:marBottom w:val="60"/>
                                                  <w:divBdr>
                                                    <w:top w:val="none" w:sz="0" w:space="0" w:color="auto"/>
                                                    <w:left w:val="none" w:sz="0" w:space="0" w:color="auto"/>
                                                    <w:bottom w:val="none" w:sz="0" w:space="0" w:color="auto"/>
                                                    <w:right w:val="none" w:sz="0" w:space="0" w:color="auto"/>
                                                  </w:divBdr>
                                                  <w:divsChild>
                                                    <w:div w:id="8390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5528">
                                          <w:marLeft w:val="0"/>
                                          <w:marRight w:val="0"/>
                                          <w:marTop w:val="0"/>
                                          <w:marBottom w:val="0"/>
                                          <w:divBdr>
                                            <w:top w:val="none" w:sz="0" w:space="0" w:color="auto"/>
                                            <w:left w:val="none" w:sz="0" w:space="0" w:color="auto"/>
                                            <w:bottom w:val="none" w:sz="0" w:space="0" w:color="auto"/>
                                            <w:right w:val="none" w:sz="0" w:space="0" w:color="auto"/>
                                          </w:divBdr>
                                          <w:divsChild>
                                            <w:div w:id="2064864360">
                                              <w:marLeft w:val="0"/>
                                              <w:marRight w:val="0"/>
                                              <w:marTop w:val="0"/>
                                              <w:marBottom w:val="0"/>
                                              <w:divBdr>
                                                <w:top w:val="none" w:sz="0" w:space="0" w:color="auto"/>
                                                <w:left w:val="none" w:sz="0" w:space="0" w:color="auto"/>
                                                <w:bottom w:val="none" w:sz="0" w:space="0" w:color="auto"/>
                                                <w:right w:val="none" w:sz="0" w:space="0" w:color="auto"/>
                                              </w:divBdr>
                                              <w:divsChild>
                                                <w:div w:id="334528415">
                                                  <w:marLeft w:val="0"/>
                                                  <w:marRight w:val="0"/>
                                                  <w:marTop w:val="0"/>
                                                  <w:marBottom w:val="0"/>
                                                  <w:divBdr>
                                                    <w:top w:val="none" w:sz="0" w:space="0" w:color="auto"/>
                                                    <w:left w:val="none" w:sz="0" w:space="0" w:color="auto"/>
                                                    <w:bottom w:val="none" w:sz="0" w:space="0" w:color="auto"/>
                                                    <w:right w:val="none" w:sz="0" w:space="0" w:color="auto"/>
                                                  </w:divBdr>
                                                </w:div>
                                                <w:div w:id="1404790303">
                                                  <w:marLeft w:val="0"/>
                                                  <w:marRight w:val="0"/>
                                                  <w:marTop w:val="0"/>
                                                  <w:marBottom w:val="0"/>
                                                  <w:divBdr>
                                                    <w:top w:val="none" w:sz="0" w:space="0" w:color="auto"/>
                                                    <w:left w:val="none" w:sz="0" w:space="0" w:color="auto"/>
                                                    <w:bottom w:val="none" w:sz="0" w:space="0" w:color="auto"/>
                                                    <w:right w:val="none" w:sz="0" w:space="0" w:color="auto"/>
                                                  </w:divBdr>
                                                  <w:divsChild>
                                                    <w:div w:id="781924375">
                                                      <w:marLeft w:val="0"/>
                                                      <w:marRight w:val="0"/>
                                                      <w:marTop w:val="0"/>
                                                      <w:marBottom w:val="0"/>
                                                      <w:divBdr>
                                                        <w:top w:val="none" w:sz="0" w:space="0" w:color="auto"/>
                                                        <w:left w:val="none" w:sz="0" w:space="0" w:color="auto"/>
                                                        <w:bottom w:val="none" w:sz="0" w:space="0" w:color="auto"/>
                                                        <w:right w:val="none" w:sz="0" w:space="0" w:color="auto"/>
                                                      </w:divBdr>
                                                    </w:div>
                                                  </w:divsChild>
                                                </w:div>
                                                <w:div w:id="1404521844">
                                                  <w:marLeft w:val="0"/>
                                                  <w:marRight w:val="0"/>
                                                  <w:marTop w:val="0"/>
                                                  <w:marBottom w:val="60"/>
                                                  <w:divBdr>
                                                    <w:top w:val="none" w:sz="0" w:space="0" w:color="auto"/>
                                                    <w:left w:val="none" w:sz="0" w:space="0" w:color="auto"/>
                                                    <w:bottom w:val="none" w:sz="0" w:space="0" w:color="auto"/>
                                                    <w:right w:val="none" w:sz="0" w:space="0" w:color="auto"/>
                                                  </w:divBdr>
                                                  <w:divsChild>
                                                    <w:div w:id="20206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8875">
                                          <w:marLeft w:val="0"/>
                                          <w:marRight w:val="0"/>
                                          <w:marTop w:val="0"/>
                                          <w:marBottom w:val="0"/>
                                          <w:divBdr>
                                            <w:top w:val="none" w:sz="0" w:space="0" w:color="auto"/>
                                            <w:left w:val="none" w:sz="0" w:space="0" w:color="auto"/>
                                            <w:bottom w:val="none" w:sz="0" w:space="0" w:color="auto"/>
                                            <w:right w:val="none" w:sz="0" w:space="0" w:color="auto"/>
                                          </w:divBdr>
                                          <w:divsChild>
                                            <w:div w:id="918830313">
                                              <w:marLeft w:val="0"/>
                                              <w:marRight w:val="0"/>
                                              <w:marTop w:val="0"/>
                                              <w:marBottom w:val="0"/>
                                              <w:divBdr>
                                                <w:top w:val="none" w:sz="0" w:space="0" w:color="auto"/>
                                                <w:left w:val="none" w:sz="0" w:space="0" w:color="auto"/>
                                                <w:bottom w:val="none" w:sz="0" w:space="0" w:color="auto"/>
                                                <w:right w:val="none" w:sz="0" w:space="0" w:color="auto"/>
                                              </w:divBdr>
                                              <w:divsChild>
                                                <w:div w:id="1438909501">
                                                  <w:marLeft w:val="0"/>
                                                  <w:marRight w:val="0"/>
                                                  <w:marTop w:val="0"/>
                                                  <w:marBottom w:val="0"/>
                                                  <w:divBdr>
                                                    <w:top w:val="none" w:sz="0" w:space="0" w:color="auto"/>
                                                    <w:left w:val="none" w:sz="0" w:space="0" w:color="auto"/>
                                                    <w:bottom w:val="none" w:sz="0" w:space="0" w:color="auto"/>
                                                    <w:right w:val="none" w:sz="0" w:space="0" w:color="auto"/>
                                                  </w:divBdr>
                                                </w:div>
                                                <w:div w:id="2089813283">
                                                  <w:marLeft w:val="0"/>
                                                  <w:marRight w:val="0"/>
                                                  <w:marTop w:val="0"/>
                                                  <w:marBottom w:val="0"/>
                                                  <w:divBdr>
                                                    <w:top w:val="none" w:sz="0" w:space="0" w:color="auto"/>
                                                    <w:left w:val="none" w:sz="0" w:space="0" w:color="auto"/>
                                                    <w:bottom w:val="none" w:sz="0" w:space="0" w:color="auto"/>
                                                    <w:right w:val="none" w:sz="0" w:space="0" w:color="auto"/>
                                                  </w:divBdr>
                                                  <w:divsChild>
                                                    <w:div w:id="842673001">
                                                      <w:marLeft w:val="0"/>
                                                      <w:marRight w:val="0"/>
                                                      <w:marTop w:val="0"/>
                                                      <w:marBottom w:val="0"/>
                                                      <w:divBdr>
                                                        <w:top w:val="none" w:sz="0" w:space="0" w:color="auto"/>
                                                        <w:left w:val="none" w:sz="0" w:space="0" w:color="auto"/>
                                                        <w:bottom w:val="none" w:sz="0" w:space="0" w:color="auto"/>
                                                        <w:right w:val="none" w:sz="0" w:space="0" w:color="auto"/>
                                                      </w:divBdr>
                                                    </w:div>
                                                  </w:divsChild>
                                                </w:div>
                                                <w:div w:id="1205295015">
                                                  <w:marLeft w:val="0"/>
                                                  <w:marRight w:val="0"/>
                                                  <w:marTop w:val="0"/>
                                                  <w:marBottom w:val="60"/>
                                                  <w:divBdr>
                                                    <w:top w:val="none" w:sz="0" w:space="0" w:color="auto"/>
                                                    <w:left w:val="none" w:sz="0" w:space="0" w:color="auto"/>
                                                    <w:bottom w:val="none" w:sz="0" w:space="0" w:color="auto"/>
                                                    <w:right w:val="none" w:sz="0" w:space="0" w:color="auto"/>
                                                  </w:divBdr>
                                                  <w:divsChild>
                                                    <w:div w:id="898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110">
                                          <w:marLeft w:val="0"/>
                                          <w:marRight w:val="0"/>
                                          <w:marTop w:val="0"/>
                                          <w:marBottom w:val="0"/>
                                          <w:divBdr>
                                            <w:top w:val="none" w:sz="0" w:space="0" w:color="auto"/>
                                            <w:left w:val="none" w:sz="0" w:space="0" w:color="auto"/>
                                            <w:bottom w:val="none" w:sz="0" w:space="0" w:color="auto"/>
                                            <w:right w:val="none" w:sz="0" w:space="0" w:color="auto"/>
                                          </w:divBdr>
                                          <w:divsChild>
                                            <w:div w:id="442653770">
                                              <w:marLeft w:val="0"/>
                                              <w:marRight w:val="0"/>
                                              <w:marTop w:val="0"/>
                                              <w:marBottom w:val="0"/>
                                              <w:divBdr>
                                                <w:top w:val="none" w:sz="0" w:space="0" w:color="auto"/>
                                                <w:left w:val="none" w:sz="0" w:space="0" w:color="auto"/>
                                                <w:bottom w:val="none" w:sz="0" w:space="0" w:color="auto"/>
                                                <w:right w:val="none" w:sz="0" w:space="0" w:color="auto"/>
                                              </w:divBdr>
                                              <w:divsChild>
                                                <w:div w:id="2138142368">
                                                  <w:marLeft w:val="0"/>
                                                  <w:marRight w:val="0"/>
                                                  <w:marTop w:val="0"/>
                                                  <w:marBottom w:val="0"/>
                                                  <w:divBdr>
                                                    <w:top w:val="none" w:sz="0" w:space="0" w:color="auto"/>
                                                    <w:left w:val="none" w:sz="0" w:space="0" w:color="auto"/>
                                                    <w:bottom w:val="none" w:sz="0" w:space="0" w:color="auto"/>
                                                    <w:right w:val="none" w:sz="0" w:space="0" w:color="auto"/>
                                                  </w:divBdr>
                                                </w:div>
                                                <w:div w:id="50740085">
                                                  <w:marLeft w:val="0"/>
                                                  <w:marRight w:val="0"/>
                                                  <w:marTop w:val="0"/>
                                                  <w:marBottom w:val="0"/>
                                                  <w:divBdr>
                                                    <w:top w:val="none" w:sz="0" w:space="0" w:color="auto"/>
                                                    <w:left w:val="none" w:sz="0" w:space="0" w:color="auto"/>
                                                    <w:bottom w:val="none" w:sz="0" w:space="0" w:color="auto"/>
                                                    <w:right w:val="none" w:sz="0" w:space="0" w:color="auto"/>
                                                  </w:divBdr>
                                                  <w:divsChild>
                                                    <w:div w:id="243883315">
                                                      <w:marLeft w:val="0"/>
                                                      <w:marRight w:val="0"/>
                                                      <w:marTop w:val="0"/>
                                                      <w:marBottom w:val="0"/>
                                                      <w:divBdr>
                                                        <w:top w:val="none" w:sz="0" w:space="0" w:color="auto"/>
                                                        <w:left w:val="none" w:sz="0" w:space="0" w:color="auto"/>
                                                        <w:bottom w:val="none" w:sz="0" w:space="0" w:color="auto"/>
                                                        <w:right w:val="none" w:sz="0" w:space="0" w:color="auto"/>
                                                      </w:divBdr>
                                                    </w:div>
                                                  </w:divsChild>
                                                </w:div>
                                                <w:div w:id="91779854">
                                                  <w:marLeft w:val="0"/>
                                                  <w:marRight w:val="0"/>
                                                  <w:marTop w:val="0"/>
                                                  <w:marBottom w:val="60"/>
                                                  <w:divBdr>
                                                    <w:top w:val="none" w:sz="0" w:space="0" w:color="auto"/>
                                                    <w:left w:val="none" w:sz="0" w:space="0" w:color="auto"/>
                                                    <w:bottom w:val="none" w:sz="0" w:space="0" w:color="auto"/>
                                                    <w:right w:val="none" w:sz="0" w:space="0" w:color="auto"/>
                                                  </w:divBdr>
                                                  <w:divsChild>
                                                    <w:div w:id="13528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7097">
                                          <w:marLeft w:val="0"/>
                                          <w:marRight w:val="0"/>
                                          <w:marTop w:val="0"/>
                                          <w:marBottom w:val="0"/>
                                          <w:divBdr>
                                            <w:top w:val="none" w:sz="0" w:space="0" w:color="auto"/>
                                            <w:left w:val="none" w:sz="0" w:space="0" w:color="auto"/>
                                            <w:bottom w:val="none" w:sz="0" w:space="0" w:color="auto"/>
                                            <w:right w:val="none" w:sz="0" w:space="0" w:color="auto"/>
                                          </w:divBdr>
                                          <w:divsChild>
                                            <w:div w:id="1696693620">
                                              <w:marLeft w:val="0"/>
                                              <w:marRight w:val="0"/>
                                              <w:marTop w:val="0"/>
                                              <w:marBottom w:val="0"/>
                                              <w:divBdr>
                                                <w:top w:val="none" w:sz="0" w:space="0" w:color="auto"/>
                                                <w:left w:val="none" w:sz="0" w:space="0" w:color="auto"/>
                                                <w:bottom w:val="none" w:sz="0" w:space="0" w:color="auto"/>
                                                <w:right w:val="none" w:sz="0" w:space="0" w:color="auto"/>
                                              </w:divBdr>
                                              <w:divsChild>
                                                <w:div w:id="303705560">
                                                  <w:marLeft w:val="0"/>
                                                  <w:marRight w:val="0"/>
                                                  <w:marTop w:val="0"/>
                                                  <w:marBottom w:val="0"/>
                                                  <w:divBdr>
                                                    <w:top w:val="none" w:sz="0" w:space="0" w:color="auto"/>
                                                    <w:left w:val="none" w:sz="0" w:space="0" w:color="auto"/>
                                                    <w:bottom w:val="none" w:sz="0" w:space="0" w:color="auto"/>
                                                    <w:right w:val="none" w:sz="0" w:space="0" w:color="auto"/>
                                                  </w:divBdr>
                                                </w:div>
                                                <w:div w:id="699015205">
                                                  <w:marLeft w:val="0"/>
                                                  <w:marRight w:val="0"/>
                                                  <w:marTop w:val="0"/>
                                                  <w:marBottom w:val="0"/>
                                                  <w:divBdr>
                                                    <w:top w:val="none" w:sz="0" w:space="0" w:color="auto"/>
                                                    <w:left w:val="none" w:sz="0" w:space="0" w:color="auto"/>
                                                    <w:bottom w:val="none" w:sz="0" w:space="0" w:color="auto"/>
                                                    <w:right w:val="none" w:sz="0" w:space="0" w:color="auto"/>
                                                  </w:divBdr>
                                                  <w:divsChild>
                                                    <w:div w:id="1272512690">
                                                      <w:marLeft w:val="0"/>
                                                      <w:marRight w:val="0"/>
                                                      <w:marTop w:val="0"/>
                                                      <w:marBottom w:val="0"/>
                                                      <w:divBdr>
                                                        <w:top w:val="none" w:sz="0" w:space="0" w:color="auto"/>
                                                        <w:left w:val="none" w:sz="0" w:space="0" w:color="auto"/>
                                                        <w:bottom w:val="none" w:sz="0" w:space="0" w:color="auto"/>
                                                        <w:right w:val="none" w:sz="0" w:space="0" w:color="auto"/>
                                                      </w:divBdr>
                                                    </w:div>
                                                  </w:divsChild>
                                                </w:div>
                                                <w:div w:id="1388337211">
                                                  <w:marLeft w:val="0"/>
                                                  <w:marRight w:val="0"/>
                                                  <w:marTop w:val="0"/>
                                                  <w:marBottom w:val="60"/>
                                                  <w:divBdr>
                                                    <w:top w:val="none" w:sz="0" w:space="0" w:color="auto"/>
                                                    <w:left w:val="none" w:sz="0" w:space="0" w:color="auto"/>
                                                    <w:bottom w:val="none" w:sz="0" w:space="0" w:color="auto"/>
                                                    <w:right w:val="none" w:sz="0" w:space="0" w:color="auto"/>
                                                  </w:divBdr>
                                                  <w:divsChild>
                                                    <w:div w:id="20894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20057">
                                          <w:marLeft w:val="0"/>
                                          <w:marRight w:val="0"/>
                                          <w:marTop w:val="0"/>
                                          <w:marBottom w:val="0"/>
                                          <w:divBdr>
                                            <w:top w:val="none" w:sz="0" w:space="0" w:color="auto"/>
                                            <w:left w:val="none" w:sz="0" w:space="0" w:color="auto"/>
                                            <w:bottom w:val="none" w:sz="0" w:space="0" w:color="auto"/>
                                            <w:right w:val="none" w:sz="0" w:space="0" w:color="auto"/>
                                          </w:divBdr>
                                          <w:divsChild>
                                            <w:div w:id="1040521382">
                                              <w:marLeft w:val="0"/>
                                              <w:marRight w:val="0"/>
                                              <w:marTop w:val="0"/>
                                              <w:marBottom w:val="0"/>
                                              <w:divBdr>
                                                <w:top w:val="none" w:sz="0" w:space="0" w:color="auto"/>
                                                <w:left w:val="none" w:sz="0" w:space="0" w:color="auto"/>
                                                <w:bottom w:val="none" w:sz="0" w:space="0" w:color="auto"/>
                                                <w:right w:val="none" w:sz="0" w:space="0" w:color="auto"/>
                                              </w:divBdr>
                                              <w:divsChild>
                                                <w:div w:id="302739498">
                                                  <w:marLeft w:val="0"/>
                                                  <w:marRight w:val="0"/>
                                                  <w:marTop w:val="0"/>
                                                  <w:marBottom w:val="0"/>
                                                  <w:divBdr>
                                                    <w:top w:val="none" w:sz="0" w:space="0" w:color="auto"/>
                                                    <w:left w:val="none" w:sz="0" w:space="0" w:color="auto"/>
                                                    <w:bottom w:val="none" w:sz="0" w:space="0" w:color="auto"/>
                                                    <w:right w:val="none" w:sz="0" w:space="0" w:color="auto"/>
                                                  </w:divBdr>
                                                </w:div>
                                                <w:div w:id="829296146">
                                                  <w:marLeft w:val="0"/>
                                                  <w:marRight w:val="0"/>
                                                  <w:marTop w:val="0"/>
                                                  <w:marBottom w:val="0"/>
                                                  <w:divBdr>
                                                    <w:top w:val="none" w:sz="0" w:space="0" w:color="auto"/>
                                                    <w:left w:val="none" w:sz="0" w:space="0" w:color="auto"/>
                                                    <w:bottom w:val="none" w:sz="0" w:space="0" w:color="auto"/>
                                                    <w:right w:val="none" w:sz="0" w:space="0" w:color="auto"/>
                                                  </w:divBdr>
                                                  <w:divsChild>
                                                    <w:div w:id="774594484">
                                                      <w:marLeft w:val="0"/>
                                                      <w:marRight w:val="0"/>
                                                      <w:marTop w:val="0"/>
                                                      <w:marBottom w:val="0"/>
                                                      <w:divBdr>
                                                        <w:top w:val="none" w:sz="0" w:space="0" w:color="auto"/>
                                                        <w:left w:val="none" w:sz="0" w:space="0" w:color="auto"/>
                                                        <w:bottom w:val="none" w:sz="0" w:space="0" w:color="auto"/>
                                                        <w:right w:val="none" w:sz="0" w:space="0" w:color="auto"/>
                                                      </w:divBdr>
                                                    </w:div>
                                                  </w:divsChild>
                                                </w:div>
                                                <w:div w:id="231160344">
                                                  <w:marLeft w:val="0"/>
                                                  <w:marRight w:val="0"/>
                                                  <w:marTop w:val="0"/>
                                                  <w:marBottom w:val="60"/>
                                                  <w:divBdr>
                                                    <w:top w:val="none" w:sz="0" w:space="0" w:color="auto"/>
                                                    <w:left w:val="none" w:sz="0" w:space="0" w:color="auto"/>
                                                    <w:bottom w:val="none" w:sz="0" w:space="0" w:color="auto"/>
                                                    <w:right w:val="none" w:sz="0" w:space="0" w:color="auto"/>
                                                  </w:divBdr>
                                                  <w:divsChild>
                                                    <w:div w:id="11780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211">
                                          <w:marLeft w:val="0"/>
                                          <w:marRight w:val="0"/>
                                          <w:marTop w:val="0"/>
                                          <w:marBottom w:val="0"/>
                                          <w:divBdr>
                                            <w:top w:val="none" w:sz="0" w:space="0" w:color="auto"/>
                                            <w:left w:val="none" w:sz="0" w:space="0" w:color="auto"/>
                                            <w:bottom w:val="none" w:sz="0" w:space="0" w:color="auto"/>
                                            <w:right w:val="none" w:sz="0" w:space="0" w:color="auto"/>
                                          </w:divBdr>
                                          <w:divsChild>
                                            <w:div w:id="230584748">
                                              <w:marLeft w:val="0"/>
                                              <w:marRight w:val="0"/>
                                              <w:marTop w:val="0"/>
                                              <w:marBottom w:val="0"/>
                                              <w:divBdr>
                                                <w:top w:val="none" w:sz="0" w:space="0" w:color="auto"/>
                                                <w:left w:val="none" w:sz="0" w:space="0" w:color="auto"/>
                                                <w:bottom w:val="none" w:sz="0" w:space="0" w:color="auto"/>
                                                <w:right w:val="none" w:sz="0" w:space="0" w:color="auto"/>
                                              </w:divBdr>
                                              <w:divsChild>
                                                <w:div w:id="1354041529">
                                                  <w:marLeft w:val="0"/>
                                                  <w:marRight w:val="0"/>
                                                  <w:marTop w:val="0"/>
                                                  <w:marBottom w:val="0"/>
                                                  <w:divBdr>
                                                    <w:top w:val="none" w:sz="0" w:space="0" w:color="auto"/>
                                                    <w:left w:val="none" w:sz="0" w:space="0" w:color="auto"/>
                                                    <w:bottom w:val="none" w:sz="0" w:space="0" w:color="auto"/>
                                                    <w:right w:val="none" w:sz="0" w:space="0" w:color="auto"/>
                                                  </w:divBdr>
                                                </w:div>
                                                <w:div w:id="631985657">
                                                  <w:marLeft w:val="0"/>
                                                  <w:marRight w:val="0"/>
                                                  <w:marTop w:val="0"/>
                                                  <w:marBottom w:val="0"/>
                                                  <w:divBdr>
                                                    <w:top w:val="none" w:sz="0" w:space="0" w:color="auto"/>
                                                    <w:left w:val="none" w:sz="0" w:space="0" w:color="auto"/>
                                                    <w:bottom w:val="none" w:sz="0" w:space="0" w:color="auto"/>
                                                    <w:right w:val="none" w:sz="0" w:space="0" w:color="auto"/>
                                                  </w:divBdr>
                                                  <w:divsChild>
                                                    <w:div w:id="732969689">
                                                      <w:marLeft w:val="0"/>
                                                      <w:marRight w:val="0"/>
                                                      <w:marTop w:val="0"/>
                                                      <w:marBottom w:val="0"/>
                                                      <w:divBdr>
                                                        <w:top w:val="none" w:sz="0" w:space="0" w:color="auto"/>
                                                        <w:left w:val="none" w:sz="0" w:space="0" w:color="auto"/>
                                                        <w:bottom w:val="none" w:sz="0" w:space="0" w:color="auto"/>
                                                        <w:right w:val="none" w:sz="0" w:space="0" w:color="auto"/>
                                                      </w:divBdr>
                                                    </w:div>
                                                  </w:divsChild>
                                                </w:div>
                                                <w:div w:id="262416060">
                                                  <w:marLeft w:val="0"/>
                                                  <w:marRight w:val="0"/>
                                                  <w:marTop w:val="0"/>
                                                  <w:marBottom w:val="60"/>
                                                  <w:divBdr>
                                                    <w:top w:val="none" w:sz="0" w:space="0" w:color="auto"/>
                                                    <w:left w:val="none" w:sz="0" w:space="0" w:color="auto"/>
                                                    <w:bottom w:val="none" w:sz="0" w:space="0" w:color="auto"/>
                                                    <w:right w:val="none" w:sz="0" w:space="0" w:color="auto"/>
                                                  </w:divBdr>
                                                  <w:divsChild>
                                                    <w:div w:id="263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9659">
                                          <w:marLeft w:val="0"/>
                                          <w:marRight w:val="0"/>
                                          <w:marTop w:val="0"/>
                                          <w:marBottom w:val="0"/>
                                          <w:divBdr>
                                            <w:top w:val="none" w:sz="0" w:space="0" w:color="auto"/>
                                            <w:left w:val="none" w:sz="0" w:space="0" w:color="auto"/>
                                            <w:bottom w:val="none" w:sz="0" w:space="0" w:color="auto"/>
                                            <w:right w:val="none" w:sz="0" w:space="0" w:color="auto"/>
                                          </w:divBdr>
                                          <w:divsChild>
                                            <w:div w:id="257107337">
                                              <w:marLeft w:val="0"/>
                                              <w:marRight w:val="0"/>
                                              <w:marTop w:val="0"/>
                                              <w:marBottom w:val="0"/>
                                              <w:divBdr>
                                                <w:top w:val="none" w:sz="0" w:space="0" w:color="auto"/>
                                                <w:left w:val="none" w:sz="0" w:space="0" w:color="auto"/>
                                                <w:bottom w:val="none" w:sz="0" w:space="0" w:color="auto"/>
                                                <w:right w:val="none" w:sz="0" w:space="0" w:color="auto"/>
                                              </w:divBdr>
                                              <w:divsChild>
                                                <w:div w:id="798915039">
                                                  <w:marLeft w:val="0"/>
                                                  <w:marRight w:val="0"/>
                                                  <w:marTop w:val="0"/>
                                                  <w:marBottom w:val="0"/>
                                                  <w:divBdr>
                                                    <w:top w:val="none" w:sz="0" w:space="0" w:color="auto"/>
                                                    <w:left w:val="none" w:sz="0" w:space="0" w:color="auto"/>
                                                    <w:bottom w:val="none" w:sz="0" w:space="0" w:color="auto"/>
                                                    <w:right w:val="none" w:sz="0" w:space="0" w:color="auto"/>
                                                  </w:divBdr>
                                                </w:div>
                                                <w:div w:id="1156992837">
                                                  <w:marLeft w:val="0"/>
                                                  <w:marRight w:val="0"/>
                                                  <w:marTop w:val="0"/>
                                                  <w:marBottom w:val="0"/>
                                                  <w:divBdr>
                                                    <w:top w:val="none" w:sz="0" w:space="0" w:color="auto"/>
                                                    <w:left w:val="none" w:sz="0" w:space="0" w:color="auto"/>
                                                    <w:bottom w:val="none" w:sz="0" w:space="0" w:color="auto"/>
                                                    <w:right w:val="none" w:sz="0" w:space="0" w:color="auto"/>
                                                  </w:divBdr>
                                                  <w:divsChild>
                                                    <w:div w:id="141703287">
                                                      <w:marLeft w:val="0"/>
                                                      <w:marRight w:val="0"/>
                                                      <w:marTop w:val="0"/>
                                                      <w:marBottom w:val="0"/>
                                                      <w:divBdr>
                                                        <w:top w:val="none" w:sz="0" w:space="0" w:color="auto"/>
                                                        <w:left w:val="none" w:sz="0" w:space="0" w:color="auto"/>
                                                        <w:bottom w:val="none" w:sz="0" w:space="0" w:color="auto"/>
                                                        <w:right w:val="none" w:sz="0" w:space="0" w:color="auto"/>
                                                      </w:divBdr>
                                                    </w:div>
                                                  </w:divsChild>
                                                </w:div>
                                                <w:div w:id="118493139">
                                                  <w:marLeft w:val="0"/>
                                                  <w:marRight w:val="0"/>
                                                  <w:marTop w:val="0"/>
                                                  <w:marBottom w:val="60"/>
                                                  <w:divBdr>
                                                    <w:top w:val="none" w:sz="0" w:space="0" w:color="auto"/>
                                                    <w:left w:val="none" w:sz="0" w:space="0" w:color="auto"/>
                                                    <w:bottom w:val="none" w:sz="0" w:space="0" w:color="auto"/>
                                                    <w:right w:val="none" w:sz="0" w:space="0" w:color="auto"/>
                                                  </w:divBdr>
                                                  <w:divsChild>
                                                    <w:div w:id="14144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38417">
                                          <w:marLeft w:val="0"/>
                                          <w:marRight w:val="0"/>
                                          <w:marTop w:val="0"/>
                                          <w:marBottom w:val="0"/>
                                          <w:divBdr>
                                            <w:top w:val="none" w:sz="0" w:space="0" w:color="auto"/>
                                            <w:left w:val="none" w:sz="0" w:space="0" w:color="auto"/>
                                            <w:bottom w:val="none" w:sz="0" w:space="0" w:color="auto"/>
                                            <w:right w:val="none" w:sz="0" w:space="0" w:color="auto"/>
                                          </w:divBdr>
                                          <w:divsChild>
                                            <w:div w:id="234894684">
                                              <w:marLeft w:val="0"/>
                                              <w:marRight w:val="0"/>
                                              <w:marTop w:val="0"/>
                                              <w:marBottom w:val="0"/>
                                              <w:divBdr>
                                                <w:top w:val="none" w:sz="0" w:space="0" w:color="auto"/>
                                                <w:left w:val="none" w:sz="0" w:space="0" w:color="auto"/>
                                                <w:bottom w:val="none" w:sz="0" w:space="0" w:color="auto"/>
                                                <w:right w:val="none" w:sz="0" w:space="0" w:color="auto"/>
                                              </w:divBdr>
                                              <w:divsChild>
                                                <w:div w:id="1865055743">
                                                  <w:marLeft w:val="0"/>
                                                  <w:marRight w:val="0"/>
                                                  <w:marTop w:val="0"/>
                                                  <w:marBottom w:val="0"/>
                                                  <w:divBdr>
                                                    <w:top w:val="none" w:sz="0" w:space="0" w:color="auto"/>
                                                    <w:left w:val="none" w:sz="0" w:space="0" w:color="auto"/>
                                                    <w:bottom w:val="none" w:sz="0" w:space="0" w:color="auto"/>
                                                    <w:right w:val="none" w:sz="0" w:space="0" w:color="auto"/>
                                                  </w:divBdr>
                                                </w:div>
                                                <w:div w:id="828592067">
                                                  <w:marLeft w:val="0"/>
                                                  <w:marRight w:val="0"/>
                                                  <w:marTop w:val="0"/>
                                                  <w:marBottom w:val="0"/>
                                                  <w:divBdr>
                                                    <w:top w:val="none" w:sz="0" w:space="0" w:color="auto"/>
                                                    <w:left w:val="none" w:sz="0" w:space="0" w:color="auto"/>
                                                    <w:bottom w:val="none" w:sz="0" w:space="0" w:color="auto"/>
                                                    <w:right w:val="none" w:sz="0" w:space="0" w:color="auto"/>
                                                  </w:divBdr>
                                                  <w:divsChild>
                                                    <w:div w:id="1293905492">
                                                      <w:marLeft w:val="0"/>
                                                      <w:marRight w:val="0"/>
                                                      <w:marTop w:val="0"/>
                                                      <w:marBottom w:val="0"/>
                                                      <w:divBdr>
                                                        <w:top w:val="none" w:sz="0" w:space="0" w:color="auto"/>
                                                        <w:left w:val="none" w:sz="0" w:space="0" w:color="auto"/>
                                                        <w:bottom w:val="none" w:sz="0" w:space="0" w:color="auto"/>
                                                        <w:right w:val="none" w:sz="0" w:space="0" w:color="auto"/>
                                                      </w:divBdr>
                                                    </w:div>
                                                  </w:divsChild>
                                                </w:div>
                                                <w:div w:id="923027992">
                                                  <w:marLeft w:val="0"/>
                                                  <w:marRight w:val="0"/>
                                                  <w:marTop w:val="0"/>
                                                  <w:marBottom w:val="60"/>
                                                  <w:divBdr>
                                                    <w:top w:val="none" w:sz="0" w:space="0" w:color="auto"/>
                                                    <w:left w:val="none" w:sz="0" w:space="0" w:color="auto"/>
                                                    <w:bottom w:val="none" w:sz="0" w:space="0" w:color="auto"/>
                                                    <w:right w:val="none" w:sz="0" w:space="0" w:color="auto"/>
                                                  </w:divBdr>
                                                  <w:divsChild>
                                                    <w:div w:id="11544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4780">
                                          <w:marLeft w:val="0"/>
                                          <w:marRight w:val="0"/>
                                          <w:marTop w:val="0"/>
                                          <w:marBottom w:val="0"/>
                                          <w:divBdr>
                                            <w:top w:val="none" w:sz="0" w:space="0" w:color="auto"/>
                                            <w:left w:val="none" w:sz="0" w:space="0" w:color="auto"/>
                                            <w:bottom w:val="none" w:sz="0" w:space="0" w:color="auto"/>
                                            <w:right w:val="none" w:sz="0" w:space="0" w:color="auto"/>
                                          </w:divBdr>
                                          <w:divsChild>
                                            <w:div w:id="859783271">
                                              <w:marLeft w:val="0"/>
                                              <w:marRight w:val="0"/>
                                              <w:marTop w:val="0"/>
                                              <w:marBottom w:val="0"/>
                                              <w:divBdr>
                                                <w:top w:val="none" w:sz="0" w:space="0" w:color="auto"/>
                                                <w:left w:val="none" w:sz="0" w:space="0" w:color="auto"/>
                                                <w:bottom w:val="none" w:sz="0" w:space="0" w:color="auto"/>
                                                <w:right w:val="none" w:sz="0" w:space="0" w:color="auto"/>
                                              </w:divBdr>
                                              <w:divsChild>
                                                <w:div w:id="564294055">
                                                  <w:marLeft w:val="0"/>
                                                  <w:marRight w:val="0"/>
                                                  <w:marTop w:val="0"/>
                                                  <w:marBottom w:val="0"/>
                                                  <w:divBdr>
                                                    <w:top w:val="none" w:sz="0" w:space="0" w:color="auto"/>
                                                    <w:left w:val="none" w:sz="0" w:space="0" w:color="auto"/>
                                                    <w:bottom w:val="none" w:sz="0" w:space="0" w:color="auto"/>
                                                    <w:right w:val="none" w:sz="0" w:space="0" w:color="auto"/>
                                                  </w:divBdr>
                                                </w:div>
                                                <w:div w:id="1943104333">
                                                  <w:marLeft w:val="0"/>
                                                  <w:marRight w:val="0"/>
                                                  <w:marTop w:val="0"/>
                                                  <w:marBottom w:val="0"/>
                                                  <w:divBdr>
                                                    <w:top w:val="none" w:sz="0" w:space="0" w:color="auto"/>
                                                    <w:left w:val="none" w:sz="0" w:space="0" w:color="auto"/>
                                                    <w:bottom w:val="none" w:sz="0" w:space="0" w:color="auto"/>
                                                    <w:right w:val="none" w:sz="0" w:space="0" w:color="auto"/>
                                                  </w:divBdr>
                                                  <w:divsChild>
                                                    <w:div w:id="1315597529">
                                                      <w:marLeft w:val="0"/>
                                                      <w:marRight w:val="0"/>
                                                      <w:marTop w:val="0"/>
                                                      <w:marBottom w:val="0"/>
                                                      <w:divBdr>
                                                        <w:top w:val="none" w:sz="0" w:space="0" w:color="auto"/>
                                                        <w:left w:val="none" w:sz="0" w:space="0" w:color="auto"/>
                                                        <w:bottom w:val="none" w:sz="0" w:space="0" w:color="auto"/>
                                                        <w:right w:val="none" w:sz="0" w:space="0" w:color="auto"/>
                                                      </w:divBdr>
                                                    </w:div>
                                                  </w:divsChild>
                                                </w:div>
                                                <w:div w:id="367219572">
                                                  <w:marLeft w:val="0"/>
                                                  <w:marRight w:val="0"/>
                                                  <w:marTop w:val="0"/>
                                                  <w:marBottom w:val="60"/>
                                                  <w:divBdr>
                                                    <w:top w:val="none" w:sz="0" w:space="0" w:color="auto"/>
                                                    <w:left w:val="none" w:sz="0" w:space="0" w:color="auto"/>
                                                    <w:bottom w:val="none" w:sz="0" w:space="0" w:color="auto"/>
                                                    <w:right w:val="none" w:sz="0" w:space="0" w:color="auto"/>
                                                  </w:divBdr>
                                                  <w:divsChild>
                                                    <w:div w:id="7458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4239">
                                          <w:marLeft w:val="0"/>
                                          <w:marRight w:val="0"/>
                                          <w:marTop w:val="0"/>
                                          <w:marBottom w:val="0"/>
                                          <w:divBdr>
                                            <w:top w:val="none" w:sz="0" w:space="0" w:color="auto"/>
                                            <w:left w:val="none" w:sz="0" w:space="0" w:color="auto"/>
                                            <w:bottom w:val="none" w:sz="0" w:space="0" w:color="auto"/>
                                            <w:right w:val="none" w:sz="0" w:space="0" w:color="auto"/>
                                          </w:divBdr>
                                          <w:divsChild>
                                            <w:div w:id="1123578816">
                                              <w:marLeft w:val="0"/>
                                              <w:marRight w:val="0"/>
                                              <w:marTop w:val="0"/>
                                              <w:marBottom w:val="0"/>
                                              <w:divBdr>
                                                <w:top w:val="none" w:sz="0" w:space="0" w:color="auto"/>
                                                <w:left w:val="none" w:sz="0" w:space="0" w:color="auto"/>
                                                <w:bottom w:val="none" w:sz="0" w:space="0" w:color="auto"/>
                                                <w:right w:val="none" w:sz="0" w:space="0" w:color="auto"/>
                                              </w:divBdr>
                                              <w:divsChild>
                                                <w:div w:id="846020151">
                                                  <w:marLeft w:val="0"/>
                                                  <w:marRight w:val="0"/>
                                                  <w:marTop w:val="0"/>
                                                  <w:marBottom w:val="0"/>
                                                  <w:divBdr>
                                                    <w:top w:val="none" w:sz="0" w:space="0" w:color="auto"/>
                                                    <w:left w:val="none" w:sz="0" w:space="0" w:color="auto"/>
                                                    <w:bottom w:val="none" w:sz="0" w:space="0" w:color="auto"/>
                                                    <w:right w:val="none" w:sz="0" w:space="0" w:color="auto"/>
                                                  </w:divBdr>
                                                </w:div>
                                                <w:div w:id="15890484">
                                                  <w:marLeft w:val="0"/>
                                                  <w:marRight w:val="0"/>
                                                  <w:marTop w:val="0"/>
                                                  <w:marBottom w:val="0"/>
                                                  <w:divBdr>
                                                    <w:top w:val="none" w:sz="0" w:space="0" w:color="auto"/>
                                                    <w:left w:val="none" w:sz="0" w:space="0" w:color="auto"/>
                                                    <w:bottom w:val="none" w:sz="0" w:space="0" w:color="auto"/>
                                                    <w:right w:val="none" w:sz="0" w:space="0" w:color="auto"/>
                                                  </w:divBdr>
                                                  <w:divsChild>
                                                    <w:div w:id="1286740090">
                                                      <w:marLeft w:val="0"/>
                                                      <w:marRight w:val="0"/>
                                                      <w:marTop w:val="0"/>
                                                      <w:marBottom w:val="0"/>
                                                      <w:divBdr>
                                                        <w:top w:val="none" w:sz="0" w:space="0" w:color="auto"/>
                                                        <w:left w:val="none" w:sz="0" w:space="0" w:color="auto"/>
                                                        <w:bottom w:val="none" w:sz="0" w:space="0" w:color="auto"/>
                                                        <w:right w:val="none" w:sz="0" w:space="0" w:color="auto"/>
                                                      </w:divBdr>
                                                    </w:div>
                                                  </w:divsChild>
                                                </w:div>
                                                <w:div w:id="1924677785">
                                                  <w:marLeft w:val="0"/>
                                                  <w:marRight w:val="0"/>
                                                  <w:marTop w:val="0"/>
                                                  <w:marBottom w:val="60"/>
                                                  <w:divBdr>
                                                    <w:top w:val="none" w:sz="0" w:space="0" w:color="auto"/>
                                                    <w:left w:val="none" w:sz="0" w:space="0" w:color="auto"/>
                                                    <w:bottom w:val="none" w:sz="0" w:space="0" w:color="auto"/>
                                                    <w:right w:val="none" w:sz="0" w:space="0" w:color="auto"/>
                                                  </w:divBdr>
                                                  <w:divsChild>
                                                    <w:div w:id="1611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5371">
                                          <w:marLeft w:val="0"/>
                                          <w:marRight w:val="0"/>
                                          <w:marTop w:val="0"/>
                                          <w:marBottom w:val="0"/>
                                          <w:divBdr>
                                            <w:top w:val="none" w:sz="0" w:space="0" w:color="auto"/>
                                            <w:left w:val="none" w:sz="0" w:space="0" w:color="auto"/>
                                            <w:bottom w:val="none" w:sz="0" w:space="0" w:color="auto"/>
                                            <w:right w:val="none" w:sz="0" w:space="0" w:color="auto"/>
                                          </w:divBdr>
                                          <w:divsChild>
                                            <w:div w:id="577978411">
                                              <w:marLeft w:val="0"/>
                                              <w:marRight w:val="0"/>
                                              <w:marTop w:val="0"/>
                                              <w:marBottom w:val="0"/>
                                              <w:divBdr>
                                                <w:top w:val="none" w:sz="0" w:space="0" w:color="auto"/>
                                                <w:left w:val="none" w:sz="0" w:space="0" w:color="auto"/>
                                                <w:bottom w:val="none" w:sz="0" w:space="0" w:color="auto"/>
                                                <w:right w:val="none" w:sz="0" w:space="0" w:color="auto"/>
                                              </w:divBdr>
                                              <w:divsChild>
                                                <w:div w:id="1386677872">
                                                  <w:marLeft w:val="0"/>
                                                  <w:marRight w:val="0"/>
                                                  <w:marTop w:val="0"/>
                                                  <w:marBottom w:val="0"/>
                                                  <w:divBdr>
                                                    <w:top w:val="none" w:sz="0" w:space="0" w:color="auto"/>
                                                    <w:left w:val="none" w:sz="0" w:space="0" w:color="auto"/>
                                                    <w:bottom w:val="none" w:sz="0" w:space="0" w:color="auto"/>
                                                    <w:right w:val="none" w:sz="0" w:space="0" w:color="auto"/>
                                                  </w:divBdr>
                                                </w:div>
                                                <w:div w:id="1382899956">
                                                  <w:marLeft w:val="0"/>
                                                  <w:marRight w:val="0"/>
                                                  <w:marTop w:val="0"/>
                                                  <w:marBottom w:val="0"/>
                                                  <w:divBdr>
                                                    <w:top w:val="none" w:sz="0" w:space="0" w:color="auto"/>
                                                    <w:left w:val="none" w:sz="0" w:space="0" w:color="auto"/>
                                                    <w:bottom w:val="none" w:sz="0" w:space="0" w:color="auto"/>
                                                    <w:right w:val="none" w:sz="0" w:space="0" w:color="auto"/>
                                                  </w:divBdr>
                                                  <w:divsChild>
                                                    <w:div w:id="160127121">
                                                      <w:marLeft w:val="0"/>
                                                      <w:marRight w:val="0"/>
                                                      <w:marTop w:val="0"/>
                                                      <w:marBottom w:val="0"/>
                                                      <w:divBdr>
                                                        <w:top w:val="none" w:sz="0" w:space="0" w:color="auto"/>
                                                        <w:left w:val="none" w:sz="0" w:space="0" w:color="auto"/>
                                                        <w:bottom w:val="none" w:sz="0" w:space="0" w:color="auto"/>
                                                        <w:right w:val="none" w:sz="0" w:space="0" w:color="auto"/>
                                                      </w:divBdr>
                                                      <w:divsChild>
                                                        <w:div w:id="2577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9224">
                                                  <w:marLeft w:val="0"/>
                                                  <w:marRight w:val="0"/>
                                                  <w:marTop w:val="0"/>
                                                  <w:marBottom w:val="0"/>
                                                  <w:divBdr>
                                                    <w:top w:val="none" w:sz="0" w:space="0" w:color="auto"/>
                                                    <w:left w:val="none" w:sz="0" w:space="0" w:color="auto"/>
                                                    <w:bottom w:val="none" w:sz="0" w:space="0" w:color="auto"/>
                                                    <w:right w:val="none" w:sz="0" w:space="0" w:color="auto"/>
                                                  </w:divBdr>
                                                  <w:divsChild>
                                                    <w:div w:id="287593415">
                                                      <w:marLeft w:val="0"/>
                                                      <w:marRight w:val="0"/>
                                                      <w:marTop w:val="0"/>
                                                      <w:marBottom w:val="0"/>
                                                      <w:divBdr>
                                                        <w:top w:val="none" w:sz="0" w:space="0" w:color="auto"/>
                                                        <w:left w:val="none" w:sz="0" w:space="0" w:color="auto"/>
                                                        <w:bottom w:val="none" w:sz="0" w:space="0" w:color="auto"/>
                                                        <w:right w:val="none" w:sz="0" w:space="0" w:color="auto"/>
                                                      </w:divBdr>
                                                    </w:div>
                                                  </w:divsChild>
                                                </w:div>
                                                <w:div w:id="287515858">
                                                  <w:marLeft w:val="0"/>
                                                  <w:marRight w:val="0"/>
                                                  <w:marTop w:val="0"/>
                                                  <w:marBottom w:val="60"/>
                                                  <w:divBdr>
                                                    <w:top w:val="none" w:sz="0" w:space="0" w:color="auto"/>
                                                    <w:left w:val="none" w:sz="0" w:space="0" w:color="auto"/>
                                                    <w:bottom w:val="none" w:sz="0" w:space="0" w:color="auto"/>
                                                    <w:right w:val="none" w:sz="0" w:space="0" w:color="auto"/>
                                                  </w:divBdr>
                                                  <w:divsChild>
                                                    <w:div w:id="3247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2348">
                                          <w:marLeft w:val="0"/>
                                          <w:marRight w:val="0"/>
                                          <w:marTop w:val="0"/>
                                          <w:marBottom w:val="0"/>
                                          <w:divBdr>
                                            <w:top w:val="none" w:sz="0" w:space="0" w:color="auto"/>
                                            <w:left w:val="none" w:sz="0" w:space="0" w:color="auto"/>
                                            <w:bottom w:val="none" w:sz="0" w:space="0" w:color="auto"/>
                                            <w:right w:val="none" w:sz="0" w:space="0" w:color="auto"/>
                                          </w:divBdr>
                                          <w:divsChild>
                                            <w:div w:id="1310288995">
                                              <w:marLeft w:val="0"/>
                                              <w:marRight w:val="0"/>
                                              <w:marTop w:val="0"/>
                                              <w:marBottom w:val="0"/>
                                              <w:divBdr>
                                                <w:top w:val="none" w:sz="0" w:space="0" w:color="auto"/>
                                                <w:left w:val="none" w:sz="0" w:space="0" w:color="auto"/>
                                                <w:bottom w:val="none" w:sz="0" w:space="0" w:color="auto"/>
                                                <w:right w:val="none" w:sz="0" w:space="0" w:color="auto"/>
                                              </w:divBdr>
                                              <w:divsChild>
                                                <w:div w:id="1973360730">
                                                  <w:marLeft w:val="0"/>
                                                  <w:marRight w:val="0"/>
                                                  <w:marTop w:val="0"/>
                                                  <w:marBottom w:val="0"/>
                                                  <w:divBdr>
                                                    <w:top w:val="none" w:sz="0" w:space="0" w:color="auto"/>
                                                    <w:left w:val="none" w:sz="0" w:space="0" w:color="auto"/>
                                                    <w:bottom w:val="none" w:sz="0" w:space="0" w:color="auto"/>
                                                    <w:right w:val="none" w:sz="0" w:space="0" w:color="auto"/>
                                                  </w:divBdr>
                                                </w:div>
                                                <w:div w:id="498270455">
                                                  <w:marLeft w:val="0"/>
                                                  <w:marRight w:val="0"/>
                                                  <w:marTop w:val="0"/>
                                                  <w:marBottom w:val="0"/>
                                                  <w:divBdr>
                                                    <w:top w:val="none" w:sz="0" w:space="0" w:color="auto"/>
                                                    <w:left w:val="none" w:sz="0" w:space="0" w:color="auto"/>
                                                    <w:bottom w:val="none" w:sz="0" w:space="0" w:color="auto"/>
                                                    <w:right w:val="none" w:sz="0" w:space="0" w:color="auto"/>
                                                  </w:divBdr>
                                                  <w:divsChild>
                                                    <w:div w:id="817771564">
                                                      <w:marLeft w:val="0"/>
                                                      <w:marRight w:val="0"/>
                                                      <w:marTop w:val="0"/>
                                                      <w:marBottom w:val="0"/>
                                                      <w:divBdr>
                                                        <w:top w:val="none" w:sz="0" w:space="0" w:color="auto"/>
                                                        <w:left w:val="none" w:sz="0" w:space="0" w:color="auto"/>
                                                        <w:bottom w:val="none" w:sz="0" w:space="0" w:color="auto"/>
                                                        <w:right w:val="none" w:sz="0" w:space="0" w:color="auto"/>
                                                      </w:divBdr>
                                                    </w:div>
                                                  </w:divsChild>
                                                </w:div>
                                                <w:div w:id="2145149464">
                                                  <w:marLeft w:val="0"/>
                                                  <w:marRight w:val="0"/>
                                                  <w:marTop w:val="0"/>
                                                  <w:marBottom w:val="60"/>
                                                  <w:divBdr>
                                                    <w:top w:val="none" w:sz="0" w:space="0" w:color="auto"/>
                                                    <w:left w:val="none" w:sz="0" w:space="0" w:color="auto"/>
                                                    <w:bottom w:val="none" w:sz="0" w:space="0" w:color="auto"/>
                                                    <w:right w:val="none" w:sz="0" w:space="0" w:color="auto"/>
                                                  </w:divBdr>
                                                  <w:divsChild>
                                                    <w:div w:id="12502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304">
                                          <w:marLeft w:val="0"/>
                                          <w:marRight w:val="0"/>
                                          <w:marTop w:val="0"/>
                                          <w:marBottom w:val="0"/>
                                          <w:divBdr>
                                            <w:top w:val="none" w:sz="0" w:space="0" w:color="auto"/>
                                            <w:left w:val="none" w:sz="0" w:space="0" w:color="auto"/>
                                            <w:bottom w:val="none" w:sz="0" w:space="0" w:color="auto"/>
                                            <w:right w:val="none" w:sz="0" w:space="0" w:color="auto"/>
                                          </w:divBdr>
                                          <w:divsChild>
                                            <w:div w:id="1669482257">
                                              <w:marLeft w:val="0"/>
                                              <w:marRight w:val="0"/>
                                              <w:marTop w:val="0"/>
                                              <w:marBottom w:val="0"/>
                                              <w:divBdr>
                                                <w:top w:val="none" w:sz="0" w:space="0" w:color="auto"/>
                                                <w:left w:val="none" w:sz="0" w:space="0" w:color="auto"/>
                                                <w:bottom w:val="none" w:sz="0" w:space="0" w:color="auto"/>
                                                <w:right w:val="none" w:sz="0" w:space="0" w:color="auto"/>
                                              </w:divBdr>
                                              <w:divsChild>
                                                <w:div w:id="172306271">
                                                  <w:marLeft w:val="0"/>
                                                  <w:marRight w:val="0"/>
                                                  <w:marTop w:val="0"/>
                                                  <w:marBottom w:val="0"/>
                                                  <w:divBdr>
                                                    <w:top w:val="none" w:sz="0" w:space="0" w:color="auto"/>
                                                    <w:left w:val="none" w:sz="0" w:space="0" w:color="auto"/>
                                                    <w:bottom w:val="none" w:sz="0" w:space="0" w:color="auto"/>
                                                    <w:right w:val="none" w:sz="0" w:space="0" w:color="auto"/>
                                                  </w:divBdr>
                                                </w:div>
                                                <w:div w:id="819998989">
                                                  <w:marLeft w:val="0"/>
                                                  <w:marRight w:val="0"/>
                                                  <w:marTop w:val="0"/>
                                                  <w:marBottom w:val="0"/>
                                                  <w:divBdr>
                                                    <w:top w:val="none" w:sz="0" w:space="0" w:color="auto"/>
                                                    <w:left w:val="none" w:sz="0" w:space="0" w:color="auto"/>
                                                    <w:bottom w:val="none" w:sz="0" w:space="0" w:color="auto"/>
                                                    <w:right w:val="none" w:sz="0" w:space="0" w:color="auto"/>
                                                  </w:divBdr>
                                                  <w:divsChild>
                                                    <w:div w:id="1446390414">
                                                      <w:marLeft w:val="0"/>
                                                      <w:marRight w:val="0"/>
                                                      <w:marTop w:val="0"/>
                                                      <w:marBottom w:val="0"/>
                                                      <w:divBdr>
                                                        <w:top w:val="none" w:sz="0" w:space="0" w:color="auto"/>
                                                        <w:left w:val="none" w:sz="0" w:space="0" w:color="auto"/>
                                                        <w:bottom w:val="none" w:sz="0" w:space="0" w:color="auto"/>
                                                        <w:right w:val="none" w:sz="0" w:space="0" w:color="auto"/>
                                                      </w:divBdr>
                                                    </w:div>
                                                  </w:divsChild>
                                                </w:div>
                                                <w:div w:id="1991060512">
                                                  <w:marLeft w:val="0"/>
                                                  <w:marRight w:val="0"/>
                                                  <w:marTop w:val="0"/>
                                                  <w:marBottom w:val="60"/>
                                                  <w:divBdr>
                                                    <w:top w:val="none" w:sz="0" w:space="0" w:color="auto"/>
                                                    <w:left w:val="none" w:sz="0" w:space="0" w:color="auto"/>
                                                    <w:bottom w:val="none" w:sz="0" w:space="0" w:color="auto"/>
                                                    <w:right w:val="none" w:sz="0" w:space="0" w:color="auto"/>
                                                  </w:divBdr>
                                                  <w:divsChild>
                                                    <w:div w:id="3341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86918">
                                          <w:marLeft w:val="0"/>
                                          <w:marRight w:val="0"/>
                                          <w:marTop w:val="0"/>
                                          <w:marBottom w:val="0"/>
                                          <w:divBdr>
                                            <w:top w:val="none" w:sz="0" w:space="0" w:color="auto"/>
                                            <w:left w:val="none" w:sz="0" w:space="0" w:color="auto"/>
                                            <w:bottom w:val="none" w:sz="0" w:space="0" w:color="auto"/>
                                            <w:right w:val="none" w:sz="0" w:space="0" w:color="auto"/>
                                          </w:divBdr>
                                          <w:divsChild>
                                            <w:div w:id="667824484">
                                              <w:marLeft w:val="0"/>
                                              <w:marRight w:val="0"/>
                                              <w:marTop w:val="0"/>
                                              <w:marBottom w:val="0"/>
                                              <w:divBdr>
                                                <w:top w:val="none" w:sz="0" w:space="0" w:color="auto"/>
                                                <w:left w:val="none" w:sz="0" w:space="0" w:color="auto"/>
                                                <w:bottom w:val="none" w:sz="0" w:space="0" w:color="auto"/>
                                                <w:right w:val="none" w:sz="0" w:space="0" w:color="auto"/>
                                              </w:divBdr>
                                              <w:divsChild>
                                                <w:div w:id="1435905560">
                                                  <w:marLeft w:val="0"/>
                                                  <w:marRight w:val="0"/>
                                                  <w:marTop w:val="0"/>
                                                  <w:marBottom w:val="0"/>
                                                  <w:divBdr>
                                                    <w:top w:val="none" w:sz="0" w:space="0" w:color="auto"/>
                                                    <w:left w:val="none" w:sz="0" w:space="0" w:color="auto"/>
                                                    <w:bottom w:val="none" w:sz="0" w:space="0" w:color="auto"/>
                                                    <w:right w:val="none" w:sz="0" w:space="0" w:color="auto"/>
                                                  </w:divBdr>
                                                </w:div>
                                                <w:div w:id="675230370">
                                                  <w:marLeft w:val="0"/>
                                                  <w:marRight w:val="0"/>
                                                  <w:marTop w:val="0"/>
                                                  <w:marBottom w:val="0"/>
                                                  <w:divBdr>
                                                    <w:top w:val="none" w:sz="0" w:space="0" w:color="auto"/>
                                                    <w:left w:val="none" w:sz="0" w:space="0" w:color="auto"/>
                                                    <w:bottom w:val="none" w:sz="0" w:space="0" w:color="auto"/>
                                                    <w:right w:val="none" w:sz="0" w:space="0" w:color="auto"/>
                                                  </w:divBdr>
                                                  <w:divsChild>
                                                    <w:div w:id="1756587837">
                                                      <w:marLeft w:val="0"/>
                                                      <w:marRight w:val="0"/>
                                                      <w:marTop w:val="0"/>
                                                      <w:marBottom w:val="0"/>
                                                      <w:divBdr>
                                                        <w:top w:val="none" w:sz="0" w:space="0" w:color="auto"/>
                                                        <w:left w:val="none" w:sz="0" w:space="0" w:color="auto"/>
                                                        <w:bottom w:val="none" w:sz="0" w:space="0" w:color="auto"/>
                                                        <w:right w:val="none" w:sz="0" w:space="0" w:color="auto"/>
                                                      </w:divBdr>
                                                    </w:div>
                                                  </w:divsChild>
                                                </w:div>
                                                <w:div w:id="42141200">
                                                  <w:marLeft w:val="0"/>
                                                  <w:marRight w:val="0"/>
                                                  <w:marTop w:val="0"/>
                                                  <w:marBottom w:val="60"/>
                                                  <w:divBdr>
                                                    <w:top w:val="none" w:sz="0" w:space="0" w:color="auto"/>
                                                    <w:left w:val="none" w:sz="0" w:space="0" w:color="auto"/>
                                                    <w:bottom w:val="none" w:sz="0" w:space="0" w:color="auto"/>
                                                    <w:right w:val="none" w:sz="0" w:space="0" w:color="auto"/>
                                                  </w:divBdr>
                                                  <w:divsChild>
                                                    <w:div w:id="9339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3639">
                                          <w:marLeft w:val="0"/>
                                          <w:marRight w:val="0"/>
                                          <w:marTop w:val="0"/>
                                          <w:marBottom w:val="0"/>
                                          <w:divBdr>
                                            <w:top w:val="none" w:sz="0" w:space="0" w:color="auto"/>
                                            <w:left w:val="none" w:sz="0" w:space="0" w:color="auto"/>
                                            <w:bottom w:val="none" w:sz="0" w:space="0" w:color="auto"/>
                                            <w:right w:val="none" w:sz="0" w:space="0" w:color="auto"/>
                                          </w:divBdr>
                                          <w:divsChild>
                                            <w:div w:id="1591154563">
                                              <w:marLeft w:val="0"/>
                                              <w:marRight w:val="0"/>
                                              <w:marTop w:val="0"/>
                                              <w:marBottom w:val="0"/>
                                              <w:divBdr>
                                                <w:top w:val="none" w:sz="0" w:space="0" w:color="auto"/>
                                                <w:left w:val="none" w:sz="0" w:space="0" w:color="auto"/>
                                                <w:bottom w:val="none" w:sz="0" w:space="0" w:color="auto"/>
                                                <w:right w:val="none" w:sz="0" w:space="0" w:color="auto"/>
                                              </w:divBdr>
                                              <w:divsChild>
                                                <w:div w:id="1717310098">
                                                  <w:marLeft w:val="0"/>
                                                  <w:marRight w:val="0"/>
                                                  <w:marTop w:val="0"/>
                                                  <w:marBottom w:val="0"/>
                                                  <w:divBdr>
                                                    <w:top w:val="none" w:sz="0" w:space="0" w:color="auto"/>
                                                    <w:left w:val="none" w:sz="0" w:space="0" w:color="auto"/>
                                                    <w:bottom w:val="none" w:sz="0" w:space="0" w:color="auto"/>
                                                    <w:right w:val="none" w:sz="0" w:space="0" w:color="auto"/>
                                                  </w:divBdr>
                                                </w:div>
                                                <w:div w:id="769664779">
                                                  <w:marLeft w:val="0"/>
                                                  <w:marRight w:val="0"/>
                                                  <w:marTop w:val="0"/>
                                                  <w:marBottom w:val="60"/>
                                                  <w:divBdr>
                                                    <w:top w:val="none" w:sz="0" w:space="0" w:color="auto"/>
                                                    <w:left w:val="none" w:sz="0" w:space="0" w:color="auto"/>
                                                    <w:bottom w:val="none" w:sz="0" w:space="0" w:color="auto"/>
                                                    <w:right w:val="none" w:sz="0" w:space="0" w:color="auto"/>
                                                  </w:divBdr>
                                                  <w:divsChild>
                                                    <w:div w:id="20631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6492">
                                          <w:marLeft w:val="0"/>
                                          <w:marRight w:val="0"/>
                                          <w:marTop w:val="0"/>
                                          <w:marBottom w:val="0"/>
                                          <w:divBdr>
                                            <w:top w:val="none" w:sz="0" w:space="0" w:color="auto"/>
                                            <w:left w:val="none" w:sz="0" w:space="0" w:color="auto"/>
                                            <w:bottom w:val="none" w:sz="0" w:space="0" w:color="auto"/>
                                            <w:right w:val="none" w:sz="0" w:space="0" w:color="auto"/>
                                          </w:divBdr>
                                          <w:divsChild>
                                            <w:div w:id="2128968326">
                                              <w:marLeft w:val="0"/>
                                              <w:marRight w:val="0"/>
                                              <w:marTop w:val="0"/>
                                              <w:marBottom w:val="0"/>
                                              <w:divBdr>
                                                <w:top w:val="none" w:sz="0" w:space="0" w:color="auto"/>
                                                <w:left w:val="none" w:sz="0" w:space="0" w:color="auto"/>
                                                <w:bottom w:val="none" w:sz="0" w:space="0" w:color="auto"/>
                                                <w:right w:val="none" w:sz="0" w:space="0" w:color="auto"/>
                                              </w:divBdr>
                                              <w:divsChild>
                                                <w:div w:id="1954900141">
                                                  <w:marLeft w:val="0"/>
                                                  <w:marRight w:val="0"/>
                                                  <w:marTop w:val="0"/>
                                                  <w:marBottom w:val="0"/>
                                                  <w:divBdr>
                                                    <w:top w:val="none" w:sz="0" w:space="0" w:color="auto"/>
                                                    <w:left w:val="none" w:sz="0" w:space="0" w:color="auto"/>
                                                    <w:bottom w:val="none" w:sz="0" w:space="0" w:color="auto"/>
                                                    <w:right w:val="none" w:sz="0" w:space="0" w:color="auto"/>
                                                  </w:divBdr>
                                                </w:div>
                                                <w:div w:id="1877424606">
                                                  <w:marLeft w:val="0"/>
                                                  <w:marRight w:val="0"/>
                                                  <w:marTop w:val="0"/>
                                                  <w:marBottom w:val="0"/>
                                                  <w:divBdr>
                                                    <w:top w:val="none" w:sz="0" w:space="0" w:color="auto"/>
                                                    <w:left w:val="none" w:sz="0" w:space="0" w:color="auto"/>
                                                    <w:bottom w:val="none" w:sz="0" w:space="0" w:color="auto"/>
                                                    <w:right w:val="none" w:sz="0" w:space="0" w:color="auto"/>
                                                  </w:divBdr>
                                                  <w:divsChild>
                                                    <w:div w:id="1334651990">
                                                      <w:marLeft w:val="0"/>
                                                      <w:marRight w:val="0"/>
                                                      <w:marTop w:val="0"/>
                                                      <w:marBottom w:val="0"/>
                                                      <w:divBdr>
                                                        <w:top w:val="none" w:sz="0" w:space="0" w:color="auto"/>
                                                        <w:left w:val="none" w:sz="0" w:space="0" w:color="auto"/>
                                                        <w:bottom w:val="none" w:sz="0" w:space="0" w:color="auto"/>
                                                        <w:right w:val="none" w:sz="0" w:space="0" w:color="auto"/>
                                                      </w:divBdr>
                                                    </w:div>
                                                  </w:divsChild>
                                                </w:div>
                                                <w:div w:id="568927631">
                                                  <w:marLeft w:val="0"/>
                                                  <w:marRight w:val="0"/>
                                                  <w:marTop w:val="0"/>
                                                  <w:marBottom w:val="60"/>
                                                  <w:divBdr>
                                                    <w:top w:val="none" w:sz="0" w:space="0" w:color="auto"/>
                                                    <w:left w:val="none" w:sz="0" w:space="0" w:color="auto"/>
                                                    <w:bottom w:val="none" w:sz="0" w:space="0" w:color="auto"/>
                                                    <w:right w:val="none" w:sz="0" w:space="0" w:color="auto"/>
                                                  </w:divBdr>
                                                  <w:divsChild>
                                                    <w:div w:id="96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5706">
                                          <w:marLeft w:val="0"/>
                                          <w:marRight w:val="0"/>
                                          <w:marTop w:val="0"/>
                                          <w:marBottom w:val="0"/>
                                          <w:divBdr>
                                            <w:top w:val="none" w:sz="0" w:space="0" w:color="auto"/>
                                            <w:left w:val="none" w:sz="0" w:space="0" w:color="auto"/>
                                            <w:bottom w:val="none" w:sz="0" w:space="0" w:color="auto"/>
                                            <w:right w:val="none" w:sz="0" w:space="0" w:color="auto"/>
                                          </w:divBdr>
                                          <w:divsChild>
                                            <w:div w:id="1272711993">
                                              <w:marLeft w:val="0"/>
                                              <w:marRight w:val="0"/>
                                              <w:marTop w:val="0"/>
                                              <w:marBottom w:val="0"/>
                                              <w:divBdr>
                                                <w:top w:val="none" w:sz="0" w:space="0" w:color="auto"/>
                                                <w:left w:val="none" w:sz="0" w:space="0" w:color="auto"/>
                                                <w:bottom w:val="none" w:sz="0" w:space="0" w:color="auto"/>
                                                <w:right w:val="none" w:sz="0" w:space="0" w:color="auto"/>
                                              </w:divBdr>
                                              <w:divsChild>
                                                <w:div w:id="1404910694">
                                                  <w:marLeft w:val="0"/>
                                                  <w:marRight w:val="0"/>
                                                  <w:marTop w:val="0"/>
                                                  <w:marBottom w:val="0"/>
                                                  <w:divBdr>
                                                    <w:top w:val="none" w:sz="0" w:space="0" w:color="auto"/>
                                                    <w:left w:val="none" w:sz="0" w:space="0" w:color="auto"/>
                                                    <w:bottom w:val="none" w:sz="0" w:space="0" w:color="auto"/>
                                                    <w:right w:val="none" w:sz="0" w:space="0" w:color="auto"/>
                                                  </w:divBdr>
                                                </w:div>
                                                <w:div w:id="1213692998">
                                                  <w:marLeft w:val="0"/>
                                                  <w:marRight w:val="0"/>
                                                  <w:marTop w:val="0"/>
                                                  <w:marBottom w:val="0"/>
                                                  <w:divBdr>
                                                    <w:top w:val="none" w:sz="0" w:space="0" w:color="auto"/>
                                                    <w:left w:val="none" w:sz="0" w:space="0" w:color="auto"/>
                                                    <w:bottom w:val="none" w:sz="0" w:space="0" w:color="auto"/>
                                                    <w:right w:val="none" w:sz="0" w:space="0" w:color="auto"/>
                                                  </w:divBdr>
                                                  <w:divsChild>
                                                    <w:div w:id="985469885">
                                                      <w:marLeft w:val="0"/>
                                                      <w:marRight w:val="0"/>
                                                      <w:marTop w:val="0"/>
                                                      <w:marBottom w:val="0"/>
                                                      <w:divBdr>
                                                        <w:top w:val="none" w:sz="0" w:space="0" w:color="auto"/>
                                                        <w:left w:val="none" w:sz="0" w:space="0" w:color="auto"/>
                                                        <w:bottom w:val="none" w:sz="0" w:space="0" w:color="auto"/>
                                                        <w:right w:val="none" w:sz="0" w:space="0" w:color="auto"/>
                                                      </w:divBdr>
                                                    </w:div>
                                                  </w:divsChild>
                                                </w:div>
                                                <w:div w:id="1506431601">
                                                  <w:marLeft w:val="0"/>
                                                  <w:marRight w:val="0"/>
                                                  <w:marTop w:val="0"/>
                                                  <w:marBottom w:val="60"/>
                                                  <w:divBdr>
                                                    <w:top w:val="none" w:sz="0" w:space="0" w:color="auto"/>
                                                    <w:left w:val="none" w:sz="0" w:space="0" w:color="auto"/>
                                                    <w:bottom w:val="none" w:sz="0" w:space="0" w:color="auto"/>
                                                    <w:right w:val="none" w:sz="0" w:space="0" w:color="auto"/>
                                                  </w:divBdr>
                                                  <w:divsChild>
                                                    <w:div w:id="15923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8979">
                                          <w:marLeft w:val="0"/>
                                          <w:marRight w:val="0"/>
                                          <w:marTop w:val="0"/>
                                          <w:marBottom w:val="0"/>
                                          <w:divBdr>
                                            <w:top w:val="none" w:sz="0" w:space="0" w:color="auto"/>
                                            <w:left w:val="none" w:sz="0" w:space="0" w:color="auto"/>
                                            <w:bottom w:val="none" w:sz="0" w:space="0" w:color="auto"/>
                                            <w:right w:val="none" w:sz="0" w:space="0" w:color="auto"/>
                                          </w:divBdr>
                                          <w:divsChild>
                                            <w:div w:id="261572642">
                                              <w:marLeft w:val="0"/>
                                              <w:marRight w:val="0"/>
                                              <w:marTop w:val="0"/>
                                              <w:marBottom w:val="0"/>
                                              <w:divBdr>
                                                <w:top w:val="none" w:sz="0" w:space="0" w:color="auto"/>
                                                <w:left w:val="none" w:sz="0" w:space="0" w:color="auto"/>
                                                <w:bottom w:val="none" w:sz="0" w:space="0" w:color="auto"/>
                                                <w:right w:val="none" w:sz="0" w:space="0" w:color="auto"/>
                                              </w:divBdr>
                                              <w:divsChild>
                                                <w:div w:id="1798449687">
                                                  <w:marLeft w:val="0"/>
                                                  <w:marRight w:val="0"/>
                                                  <w:marTop w:val="0"/>
                                                  <w:marBottom w:val="0"/>
                                                  <w:divBdr>
                                                    <w:top w:val="none" w:sz="0" w:space="0" w:color="auto"/>
                                                    <w:left w:val="none" w:sz="0" w:space="0" w:color="auto"/>
                                                    <w:bottom w:val="none" w:sz="0" w:space="0" w:color="auto"/>
                                                    <w:right w:val="none" w:sz="0" w:space="0" w:color="auto"/>
                                                  </w:divBdr>
                                                </w:div>
                                                <w:div w:id="1779761156">
                                                  <w:marLeft w:val="0"/>
                                                  <w:marRight w:val="0"/>
                                                  <w:marTop w:val="0"/>
                                                  <w:marBottom w:val="0"/>
                                                  <w:divBdr>
                                                    <w:top w:val="none" w:sz="0" w:space="0" w:color="auto"/>
                                                    <w:left w:val="none" w:sz="0" w:space="0" w:color="auto"/>
                                                    <w:bottom w:val="none" w:sz="0" w:space="0" w:color="auto"/>
                                                    <w:right w:val="none" w:sz="0" w:space="0" w:color="auto"/>
                                                  </w:divBdr>
                                                  <w:divsChild>
                                                    <w:div w:id="1529835914">
                                                      <w:marLeft w:val="0"/>
                                                      <w:marRight w:val="0"/>
                                                      <w:marTop w:val="0"/>
                                                      <w:marBottom w:val="0"/>
                                                      <w:divBdr>
                                                        <w:top w:val="none" w:sz="0" w:space="0" w:color="auto"/>
                                                        <w:left w:val="none" w:sz="0" w:space="0" w:color="auto"/>
                                                        <w:bottom w:val="none" w:sz="0" w:space="0" w:color="auto"/>
                                                        <w:right w:val="none" w:sz="0" w:space="0" w:color="auto"/>
                                                      </w:divBdr>
                                                    </w:div>
                                                  </w:divsChild>
                                                </w:div>
                                                <w:div w:id="1862355520">
                                                  <w:marLeft w:val="0"/>
                                                  <w:marRight w:val="0"/>
                                                  <w:marTop w:val="0"/>
                                                  <w:marBottom w:val="60"/>
                                                  <w:divBdr>
                                                    <w:top w:val="none" w:sz="0" w:space="0" w:color="auto"/>
                                                    <w:left w:val="none" w:sz="0" w:space="0" w:color="auto"/>
                                                    <w:bottom w:val="none" w:sz="0" w:space="0" w:color="auto"/>
                                                    <w:right w:val="none" w:sz="0" w:space="0" w:color="auto"/>
                                                  </w:divBdr>
                                                  <w:divsChild>
                                                    <w:div w:id="16736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7638">
                                          <w:marLeft w:val="0"/>
                                          <w:marRight w:val="0"/>
                                          <w:marTop w:val="0"/>
                                          <w:marBottom w:val="0"/>
                                          <w:divBdr>
                                            <w:top w:val="none" w:sz="0" w:space="0" w:color="auto"/>
                                            <w:left w:val="none" w:sz="0" w:space="0" w:color="auto"/>
                                            <w:bottom w:val="none" w:sz="0" w:space="0" w:color="auto"/>
                                            <w:right w:val="none" w:sz="0" w:space="0" w:color="auto"/>
                                          </w:divBdr>
                                          <w:divsChild>
                                            <w:div w:id="1766535031">
                                              <w:marLeft w:val="0"/>
                                              <w:marRight w:val="0"/>
                                              <w:marTop w:val="0"/>
                                              <w:marBottom w:val="0"/>
                                              <w:divBdr>
                                                <w:top w:val="none" w:sz="0" w:space="0" w:color="auto"/>
                                                <w:left w:val="none" w:sz="0" w:space="0" w:color="auto"/>
                                                <w:bottom w:val="none" w:sz="0" w:space="0" w:color="auto"/>
                                                <w:right w:val="none" w:sz="0" w:space="0" w:color="auto"/>
                                              </w:divBdr>
                                              <w:divsChild>
                                                <w:div w:id="1834294297">
                                                  <w:marLeft w:val="0"/>
                                                  <w:marRight w:val="0"/>
                                                  <w:marTop w:val="0"/>
                                                  <w:marBottom w:val="0"/>
                                                  <w:divBdr>
                                                    <w:top w:val="none" w:sz="0" w:space="0" w:color="auto"/>
                                                    <w:left w:val="none" w:sz="0" w:space="0" w:color="auto"/>
                                                    <w:bottom w:val="none" w:sz="0" w:space="0" w:color="auto"/>
                                                    <w:right w:val="none" w:sz="0" w:space="0" w:color="auto"/>
                                                  </w:divBdr>
                                                </w:div>
                                                <w:div w:id="1537501161">
                                                  <w:marLeft w:val="0"/>
                                                  <w:marRight w:val="0"/>
                                                  <w:marTop w:val="0"/>
                                                  <w:marBottom w:val="0"/>
                                                  <w:divBdr>
                                                    <w:top w:val="none" w:sz="0" w:space="0" w:color="auto"/>
                                                    <w:left w:val="none" w:sz="0" w:space="0" w:color="auto"/>
                                                    <w:bottom w:val="none" w:sz="0" w:space="0" w:color="auto"/>
                                                    <w:right w:val="none" w:sz="0" w:space="0" w:color="auto"/>
                                                  </w:divBdr>
                                                  <w:divsChild>
                                                    <w:div w:id="1935167426">
                                                      <w:marLeft w:val="0"/>
                                                      <w:marRight w:val="0"/>
                                                      <w:marTop w:val="0"/>
                                                      <w:marBottom w:val="0"/>
                                                      <w:divBdr>
                                                        <w:top w:val="none" w:sz="0" w:space="0" w:color="auto"/>
                                                        <w:left w:val="none" w:sz="0" w:space="0" w:color="auto"/>
                                                        <w:bottom w:val="none" w:sz="0" w:space="0" w:color="auto"/>
                                                        <w:right w:val="none" w:sz="0" w:space="0" w:color="auto"/>
                                                      </w:divBdr>
                                                    </w:div>
                                                  </w:divsChild>
                                                </w:div>
                                                <w:div w:id="487131029">
                                                  <w:marLeft w:val="0"/>
                                                  <w:marRight w:val="0"/>
                                                  <w:marTop w:val="0"/>
                                                  <w:marBottom w:val="60"/>
                                                  <w:divBdr>
                                                    <w:top w:val="none" w:sz="0" w:space="0" w:color="auto"/>
                                                    <w:left w:val="none" w:sz="0" w:space="0" w:color="auto"/>
                                                    <w:bottom w:val="none" w:sz="0" w:space="0" w:color="auto"/>
                                                    <w:right w:val="none" w:sz="0" w:space="0" w:color="auto"/>
                                                  </w:divBdr>
                                                  <w:divsChild>
                                                    <w:div w:id="14349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9622">
                                          <w:marLeft w:val="0"/>
                                          <w:marRight w:val="0"/>
                                          <w:marTop w:val="0"/>
                                          <w:marBottom w:val="0"/>
                                          <w:divBdr>
                                            <w:top w:val="none" w:sz="0" w:space="0" w:color="auto"/>
                                            <w:left w:val="none" w:sz="0" w:space="0" w:color="auto"/>
                                            <w:bottom w:val="none" w:sz="0" w:space="0" w:color="auto"/>
                                            <w:right w:val="none" w:sz="0" w:space="0" w:color="auto"/>
                                          </w:divBdr>
                                          <w:divsChild>
                                            <w:div w:id="877475935">
                                              <w:marLeft w:val="0"/>
                                              <w:marRight w:val="0"/>
                                              <w:marTop w:val="0"/>
                                              <w:marBottom w:val="0"/>
                                              <w:divBdr>
                                                <w:top w:val="none" w:sz="0" w:space="0" w:color="auto"/>
                                                <w:left w:val="none" w:sz="0" w:space="0" w:color="auto"/>
                                                <w:bottom w:val="none" w:sz="0" w:space="0" w:color="auto"/>
                                                <w:right w:val="none" w:sz="0" w:space="0" w:color="auto"/>
                                              </w:divBdr>
                                              <w:divsChild>
                                                <w:div w:id="1724673809">
                                                  <w:marLeft w:val="0"/>
                                                  <w:marRight w:val="0"/>
                                                  <w:marTop w:val="0"/>
                                                  <w:marBottom w:val="0"/>
                                                  <w:divBdr>
                                                    <w:top w:val="none" w:sz="0" w:space="0" w:color="auto"/>
                                                    <w:left w:val="none" w:sz="0" w:space="0" w:color="auto"/>
                                                    <w:bottom w:val="none" w:sz="0" w:space="0" w:color="auto"/>
                                                    <w:right w:val="none" w:sz="0" w:space="0" w:color="auto"/>
                                                  </w:divBdr>
                                                </w:div>
                                                <w:div w:id="1499728233">
                                                  <w:marLeft w:val="0"/>
                                                  <w:marRight w:val="0"/>
                                                  <w:marTop w:val="0"/>
                                                  <w:marBottom w:val="0"/>
                                                  <w:divBdr>
                                                    <w:top w:val="none" w:sz="0" w:space="0" w:color="auto"/>
                                                    <w:left w:val="none" w:sz="0" w:space="0" w:color="auto"/>
                                                    <w:bottom w:val="none" w:sz="0" w:space="0" w:color="auto"/>
                                                    <w:right w:val="none" w:sz="0" w:space="0" w:color="auto"/>
                                                  </w:divBdr>
                                                  <w:divsChild>
                                                    <w:div w:id="2011247091">
                                                      <w:marLeft w:val="0"/>
                                                      <w:marRight w:val="0"/>
                                                      <w:marTop w:val="0"/>
                                                      <w:marBottom w:val="0"/>
                                                      <w:divBdr>
                                                        <w:top w:val="none" w:sz="0" w:space="0" w:color="auto"/>
                                                        <w:left w:val="none" w:sz="0" w:space="0" w:color="auto"/>
                                                        <w:bottom w:val="none" w:sz="0" w:space="0" w:color="auto"/>
                                                        <w:right w:val="none" w:sz="0" w:space="0" w:color="auto"/>
                                                      </w:divBdr>
                                                    </w:div>
                                                  </w:divsChild>
                                                </w:div>
                                                <w:div w:id="404492597">
                                                  <w:marLeft w:val="0"/>
                                                  <w:marRight w:val="0"/>
                                                  <w:marTop w:val="0"/>
                                                  <w:marBottom w:val="60"/>
                                                  <w:divBdr>
                                                    <w:top w:val="none" w:sz="0" w:space="0" w:color="auto"/>
                                                    <w:left w:val="none" w:sz="0" w:space="0" w:color="auto"/>
                                                    <w:bottom w:val="none" w:sz="0" w:space="0" w:color="auto"/>
                                                    <w:right w:val="none" w:sz="0" w:space="0" w:color="auto"/>
                                                  </w:divBdr>
                                                  <w:divsChild>
                                                    <w:div w:id="9158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017">
                                          <w:marLeft w:val="0"/>
                                          <w:marRight w:val="0"/>
                                          <w:marTop w:val="0"/>
                                          <w:marBottom w:val="0"/>
                                          <w:divBdr>
                                            <w:top w:val="none" w:sz="0" w:space="0" w:color="auto"/>
                                            <w:left w:val="none" w:sz="0" w:space="0" w:color="auto"/>
                                            <w:bottom w:val="none" w:sz="0" w:space="0" w:color="auto"/>
                                            <w:right w:val="none" w:sz="0" w:space="0" w:color="auto"/>
                                          </w:divBdr>
                                          <w:divsChild>
                                            <w:div w:id="721171398">
                                              <w:marLeft w:val="0"/>
                                              <w:marRight w:val="0"/>
                                              <w:marTop w:val="0"/>
                                              <w:marBottom w:val="0"/>
                                              <w:divBdr>
                                                <w:top w:val="none" w:sz="0" w:space="0" w:color="auto"/>
                                                <w:left w:val="none" w:sz="0" w:space="0" w:color="auto"/>
                                                <w:bottom w:val="none" w:sz="0" w:space="0" w:color="auto"/>
                                                <w:right w:val="none" w:sz="0" w:space="0" w:color="auto"/>
                                              </w:divBdr>
                                              <w:divsChild>
                                                <w:div w:id="1789427131">
                                                  <w:marLeft w:val="0"/>
                                                  <w:marRight w:val="0"/>
                                                  <w:marTop w:val="0"/>
                                                  <w:marBottom w:val="0"/>
                                                  <w:divBdr>
                                                    <w:top w:val="none" w:sz="0" w:space="0" w:color="auto"/>
                                                    <w:left w:val="none" w:sz="0" w:space="0" w:color="auto"/>
                                                    <w:bottom w:val="none" w:sz="0" w:space="0" w:color="auto"/>
                                                    <w:right w:val="none" w:sz="0" w:space="0" w:color="auto"/>
                                                  </w:divBdr>
                                                </w:div>
                                                <w:div w:id="1695576234">
                                                  <w:marLeft w:val="0"/>
                                                  <w:marRight w:val="0"/>
                                                  <w:marTop w:val="0"/>
                                                  <w:marBottom w:val="0"/>
                                                  <w:divBdr>
                                                    <w:top w:val="none" w:sz="0" w:space="0" w:color="auto"/>
                                                    <w:left w:val="none" w:sz="0" w:space="0" w:color="auto"/>
                                                    <w:bottom w:val="none" w:sz="0" w:space="0" w:color="auto"/>
                                                    <w:right w:val="none" w:sz="0" w:space="0" w:color="auto"/>
                                                  </w:divBdr>
                                                  <w:divsChild>
                                                    <w:div w:id="749352182">
                                                      <w:marLeft w:val="0"/>
                                                      <w:marRight w:val="0"/>
                                                      <w:marTop w:val="0"/>
                                                      <w:marBottom w:val="0"/>
                                                      <w:divBdr>
                                                        <w:top w:val="none" w:sz="0" w:space="0" w:color="auto"/>
                                                        <w:left w:val="none" w:sz="0" w:space="0" w:color="auto"/>
                                                        <w:bottom w:val="none" w:sz="0" w:space="0" w:color="auto"/>
                                                        <w:right w:val="none" w:sz="0" w:space="0" w:color="auto"/>
                                                      </w:divBdr>
                                                    </w:div>
                                                  </w:divsChild>
                                                </w:div>
                                                <w:div w:id="1086536389">
                                                  <w:marLeft w:val="0"/>
                                                  <w:marRight w:val="0"/>
                                                  <w:marTop w:val="0"/>
                                                  <w:marBottom w:val="60"/>
                                                  <w:divBdr>
                                                    <w:top w:val="none" w:sz="0" w:space="0" w:color="auto"/>
                                                    <w:left w:val="none" w:sz="0" w:space="0" w:color="auto"/>
                                                    <w:bottom w:val="none" w:sz="0" w:space="0" w:color="auto"/>
                                                    <w:right w:val="none" w:sz="0" w:space="0" w:color="auto"/>
                                                  </w:divBdr>
                                                  <w:divsChild>
                                                    <w:div w:id="17595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2">
                                          <w:marLeft w:val="0"/>
                                          <w:marRight w:val="0"/>
                                          <w:marTop w:val="0"/>
                                          <w:marBottom w:val="0"/>
                                          <w:divBdr>
                                            <w:top w:val="none" w:sz="0" w:space="0" w:color="auto"/>
                                            <w:left w:val="none" w:sz="0" w:space="0" w:color="auto"/>
                                            <w:bottom w:val="none" w:sz="0" w:space="0" w:color="auto"/>
                                            <w:right w:val="none" w:sz="0" w:space="0" w:color="auto"/>
                                          </w:divBdr>
                                          <w:divsChild>
                                            <w:div w:id="155655801">
                                              <w:marLeft w:val="0"/>
                                              <w:marRight w:val="0"/>
                                              <w:marTop w:val="0"/>
                                              <w:marBottom w:val="0"/>
                                              <w:divBdr>
                                                <w:top w:val="none" w:sz="0" w:space="0" w:color="auto"/>
                                                <w:left w:val="none" w:sz="0" w:space="0" w:color="auto"/>
                                                <w:bottom w:val="none" w:sz="0" w:space="0" w:color="auto"/>
                                                <w:right w:val="none" w:sz="0" w:space="0" w:color="auto"/>
                                              </w:divBdr>
                                              <w:divsChild>
                                                <w:div w:id="1857958674">
                                                  <w:marLeft w:val="0"/>
                                                  <w:marRight w:val="0"/>
                                                  <w:marTop w:val="0"/>
                                                  <w:marBottom w:val="0"/>
                                                  <w:divBdr>
                                                    <w:top w:val="none" w:sz="0" w:space="0" w:color="auto"/>
                                                    <w:left w:val="none" w:sz="0" w:space="0" w:color="auto"/>
                                                    <w:bottom w:val="none" w:sz="0" w:space="0" w:color="auto"/>
                                                    <w:right w:val="none" w:sz="0" w:space="0" w:color="auto"/>
                                                  </w:divBdr>
                                                </w:div>
                                                <w:div w:id="1191533193">
                                                  <w:marLeft w:val="0"/>
                                                  <w:marRight w:val="0"/>
                                                  <w:marTop w:val="0"/>
                                                  <w:marBottom w:val="0"/>
                                                  <w:divBdr>
                                                    <w:top w:val="none" w:sz="0" w:space="0" w:color="auto"/>
                                                    <w:left w:val="none" w:sz="0" w:space="0" w:color="auto"/>
                                                    <w:bottom w:val="none" w:sz="0" w:space="0" w:color="auto"/>
                                                    <w:right w:val="none" w:sz="0" w:space="0" w:color="auto"/>
                                                  </w:divBdr>
                                                  <w:divsChild>
                                                    <w:div w:id="1255018489">
                                                      <w:marLeft w:val="0"/>
                                                      <w:marRight w:val="0"/>
                                                      <w:marTop w:val="0"/>
                                                      <w:marBottom w:val="0"/>
                                                      <w:divBdr>
                                                        <w:top w:val="none" w:sz="0" w:space="0" w:color="auto"/>
                                                        <w:left w:val="none" w:sz="0" w:space="0" w:color="auto"/>
                                                        <w:bottom w:val="none" w:sz="0" w:space="0" w:color="auto"/>
                                                        <w:right w:val="none" w:sz="0" w:space="0" w:color="auto"/>
                                                      </w:divBdr>
                                                    </w:div>
                                                  </w:divsChild>
                                                </w:div>
                                                <w:div w:id="1527906898">
                                                  <w:marLeft w:val="0"/>
                                                  <w:marRight w:val="0"/>
                                                  <w:marTop w:val="0"/>
                                                  <w:marBottom w:val="60"/>
                                                  <w:divBdr>
                                                    <w:top w:val="none" w:sz="0" w:space="0" w:color="auto"/>
                                                    <w:left w:val="none" w:sz="0" w:space="0" w:color="auto"/>
                                                    <w:bottom w:val="none" w:sz="0" w:space="0" w:color="auto"/>
                                                    <w:right w:val="none" w:sz="0" w:space="0" w:color="auto"/>
                                                  </w:divBdr>
                                                  <w:divsChild>
                                                    <w:div w:id="3718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918990">
                  <w:marLeft w:val="240"/>
                  <w:marRight w:val="240"/>
                  <w:marTop w:val="0"/>
                  <w:marBottom w:val="0"/>
                  <w:divBdr>
                    <w:top w:val="none" w:sz="0" w:space="0" w:color="auto"/>
                    <w:left w:val="none" w:sz="0" w:space="0" w:color="auto"/>
                    <w:bottom w:val="none" w:sz="0" w:space="0" w:color="auto"/>
                    <w:right w:val="none" w:sz="0" w:space="0" w:color="auto"/>
                  </w:divBdr>
                  <w:divsChild>
                    <w:div w:id="1445731607">
                      <w:marLeft w:val="0"/>
                      <w:marRight w:val="0"/>
                      <w:marTop w:val="0"/>
                      <w:marBottom w:val="0"/>
                      <w:divBdr>
                        <w:top w:val="none" w:sz="0" w:space="0" w:color="auto"/>
                        <w:left w:val="none" w:sz="0" w:space="0" w:color="auto"/>
                        <w:bottom w:val="none" w:sz="0" w:space="0" w:color="auto"/>
                        <w:right w:val="none" w:sz="0" w:space="0" w:color="auto"/>
                      </w:divBdr>
                      <w:divsChild>
                        <w:div w:id="1170171219">
                          <w:marLeft w:val="0"/>
                          <w:marRight w:val="0"/>
                          <w:marTop w:val="0"/>
                          <w:marBottom w:val="0"/>
                          <w:divBdr>
                            <w:top w:val="none" w:sz="0" w:space="0" w:color="auto"/>
                            <w:left w:val="none" w:sz="0" w:space="0" w:color="auto"/>
                            <w:bottom w:val="none" w:sz="0" w:space="0" w:color="auto"/>
                            <w:right w:val="none" w:sz="0" w:space="0" w:color="auto"/>
                          </w:divBdr>
                          <w:divsChild>
                            <w:div w:id="23676274">
                              <w:marLeft w:val="0"/>
                              <w:marRight w:val="0"/>
                              <w:marTop w:val="0"/>
                              <w:marBottom w:val="0"/>
                              <w:divBdr>
                                <w:top w:val="none" w:sz="0" w:space="0" w:color="auto"/>
                                <w:left w:val="none" w:sz="0" w:space="0" w:color="auto"/>
                                <w:bottom w:val="none" w:sz="0" w:space="0" w:color="auto"/>
                                <w:right w:val="none" w:sz="0" w:space="0" w:color="auto"/>
                              </w:divBdr>
                              <w:divsChild>
                                <w:div w:id="557281506">
                                  <w:marLeft w:val="0"/>
                                  <w:marRight w:val="0"/>
                                  <w:marTop w:val="0"/>
                                  <w:marBottom w:val="0"/>
                                  <w:divBdr>
                                    <w:top w:val="none" w:sz="0" w:space="0" w:color="auto"/>
                                    <w:left w:val="none" w:sz="0" w:space="0" w:color="auto"/>
                                    <w:bottom w:val="none" w:sz="0" w:space="0" w:color="auto"/>
                                    <w:right w:val="none" w:sz="0" w:space="0" w:color="auto"/>
                                  </w:divBdr>
                                </w:div>
                                <w:div w:id="9038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30">
                      <w:marLeft w:val="0"/>
                      <w:marRight w:val="0"/>
                      <w:marTop w:val="0"/>
                      <w:marBottom w:val="0"/>
                      <w:divBdr>
                        <w:top w:val="none" w:sz="0" w:space="0" w:color="auto"/>
                        <w:left w:val="none" w:sz="0" w:space="0" w:color="auto"/>
                        <w:bottom w:val="none" w:sz="0" w:space="0" w:color="auto"/>
                        <w:right w:val="none" w:sz="0" w:space="0" w:color="auto"/>
                      </w:divBdr>
                      <w:divsChild>
                        <w:div w:id="1279215487">
                          <w:marLeft w:val="240"/>
                          <w:marRight w:val="240"/>
                          <w:marTop w:val="0"/>
                          <w:marBottom w:val="0"/>
                          <w:divBdr>
                            <w:top w:val="none" w:sz="0" w:space="0" w:color="auto"/>
                            <w:left w:val="none" w:sz="0" w:space="0" w:color="auto"/>
                            <w:bottom w:val="none" w:sz="0" w:space="0" w:color="auto"/>
                            <w:right w:val="none" w:sz="0" w:space="0" w:color="auto"/>
                          </w:divBdr>
                          <w:divsChild>
                            <w:div w:id="1186016521">
                              <w:marLeft w:val="0"/>
                              <w:marRight w:val="0"/>
                              <w:marTop w:val="0"/>
                              <w:marBottom w:val="0"/>
                              <w:divBdr>
                                <w:top w:val="none" w:sz="0" w:space="0" w:color="auto"/>
                                <w:left w:val="none" w:sz="0" w:space="0" w:color="auto"/>
                                <w:bottom w:val="none" w:sz="0" w:space="0" w:color="auto"/>
                                <w:right w:val="none" w:sz="0" w:space="0" w:color="auto"/>
                              </w:divBdr>
                              <w:divsChild>
                                <w:div w:id="1323386038">
                                  <w:marLeft w:val="0"/>
                                  <w:marRight w:val="0"/>
                                  <w:marTop w:val="0"/>
                                  <w:marBottom w:val="0"/>
                                  <w:divBdr>
                                    <w:top w:val="none" w:sz="0" w:space="0" w:color="auto"/>
                                    <w:left w:val="none" w:sz="0" w:space="0" w:color="auto"/>
                                    <w:bottom w:val="none" w:sz="0" w:space="0" w:color="auto"/>
                                    <w:right w:val="none" w:sz="0" w:space="0" w:color="auto"/>
                                  </w:divBdr>
                                  <w:divsChild>
                                    <w:div w:id="104007339">
                                      <w:marLeft w:val="165"/>
                                      <w:marRight w:val="0"/>
                                      <w:marTop w:val="0"/>
                                      <w:marBottom w:val="0"/>
                                      <w:divBdr>
                                        <w:top w:val="none" w:sz="0" w:space="0" w:color="auto"/>
                                        <w:left w:val="none" w:sz="0" w:space="0" w:color="auto"/>
                                        <w:bottom w:val="none" w:sz="0" w:space="0" w:color="auto"/>
                                        <w:right w:val="none" w:sz="0" w:space="0" w:color="auto"/>
                                      </w:divBdr>
                                      <w:divsChild>
                                        <w:div w:id="1891989169">
                                          <w:marLeft w:val="0"/>
                                          <w:marRight w:val="0"/>
                                          <w:marTop w:val="0"/>
                                          <w:marBottom w:val="0"/>
                                          <w:divBdr>
                                            <w:top w:val="none" w:sz="0" w:space="0" w:color="auto"/>
                                            <w:left w:val="none" w:sz="0" w:space="0" w:color="auto"/>
                                            <w:bottom w:val="none" w:sz="0" w:space="0" w:color="auto"/>
                                            <w:right w:val="none" w:sz="0" w:space="0" w:color="auto"/>
                                          </w:divBdr>
                                          <w:divsChild>
                                            <w:div w:id="3332671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41756">
                  <w:marLeft w:val="0"/>
                  <w:marRight w:val="0"/>
                  <w:marTop w:val="0"/>
                  <w:marBottom w:val="0"/>
                  <w:divBdr>
                    <w:top w:val="none" w:sz="0" w:space="0" w:color="auto"/>
                    <w:left w:val="none" w:sz="0" w:space="0" w:color="auto"/>
                    <w:bottom w:val="none" w:sz="0" w:space="0" w:color="auto"/>
                    <w:right w:val="none" w:sz="0" w:space="0" w:color="auto"/>
                  </w:divBdr>
                  <w:divsChild>
                    <w:div w:id="1616983615">
                      <w:marLeft w:val="0"/>
                      <w:marRight w:val="0"/>
                      <w:marTop w:val="0"/>
                      <w:marBottom w:val="0"/>
                      <w:divBdr>
                        <w:top w:val="none" w:sz="0" w:space="0" w:color="auto"/>
                        <w:left w:val="none" w:sz="0" w:space="0" w:color="auto"/>
                        <w:bottom w:val="none" w:sz="0" w:space="0" w:color="auto"/>
                        <w:right w:val="none" w:sz="0" w:space="0" w:color="auto"/>
                      </w:divBdr>
                      <w:divsChild>
                        <w:div w:id="1818642107">
                          <w:marLeft w:val="0"/>
                          <w:marRight w:val="0"/>
                          <w:marTop w:val="0"/>
                          <w:marBottom w:val="0"/>
                          <w:divBdr>
                            <w:top w:val="none" w:sz="0" w:space="0" w:color="auto"/>
                            <w:left w:val="none" w:sz="0" w:space="0" w:color="auto"/>
                            <w:bottom w:val="none" w:sz="0" w:space="0" w:color="auto"/>
                            <w:right w:val="none" w:sz="0" w:space="0" w:color="auto"/>
                          </w:divBdr>
                          <w:divsChild>
                            <w:div w:id="1414355084">
                              <w:marLeft w:val="0"/>
                              <w:marRight w:val="0"/>
                              <w:marTop w:val="0"/>
                              <w:marBottom w:val="0"/>
                              <w:divBdr>
                                <w:top w:val="none" w:sz="0" w:space="0" w:color="auto"/>
                                <w:left w:val="none" w:sz="0" w:space="0" w:color="auto"/>
                                <w:bottom w:val="none" w:sz="0" w:space="0" w:color="auto"/>
                                <w:right w:val="none" w:sz="0" w:space="0" w:color="auto"/>
                              </w:divBdr>
                            </w:div>
                            <w:div w:id="405886234">
                              <w:marLeft w:val="0"/>
                              <w:marRight w:val="0"/>
                              <w:marTop w:val="0"/>
                              <w:marBottom w:val="0"/>
                              <w:divBdr>
                                <w:top w:val="none" w:sz="0" w:space="0" w:color="auto"/>
                                <w:left w:val="none" w:sz="0" w:space="0" w:color="auto"/>
                                <w:bottom w:val="none" w:sz="0" w:space="0" w:color="auto"/>
                                <w:right w:val="none" w:sz="0" w:space="0" w:color="auto"/>
                              </w:divBdr>
                              <w:divsChild>
                                <w:div w:id="1139885779">
                                  <w:marLeft w:val="0"/>
                                  <w:marRight w:val="120"/>
                                  <w:marTop w:val="0"/>
                                  <w:marBottom w:val="0"/>
                                  <w:divBdr>
                                    <w:top w:val="none" w:sz="0" w:space="0" w:color="auto"/>
                                    <w:left w:val="none" w:sz="0" w:space="0" w:color="auto"/>
                                    <w:bottom w:val="none" w:sz="0" w:space="0" w:color="auto"/>
                                    <w:right w:val="none" w:sz="0" w:space="0" w:color="auto"/>
                                  </w:divBdr>
                                  <w:divsChild>
                                    <w:div w:id="53623353">
                                      <w:marLeft w:val="0"/>
                                      <w:marRight w:val="0"/>
                                      <w:marTop w:val="0"/>
                                      <w:marBottom w:val="0"/>
                                      <w:divBdr>
                                        <w:top w:val="none" w:sz="0" w:space="0" w:color="auto"/>
                                        <w:left w:val="none" w:sz="0" w:space="0" w:color="auto"/>
                                        <w:bottom w:val="none" w:sz="0" w:space="0" w:color="auto"/>
                                        <w:right w:val="none" w:sz="0" w:space="0" w:color="auto"/>
                                      </w:divBdr>
                                    </w:div>
                                  </w:divsChild>
                                </w:div>
                                <w:div w:id="8841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8917">
                          <w:marLeft w:val="0"/>
                          <w:marRight w:val="0"/>
                          <w:marTop w:val="0"/>
                          <w:marBottom w:val="0"/>
                          <w:divBdr>
                            <w:top w:val="none" w:sz="0" w:space="0" w:color="auto"/>
                            <w:left w:val="none" w:sz="0" w:space="0" w:color="auto"/>
                            <w:bottom w:val="none" w:sz="0" w:space="0" w:color="auto"/>
                            <w:right w:val="none" w:sz="0" w:space="0" w:color="auto"/>
                          </w:divBdr>
                          <w:divsChild>
                            <w:div w:id="1514687571">
                              <w:marLeft w:val="0"/>
                              <w:marRight w:val="0"/>
                              <w:marTop w:val="0"/>
                              <w:marBottom w:val="0"/>
                              <w:divBdr>
                                <w:top w:val="none" w:sz="0" w:space="0" w:color="auto"/>
                                <w:left w:val="none" w:sz="0" w:space="0" w:color="auto"/>
                                <w:bottom w:val="none" w:sz="0" w:space="0" w:color="auto"/>
                                <w:right w:val="none" w:sz="0" w:space="0" w:color="auto"/>
                              </w:divBdr>
                              <w:divsChild>
                                <w:div w:id="1554736728">
                                  <w:marLeft w:val="0"/>
                                  <w:marRight w:val="0"/>
                                  <w:marTop w:val="100"/>
                                  <w:marBottom w:val="100"/>
                                  <w:divBdr>
                                    <w:top w:val="none" w:sz="0" w:space="0" w:color="auto"/>
                                    <w:left w:val="none" w:sz="0" w:space="0" w:color="auto"/>
                                    <w:bottom w:val="none" w:sz="0" w:space="0" w:color="auto"/>
                                    <w:right w:val="none" w:sz="0" w:space="0" w:color="auto"/>
                                  </w:divBdr>
                                  <w:divsChild>
                                    <w:div w:id="1327322547">
                                      <w:marLeft w:val="0"/>
                                      <w:marRight w:val="0"/>
                                      <w:marTop w:val="0"/>
                                      <w:marBottom w:val="0"/>
                                      <w:divBdr>
                                        <w:top w:val="none" w:sz="0" w:space="0" w:color="auto"/>
                                        <w:left w:val="none" w:sz="0" w:space="0" w:color="auto"/>
                                        <w:bottom w:val="none" w:sz="0" w:space="0" w:color="auto"/>
                                        <w:right w:val="none" w:sz="0" w:space="0" w:color="auto"/>
                                      </w:divBdr>
                                      <w:divsChild>
                                        <w:div w:id="571282046">
                                          <w:marLeft w:val="0"/>
                                          <w:marRight w:val="0"/>
                                          <w:marTop w:val="0"/>
                                          <w:marBottom w:val="270"/>
                                          <w:divBdr>
                                            <w:top w:val="none" w:sz="0" w:space="0" w:color="auto"/>
                                            <w:left w:val="none" w:sz="0" w:space="0" w:color="auto"/>
                                            <w:bottom w:val="none" w:sz="0" w:space="0" w:color="auto"/>
                                            <w:right w:val="none" w:sz="0" w:space="0" w:color="auto"/>
                                          </w:divBdr>
                                        </w:div>
                                        <w:div w:id="1779328579">
                                          <w:marLeft w:val="0"/>
                                          <w:marRight w:val="0"/>
                                          <w:marTop w:val="0"/>
                                          <w:marBottom w:val="0"/>
                                          <w:divBdr>
                                            <w:top w:val="none" w:sz="0" w:space="0" w:color="auto"/>
                                            <w:left w:val="none" w:sz="0" w:space="0" w:color="auto"/>
                                            <w:bottom w:val="none" w:sz="0" w:space="0" w:color="auto"/>
                                            <w:right w:val="none" w:sz="0" w:space="0" w:color="auto"/>
                                          </w:divBdr>
                                          <w:divsChild>
                                            <w:div w:id="870532139">
                                              <w:marLeft w:val="0"/>
                                              <w:marRight w:val="0"/>
                                              <w:marTop w:val="0"/>
                                              <w:marBottom w:val="0"/>
                                              <w:divBdr>
                                                <w:top w:val="none" w:sz="0" w:space="0" w:color="auto"/>
                                                <w:left w:val="none" w:sz="0" w:space="0" w:color="auto"/>
                                                <w:bottom w:val="none" w:sz="0" w:space="0" w:color="auto"/>
                                                <w:right w:val="none" w:sz="0" w:space="0" w:color="auto"/>
                                              </w:divBdr>
                                              <w:divsChild>
                                                <w:div w:id="1860195719">
                                                  <w:marLeft w:val="0"/>
                                                  <w:marRight w:val="0"/>
                                                  <w:marTop w:val="0"/>
                                                  <w:marBottom w:val="0"/>
                                                  <w:divBdr>
                                                    <w:top w:val="none" w:sz="0" w:space="0" w:color="auto"/>
                                                    <w:left w:val="none" w:sz="0" w:space="0" w:color="auto"/>
                                                    <w:bottom w:val="none" w:sz="0" w:space="0" w:color="auto"/>
                                                    <w:right w:val="none" w:sz="0" w:space="0" w:color="auto"/>
                                                  </w:divBdr>
                                                  <w:divsChild>
                                                    <w:div w:id="2009484293">
                                                      <w:marLeft w:val="0"/>
                                                      <w:marRight w:val="0"/>
                                                      <w:marTop w:val="0"/>
                                                      <w:marBottom w:val="0"/>
                                                      <w:divBdr>
                                                        <w:top w:val="none" w:sz="0" w:space="0" w:color="auto"/>
                                                        <w:left w:val="none" w:sz="0" w:space="0" w:color="auto"/>
                                                        <w:bottom w:val="none" w:sz="0" w:space="0" w:color="auto"/>
                                                        <w:right w:val="none" w:sz="0" w:space="0" w:color="auto"/>
                                                      </w:divBdr>
                                                    </w:div>
                                                  </w:divsChild>
                                                </w:div>
                                                <w:div w:id="2081631930">
                                                  <w:marLeft w:val="0"/>
                                                  <w:marRight w:val="0"/>
                                                  <w:marTop w:val="150"/>
                                                  <w:marBottom w:val="0"/>
                                                  <w:divBdr>
                                                    <w:top w:val="none" w:sz="0" w:space="0" w:color="auto"/>
                                                    <w:left w:val="none" w:sz="0" w:space="0" w:color="auto"/>
                                                    <w:bottom w:val="none" w:sz="0" w:space="0" w:color="auto"/>
                                                    <w:right w:val="none" w:sz="0" w:space="0" w:color="auto"/>
                                                  </w:divBdr>
                                                  <w:divsChild>
                                                    <w:div w:id="240608537">
                                                      <w:marLeft w:val="0"/>
                                                      <w:marRight w:val="0"/>
                                                      <w:marTop w:val="0"/>
                                                      <w:marBottom w:val="0"/>
                                                      <w:divBdr>
                                                        <w:top w:val="none" w:sz="0" w:space="0" w:color="auto"/>
                                                        <w:left w:val="none" w:sz="0" w:space="0" w:color="auto"/>
                                                        <w:bottom w:val="none" w:sz="0" w:space="0" w:color="auto"/>
                                                        <w:right w:val="none" w:sz="0" w:space="0" w:color="auto"/>
                                                      </w:divBdr>
                                                      <w:divsChild>
                                                        <w:div w:id="1718353924">
                                                          <w:marLeft w:val="0"/>
                                                          <w:marRight w:val="0"/>
                                                          <w:marTop w:val="0"/>
                                                          <w:marBottom w:val="0"/>
                                                          <w:divBdr>
                                                            <w:top w:val="none" w:sz="0" w:space="0" w:color="auto"/>
                                                            <w:left w:val="none" w:sz="0" w:space="0" w:color="auto"/>
                                                            <w:bottom w:val="none" w:sz="0" w:space="0" w:color="auto"/>
                                                            <w:right w:val="none" w:sz="0" w:space="0" w:color="auto"/>
                                                          </w:divBdr>
                                                          <w:divsChild>
                                                            <w:div w:id="7313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2873">
                                              <w:marLeft w:val="0"/>
                                              <w:marRight w:val="0"/>
                                              <w:marTop w:val="240"/>
                                              <w:marBottom w:val="0"/>
                                              <w:divBdr>
                                                <w:top w:val="none" w:sz="0" w:space="0" w:color="auto"/>
                                                <w:left w:val="none" w:sz="0" w:space="0" w:color="auto"/>
                                                <w:bottom w:val="none" w:sz="0" w:space="0" w:color="auto"/>
                                                <w:right w:val="none" w:sz="0" w:space="0" w:color="auto"/>
                                              </w:divBdr>
                                            </w:div>
                                            <w:div w:id="2052801403">
                                              <w:marLeft w:val="0"/>
                                              <w:marRight w:val="0"/>
                                              <w:marTop w:val="0"/>
                                              <w:marBottom w:val="0"/>
                                              <w:divBdr>
                                                <w:top w:val="none" w:sz="0" w:space="0" w:color="auto"/>
                                                <w:left w:val="none" w:sz="0" w:space="0" w:color="auto"/>
                                                <w:bottom w:val="none" w:sz="0" w:space="0" w:color="auto"/>
                                                <w:right w:val="none" w:sz="0" w:space="0" w:color="auto"/>
                                              </w:divBdr>
                                              <w:divsChild>
                                                <w:div w:id="1876190812">
                                                  <w:marLeft w:val="0"/>
                                                  <w:marRight w:val="0"/>
                                                  <w:marTop w:val="0"/>
                                                  <w:marBottom w:val="0"/>
                                                  <w:divBdr>
                                                    <w:top w:val="none" w:sz="0" w:space="0" w:color="auto"/>
                                                    <w:left w:val="none" w:sz="0" w:space="0" w:color="auto"/>
                                                    <w:bottom w:val="none" w:sz="0" w:space="0" w:color="auto"/>
                                                    <w:right w:val="none" w:sz="0" w:space="0" w:color="auto"/>
                                                  </w:divBdr>
                                                  <w:divsChild>
                                                    <w:div w:id="701445166">
                                                      <w:marLeft w:val="0"/>
                                                      <w:marRight w:val="0"/>
                                                      <w:marTop w:val="0"/>
                                                      <w:marBottom w:val="75"/>
                                                      <w:divBdr>
                                                        <w:top w:val="none" w:sz="0" w:space="0" w:color="auto"/>
                                                        <w:left w:val="none" w:sz="0" w:space="0" w:color="auto"/>
                                                        <w:bottom w:val="none" w:sz="0" w:space="0" w:color="auto"/>
                                                        <w:right w:val="none" w:sz="0" w:space="0" w:color="auto"/>
                                                      </w:divBdr>
                                                      <w:divsChild>
                                                        <w:div w:id="4930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9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9160">
      <w:bodyDiv w:val="1"/>
      <w:marLeft w:val="0"/>
      <w:marRight w:val="0"/>
      <w:marTop w:val="0"/>
      <w:marBottom w:val="0"/>
      <w:divBdr>
        <w:top w:val="none" w:sz="0" w:space="0" w:color="auto"/>
        <w:left w:val="none" w:sz="0" w:space="0" w:color="auto"/>
        <w:bottom w:val="none" w:sz="0" w:space="0" w:color="auto"/>
        <w:right w:val="none" w:sz="0" w:space="0" w:color="auto"/>
      </w:divBdr>
    </w:div>
    <w:div w:id="1838571800">
      <w:bodyDiv w:val="1"/>
      <w:marLeft w:val="0"/>
      <w:marRight w:val="0"/>
      <w:marTop w:val="0"/>
      <w:marBottom w:val="0"/>
      <w:divBdr>
        <w:top w:val="none" w:sz="0" w:space="0" w:color="auto"/>
        <w:left w:val="none" w:sz="0" w:space="0" w:color="auto"/>
        <w:bottom w:val="none" w:sz="0" w:space="0" w:color="auto"/>
        <w:right w:val="none" w:sz="0" w:space="0" w:color="auto"/>
      </w:divBdr>
    </w:div>
    <w:div w:id="1915702545">
      <w:bodyDiv w:val="1"/>
      <w:marLeft w:val="0"/>
      <w:marRight w:val="0"/>
      <w:marTop w:val="0"/>
      <w:marBottom w:val="0"/>
      <w:divBdr>
        <w:top w:val="none" w:sz="0" w:space="0" w:color="auto"/>
        <w:left w:val="none" w:sz="0" w:space="0" w:color="auto"/>
        <w:bottom w:val="none" w:sz="0" w:space="0" w:color="auto"/>
        <w:right w:val="none" w:sz="0" w:space="0" w:color="auto"/>
      </w:divBdr>
      <w:divsChild>
        <w:div w:id="1373267978">
          <w:marLeft w:val="360"/>
          <w:marRight w:val="0"/>
          <w:marTop w:val="200"/>
          <w:marBottom w:val="0"/>
          <w:divBdr>
            <w:top w:val="none" w:sz="0" w:space="0" w:color="auto"/>
            <w:left w:val="none" w:sz="0" w:space="0" w:color="auto"/>
            <w:bottom w:val="none" w:sz="0" w:space="0" w:color="auto"/>
            <w:right w:val="none" w:sz="0" w:space="0" w:color="auto"/>
          </w:divBdr>
        </w:div>
      </w:divsChild>
    </w:div>
    <w:div w:id="1957757662">
      <w:bodyDiv w:val="1"/>
      <w:marLeft w:val="0"/>
      <w:marRight w:val="0"/>
      <w:marTop w:val="0"/>
      <w:marBottom w:val="0"/>
      <w:divBdr>
        <w:top w:val="none" w:sz="0" w:space="0" w:color="auto"/>
        <w:left w:val="none" w:sz="0" w:space="0" w:color="auto"/>
        <w:bottom w:val="none" w:sz="0" w:space="0" w:color="auto"/>
        <w:right w:val="none" w:sz="0" w:space="0" w:color="auto"/>
      </w:divBdr>
      <w:divsChild>
        <w:div w:id="1708145030">
          <w:marLeft w:val="0"/>
          <w:marRight w:val="0"/>
          <w:marTop w:val="0"/>
          <w:marBottom w:val="0"/>
          <w:divBdr>
            <w:top w:val="none" w:sz="0" w:space="0" w:color="auto"/>
            <w:left w:val="none" w:sz="0" w:space="0" w:color="auto"/>
            <w:bottom w:val="none" w:sz="0" w:space="0" w:color="auto"/>
            <w:right w:val="none" w:sz="0" w:space="0" w:color="auto"/>
          </w:divBdr>
          <w:divsChild>
            <w:div w:id="1494178428">
              <w:marLeft w:val="0"/>
              <w:marRight w:val="0"/>
              <w:marTop w:val="0"/>
              <w:marBottom w:val="0"/>
              <w:divBdr>
                <w:top w:val="none" w:sz="0" w:space="0" w:color="auto"/>
                <w:left w:val="none" w:sz="0" w:space="0" w:color="auto"/>
                <w:bottom w:val="none" w:sz="0" w:space="0" w:color="auto"/>
                <w:right w:val="none" w:sz="0" w:space="0" w:color="auto"/>
              </w:divBdr>
            </w:div>
          </w:divsChild>
        </w:div>
        <w:div w:id="1352754525">
          <w:marLeft w:val="0"/>
          <w:marRight w:val="0"/>
          <w:marTop w:val="0"/>
          <w:marBottom w:val="0"/>
          <w:divBdr>
            <w:top w:val="none" w:sz="0" w:space="0" w:color="auto"/>
            <w:left w:val="none" w:sz="0" w:space="0" w:color="auto"/>
            <w:bottom w:val="none" w:sz="0" w:space="0" w:color="auto"/>
            <w:right w:val="none" w:sz="0" w:space="0" w:color="auto"/>
          </w:divBdr>
        </w:div>
        <w:div w:id="1276015794">
          <w:marLeft w:val="0"/>
          <w:marRight w:val="0"/>
          <w:marTop w:val="0"/>
          <w:marBottom w:val="0"/>
          <w:divBdr>
            <w:top w:val="none" w:sz="0" w:space="0" w:color="auto"/>
            <w:left w:val="none" w:sz="0" w:space="0" w:color="auto"/>
            <w:bottom w:val="none" w:sz="0" w:space="0" w:color="auto"/>
            <w:right w:val="none" w:sz="0" w:space="0" w:color="auto"/>
          </w:divBdr>
        </w:div>
        <w:div w:id="2055157670">
          <w:marLeft w:val="0"/>
          <w:marRight w:val="0"/>
          <w:marTop w:val="0"/>
          <w:marBottom w:val="0"/>
          <w:divBdr>
            <w:top w:val="none" w:sz="0" w:space="0" w:color="auto"/>
            <w:left w:val="none" w:sz="0" w:space="0" w:color="auto"/>
            <w:bottom w:val="none" w:sz="0" w:space="0" w:color="auto"/>
            <w:right w:val="none" w:sz="0" w:space="0" w:color="auto"/>
          </w:divBdr>
        </w:div>
      </w:divsChild>
    </w:div>
    <w:div w:id="1985771876">
      <w:bodyDiv w:val="1"/>
      <w:marLeft w:val="0"/>
      <w:marRight w:val="0"/>
      <w:marTop w:val="0"/>
      <w:marBottom w:val="0"/>
      <w:divBdr>
        <w:top w:val="none" w:sz="0" w:space="0" w:color="auto"/>
        <w:left w:val="none" w:sz="0" w:space="0" w:color="auto"/>
        <w:bottom w:val="none" w:sz="0" w:space="0" w:color="auto"/>
        <w:right w:val="none" w:sz="0" w:space="0" w:color="auto"/>
      </w:divBdr>
    </w:div>
    <w:div w:id="1995602323">
      <w:bodyDiv w:val="1"/>
      <w:marLeft w:val="0"/>
      <w:marRight w:val="0"/>
      <w:marTop w:val="0"/>
      <w:marBottom w:val="0"/>
      <w:divBdr>
        <w:top w:val="none" w:sz="0" w:space="0" w:color="auto"/>
        <w:left w:val="none" w:sz="0" w:space="0" w:color="auto"/>
        <w:bottom w:val="none" w:sz="0" w:space="0" w:color="auto"/>
        <w:right w:val="none" w:sz="0" w:space="0" w:color="auto"/>
      </w:divBdr>
      <w:divsChild>
        <w:div w:id="747767515">
          <w:marLeft w:val="0"/>
          <w:marRight w:val="0"/>
          <w:marTop w:val="0"/>
          <w:marBottom w:val="75"/>
          <w:divBdr>
            <w:top w:val="none" w:sz="0" w:space="0" w:color="auto"/>
            <w:left w:val="none" w:sz="0" w:space="0" w:color="auto"/>
            <w:bottom w:val="none" w:sz="0" w:space="0" w:color="auto"/>
            <w:right w:val="none" w:sz="0" w:space="0" w:color="auto"/>
          </w:divBdr>
        </w:div>
      </w:divsChild>
    </w:div>
    <w:div w:id="2126580991">
      <w:bodyDiv w:val="1"/>
      <w:marLeft w:val="0"/>
      <w:marRight w:val="0"/>
      <w:marTop w:val="0"/>
      <w:marBottom w:val="0"/>
      <w:divBdr>
        <w:top w:val="none" w:sz="0" w:space="0" w:color="auto"/>
        <w:left w:val="none" w:sz="0" w:space="0" w:color="auto"/>
        <w:bottom w:val="none" w:sz="0" w:space="0" w:color="auto"/>
        <w:right w:val="none" w:sz="0" w:space="0" w:color="auto"/>
      </w:divBdr>
    </w:div>
    <w:div w:id="2130317261">
      <w:bodyDiv w:val="1"/>
      <w:marLeft w:val="0"/>
      <w:marRight w:val="0"/>
      <w:marTop w:val="0"/>
      <w:marBottom w:val="0"/>
      <w:divBdr>
        <w:top w:val="none" w:sz="0" w:space="0" w:color="auto"/>
        <w:left w:val="none" w:sz="0" w:space="0" w:color="auto"/>
        <w:bottom w:val="none" w:sz="0" w:space="0" w:color="auto"/>
        <w:right w:val="none" w:sz="0" w:space="0" w:color="auto"/>
      </w:divBdr>
    </w:div>
    <w:div w:id="2141409919">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7AC8-2E34-445B-9BB7-BE931DC6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10243</Words>
  <Characters>58391</Characters>
  <Application>Microsoft Office Word</Application>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 Arai</dc:creator>
  <cp:keywords/>
  <dc:description/>
  <cp:lastModifiedBy>Yutaka Arai</cp:lastModifiedBy>
  <cp:revision>6</cp:revision>
  <cp:lastPrinted>2020-10-26T09:12:00Z</cp:lastPrinted>
  <dcterms:created xsi:type="dcterms:W3CDTF">2020-11-20T15:05:00Z</dcterms:created>
  <dcterms:modified xsi:type="dcterms:W3CDTF">2020-11-20T15:46:00Z</dcterms:modified>
</cp:coreProperties>
</file>