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4CCD7" w14:textId="77777777" w:rsidR="0024134F" w:rsidRPr="006D6415" w:rsidRDefault="0024134F" w:rsidP="000E0CD4">
      <w:pPr>
        <w:pStyle w:val="NoSpacing"/>
        <w:spacing w:line="480" w:lineRule="auto"/>
        <w:jc w:val="center"/>
      </w:pPr>
      <w:r w:rsidRPr="000E0CD4">
        <w:rPr>
          <w:rFonts w:ascii="Times New Roman" w:hAnsi="Times New Roman" w:cs="Times New Roman"/>
          <w:sz w:val="24"/>
          <w:szCs w:val="24"/>
        </w:rPr>
        <w:t>Abstract</w:t>
      </w:r>
    </w:p>
    <w:p w14:paraId="434CE3E0" w14:textId="34E32499" w:rsidR="00D93BF0" w:rsidRDefault="00D93BF0" w:rsidP="00D93BF0">
      <w:pPr>
        <w:spacing w:after="160" w:line="480" w:lineRule="auto"/>
      </w:pPr>
      <w:r w:rsidRPr="00D93BF0">
        <w:t>While Indigenous peoples account for a small portion of the Canadian population, they are overrepresented in the Canadian Criminal Justice System. Research and case law suggest culture should always be considered in violence risk assessments (VRAs</w:t>
      </w:r>
      <w:r w:rsidR="009A48B3" w:rsidRPr="00D93BF0">
        <w:t>),</w:t>
      </w:r>
      <w:r w:rsidRPr="00D93BF0">
        <w:t xml:space="preserve"> but it is unknown whether this recommendation is followed. The present study examined the role of Indigenous versus non-Indigenous culture in judicial opinions regarding evaluators’ VRA and expert witness testimony in Dangerous Offender and Long-Term Offender (DO/LTO) hearings under Canadian Law. 214 DO/LTO hearings from 2009-2016 where judges commented on VRAs submitted to the court were systematically identified via the Canadian Legal Information Institute database. Judicial comments were analyzed in cases with Indigenous and non-Indigenous defendants for discussions of culture and the prevalence of comments regarding qualities of the evaluator(s), qualities of the VRA(s) completed, and qualities of the evaluators’ expert testimony about the VRA. Judges considered culture meaningfully in 64% of Indigenous offenders’ cases. Discussion of VRA tools’ content was significantly more frequent in non-Indigenous cases; otherwise, frequency of non-cultural themes did not vary between case groups. Given the importance of considering culture in VRA, it is concerning that culture was considered in just over half of cases; improving this deficit is discussed.</w:t>
      </w:r>
    </w:p>
    <w:p w14:paraId="3DCBE1B6" w14:textId="1B7DC720" w:rsidR="00875A80" w:rsidRDefault="0024134F" w:rsidP="00D75872">
      <w:pPr>
        <w:spacing w:after="160" w:line="259" w:lineRule="auto"/>
      </w:pPr>
      <w:r>
        <w:rPr>
          <w:b/>
        </w:rPr>
        <w:t xml:space="preserve">Keywords: </w:t>
      </w:r>
      <w:r w:rsidRPr="00EB7059">
        <w:t>indigenous culture, aboriginal,</w:t>
      </w:r>
      <w:r>
        <w:rPr>
          <w:b/>
        </w:rPr>
        <w:t xml:space="preserve"> </w:t>
      </w:r>
      <w:r>
        <w:t xml:space="preserve">violence risk assessment, expert evidence, </w:t>
      </w:r>
      <w:r w:rsidR="00BE7DA0">
        <w:t>sentencing</w:t>
      </w:r>
    </w:p>
    <w:p w14:paraId="519ED1F1" w14:textId="77777777" w:rsidR="00AD116A" w:rsidRDefault="00AD116A" w:rsidP="00AD116A">
      <w:pPr>
        <w:spacing w:line="480" w:lineRule="auto"/>
      </w:pPr>
    </w:p>
    <w:p w14:paraId="54E8E7B0" w14:textId="77777777" w:rsidR="000E0CD4" w:rsidRDefault="000E0CD4" w:rsidP="000E0CD4">
      <w:pPr>
        <w:spacing w:line="480" w:lineRule="auto"/>
        <w:jc w:val="center"/>
      </w:pPr>
    </w:p>
    <w:p w14:paraId="7A20DC22" w14:textId="77777777" w:rsidR="00D93BF0" w:rsidRDefault="00D93BF0" w:rsidP="000E0CD4">
      <w:pPr>
        <w:spacing w:line="480" w:lineRule="auto"/>
        <w:jc w:val="center"/>
      </w:pPr>
    </w:p>
    <w:p w14:paraId="6878249C" w14:textId="77777777" w:rsidR="00D93BF0" w:rsidRDefault="00D93BF0" w:rsidP="000E0CD4">
      <w:pPr>
        <w:spacing w:line="480" w:lineRule="auto"/>
        <w:jc w:val="center"/>
      </w:pPr>
    </w:p>
    <w:p w14:paraId="6FB647C4" w14:textId="77777777" w:rsidR="00D93BF0" w:rsidRDefault="00D93BF0" w:rsidP="000E0CD4">
      <w:pPr>
        <w:spacing w:line="480" w:lineRule="auto"/>
        <w:jc w:val="center"/>
      </w:pPr>
    </w:p>
    <w:p w14:paraId="060D1C50" w14:textId="642161EA" w:rsidR="009A779D" w:rsidRPr="00D37D75" w:rsidRDefault="009A779D" w:rsidP="000E0CD4">
      <w:pPr>
        <w:spacing w:line="480" w:lineRule="auto"/>
        <w:jc w:val="center"/>
      </w:pPr>
      <w:r w:rsidRPr="00D37D75">
        <w:lastRenderedPageBreak/>
        <w:t>The Consideration of Indigenous Peoples in High Stakes Evaluations of Risk</w:t>
      </w:r>
    </w:p>
    <w:p w14:paraId="4003E694" w14:textId="77777777" w:rsidR="005900B7" w:rsidRPr="005900B7" w:rsidRDefault="005900B7" w:rsidP="005900B7">
      <w:pPr>
        <w:spacing w:line="480" w:lineRule="auto"/>
        <w:ind w:firstLine="720"/>
        <w:jc w:val="center"/>
        <w:rPr>
          <w:b/>
          <w:bCs/>
        </w:rPr>
      </w:pPr>
      <w:r w:rsidRPr="005900B7">
        <w:rPr>
          <w:b/>
          <w:bCs/>
        </w:rPr>
        <w:t>Introduction</w:t>
      </w:r>
    </w:p>
    <w:p w14:paraId="68800492" w14:textId="3E135328" w:rsidR="0004163C" w:rsidRDefault="0024134F" w:rsidP="0004163C">
      <w:pPr>
        <w:spacing w:line="480" w:lineRule="auto"/>
        <w:ind w:firstLine="720"/>
      </w:pPr>
      <w:r>
        <w:t xml:space="preserve">Violence risk assessment </w:t>
      </w:r>
      <w:r w:rsidR="006B0427">
        <w:t xml:space="preserve">(VRA) </w:t>
      </w:r>
      <w:r>
        <w:t>is a practice that involves professionals forming opinions about the risk posed by an individual for future violence (Douglas</w:t>
      </w:r>
      <w:r w:rsidR="004D1EBA">
        <w:t xml:space="preserve"> et al.</w:t>
      </w:r>
      <w:r>
        <w:t xml:space="preserve">, 1999). </w:t>
      </w:r>
      <w:r w:rsidR="000F5596">
        <w:t xml:space="preserve"> Due to increased attention on clinical, ethical, and legal applications of VRA, a</w:t>
      </w:r>
      <w:r>
        <w:t xml:space="preserve">n area of primary concern in the current literature is the use of </w:t>
      </w:r>
      <w:r w:rsidR="006B0427">
        <w:t>VRA</w:t>
      </w:r>
      <w:r>
        <w:t xml:space="preserve"> tools with populations </w:t>
      </w:r>
      <w:r w:rsidR="00132613">
        <w:t>upon</w:t>
      </w:r>
      <w:r>
        <w:t xml:space="preserve"> which they were not developed or normed. With growing recognition of the potential limitations of the research and validation of these tools</w:t>
      </w:r>
      <w:r w:rsidR="004D1EBA">
        <w:t xml:space="preserve"> on such populations</w:t>
      </w:r>
      <w:r>
        <w:t xml:space="preserve">, there is an increasing responsibility for professionals to conduct </w:t>
      </w:r>
      <w:r w:rsidR="006B0427">
        <w:t>VRAs</w:t>
      </w:r>
      <w:r>
        <w:t xml:space="preserve"> in line with clinical, legal, and ethical standards. These standards state that assessments should be conducted with consideration of </w:t>
      </w:r>
      <w:r w:rsidR="00111656">
        <w:t xml:space="preserve">the </w:t>
      </w:r>
      <w:r>
        <w:t>evaluees’ background and specifically, their culture (</w:t>
      </w:r>
      <w:r w:rsidRPr="005864E0">
        <w:t>see Cook &amp; Hart, 2017).</w:t>
      </w:r>
      <w:r>
        <w:t xml:space="preserve"> In their recent review, Cook </w:t>
      </w:r>
      <w:r w:rsidR="00552B7E">
        <w:t>and</w:t>
      </w:r>
      <w:r>
        <w:t xml:space="preserve"> Hart (2017) call</w:t>
      </w:r>
      <w:r w:rsidR="00552B7E">
        <w:t>ed</w:t>
      </w:r>
      <w:r>
        <w:t xml:space="preserve"> for </w:t>
      </w:r>
      <w:r w:rsidR="007053F1">
        <w:t xml:space="preserve">a new line of </w:t>
      </w:r>
      <w:r>
        <w:t xml:space="preserve">comparative legal research to examine what aspects of </w:t>
      </w:r>
      <w:r w:rsidR="002045AA">
        <w:t>VRA</w:t>
      </w:r>
      <w:r>
        <w:t xml:space="preserve"> courts find helpful </w:t>
      </w:r>
      <w:r w:rsidR="00847730">
        <w:t xml:space="preserve">and </w:t>
      </w:r>
      <w:r>
        <w:t>where there may be potential national and cultural</w:t>
      </w:r>
      <w:r w:rsidR="0016415E">
        <w:t xml:space="preserve"> </w:t>
      </w:r>
      <w:r>
        <w:t>bias</w:t>
      </w:r>
      <w:r w:rsidR="00847730">
        <w:t xml:space="preserve"> in the assessment process</w:t>
      </w:r>
      <w:r>
        <w:t xml:space="preserve">. </w:t>
      </w:r>
      <w:r w:rsidR="00F822D4">
        <w:t>T</w:t>
      </w:r>
      <w:r w:rsidR="007053F1">
        <w:t>o contribute to this area, t</w:t>
      </w:r>
      <w:r w:rsidR="00552B7E">
        <w:t xml:space="preserve">his </w:t>
      </w:r>
      <w:r>
        <w:t xml:space="preserve">study focuses on the </w:t>
      </w:r>
      <w:r w:rsidR="00EC1885">
        <w:t xml:space="preserve">consideration </w:t>
      </w:r>
      <w:r>
        <w:t xml:space="preserve">of </w:t>
      </w:r>
      <w:r w:rsidR="00111656">
        <w:t>VRA</w:t>
      </w:r>
      <w:r w:rsidR="00B47FB0">
        <w:t xml:space="preserve"> </w:t>
      </w:r>
      <w:r>
        <w:t>expert evidence in cases with Indigenous</w:t>
      </w:r>
      <w:r w:rsidR="007D01A2">
        <w:rPr>
          <w:rStyle w:val="FootnoteReference"/>
        </w:rPr>
        <w:footnoteReference w:id="2"/>
      </w:r>
      <w:r w:rsidR="007D01A2">
        <w:t xml:space="preserve"> </w:t>
      </w:r>
      <w:r>
        <w:t xml:space="preserve">and non-Indigenous offenders in Canada, with a specific focus on assessments conducted in the context of Dangerous Offender (DO) and Long-Term Offender (LTO) Hearings. </w:t>
      </w:r>
    </w:p>
    <w:p w14:paraId="2FAA7CAE" w14:textId="5A6D3B2D" w:rsidR="0004163C" w:rsidRDefault="0004163C" w:rsidP="0078693D">
      <w:pPr>
        <w:spacing w:line="480" w:lineRule="auto"/>
      </w:pPr>
      <w:r w:rsidRPr="00C227DE">
        <w:rPr>
          <w:b/>
        </w:rPr>
        <w:t xml:space="preserve">Dangerous </w:t>
      </w:r>
      <w:r>
        <w:rPr>
          <w:b/>
          <w:bCs/>
        </w:rPr>
        <w:t xml:space="preserve">and Long-Term </w:t>
      </w:r>
      <w:r w:rsidRPr="00C227DE">
        <w:rPr>
          <w:b/>
        </w:rPr>
        <w:t>Offender</w:t>
      </w:r>
      <w:r>
        <w:rPr>
          <w:b/>
          <w:bCs/>
        </w:rPr>
        <w:t xml:space="preserve"> Designations</w:t>
      </w:r>
    </w:p>
    <w:p w14:paraId="3A7DE81E" w14:textId="0EF705E7" w:rsidR="00B57A85" w:rsidRDefault="004D1EBA" w:rsidP="007B345A">
      <w:pPr>
        <w:spacing w:line="480" w:lineRule="auto"/>
        <w:ind w:firstLine="720"/>
      </w:pPr>
      <w:r>
        <w:lastRenderedPageBreak/>
        <w:t>A</w:t>
      </w:r>
      <w:r w:rsidRPr="00B57A85">
        <w:t xml:space="preserve"> </w:t>
      </w:r>
      <w:r w:rsidR="00B57A85" w:rsidRPr="00B57A85">
        <w:t>Dangerous Offender</w:t>
      </w:r>
      <w:r w:rsidR="00072363">
        <w:t xml:space="preserve"> (DO)</w:t>
      </w:r>
      <w:r w:rsidR="00B57A85" w:rsidRPr="00B57A85">
        <w:t xml:space="preserve"> designation can be made when an offender presents a significant threat of future violence and has committed a “serious personal injury offence”</w:t>
      </w:r>
      <w:r w:rsidR="00A54824">
        <w:t xml:space="preserve"> (Criminal Code, 1985).</w:t>
      </w:r>
      <w:r w:rsidR="00B57A85" w:rsidRPr="00B57A85">
        <w:t xml:space="preserve"> </w:t>
      </w:r>
      <w:r w:rsidR="008A7EF8">
        <w:t>I</w:t>
      </w:r>
      <w:r w:rsidR="00B57A85" w:rsidRPr="00B57A85">
        <w:t>f proven, the designation usually results in a long-term supervision order or indeterminate imprisonment (Public Safety Canada, 201</w:t>
      </w:r>
      <w:r w:rsidR="00F059A4">
        <w:t>9</w:t>
      </w:r>
      <w:r w:rsidR="00B57A85" w:rsidRPr="00B57A85">
        <w:t xml:space="preserve">). </w:t>
      </w:r>
      <w:r>
        <w:t>A</w:t>
      </w:r>
      <w:r w:rsidRPr="00B57A85">
        <w:t xml:space="preserve"> </w:t>
      </w:r>
      <w:r w:rsidR="00B57A85" w:rsidRPr="00B57A85">
        <w:t>Long-Term Offender</w:t>
      </w:r>
      <w:r w:rsidR="00072363">
        <w:t xml:space="preserve"> (LTO)</w:t>
      </w:r>
      <w:r w:rsidR="00B57A85" w:rsidRPr="00B57A85">
        <w:t xml:space="preserve"> designation is </w:t>
      </w:r>
      <w:r w:rsidR="000F5596">
        <w:t>possible</w:t>
      </w:r>
      <w:r w:rsidR="000F5596" w:rsidRPr="00B57A85">
        <w:t xml:space="preserve"> </w:t>
      </w:r>
      <w:r w:rsidR="00B57A85" w:rsidRPr="00B57A85">
        <w:t>when an offender is convicted of a “serious personal injury offence” and is deemed likely to reoffend, but there is a reasonable possibility the offender could be managed in the community after their sentence. The LTO designation allows for a maximum of ten years’ supervision after the offender’s release (Gutierrez</w:t>
      </w:r>
      <w:r w:rsidR="001C3054">
        <w:t xml:space="preserve"> et al.</w:t>
      </w:r>
      <w:r w:rsidR="00B57A85" w:rsidRPr="00B57A85">
        <w:t xml:space="preserve">, 2016). A formal assessment, which includes assessment of risk and manageability, completed by either individual professionals (most often a psychiatrist or psychologist) or multidisciplinary teams is required in a DO or LTO hearing. The assessment is completed </w:t>
      </w:r>
      <w:r w:rsidR="00476BE1">
        <w:t>at the request of</w:t>
      </w:r>
      <w:r w:rsidR="00476BE1" w:rsidRPr="00B57A85">
        <w:t xml:space="preserve"> </w:t>
      </w:r>
      <w:r w:rsidR="00B57A85" w:rsidRPr="00B57A85">
        <w:t xml:space="preserve">the court, not the prosecution or defense, but the prosecution and defense can call experts to conduct additional assessments and/or testify at </w:t>
      </w:r>
      <w:r w:rsidR="00072363">
        <w:t>the</w:t>
      </w:r>
      <w:r w:rsidR="00B57A85" w:rsidRPr="00B57A85">
        <w:t xml:space="preserve"> hearing. These assessments are critical in determinations of the offenders’ risk and manageability </w:t>
      </w:r>
      <w:r w:rsidR="00B57A85" w:rsidRPr="001C3054">
        <w:t>(</w:t>
      </w:r>
      <w:r w:rsidR="00B57A85" w:rsidRPr="001C3054">
        <w:rPr>
          <w:i/>
          <w:iCs/>
        </w:rPr>
        <w:t>R v Pike</w:t>
      </w:r>
      <w:r w:rsidR="00B57A85" w:rsidRPr="00B57A85">
        <w:t>, 2010). For more information on DO/LTO designations, please see The Investigation, Prosecution, and Correctional Management of High-Risk Offenders: A National Guide (Public Safety Canada, 2018).</w:t>
      </w:r>
    </w:p>
    <w:p w14:paraId="0B3E96A0" w14:textId="3589A3B6" w:rsidR="0024134F" w:rsidRDefault="002D7F4A" w:rsidP="007B345A">
      <w:pPr>
        <w:spacing w:line="480" w:lineRule="auto"/>
        <w:ind w:firstLine="720"/>
      </w:pPr>
      <w:r>
        <w:t>We focus on</w:t>
      </w:r>
      <w:r w:rsidR="006F61D3" w:rsidDel="00687283">
        <w:t xml:space="preserve"> DO/LTO designations </w:t>
      </w:r>
      <w:r>
        <w:t>as these designations are the</w:t>
      </w:r>
      <w:r w:rsidR="006F61D3">
        <w:t xml:space="preserve"> most severe </w:t>
      </w:r>
      <w:r w:rsidR="00072363">
        <w:t xml:space="preserve">possible </w:t>
      </w:r>
      <w:r w:rsidR="006F61D3">
        <w:t>in the Canadian Criminal Justice System</w:t>
      </w:r>
      <w:r w:rsidR="00E6789F">
        <w:t xml:space="preserve"> </w:t>
      </w:r>
      <w:r>
        <w:t>in terms of</w:t>
      </w:r>
      <w:r w:rsidR="00E6789F">
        <w:t xml:space="preserve"> </w:t>
      </w:r>
      <w:r w:rsidR="00476BE1">
        <w:t xml:space="preserve">having </w:t>
      </w:r>
      <w:r w:rsidR="00E6789F">
        <w:t xml:space="preserve">the </w:t>
      </w:r>
      <w:r w:rsidR="00476BE1">
        <w:t xml:space="preserve">greatest </w:t>
      </w:r>
      <w:r w:rsidR="00E6789F">
        <w:t xml:space="preserve">restrictions </w:t>
      </w:r>
      <w:r w:rsidR="004B78A4">
        <w:t>on</w:t>
      </w:r>
      <w:r w:rsidR="00E6789F">
        <w:t xml:space="preserve"> the defendant’s liberty</w:t>
      </w:r>
      <w:r w:rsidR="00CC20C2">
        <w:t xml:space="preserve"> (e.g., indeterminate imprisonment)</w:t>
      </w:r>
      <w:r w:rsidR="006F61D3">
        <w:t xml:space="preserve">. </w:t>
      </w:r>
      <w:r w:rsidR="00476BE1">
        <w:t>Given the impact of decisions in these cases,</w:t>
      </w:r>
      <w:r w:rsidR="00CD489D">
        <w:t xml:space="preserve"> the highest rigor from judges and expert evaluators </w:t>
      </w:r>
      <w:r w:rsidR="00476BE1">
        <w:t>is expected</w:t>
      </w:r>
      <w:r w:rsidR="0078693D">
        <w:t>, and DO/LTO cases must include assessments of risk and manageability (i.e., VRAs)</w:t>
      </w:r>
      <w:r w:rsidR="00CD489D">
        <w:t xml:space="preserve">. </w:t>
      </w:r>
    </w:p>
    <w:p w14:paraId="7B2535CA" w14:textId="21FF34AC" w:rsidR="00652374" w:rsidRPr="0078693D" w:rsidDel="00687283" w:rsidRDefault="001B1B04" w:rsidP="0078693D">
      <w:pPr>
        <w:spacing w:line="480" w:lineRule="auto"/>
        <w:rPr>
          <w:b/>
          <w:bCs/>
        </w:rPr>
      </w:pPr>
      <w:r>
        <w:rPr>
          <w:b/>
          <w:bCs/>
        </w:rPr>
        <w:t>Justice System Involvement</w:t>
      </w:r>
      <w:r w:rsidRPr="00C227DE">
        <w:rPr>
          <w:b/>
        </w:rPr>
        <w:t xml:space="preserve"> </w:t>
      </w:r>
      <w:r w:rsidR="00D362E3" w:rsidRPr="00C227DE">
        <w:rPr>
          <w:b/>
        </w:rPr>
        <w:t xml:space="preserve">of </w:t>
      </w:r>
      <w:r w:rsidR="00D362E3">
        <w:rPr>
          <w:b/>
          <w:bCs/>
        </w:rPr>
        <w:t>Indigenous People</w:t>
      </w:r>
      <w:r w:rsidR="00D362E3" w:rsidRPr="00C227DE">
        <w:rPr>
          <w:b/>
        </w:rPr>
        <w:t xml:space="preserve"> </w:t>
      </w:r>
      <w:r w:rsidRPr="00C227DE">
        <w:rPr>
          <w:b/>
        </w:rPr>
        <w:t xml:space="preserve">in </w:t>
      </w:r>
      <w:r>
        <w:rPr>
          <w:b/>
          <w:bCs/>
        </w:rPr>
        <w:t>Canada</w:t>
      </w:r>
    </w:p>
    <w:p w14:paraId="5D8D7307" w14:textId="017DB3C8" w:rsidR="00E44838" w:rsidRDefault="0024134F" w:rsidP="0024134F">
      <w:pPr>
        <w:spacing w:line="480" w:lineRule="auto"/>
        <w:ind w:firstLine="720"/>
      </w:pPr>
      <w:r>
        <w:lastRenderedPageBreak/>
        <w:t xml:space="preserve">According to the </w:t>
      </w:r>
      <w:r w:rsidRPr="00CB2F17">
        <w:t>Corrections and Conditional Release Statistical Overview</w:t>
      </w:r>
      <w:r>
        <w:t xml:space="preserve"> (201</w:t>
      </w:r>
      <w:r w:rsidR="00004C21">
        <w:t>9</w:t>
      </w:r>
      <w:r>
        <w:t xml:space="preserve">), </w:t>
      </w:r>
      <w:r w:rsidR="00DF750C">
        <w:t>24.0</w:t>
      </w:r>
      <w:r>
        <w:t>% of offenders in the Criminal Justice system are of Indigenous heritage, compared to 4.</w:t>
      </w:r>
      <w:r w:rsidR="004C7C39">
        <w:t>9</w:t>
      </w:r>
      <w:r>
        <w:t>% of all Canadian citizens</w:t>
      </w:r>
      <w:r w:rsidR="00004C21">
        <w:t xml:space="preserve"> (Statistics Canada, 2017)</w:t>
      </w:r>
      <w:r>
        <w:t xml:space="preserve">. Further, </w:t>
      </w:r>
      <w:r w:rsidR="00171E29">
        <w:t xml:space="preserve">the most recent data suggest </w:t>
      </w:r>
      <w:r>
        <w:t>23% of all DOs and 17% of all LTOs are of Indigenous heritage (</w:t>
      </w:r>
      <w:proofErr w:type="spellStart"/>
      <w:r>
        <w:t>Trevethan</w:t>
      </w:r>
      <w:proofErr w:type="spellEnd"/>
      <w:r w:rsidR="00CD1D96">
        <w:t xml:space="preserve"> et al.,</w:t>
      </w:r>
      <w:r>
        <w:t xml:space="preserve"> 2002). </w:t>
      </w:r>
      <w:r w:rsidR="00F52DC0">
        <w:t>Attempts to mitigate this</w:t>
      </w:r>
      <w:r w:rsidR="00CD1D96">
        <w:t xml:space="preserve"> disparity</w:t>
      </w:r>
      <w:r w:rsidR="00F52DC0">
        <w:t xml:space="preserve"> have been made, such as the implementation of the </w:t>
      </w:r>
      <w:proofErr w:type="spellStart"/>
      <w:r w:rsidR="00F52DC0">
        <w:t>Gladue</w:t>
      </w:r>
      <w:proofErr w:type="spellEnd"/>
      <w:r w:rsidR="00F52DC0">
        <w:t xml:space="preserve"> sentencing principle in 1999</w:t>
      </w:r>
      <w:r w:rsidR="00AE12B4">
        <w:t xml:space="preserve">. </w:t>
      </w:r>
      <w:r w:rsidR="00F44229">
        <w:t>T</w:t>
      </w:r>
      <w:r w:rsidR="00AE12B4">
        <w:t xml:space="preserve">he </w:t>
      </w:r>
      <w:proofErr w:type="spellStart"/>
      <w:r w:rsidR="00AE12B4">
        <w:t>Gladue</w:t>
      </w:r>
      <w:proofErr w:type="spellEnd"/>
      <w:r w:rsidR="00AE12B4">
        <w:t xml:space="preserve"> principle</w:t>
      </w:r>
      <w:r w:rsidR="00F44229">
        <w:t>,</w:t>
      </w:r>
      <w:r w:rsidR="00AE12B4">
        <w:t xml:space="preserve"> </w:t>
      </w:r>
      <w:r w:rsidR="00F44229">
        <w:t>per</w:t>
      </w:r>
      <w:r w:rsidR="00E402F4">
        <w:t xml:space="preserve"> </w:t>
      </w:r>
      <w:r w:rsidR="00E402F4" w:rsidRPr="00105463">
        <w:rPr>
          <w:i/>
          <w:color w:val="000000" w:themeColor="text1"/>
        </w:rPr>
        <w:t>R </w:t>
      </w:r>
      <w:r w:rsidR="00E402F4" w:rsidRPr="00105463">
        <w:rPr>
          <w:i/>
          <w:iCs/>
          <w:color w:val="000000" w:themeColor="text1"/>
        </w:rPr>
        <w:t>v</w:t>
      </w:r>
      <w:r w:rsidR="00E402F4" w:rsidRPr="00105463">
        <w:rPr>
          <w:i/>
          <w:color w:val="000000" w:themeColor="text1"/>
        </w:rPr>
        <w:t xml:space="preserve"> </w:t>
      </w:r>
      <w:proofErr w:type="spellStart"/>
      <w:r w:rsidR="00E402F4" w:rsidRPr="00105463">
        <w:rPr>
          <w:i/>
          <w:color w:val="000000" w:themeColor="text1"/>
        </w:rPr>
        <w:t>Gladue</w:t>
      </w:r>
      <w:proofErr w:type="spellEnd"/>
      <w:r w:rsidR="00E402F4">
        <w:rPr>
          <w:i/>
          <w:color w:val="000000" w:themeColor="text1"/>
        </w:rPr>
        <w:t xml:space="preserve"> </w:t>
      </w:r>
      <w:r w:rsidR="002C2EE4">
        <w:rPr>
          <w:iCs/>
          <w:color w:val="000000" w:themeColor="text1"/>
        </w:rPr>
        <w:t>(</w:t>
      </w:r>
      <w:r w:rsidR="00E402F4" w:rsidRPr="00105463">
        <w:rPr>
          <w:color w:val="000000" w:themeColor="text1"/>
        </w:rPr>
        <w:t>1999</w:t>
      </w:r>
      <w:r w:rsidR="002C2EE4">
        <w:rPr>
          <w:color w:val="000000" w:themeColor="text1"/>
        </w:rPr>
        <w:t>)</w:t>
      </w:r>
      <w:r w:rsidR="00F44229">
        <w:rPr>
          <w:color w:val="000000" w:themeColor="text1"/>
        </w:rPr>
        <w:t xml:space="preserve">, </w:t>
      </w:r>
      <w:r w:rsidR="00AE12B4">
        <w:t>mandates that</w:t>
      </w:r>
      <w:r w:rsidR="007061E2">
        <w:t xml:space="preserve"> </w:t>
      </w:r>
      <w:r w:rsidR="00F52DC0">
        <w:t xml:space="preserve">Canadian judges </w:t>
      </w:r>
      <w:r w:rsidR="00F44229">
        <w:t>consider</w:t>
      </w:r>
      <w:r w:rsidR="00142EA7">
        <w:t xml:space="preserve"> </w:t>
      </w:r>
      <w:r w:rsidR="00F44229">
        <w:t>the</w:t>
      </w:r>
      <w:r w:rsidR="009525E0">
        <w:t xml:space="preserve"> unique </w:t>
      </w:r>
      <w:r w:rsidR="002470BC">
        <w:t xml:space="preserve">historical and ongoing </w:t>
      </w:r>
      <w:r w:rsidR="00041DC9">
        <w:t xml:space="preserve">adversities </w:t>
      </w:r>
      <w:r w:rsidR="00F44229">
        <w:t xml:space="preserve">Indigenous peoples face </w:t>
      </w:r>
      <w:r w:rsidR="008D2871">
        <w:t>within Canadian society</w:t>
      </w:r>
      <w:r w:rsidR="00F44229">
        <w:t xml:space="preserve"> when administer</w:t>
      </w:r>
      <w:r w:rsidR="003B6997">
        <w:t>ing</w:t>
      </w:r>
      <w:r w:rsidR="00F44229">
        <w:t xml:space="preserve"> sentences to Indigenous peoples</w:t>
      </w:r>
      <w:r w:rsidR="00F473BB">
        <w:t>.</w:t>
      </w:r>
      <w:r w:rsidR="00E402F4">
        <w:t xml:space="preserve"> </w:t>
      </w:r>
      <w:r w:rsidR="00F473BB">
        <w:t>The principle further directs judges to</w:t>
      </w:r>
      <w:r w:rsidR="00F52DC0">
        <w:t xml:space="preserve"> consider all alternatives to incarceration when sentencing offenders of Indigenous heritage</w:t>
      </w:r>
      <w:r w:rsidR="002464E3">
        <w:t xml:space="preserve"> with an acknowledged goal of decreasing </w:t>
      </w:r>
      <w:r w:rsidR="00F66372">
        <w:t xml:space="preserve">Indigenous peoples’ </w:t>
      </w:r>
      <w:r w:rsidR="00F44229">
        <w:t>overrepresentation</w:t>
      </w:r>
      <w:r w:rsidR="008667AB">
        <w:t xml:space="preserve"> in the criminal justice system</w:t>
      </w:r>
      <w:r w:rsidR="00F52DC0">
        <w:t xml:space="preserve">. </w:t>
      </w:r>
    </w:p>
    <w:p w14:paraId="1682BC12" w14:textId="20053366" w:rsidR="0024134F" w:rsidRDefault="00844CD5" w:rsidP="0024134F">
      <w:pPr>
        <w:spacing w:line="480" w:lineRule="auto"/>
        <w:ind w:firstLine="720"/>
      </w:pPr>
      <w:r>
        <w:t xml:space="preserve">There has been much discussion as to why overrepresentation </w:t>
      </w:r>
      <w:r w:rsidR="00F44229">
        <w:t xml:space="preserve">of Indigenous peoples in the justice system </w:t>
      </w:r>
      <w:r>
        <w:t xml:space="preserve">exists. </w:t>
      </w:r>
      <w:r w:rsidR="000D3C6A">
        <w:t xml:space="preserve">Causes of this include </w:t>
      </w:r>
      <w:r>
        <w:t xml:space="preserve">the decades of systemic victimization Indigenous peoples faced at the hands of the Canadian government </w:t>
      </w:r>
      <w:r w:rsidR="0031276F">
        <w:t>(Canada Privy Council Office, 2019</w:t>
      </w:r>
      <w:r w:rsidR="0078693D">
        <w:t xml:space="preserve">; </w:t>
      </w:r>
      <w:proofErr w:type="spellStart"/>
      <w:r w:rsidR="0078693D">
        <w:t>Monchalin</w:t>
      </w:r>
      <w:proofErr w:type="spellEnd"/>
      <w:r w:rsidR="0078693D">
        <w:t>, 2010</w:t>
      </w:r>
      <w:r w:rsidR="0031276F">
        <w:t>)</w:t>
      </w:r>
      <w:r w:rsidR="000D3C6A">
        <w:t xml:space="preserve">, high levels of racism experienced by Indigenous peoples (Bailey, 2016), </w:t>
      </w:r>
      <w:r w:rsidR="005259A0">
        <w:t>and risk factors for offending</w:t>
      </w:r>
      <w:r w:rsidR="00CE30B0">
        <w:t xml:space="preserve"> prevalent in</w:t>
      </w:r>
      <w:r w:rsidR="005259A0">
        <w:t xml:space="preserve"> Indigenous communities </w:t>
      </w:r>
      <w:r w:rsidR="00A211A2">
        <w:t xml:space="preserve">caused by this victimization </w:t>
      </w:r>
      <w:r w:rsidR="005259A0">
        <w:t xml:space="preserve">(e.g., family violence, substance abuse; </w:t>
      </w:r>
      <w:proofErr w:type="spellStart"/>
      <w:r w:rsidR="005259A0">
        <w:t>Monchalin</w:t>
      </w:r>
      <w:proofErr w:type="spellEnd"/>
      <w:r w:rsidR="005259A0">
        <w:t>, 2010)</w:t>
      </w:r>
      <w:r w:rsidR="00105463">
        <w:t>.</w:t>
      </w:r>
      <w:r>
        <w:t xml:space="preserve"> </w:t>
      </w:r>
      <w:r w:rsidR="00B87DED">
        <w:t>In specific reference to</w:t>
      </w:r>
      <w:r w:rsidR="003D020D">
        <w:t xml:space="preserve"> the</w:t>
      </w:r>
      <w:r w:rsidR="00B87DED">
        <w:t xml:space="preserve"> overrepresentation of Indigenous offenders in the DO population, Jackson (2015) argues that </w:t>
      </w:r>
      <w:proofErr w:type="spellStart"/>
      <w:r w:rsidR="00B87DED">
        <w:t>Gladue</w:t>
      </w:r>
      <w:proofErr w:type="spellEnd"/>
      <w:r w:rsidR="00B87DED">
        <w:t xml:space="preserve"> factors </w:t>
      </w:r>
      <w:r w:rsidR="003D020D">
        <w:t xml:space="preserve">are </w:t>
      </w:r>
      <w:r w:rsidR="007B3297">
        <w:t xml:space="preserve">not considered or are </w:t>
      </w:r>
      <w:r w:rsidR="003D020D">
        <w:t xml:space="preserve">considered </w:t>
      </w:r>
      <w:r w:rsidR="00193C3F">
        <w:t xml:space="preserve">differently </w:t>
      </w:r>
      <w:r w:rsidR="003D020D">
        <w:t>in legal analys</w:t>
      </w:r>
      <w:r w:rsidR="00193C3F">
        <w:t>e</w:t>
      </w:r>
      <w:r w:rsidR="003D020D">
        <w:t>s</w:t>
      </w:r>
      <w:r w:rsidR="00193C3F">
        <w:t xml:space="preserve"> of high</w:t>
      </w:r>
      <w:r w:rsidR="009E7598">
        <w:t>-</w:t>
      </w:r>
      <w:r w:rsidR="00193C3F">
        <w:t xml:space="preserve">risk cases </w:t>
      </w:r>
      <w:r w:rsidR="000F76CB">
        <w:t xml:space="preserve">with an Indigenous defendant </w:t>
      </w:r>
      <w:r w:rsidR="00193C3F">
        <w:t>due to paragraph 79</w:t>
      </w:r>
      <w:r w:rsidR="002633E6">
        <w:t xml:space="preserve"> in</w:t>
      </w:r>
      <w:r w:rsidR="00193C3F">
        <w:t xml:space="preserve"> </w:t>
      </w:r>
      <w:r w:rsidR="00193C3F">
        <w:rPr>
          <w:i/>
        </w:rPr>
        <w:t xml:space="preserve">R v </w:t>
      </w:r>
      <w:proofErr w:type="spellStart"/>
      <w:r w:rsidR="00193C3F">
        <w:rPr>
          <w:i/>
        </w:rPr>
        <w:t>Gladue</w:t>
      </w:r>
      <w:proofErr w:type="spellEnd"/>
      <w:r w:rsidR="00193C3F">
        <w:rPr>
          <w:i/>
        </w:rPr>
        <w:t xml:space="preserve">. </w:t>
      </w:r>
      <w:r w:rsidR="00193C3F">
        <w:t>This paragraph</w:t>
      </w:r>
      <w:r w:rsidR="000F76CB" w:rsidRPr="00EF3EA2">
        <w:rPr>
          <w:i/>
        </w:rPr>
        <w:t xml:space="preserve"> </w:t>
      </w:r>
      <w:r w:rsidR="00193C3F">
        <w:t>states</w:t>
      </w:r>
      <w:r w:rsidR="008B473A">
        <w:t xml:space="preserve"> </w:t>
      </w:r>
      <w:r w:rsidR="00F650EA">
        <w:t xml:space="preserve">that </w:t>
      </w:r>
      <w:r w:rsidR="00E40608">
        <w:t xml:space="preserve">the </w:t>
      </w:r>
      <w:r w:rsidR="008B473A">
        <w:t>mo</w:t>
      </w:r>
      <w:r w:rsidR="00E40608">
        <w:t>st</w:t>
      </w:r>
      <w:r w:rsidR="008B473A">
        <w:t xml:space="preserve"> serious and violent offences may be sentenced similarly across ethnicities</w:t>
      </w:r>
      <w:r w:rsidR="00CE23B9">
        <w:t xml:space="preserve"> due to broader sentencing goals of deterrence, denunciation, and separation</w:t>
      </w:r>
      <w:r w:rsidR="002C2142">
        <w:t>.</w:t>
      </w:r>
      <w:r w:rsidR="00802E21">
        <w:t xml:space="preserve"> </w:t>
      </w:r>
      <w:r w:rsidR="00193C3F">
        <w:t xml:space="preserve">Jackson </w:t>
      </w:r>
      <w:r w:rsidR="005E0FC4">
        <w:t xml:space="preserve">further states </w:t>
      </w:r>
      <w:r w:rsidR="00193C3F">
        <w:t xml:space="preserve">that </w:t>
      </w:r>
      <w:r w:rsidR="00B44AEB">
        <w:t xml:space="preserve">this </w:t>
      </w:r>
      <w:r w:rsidR="00F229C4">
        <w:t xml:space="preserve">paragraph has led some </w:t>
      </w:r>
      <w:r w:rsidR="00802E21">
        <w:t xml:space="preserve">judges </w:t>
      </w:r>
      <w:r w:rsidR="00F229C4">
        <w:t>to</w:t>
      </w:r>
      <w:r w:rsidR="00802E21">
        <w:t xml:space="preserve"> hesitate to apply </w:t>
      </w:r>
      <w:proofErr w:type="spellStart"/>
      <w:r w:rsidR="00802E21">
        <w:t>Gladue</w:t>
      </w:r>
      <w:proofErr w:type="spellEnd"/>
      <w:r w:rsidR="00802E21">
        <w:t xml:space="preserve"> principals in DO cases,</w:t>
      </w:r>
      <w:r w:rsidR="00EF3EA2">
        <w:t xml:space="preserve"> </w:t>
      </w:r>
      <w:r w:rsidR="002633E6">
        <w:t>since</w:t>
      </w:r>
      <w:r w:rsidR="008823DA">
        <w:t xml:space="preserve"> </w:t>
      </w:r>
      <w:r w:rsidR="00B57A85">
        <w:lastRenderedPageBreak/>
        <w:t xml:space="preserve">there </w:t>
      </w:r>
      <w:r w:rsidR="008823DA">
        <w:t>may be</w:t>
      </w:r>
      <w:r w:rsidR="00B57A85">
        <w:t xml:space="preserve"> an </w:t>
      </w:r>
      <w:r w:rsidR="00B87DED" w:rsidRPr="00F6033E">
        <w:rPr>
          <w:i/>
        </w:rPr>
        <w:t>inflat</w:t>
      </w:r>
      <w:r w:rsidR="00802E21">
        <w:rPr>
          <w:i/>
        </w:rPr>
        <w:t xml:space="preserve">ion of </w:t>
      </w:r>
      <w:r w:rsidR="00B87DED">
        <w:t xml:space="preserve">perception of risk </w:t>
      </w:r>
      <w:r w:rsidR="006D6291">
        <w:t xml:space="preserve">(e.g., risk is deemed higher than necessary) </w:t>
      </w:r>
      <w:r w:rsidR="00B87DED">
        <w:t xml:space="preserve">and </w:t>
      </w:r>
      <w:r w:rsidR="00B87DED" w:rsidRPr="00F6033E">
        <w:rPr>
          <w:i/>
        </w:rPr>
        <w:t>defl</w:t>
      </w:r>
      <w:r w:rsidR="00802E21">
        <w:rPr>
          <w:i/>
        </w:rPr>
        <w:t>ation of</w:t>
      </w:r>
      <w:r w:rsidR="00B87DED">
        <w:t xml:space="preserve"> possibility for management </w:t>
      </w:r>
      <w:r w:rsidR="00193C3F">
        <w:t xml:space="preserve">of Indigenous peoples </w:t>
      </w:r>
      <w:r w:rsidR="00B87DED">
        <w:t>in the community</w:t>
      </w:r>
      <w:r w:rsidR="006D6291">
        <w:t>,</w:t>
      </w:r>
      <w:r w:rsidR="007B3297">
        <w:t xml:space="preserve"> impacting DO sentencing.</w:t>
      </w:r>
    </w:p>
    <w:p w14:paraId="30771B64" w14:textId="505C56E0" w:rsidR="0024134F" w:rsidRDefault="0024134F" w:rsidP="000F76CB">
      <w:pPr>
        <w:spacing w:line="480" w:lineRule="auto"/>
        <w:ind w:firstLine="720"/>
      </w:pPr>
      <w:r>
        <w:t xml:space="preserve">A catalyst for the discussion of </w:t>
      </w:r>
      <w:r w:rsidR="00D42B16">
        <w:t>VRA</w:t>
      </w:r>
      <w:r>
        <w:t xml:space="preserve"> and culture and how these factors interact for Indigenous peoples in Canada is the recent </w:t>
      </w:r>
      <w:r>
        <w:rPr>
          <w:i/>
        </w:rPr>
        <w:t>Ewert v Canada</w:t>
      </w:r>
      <w:r>
        <w:t xml:space="preserve"> (</w:t>
      </w:r>
      <w:r w:rsidR="00E00F0A">
        <w:t>2015, 2018</w:t>
      </w:r>
      <w:r>
        <w:t>) case. Mr. Ewert</w:t>
      </w:r>
      <w:r w:rsidR="000158D8">
        <w:t>, who identifie</w:t>
      </w:r>
      <w:r w:rsidR="00F335C0">
        <w:t>d</w:t>
      </w:r>
      <w:r w:rsidR="000158D8">
        <w:t xml:space="preserve"> as </w:t>
      </w:r>
      <w:r w:rsidR="000158D8" w:rsidRPr="000158D8">
        <w:t>Métis</w:t>
      </w:r>
      <w:r w:rsidR="000158D8">
        <w:t>,</w:t>
      </w:r>
      <w:r>
        <w:t xml:space="preserve"> made a legal claim against the Correctional Services Canada </w:t>
      </w:r>
      <w:r w:rsidR="000158D8">
        <w:t xml:space="preserve">(CSC) </w:t>
      </w:r>
      <w:r>
        <w:t xml:space="preserve">for using </w:t>
      </w:r>
      <w:r w:rsidR="00D42B16">
        <w:t>VRA</w:t>
      </w:r>
      <w:r>
        <w:t xml:space="preserve"> tools in his case</w:t>
      </w:r>
      <w:r w:rsidR="00275F1D">
        <w:t>.</w:t>
      </w:r>
      <w:r>
        <w:t xml:space="preserve"> Mr. Ewert argued </w:t>
      </w:r>
      <w:r w:rsidR="00275F1D">
        <w:t>that the</w:t>
      </w:r>
      <w:r w:rsidR="008F77C6">
        <w:t>se</w:t>
      </w:r>
      <w:r w:rsidR="00275F1D">
        <w:t xml:space="preserve"> tools </w:t>
      </w:r>
      <w:r>
        <w:t xml:space="preserve">do not </w:t>
      </w:r>
      <w:r w:rsidR="00D13797">
        <w:t>estimate</w:t>
      </w:r>
      <w:r>
        <w:t xml:space="preserve"> risk </w:t>
      </w:r>
      <w:r w:rsidR="003A4E16">
        <w:t xml:space="preserve">in the same way </w:t>
      </w:r>
      <w:r>
        <w:t xml:space="preserve">for Indigenous </w:t>
      </w:r>
      <w:r w:rsidR="008F77C6">
        <w:t xml:space="preserve">peoples </w:t>
      </w:r>
      <w:r>
        <w:t xml:space="preserve">as they do </w:t>
      </w:r>
      <w:r w:rsidR="00275F1D">
        <w:t xml:space="preserve">for </w:t>
      </w:r>
      <w:r>
        <w:t>Caucasian</w:t>
      </w:r>
      <w:r w:rsidR="00275F1D">
        <w:t>s</w:t>
      </w:r>
      <w:r>
        <w:t xml:space="preserve"> </w:t>
      </w:r>
      <w:r w:rsidR="00275F1D">
        <w:t>because the tools were developed and normed on primarily Caucasian samples</w:t>
      </w:r>
      <w:r w:rsidR="002633E6">
        <w:t>. He therefore</w:t>
      </w:r>
      <w:r w:rsidR="00AD0C53">
        <w:t xml:space="preserve"> </w:t>
      </w:r>
      <w:r>
        <w:t>claimed that the use of these tools violated his rights to life, liberty and security</w:t>
      </w:r>
      <w:r>
        <w:rPr>
          <w:rStyle w:val="FootnoteReference"/>
        </w:rPr>
        <w:footnoteReference w:id="3"/>
      </w:r>
      <w:r>
        <w:t xml:space="preserve"> and to be equal before the law without discrimination</w:t>
      </w:r>
      <w:r>
        <w:rPr>
          <w:rStyle w:val="FootnoteReference"/>
        </w:rPr>
        <w:footnoteReference w:id="4"/>
      </w:r>
      <w:r>
        <w:t>, as guaranteed to him by the</w:t>
      </w:r>
      <w:r w:rsidR="000158D8">
        <w:t xml:space="preserve"> </w:t>
      </w:r>
      <w:r>
        <w:rPr>
          <w:i/>
        </w:rPr>
        <w:t xml:space="preserve">Charter of Rights and Freedoms </w:t>
      </w:r>
      <w:r>
        <w:t>(1982)</w:t>
      </w:r>
      <w:r w:rsidR="00A2658C">
        <w:t>.</w:t>
      </w:r>
      <w:r w:rsidR="000158D8">
        <w:t xml:space="preserve"> </w:t>
      </w:r>
      <w:r w:rsidR="00E65CDF">
        <w:t xml:space="preserve">He also </w:t>
      </w:r>
      <w:r w:rsidR="00EE3F0F">
        <w:t>put forth</w:t>
      </w:r>
      <w:r w:rsidR="00E65CDF">
        <w:t xml:space="preserve"> </w:t>
      </w:r>
      <w:r w:rsidR="00275F1D">
        <w:t xml:space="preserve">that </w:t>
      </w:r>
      <w:r w:rsidR="000158D8">
        <w:t xml:space="preserve">the CSC’s reliance on these tools for Indigenous offenders violated section 24 (1) of the </w:t>
      </w:r>
      <w:r w:rsidR="000158D8" w:rsidRPr="00675BDA">
        <w:rPr>
          <w:i/>
        </w:rPr>
        <w:t>Corrections and Conditional Release Act</w:t>
      </w:r>
      <w:r w:rsidR="000158D8">
        <w:t xml:space="preserve"> (1992)</w:t>
      </w:r>
      <w:r w:rsidR="000158D8">
        <w:rPr>
          <w:rStyle w:val="FootnoteReference"/>
        </w:rPr>
        <w:footnoteReference w:id="5"/>
      </w:r>
      <w:r w:rsidR="003E07D0">
        <w:t xml:space="preserve"> (CCRA).</w:t>
      </w:r>
      <w:r w:rsidR="000158D8">
        <w:t xml:space="preserve"> </w:t>
      </w:r>
      <w:r>
        <w:t xml:space="preserve">Further, he claimed that due to the </w:t>
      </w:r>
      <w:r w:rsidR="00032130">
        <w:t xml:space="preserve">potential of </w:t>
      </w:r>
      <w:r>
        <w:t xml:space="preserve">the </w:t>
      </w:r>
      <w:r w:rsidR="00D47948">
        <w:t>VRA</w:t>
      </w:r>
      <w:r>
        <w:t xml:space="preserve"> tools used in his case</w:t>
      </w:r>
      <w:r w:rsidR="00032130">
        <w:t xml:space="preserve"> to</w:t>
      </w:r>
      <w:r w:rsidR="00FA1537">
        <w:t xml:space="preserve"> assess his risk </w:t>
      </w:r>
      <w:r w:rsidR="008F77C6">
        <w:t xml:space="preserve">for </w:t>
      </w:r>
      <w:r w:rsidR="00FA1537">
        <w:t>violence incorrectly</w:t>
      </w:r>
      <w:r>
        <w:t>, his initial trial and sentencing outcome may not have been fair (</w:t>
      </w:r>
      <w:r>
        <w:rPr>
          <w:i/>
        </w:rPr>
        <w:t xml:space="preserve">Ewert </w:t>
      </w:r>
      <w:r w:rsidR="0058552C">
        <w:rPr>
          <w:i/>
        </w:rPr>
        <w:t>v</w:t>
      </w:r>
      <w:r>
        <w:rPr>
          <w:i/>
        </w:rPr>
        <w:t xml:space="preserve"> Canada, </w:t>
      </w:r>
      <w:r>
        <w:t>2015</w:t>
      </w:r>
      <w:r w:rsidR="003E07D0">
        <w:t>, 2018</w:t>
      </w:r>
      <w:r>
        <w:t>). To capture the key arguments</w:t>
      </w:r>
      <w:r w:rsidR="007B332F">
        <w:t xml:space="preserve"> in the case</w:t>
      </w:r>
      <w:r>
        <w:t xml:space="preserve">, professionals who </w:t>
      </w:r>
      <w:r w:rsidR="007B332F">
        <w:t>gave</w:t>
      </w:r>
      <w:r>
        <w:t xml:space="preserve"> expert testimony provided commentary on their involvement and the status of the field of legal psychology in a special issue of the </w:t>
      </w:r>
      <w:r w:rsidRPr="004A6F28">
        <w:rPr>
          <w:i/>
        </w:rPr>
        <w:t>Journal of Threat Assessment and Management</w:t>
      </w:r>
      <w:r>
        <w:t xml:space="preserve"> (Haag, 2016).  Haag et al. (2016) highlighted that the Ewert case was significant in bringing to light the need for assessment tools used for specific cultural group</w:t>
      </w:r>
      <w:r w:rsidR="00E079E9">
        <w:t>s</w:t>
      </w:r>
      <w:r>
        <w:t xml:space="preserve"> to have norms relevant for th</w:t>
      </w:r>
      <w:r w:rsidR="00E079E9">
        <w:t>ose</w:t>
      </w:r>
      <w:r>
        <w:t xml:space="preserve"> population</w:t>
      </w:r>
      <w:r w:rsidR="00E079E9">
        <w:t>s</w:t>
      </w:r>
      <w:r w:rsidR="00AD65AB">
        <w:t xml:space="preserve"> to ensure </w:t>
      </w:r>
      <w:r w:rsidR="00D03EBC">
        <w:t>equal treatment before the law</w:t>
      </w:r>
      <w:r>
        <w:t xml:space="preserve">. </w:t>
      </w:r>
      <w:r>
        <w:lastRenderedPageBreak/>
        <w:t xml:space="preserve">One of the experts from the case, Hart (2016), commented that there is a notable lack of empirically sound research and evidence that can support or disprove the validity of using </w:t>
      </w:r>
      <w:r w:rsidR="00D42B16">
        <w:t>VRA</w:t>
      </w:r>
      <w:r>
        <w:t xml:space="preserve"> tools with Indigenous peoples</w:t>
      </w:r>
      <w:r w:rsidR="00913A95">
        <w:t xml:space="preserve"> and due to this,</w:t>
      </w:r>
      <w:r>
        <w:t xml:space="preserve"> confusion on how to apply tools to Indigenous evaluees (Haag, 2016). </w:t>
      </w:r>
    </w:p>
    <w:p w14:paraId="64629641" w14:textId="19483EB8" w:rsidR="000D7FFC" w:rsidRPr="000F76CB" w:rsidRDefault="000D7FFC" w:rsidP="000F76CB">
      <w:pPr>
        <w:spacing w:line="480" w:lineRule="auto"/>
        <w:rPr>
          <w:b/>
          <w:bCs/>
        </w:rPr>
      </w:pPr>
      <w:r>
        <w:rPr>
          <w:b/>
          <w:bCs/>
        </w:rPr>
        <w:t>Validity of VRA with</w:t>
      </w:r>
      <w:r w:rsidRPr="009F4184">
        <w:rPr>
          <w:b/>
        </w:rPr>
        <w:t xml:space="preserve"> Indigenous </w:t>
      </w:r>
      <w:r>
        <w:rPr>
          <w:b/>
          <w:bCs/>
        </w:rPr>
        <w:t>Peoples</w:t>
      </w:r>
    </w:p>
    <w:p w14:paraId="352B2E08" w14:textId="64D68697" w:rsidR="0024134F" w:rsidRDefault="00384D88" w:rsidP="0024134F">
      <w:pPr>
        <w:spacing w:line="480" w:lineRule="auto"/>
        <w:ind w:firstLine="720"/>
      </w:pPr>
      <w:r>
        <w:t>The</w:t>
      </w:r>
      <w:r w:rsidR="0024134F">
        <w:t xml:space="preserve"> preliminary foray into examining the validity of </w:t>
      </w:r>
      <w:r w:rsidR="00D42B16">
        <w:t>VRA</w:t>
      </w:r>
      <w:r w:rsidR="0024134F">
        <w:t xml:space="preserve"> tools when used to evaluate </w:t>
      </w:r>
      <w:r>
        <w:t>Indigenous peoples</w:t>
      </w:r>
      <w:r w:rsidR="008C20DE">
        <w:t xml:space="preserve"> </w:t>
      </w:r>
      <w:r>
        <w:t>has produced varied results</w:t>
      </w:r>
      <w:r w:rsidR="0024134F">
        <w:t xml:space="preserve">. </w:t>
      </w:r>
      <w:r w:rsidR="007B345A">
        <w:t>Some r</w:t>
      </w:r>
      <w:r w:rsidR="009E1E52">
        <w:t xml:space="preserve">esearch has demonstrated </w:t>
      </w:r>
      <w:r w:rsidR="00EC5421">
        <w:t xml:space="preserve">that </w:t>
      </w:r>
      <w:r>
        <w:t xml:space="preserve">all </w:t>
      </w:r>
      <w:r w:rsidR="00D42B16">
        <w:t>VRA</w:t>
      </w:r>
      <w:r w:rsidR="0024134F">
        <w:t xml:space="preserve"> tools </w:t>
      </w:r>
      <w:r w:rsidR="00B243F6">
        <w:t xml:space="preserve">examined </w:t>
      </w:r>
      <w:r w:rsidR="0024134F">
        <w:t xml:space="preserve">display lower predictive validity when used with Indigenous offenders, no matter the type of recidivism being predicted </w:t>
      </w:r>
      <w:r w:rsidR="009E1E52">
        <w:t>(Gutierrez et al., 2016)</w:t>
      </w:r>
      <w:r w:rsidR="007B345A">
        <w:t xml:space="preserve">. </w:t>
      </w:r>
      <w:r w:rsidR="00013F39">
        <w:t xml:space="preserve">Other research shows that some VRA tools perform quite similarly when assessing Indigenous and non-Indigenous offenders (e.g., the PCL-R; </w:t>
      </w:r>
      <w:proofErr w:type="spellStart"/>
      <w:r w:rsidR="00013F39">
        <w:t>Olver</w:t>
      </w:r>
      <w:proofErr w:type="spellEnd"/>
      <w:r w:rsidR="00013F39">
        <w:t xml:space="preserve">, Neumann, </w:t>
      </w:r>
      <w:r w:rsidR="002C28A5">
        <w:t xml:space="preserve">Sewall, </w:t>
      </w:r>
      <w:r w:rsidR="00013F39">
        <w:t xml:space="preserve">et al., 2018; the VRS-SO; </w:t>
      </w:r>
      <w:proofErr w:type="spellStart"/>
      <w:r w:rsidR="00013F39">
        <w:t>Olver</w:t>
      </w:r>
      <w:proofErr w:type="spellEnd"/>
      <w:r w:rsidR="00013F39">
        <w:t xml:space="preserve">, Sowden, </w:t>
      </w:r>
      <w:r w:rsidR="002C28A5">
        <w:t xml:space="preserve">Kingston, </w:t>
      </w:r>
      <w:r w:rsidR="00013F39">
        <w:t>et al., 2018)</w:t>
      </w:r>
      <w:r w:rsidR="00B243F6">
        <w:t>. Many tools remain</w:t>
      </w:r>
      <w:r w:rsidR="00F87A47">
        <w:t xml:space="preserve"> untested</w:t>
      </w:r>
      <w:r w:rsidR="00013F39">
        <w:t xml:space="preserve"> (</w:t>
      </w:r>
      <w:r w:rsidR="00F87A47">
        <w:t xml:space="preserve">e.g., the </w:t>
      </w:r>
      <w:r w:rsidR="003F219E">
        <w:t>SVR-20</w:t>
      </w:r>
      <w:r w:rsidR="00B75DD8">
        <w:t xml:space="preserve"> and</w:t>
      </w:r>
      <w:r w:rsidR="003F219E">
        <w:t xml:space="preserve"> HCR-20</w:t>
      </w:r>
      <w:r w:rsidR="003F219E">
        <w:rPr>
          <w:vertAlign w:val="superscript"/>
        </w:rPr>
        <w:t>V3</w:t>
      </w:r>
      <w:r w:rsidR="003F219E">
        <w:t xml:space="preserve">; </w:t>
      </w:r>
      <w:proofErr w:type="spellStart"/>
      <w:r w:rsidR="00013F39">
        <w:t>Olver</w:t>
      </w:r>
      <w:proofErr w:type="spellEnd"/>
      <w:r w:rsidR="00013F39">
        <w:t>, 2016).</w:t>
      </w:r>
      <w:r w:rsidR="00013F39" w:rsidRPr="009F4184">
        <w:t xml:space="preserve"> </w:t>
      </w:r>
      <w:r w:rsidR="007B345A">
        <w:t xml:space="preserve">Further, where predictive validity is known for Indigenous offenders, it is often lower than research standards say is acceptable (Gutierrez et al., 2016). </w:t>
      </w:r>
      <w:r w:rsidR="00095FC0">
        <w:t xml:space="preserve">For example, </w:t>
      </w:r>
      <w:r w:rsidR="00A77AC7">
        <w:t xml:space="preserve">when the predictive validity of the </w:t>
      </w:r>
      <w:r w:rsidR="001E1F4A">
        <w:t>Level of Service Inventory (LSI)</w:t>
      </w:r>
      <w:r w:rsidR="00A77AC7">
        <w:t xml:space="preserve"> was investigated for Indigenous offenders</w:t>
      </w:r>
      <w:r w:rsidR="00285C94">
        <w:t xml:space="preserve"> </w:t>
      </w:r>
      <w:r w:rsidR="008C3A15">
        <w:t xml:space="preserve">in </w:t>
      </w:r>
      <w:r w:rsidR="00285C94">
        <w:t>a recent meta-analysis</w:t>
      </w:r>
      <w:r w:rsidR="00A77AC7">
        <w:t xml:space="preserve">, it was found </w:t>
      </w:r>
      <w:r w:rsidR="00285C94">
        <w:t xml:space="preserve">to be </w:t>
      </w:r>
      <w:r w:rsidR="000F5596">
        <w:t xml:space="preserve">generally </w:t>
      </w:r>
      <w:r w:rsidR="00285C94">
        <w:t xml:space="preserve">predictive of recidivism, yet five of eight subscales </w:t>
      </w:r>
      <w:r w:rsidR="003444F2">
        <w:t xml:space="preserve">performed </w:t>
      </w:r>
      <w:r w:rsidR="007E68C1">
        <w:t xml:space="preserve">less accurately </w:t>
      </w:r>
      <w:r w:rsidR="003444F2">
        <w:t xml:space="preserve">for Indigenous </w:t>
      </w:r>
      <w:r w:rsidR="00460728">
        <w:t>peoples</w:t>
      </w:r>
      <w:r w:rsidR="003444F2">
        <w:t xml:space="preserve">, </w:t>
      </w:r>
      <w:r w:rsidR="00460728">
        <w:t xml:space="preserve">especially those assessed as lower risk (Wilson &amp; Gutierrez, </w:t>
      </w:r>
      <w:r w:rsidR="00591E9A">
        <w:t>2014).</w:t>
      </w:r>
      <w:r w:rsidR="00A77AC7">
        <w:t xml:space="preserve"> </w:t>
      </w:r>
      <w:r w:rsidR="007776F3">
        <w:t>It is not</w:t>
      </w:r>
      <w:r w:rsidR="00E73F08">
        <w:t xml:space="preserve"> know</w:t>
      </w:r>
      <w:r w:rsidR="007776F3">
        <w:t>n</w:t>
      </w:r>
      <w:r w:rsidR="00E73F08">
        <w:t xml:space="preserve"> </w:t>
      </w:r>
      <w:r w:rsidR="000D3C6A">
        <w:t xml:space="preserve">what </w:t>
      </w:r>
      <w:r w:rsidR="008C3A15">
        <w:t>causes</w:t>
      </w:r>
      <w:r w:rsidR="00E73F08">
        <w:t xml:space="preserve"> the different performance of the tool</w:t>
      </w:r>
      <w:r w:rsidR="009D1E8A">
        <w:t xml:space="preserve"> across culture</w:t>
      </w:r>
      <w:r w:rsidR="0075565A">
        <w:t>,</w:t>
      </w:r>
      <w:r w:rsidR="00E73F08">
        <w:t xml:space="preserve"> </w:t>
      </w:r>
      <w:r w:rsidR="0075565A">
        <w:t>yet</w:t>
      </w:r>
      <w:r w:rsidR="00E73F08">
        <w:t xml:space="preserve"> </w:t>
      </w:r>
      <w:r w:rsidR="00764602">
        <w:t xml:space="preserve">its </w:t>
      </w:r>
      <w:r w:rsidR="00DE5FEC">
        <w:t>lower accuracy</w:t>
      </w:r>
      <w:r w:rsidR="00E73F08">
        <w:t xml:space="preserve"> is </w:t>
      </w:r>
      <w:r w:rsidR="00DE5FEC">
        <w:t xml:space="preserve">a </w:t>
      </w:r>
      <w:r w:rsidR="00E73F08">
        <w:t xml:space="preserve">critical </w:t>
      </w:r>
      <w:r w:rsidR="00DE5FEC">
        <w:t xml:space="preserve">consideration </w:t>
      </w:r>
      <w:r w:rsidR="00E73F08">
        <w:t xml:space="preserve">in whether </w:t>
      </w:r>
      <w:r w:rsidR="000D3C6A">
        <w:t xml:space="preserve">VRA tools like </w:t>
      </w:r>
      <w:r w:rsidR="00E73F08">
        <w:t xml:space="preserve">the </w:t>
      </w:r>
      <w:r w:rsidR="006D6415">
        <w:t>LSI</w:t>
      </w:r>
      <w:r w:rsidR="00E73F08">
        <w:t xml:space="preserve"> should be applied to the Indigenous population</w:t>
      </w:r>
      <w:r w:rsidR="007A4DE6">
        <w:rPr>
          <w:color w:val="000000" w:themeColor="text1"/>
        </w:rPr>
        <w:t xml:space="preserve"> (</w:t>
      </w:r>
      <w:r w:rsidR="005257F1">
        <w:rPr>
          <w:color w:val="000000" w:themeColor="text1"/>
        </w:rPr>
        <w:t xml:space="preserve">Hart, 2016; </w:t>
      </w:r>
      <w:r w:rsidR="007A4DE6">
        <w:rPr>
          <w:color w:val="000000" w:themeColor="text1"/>
        </w:rPr>
        <w:t xml:space="preserve">Shepherd, 2016; Shepherd &amp; Anthony, 2018; Shepherd &amp; </w:t>
      </w:r>
      <w:r w:rsidR="007A4DE6">
        <w:t>Lewis-Fernandez, 2018)</w:t>
      </w:r>
      <w:r w:rsidR="007A4DE6">
        <w:rPr>
          <w:color w:val="000000" w:themeColor="text1"/>
        </w:rPr>
        <w:t xml:space="preserve">. </w:t>
      </w:r>
      <w:r w:rsidR="00875831">
        <w:rPr>
          <w:color w:val="000000" w:themeColor="text1"/>
        </w:rPr>
        <w:t xml:space="preserve">In sum, </w:t>
      </w:r>
      <w:r w:rsidR="00E73F08">
        <w:rPr>
          <w:color w:val="000000" w:themeColor="text1"/>
        </w:rPr>
        <w:t>the inconclusive research</w:t>
      </w:r>
      <w:r w:rsidR="0024134F" w:rsidRPr="003E07D0">
        <w:rPr>
          <w:color w:val="000000" w:themeColor="text1"/>
        </w:rPr>
        <w:t xml:space="preserve"> is concerning given the known use of</w:t>
      </w:r>
      <w:r w:rsidR="00EC5421">
        <w:rPr>
          <w:color w:val="000000" w:themeColor="text1"/>
        </w:rPr>
        <w:t xml:space="preserve"> VRA</w:t>
      </w:r>
      <w:r w:rsidR="0024134F" w:rsidRPr="003E07D0">
        <w:rPr>
          <w:color w:val="000000" w:themeColor="text1"/>
        </w:rPr>
        <w:t xml:space="preserve"> tools with Indigenous offenders (</w:t>
      </w:r>
      <w:r w:rsidR="0024134F" w:rsidRPr="003E07D0">
        <w:rPr>
          <w:rFonts w:eastAsia="Times New Roman"/>
          <w:color w:val="000000" w:themeColor="text1"/>
        </w:rPr>
        <w:t>Gutierrez</w:t>
      </w:r>
      <w:r w:rsidR="00E05811">
        <w:rPr>
          <w:rFonts w:eastAsia="Times New Roman"/>
          <w:color w:val="000000" w:themeColor="text1"/>
        </w:rPr>
        <w:t xml:space="preserve"> et al.</w:t>
      </w:r>
      <w:r w:rsidR="0024134F" w:rsidRPr="003E07D0">
        <w:rPr>
          <w:rFonts w:eastAsia="Times New Roman"/>
          <w:color w:val="000000" w:themeColor="text1"/>
        </w:rPr>
        <w:t>, 2016)</w:t>
      </w:r>
      <w:r w:rsidR="00EB6F5F">
        <w:rPr>
          <w:rFonts w:eastAsia="Times New Roman"/>
          <w:color w:val="000000" w:themeColor="text1"/>
        </w:rPr>
        <w:t xml:space="preserve">. </w:t>
      </w:r>
      <w:r w:rsidR="00EB6F5F">
        <w:rPr>
          <w:rFonts w:eastAsia="Times New Roman"/>
          <w:color w:val="000000" w:themeColor="text1"/>
        </w:rPr>
        <w:lastRenderedPageBreak/>
        <w:t>This</w:t>
      </w:r>
      <w:r w:rsidR="0024134F" w:rsidRPr="003E07D0">
        <w:rPr>
          <w:rFonts w:eastAsia="Times New Roman"/>
          <w:color w:val="000000" w:themeColor="text1"/>
        </w:rPr>
        <w:t xml:space="preserve"> </w:t>
      </w:r>
      <w:r w:rsidR="0024134F" w:rsidRPr="003E07D0">
        <w:rPr>
          <w:color w:val="000000" w:themeColor="text1"/>
        </w:rPr>
        <w:t xml:space="preserve">aptly </w:t>
      </w:r>
      <w:r w:rsidR="00EC5421">
        <w:rPr>
          <w:color w:val="000000" w:themeColor="text1"/>
        </w:rPr>
        <w:t>demonstrat</w:t>
      </w:r>
      <w:r w:rsidR="00EB6F5F">
        <w:rPr>
          <w:color w:val="000000" w:themeColor="text1"/>
        </w:rPr>
        <w:t>es</w:t>
      </w:r>
      <w:r w:rsidR="00EC5421" w:rsidRPr="003E07D0">
        <w:rPr>
          <w:color w:val="000000" w:themeColor="text1"/>
        </w:rPr>
        <w:t xml:space="preserve"> </w:t>
      </w:r>
      <w:r w:rsidR="0024134F" w:rsidRPr="003E07D0">
        <w:rPr>
          <w:color w:val="000000" w:themeColor="text1"/>
        </w:rPr>
        <w:t xml:space="preserve">the </w:t>
      </w:r>
      <w:r w:rsidR="0024134F">
        <w:t>gap in knowledge that Hart (2016) called attention to</w:t>
      </w:r>
      <w:r w:rsidR="00673927">
        <w:t xml:space="preserve"> and </w:t>
      </w:r>
      <w:r w:rsidR="006E4332">
        <w:t>show</w:t>
      </w:r>
      <w:r w:rsidR="00EB6F5F">
        <w:t>s</w:t>
      </w:r>
      <w:r w:rsidR="006E4332">
        <w:t xml:space="preserve"> the need to examine how frequently VRA tools are </w:t>
      </w:r>
      <w:r w:rsidR="005B67D0">
        <w:t>used to assess Indigenous defendants</w:t>
      </w:r>
      <w:r w:rsidR="0024134F">
        <w:t xml:space="preserve">. </w:t>
      </w:r>
    </w:p>
    <w:p w14:paraId="5491AA65" w14:textId="2D233135" w:rsidR="0024134F" w:rsidRDefault="0024134F" w:rsidP="0024134F">
      <w:pPr>
        <w:spacing w:line="480" w:lineRule="auto"/>
        <w:ind w:firstLine="720"/>
      </w:pPr>
      <w:r>
        <w:t xml:space="preserve">The Canadian government has publicly stated that it is unknown if many </w:t>
      </w:r>
      <w:r w:rsidR="00EC5421">
        <w:t xml:space="preserve">of the </w:t>
      </w:r>
      <w:r w:rsidR="00F35B87">
        <w:t>VRA</w:t>
      </w:r>
      <w:r>
        <w:t xml:space="preserve"> tools used on Indigenous offenders accurately predict re-offending (</w:t>
      </w:r>
      <w:r w:rsidR="00F71886">
        <w:t>Gutierrez et al., 2016</w:t>
      </w:r>
      <w:r w:rsidR="00110937">
        <w:t xml:space="preserve">). </w:t>
      </w:r>
      <w:r w:rsidR="00A80BFA">
        <w:t xml:space="preserve">Despite </w:t>
      </w:r>
      <w:r w:rsidR="000548F2">
        <w:t>this</w:t>
      </w:r>
      <w:r>
        <w:t xml:space="preserve">, the consideration of culture is conspicuously absent from Public Safety Canada (2018) recommendations </w:t>
      </w:r>
      <w:r w:rsidR="00A80BFA">
        <w:t>on</w:t>
      </w:r>
      <w:r w:rsidR="008C3A15">
        <w:t xml:space="preserve"> issues to address in a full</w:t>
      </w:r>
      <w:r>
        <w:t xml:space="preserve"> DO/LTO </w:t>
      </w:r>
      <w:r w:rsidR="008C3A15">
        <w:t>assessment report</w:t>
      </w:r>
      <w:r w:rsidRPr="00617FEE">
        <w:t>.</w:t>
      </w:r>
      <w:r>
        <w:t xml:space="preserve"> Public Safety Canada (2018) </w:t>
      </w:r>
      <w:r w:rsidR="00951BCB">
        <w:t>directs</w:t>
      </w:r>
      <w:r>
        <w:t xml:space="preserve"> that it is preferable to conduct DO/LTO </w:t>
      </w:r>
      <w:r w:rsidR="00D47948">
        <w:t>VRA</w:t>
      </w:r>
      <w:r>
        <w:t>s with actuarial assessment tools</w:t>
      </w:r>
      <w:r w:rsidR="00110937">
        <w:t>. Actuarial tools are a non-discretionary method of VRA</w:t>
      </w:r>
      <w:r w:rsidR="00874E6E">
        <w:t>,</w:t>
      </w:r>
      <w:r w:rsidR="00110937">
        <w:t xml:space="preserve"> </w:t>
      </w:r>
      <w:r w:rsidR="0040179A">
        <w:t xml:space="preserve">comprised of mostly static (unchangeable) </w:t>
      </w:r>
      <w:r w:rsidR="00863F91">
        <w:t xml:space="preserve">and quantifiable </w:t>
      </w:r>
      <w:r w:rsidR="00D84CD7">
        <w:t>risk factors</w:t>
      </w:r>
      <w:r w:rsidR="00340B9A">
        <w:t xml:space="preserve"> (</w:t>
      </w:r>
      <w:r w:rsidR="00682DF2">
        <w:t>Nicholls</w:t>
      </w:r>
      <w:r w:rsidR="008C3A15">
        <w:t xml:space="preserve"> et al.,</w:t>
      </w:r>
      <w:r w:rsidR="00682DF2">
        <w:t xml:space="preserve"> 20</w:t>
      </w:r>
      <w:r w:rsidR="005A7EB8">
        <w:t>16)</w:t>
      </w:r>
      <w:r w:rsidR="00863F91">
        <w:t xml:space="preserve">. </w:t>
      </w:r>
      <w:r w:rsidR="00D02975">
        <w:t xml:space="preserve">Actuarial measures take the </w:t>
      </w:r>
      <w:r w:rsidR="00FB56D5">
        <w:t xml:space="preserve">sum of scores received on each item and </w:t>
      </w:r>
      <w:r w:rsidR="00342896">
        <w:t>us</w:t>
      </w:r>
      <w:r w:rsidR="00D96CB5">
        <w:t xml:space="preserve">e </w:t>
      </w:r>
      <w:r w:rsidR="00342896">
        <w:t xml:space="preserve">an algorithm based on the tool’s sample population </w:t>
      </w:r>
      <w:r w:rsidR="00D96CB5">
        <w:t xml:space="preserve">to </w:t>
      </w:r>
      <w:r w:rsidR="00342896">
        <w:t>provide</w:t>
      </w:r>
      <w:r w:rsidR="003422FA">
        <w:t xml:space="preserve"> a total risk score</w:t>
      </w:r>
      <w:r w:rsidR="00FE74AD">
        <w:t xml:space="preserve"> (</w:t>
      </w:r>
      <w:proofErr w:type="spellStart"/>
      <w:r w:rsidR="00FE74AD">
        <w:t>Heilbrun</w:t>
      </w:r>
      <w:proofErr w:type="spellEnd"/>
      <w:r w:rsidR="00FE74AD">
        <w:t>, 2009)</w:t>
      </w:r>
      <w:r w:rsidR="00216FD9">
        <w:t>, with</w:t>
      </w:r>
      <w:r w:rsidR="00110937">
        <w:t xml:space="preserve"> no </w:t>
      </w:r>
      <w:r w:rsidR="00CC231A">
        <w:t xml:space="preserve">use of </w:t>
      </w:r>
      <w:r w:rsidR="00110937">
        <w:t>clinical discretion</w:t>
      </w:r>
      <w:r w:rsidR="00342896">
        <w:t xml:space="preserve"> or </w:t>
      </w:r>
      <w:r w:rsidR="00110937">
        <w:t>consideration of cultur</w:t>
      </w:r>
      <w:r w:rsidR="00342896">
        <w:t>e</w:t>
      </w:r>
      <w:r w:rsidR="00110937">
        <w:t xml:space="preserve">- or case-specific factors. In contrast, </w:t>
      </w:r>
      <w:r w:rsidR="00295FCC">
        <w:t xml:space="preserve">the </w:t>
      </w:r>
      <w:r w:rsidR="00F77632">
        <w:t>structured professional judgment</w:t>
      </w:r>
      <w:r w:rsidR="001400E4">
        <w:t xml:space="preserve"> (SPJ)</w:t>
      </w:r>
      <w:r w:rsidR="00F77632">
        <w:t xml:space="preserve"> method of risk assessment</w:t>
      </w:r>
      <w:r w:rsidR="00846036">
        <w:t xml:space="preserve"> is discretionary. Evaluators using this method </w:t>
      </w:r>
      <w:r w:rsidR="003D2694">
        <w:t xml:space="preserve">can </w:t>
      </w:r>
      <w:r w:rsidR="00846036">
        <w:t>consider case-specific</w:t>
      </w:r>
      <w:r w:rsidR="00342896">
        <w:t xml:space="preserve"> information</w:t>
      </w:r>
      <w:r w:rsidR="00846036">
        <w:t>, including any cultur</w:t>
      </w:r>
      <w:r w:rsidR="00342896">
        <w:t>e</w:t>
      </w:r>
      <w:r w:rsidR="00846036">
        <w:t>-specific risk factors</w:t>
      </w:r>
      <w:r w:rsidR="000D4EAB">
        <w:t>,</w:t>
      </w:r>
      <w:r w:rsidR="00846036">
        <w:t xml:space="preserve"> </w:t>
      </w:r>
      <w:r w:rsidR="0065662C">
        <w:t xml:space="preserve">while systematically considering the presence and relevance of risk factors </w:t>
      </w:r>
      <w:r w:rsidR="00342896">
        <w:t>to</w:t>
      </w:r>
      <w:r w:rsidR="00846036">
        <w:t xml:space="preserve"> </w:t>
      </w:r>
      <w:r w:rsidR="00342896">
        <w:t>determine risk level</w:t>
      </w:r>
      <w:r w:rsidR="0072672E">
        <w:t xml:space="preserve"> (Douglas &amp; </w:t>
      </w:r>
      <w:proofErr w:type="spellStart"/>
      <w:r w:rsidR="0072672E">
        <w:t>Belfrage</w:t>
      </w:r>
      <w:proofErr w:type="spellEnd"/>
      <w:r w:rsidR="0072672E">
        <w:t>, 2015; Nicholls et al., 2016)</w:t>
      </w:r>
      <w:r w:rsidR="00F80D3D">
        <w:t>.</w:t>
      </w:r>
      <w:r w:rsidR="0016072E">
        <w:t xml:space="preserve"> </w:t>
      </w:r>
      <w:r w:rsidR="00846036">
        <w:t>Given the varied and inclusive research on the application of VRA tools to Indigenous peoples and the fact that</w:t>
      </w:r>
      <w:r w:rsidR="00055424">
        <w:t xml:space="preserve"> </w:t>
      </w:r>
      <w:r w:rsidR="00295FCC">
        <w:t>actuarial</w:t>
      </w:r>
      <w:r w:rsidR="00055424">
        <w:t xml:space="preserve"> tools </w:t>
      </w:r>
      <w:r w:rsidR="00846036">
        <w:t>do not</w:t>
      </w:r>
      <w:r w:rsidR="00055424">
        <w:t xml:space="preserve"> allow for </w:t>
      </w:r>
      <w:r w:rsidR="00FB09ED">
        <w:t xml:space="preserve">clinical consideration of </w:t>
      </w:r>
      <w:r w:rsidR="00F94330">
        <w:t>cultural factors impacting risk</w:t>
      </w:r>
      <w:r w:rsidR="006D633B">
        <w:t xml:space="preserve">, </w:t>
      </w:r>
      <w:r w:rsidR="00F94330">
        <w:t xml:space="preserve">it is curious that </w:t>
      </w:r>
      <w:r w:rsidR="0072672E">
        <w:t xml:space="preserve">Public Safety Canada </w:t>
      </w:r>
      <w:r w:rsidR="00F94330">
        <w:t xml:space="preserve">recommends the use of actuarial tools in </w:t>
      </w:r>
      <w:r w:rsidR="0039668E">
        <w:t>all</w:t>
      </w:r>
      <w:r w:rsidR="00F94330">
        <w:t xml:space="preserve"> cases</w:t>
      </w:r>
      <w:r>
        <w:t>.</w:t>
      </w:r>
      <w:r w:rsidR="003E07D0">
        <w:t xml:space="preserve"> </w:t>
      </w:r>
    </w:p>
    <w:p w14:paraId="7342B516" w14:textId="4B6959EA" w:rsidR="00046C6C" w:rsidRPr="000F76CB" w:rsidRDefault="00046C6C" w:rsidP="000F76CB">
      <w:pPr>
        <w:spacing w:line="480" w:lineRule="auto"/>
        <w:rPr>
          <w:b/>
          <w:bCs/>
        </w:rPr>
      </w:pPr>
      <w:r>
        <w:rPr>
          <w:b/>
          <w:bCs/>
        </w:rPr>
        <w:t>The Consideration</w:t>
      </w:r>
      <w:r w:rsidRPr="0023603B">
        <w:rPr>
          <w:b/>
        </w:rPr>
        <w:t xml:space="preserve"> of </w:t>
      </w:r>
      <w:r w:rsidR="005C564A">
        <w:rPr>
          <w:b/>
          <w:bCs/>
        </w:rPr>
        <w:t>VRAs by the Court</w:t>
      </w:r>
    </w:p>
    <w:p w14:paraId="612A095F" w14:textId="361385F8" w:rsidR="004E1282" w:rsidRPr="0023603B" w:rsidRDefault="009A5CF2" w:rsidP="004E1282">
      <w:pPr>
        <w:spacing w:line="480" w:lineRule="auto"/>
        <w:ind w:firstLine="720"/>
        <w:rPr>
          <w:color w:val="000000" w:themeColor="text1"/>
        </w:rPr>
      </w:pPr>
      <w:r>
        <w:t xml:space="preserve">Although </w:t>
      </w:r>
      <w:r w:rsidR="0016737D">
        <w:t>inquiries into how VRAs used to evaluate Indigenous peoples are considered by the courts</w:t>
      </w:r>
      <w:r>
        <w:t xml:space="preserve"> </w:t>
      </w:r>
      <w:r w:rsidR="000F76CB">
        <w:t>are</w:t>
      </w:r>
      <w:r>
        <w:t xml:space="preserve"> </w:t>
      </w:r>
      <w:r w:rsidR="009C3F6D">
        <w:t>novel</w:t>
      </w:r>
      <w:r>
        <w:t xml:space="preserve">, there has been </w:t>
      </w:r>
      <w:r w:rsidR="00EB42F8">
        <w:t>some</w:t>
      </w:r>
      <w:r>
        <w:t xml:space="preserve"> research </w:t>
      </w:r>
      <w:r w:rsidR="00EB42F8">
        <w:t>examining how</w:t>
      </w:r>
      <w:r>
        <w:t xml:space="preserve"> </w:t>
      </w:r>
      <w:r w:rsidR="00DA424A">
        <w:t xml:space="preserve">courts weigh </w:t>
      </w:r>
      <w:r>
        <w:t>VRA</w:t>
      </w:r>
      <w:r w:rsidR="00EB42F8">
        <w:t>s</w:t>
      </w:r>
      <w:r>
        <w:t xml:space="preserve"> </w:t>
      </w:r>
      <w:r w:rsidR="000F5596">
        <w:t>in all cases</w:t>
      </w:r>
      <w:r>
        <w:t xml:space="preserve"> (</w:t>
      </w:r>
      <w:proofErr w:type="spellStart"/>
      <w:r w:rsidRPr="00E827FE">
        <w:rPr>
          <w:color w:val="000000" w:themeColor="text1"/>
        </w:rPr>
        <w:t>Blais</w:t>
      </w:r>
      <w:proofErr w:type="spellEnd"/>
      <w:r w:rsidRPr="00E827FE">
        <w:rPr>
          <w:color w:val="000000" w:themeColor="text1"/>
        </w:rPr>
        <w:t xml:space="preserve">, 2015; Cook &amp; Hart, 2017; </w:t>
      </w:r>
      <w:bookmarkStart w:id="0" w:name="OLE_LINK1"/>
      <w:bookmarkStart w:id="1" w:name="OLE_LINK2"/>
      <w:proofErr w:type="spellStart"/>
      <w:r w:rsidRPr="00E827FE">
        <w:rPr>
          <w:color w:val="000000" w:themeColor="text1"/>
        </w:rPr>
        <w:t>Kwartner</w:t>
      </w:r>
      <w:proofErr w:type="spellEnd"/>
      <w:r w:rsidR="000B786B">
        <w:rPr>
          <w:color w:val="000000" w:themeColor="text1"/>
        </w:rPr>
        <w:t xml:space="preserve"> et al.,</w:t>
      </w:r>
      <w:r w:rsidRPr="00E827FE">
        <w:rPr>
          <w:color w:val="000000" w:themeColor="text1"/>
        </w:rPr>
        <w:t xml:space="preserve"> 2006</w:t>
      </w:r>
      <w:bookmarkEnd w:id="0"/>
      <w:bookmarkEnd w:id="1"/>
      <w:r w:rsidRPr="00E827FE">
        <w:rPr>
          <w:color w:val="000000" w:themeColor="text1"/>
        </w:rPr>
        <w:t xml:space="preserve">; </w:t>
      </w:r>
      <w:proofErr w:type="spellStart"/>
      <w:r w:rsidRPr="00E827FE">
        <w:rPr>
          <w:color w:val="000000" w:themeColor="text1"/>
        </w:rPr>
        <w:t>Storey</w:t>
      </w:r>
      <w:proofErr w:type="spellEnd"/>
      <w:r w:rsidR="000B786B">
        <w:rPr>
          <w:color w:val="000000" w:themeColor="text1"/>
        </w:rPr>
        <w:t xml:space="preserve"> et al.,</w:t>
      </w:r>
      <w:r w:rsidRPr="00E827FE">
        <w:rPr>
          <w:color w:val="000000" w:themeColor="text1"/>
        </w:rPr>
        <w:t xml:space="preserve"> 2013</w:t>
      </w:r>
      <w:r>
        <w:rPr>
          <w:color w:val="000000" w:themeColor="text1"/>
        </w:rPr>
        <w:t>)</w:t>
      </w:r>
      <w:r>
        <w:t xml:space="preserve">. </w:t>
      </w:r>
      <w:r w:rsidR="002B4A43">
        <w:t xml:space="preserve">At present, </w:t>
      </w:r>
      <w:r w:rsidR="002B4A43">
        <w:lastRenderedPageBreak/>
        <w:t>o</w:t>
      </w:r>
      <w:r>
        <w:t xml:space="preserve">nly two studies have examined the consideration of VRAs in DO/LTO hearings. The first, conducted by </w:t>
      </w:r>
      <w:proofErr w:type="spellStart"/>
      <w:r>
        <w:t>Storey</w:t>
      </w:r>
      <w:proofErr w:type="spellEnd"/>
      <w:r>
        <w:t xml:space="preserve"> and colleagues (2013)</w:t>
      </w:r>
      <w:r w:rsidR="002B4A43">
        <w:t>,</w:t>
      </w:r>
      <w:r>
        <w:t xml:space="preserve"> investigated judicial comments regarding VRAs in Canadian Courts for general offend</w:t>
      </w:r>
      <w:r w:rsidR="0082169F">
        <w:t>er</w:t>
      </w:r>
      <w:r>
        <w:t xml:space="preserve"> populations</w:t>
      </w:r>
      <w:r w:rsidR="0082169F">
        <w:t xml:space="preserve"> and</w:t>
      </w:r>
      <w:r>
        <w:t xml:space="preserve"> includ</w:t>
      </w:r>
      <w:r w:rsidR="0082169F">
        <w:t>ed</w:t>
      </w:r>
      <w:r>
        <w:t xml:space="preserve"> a subset of DO/LTO cases. </w:t>
      </w:r>
      <w:proofErr w:type="spellStart"/>
      <w:r w:rsidR="005C0257">
        <w:t>Storey</w:t>
      </w:r>
      <w:proofErr w:type="spellEnd"/>
      <w:r w:rsidR="005C0257">
        <w:t xml:space="preserve"> et al. </w:t>
      </w:r>
      <w:r w:rsidR="0081014B">
        <w:t xml:space="preserve">(2013) </w:t>
      </w:r>
      <w:r w:rsidR="005C0257">
        <w:t xml:space="preserve">found </w:t>
      </w:r>
      <w:r w:rsidR="000B786B">
        <w:t xml:space="preserve">that </w:t>
      </w:r>
      <w:r w:rsidR="005C0257">
        <w:t>several factors were important to judicial decisions</w:t>
      </w:r>
      <w:r w:rsidR="00531AE1">
        <w:t xml:space="preserve"> including the</w:t>
      </w:r>
      <w:r w:rsidR="005C0257">
        <w:t xml:space="preserve"> type of information used</w:t>
      </w:r>
      <w:r w:rsidR="00531AE1">
        <w:t xml:space="preserve"> by evaluators</w:t>
      </w:r>
      <w:r w:rsidR="005C0257">
        <w:t xml:space="preserve"> to reach an opinion</w:t>
      </w:r>
      <w:r w:rsidR="003F625A">
        <w:t>,</w:t>
      </w:r>
      <w:r w:rsidR="005C0257">
        <w:t xml:space="preserve"> </w:t>
      </w:r>
      <w:r w:rsidR="006363B0">
        <w:t>the</w:t>
      </w:r>
      <w:r w:rsidR="005C0257">
        <w:t xml:space="preserve"> extent that information was relied </w:t>
      </w:r>
      <w:r w:rsidR="003F625A">
        <w:t>up</w:t>
      </w:r>
      <w:r w:rsidR="005C0257">
        <w:t>on in reaching an opinion</w:t>
      </w:r>
      <w:r w:rsidR="00531AE1">
        <w:t>, evaluators</w:t>
      </w:r>
      <w:r w:rsidR="0081014B">
        <w:t>’</w:t>
      </w:r>
      <w:r w:rsidR="005C0257">
        <w:t xml:space="preserve"> understanding of VRA instruments</w:t>
      </w:r>
      <w:r w:rsidR="0081014B">
        <w:t>,</w:t>
      </w:r>
      <w:r w:rsidR="005C0257">
        <w:t xml:space="preserve"> and </w:t>
      </w:r>
      <w:r w:rsidR="00531AE1">
        <w:t>evaluators</w:t>
      </w:r>
      <w:r w:rsidR="0081014B">
        <w:t>’</w:t>
      </w:r>
      <w:r w:rsidR="00531AE1">
        <w:t xml:space="preserve"> </w:t>
      </w:r>
      <w:r w:rsidR="005C0257">
        <w:t>ability to explain the VRA process to the court.</w:t>
      </w:r>
      <w:r w:rsidR="00D93F5B">
        <w:t xml:space="preserve"> However, </w:t>
      </w:r>
      <w:r w:rsidR="00644035">
        <w:t xml:space="preserve">no inquiry such as this has been </w:t>
      </w:r>
      <w:r w:rsidR="00430514">
        <w:t xml:space="preserve">conducted with a specific focus on Indigenous peoples. </w:t>
      </w:r>
      <w:r w:rsidR="00B26F56">
        <w:t xml:space="preserve">It is equally important to </w:t>
      </w:r>
      <w:r w:rsidR="00DB2D50">
        <w:t>determine whether</w:t>
      </w:r>
      <w:r w:rsidR="00B26F56">
        <w:t xml:space="preserve"> judicial consideration of </w:t>
      </w:r>
      <w:r w:rsidR="00763FAC">
        <w:t xml:space="preserve">the broad qualities of </w:t>
      </w:r>
      <w:r w:rsidR="006E4332">
        <w:t>VRA</w:t>
      </w:r>
      <w:r w:rsidR="006F4409">
        <w:t xml:space="preserve"> in high-stakes cases and the expert testimony that pertains to it significantly differs between cases with an Indigenous and non-Indigenous defendant</w:t>
      </w:r>
      <w:r w:rsidR="00DB2D50">
        <w:t xml:space="preserve">. This is vital given the </w:t>
      </w:r>
      <w:r w:rsidR="002C67B4">
        <w:t>overrepresentation of Indigenous peoples in the criminal justice system</w:t>
      </w:r>
      <w:r w:rsidR="009007DD">
        <w:t xml:space="preserve"> (Statistics Canada, 2017) and particularly in high-stakes cases (</w:t>
      </w:r>
      <w:proofErr w:type="spellStart"/>
      <w:r w:rsidR="009007DD">
        <w:t>Trevethan</w:t>
      </w:r>
      <w:proofErr w:type="spellEnd"/>
      <w:r w:rsidR="009007DD">
        <w:t xml:space="preserve"> et al., 2002)</w:t>
      </w:r>
      <w:r w:rsidR="002C67B4">
        <w:t>.</w:t>
      </w:r>
      <w:r w:rsidR="005C0257">
        <w:t xml:space="preserve"> </w:t>
      </w:r>
      <w:r w:rsidR="00515E50">
        <w:t>The second study</w:t>
      </w:r>
      <w:r>
        <w:t xml:space="preserve"> conducted by </w:t>
      </w:r>
      <w:proofErr w:type="spellStart"/>
      <w:r>
        <w:t>Blais</w:t>
      </w:r>
      <w:proofErr w:type="spellEnd"/>
      <w:r>
        <w:t xml:space="preserve"> (2015) examined </w:t>
      </w:r>
      <w:r w:rsidR="00AA6A96">
        <w:t>whether</w:t>
      </w:r>
      <w:r>
        <w:t xml:space="preserve"> judges</w:t>
      </w:r>
      <w:r w:rsidR="00AA6A96">
        <w:t xml:space="preserve"> consider expert evidence </w:t>
      </w:r>
      <w:r w:rsidR="003A4E16">
        <w:t>on VRA in</w:t>
      </w:r>
      <w:r w:rsidR="00AA6A96">
        <w:t xml:space="preserve"> DO/LTO hearings. </w:t>
      </w:r>
      <w:proofErr w:type="spellStart"/>
      <w:r w:rsidR="005C0257">
        <w:t>Blais</w:t>
      </w:r>
      <w:proofErr w:type="spellEnd"/>
      <w:r w:rsidR="005C0257">
        <w:t xml:space="preserve"> found</w:t>
      </w:r>
      <w:r w:rsidR="005C0257" w:rsidRPr="00E827FE">
        <w:rPr>
          <w:color w:val="000000" w:themeColor="text1"/>
        </w:rPr>
        <w:t xml:space="preserve"> that judicial decisions were largely consistent with expert assessment of risk, treatability, and risk management</w:t>
      </w:r>
      <w:r w:rsidR="000F5596">
        <w:rPr>
          <w:color w:val="000000" w:themeColor="text1"/>
        </w:rPr>
        <w:t xml:space="preserve">, but similarly to </w:t>
      </w:r>
      <w:proofErr w:type="spellStart"/>
      <w:r w:rsidR="000F5596">
        <w:rPr>
          <w:color w:val="000000" w:themeColor="text1"/>
        </w:rPr>
        <w:t>Storey</w:t>
      </w:r>
      <w:proofErr w:type="spellEnd"/>
      <w:r w:rsidR="000F5596">
        <w:rPr>
          <w:color w:val="000000" w:themeColor="text1"/>
        </w:rPr>
        <w:t xml:space="preserve"> et al. (2013), did not separate Indigenous cases</w:t>
      </w:r>
      <w:r w:rsidR="005C0257">
        <w:rPr>
          <w:color w:val="000000" w:themeColor="text1"/>
        </w:rPr>
        <w:t xml:space="preserve">. </w:t>
      </w:r>
    </w:p>
    <w:p w14:paraId="24B66F6F" w14:textId="77777777" w:rsidR="00E33EA5" w:rsidRPr="000F76CB" w:rsidRDefault="00E33EA5" w:rsidP="000F76CB">
      <w:pPr>
        <w:spacing w:line="480" w:lineRule="auto"/>
        <w:rPr>
          <w:b/>
          <w:bCs/>
        </w:rPr>
      </w:pPr>
      <w:r>
        <w:rPr>
          <w:b/>
          <w:bCs/>
          <w:color w:val="000000" w:themeColor="text1"/>
        </w:rPr>
        <w:t>Present Study</w:t>
      </w:r>
    </w:p>
    <w:p w14:paraId="05DDBAB6" w14:textId="3A2399F8" w:rsidR="00726040" w:rsidRDefault="0024134F" w:rsidP="0024134F">
      <w:pPr>
        <w:spacing w:line="480" w:lineRule="auto"/>
        <w:ind w:firstLine="720"/>
      </w:pPr>
      <w:r>
        <w:t xml:space="preserve">Judges are the trier of fact in Canadian DO/LTO hearings. As such, judges are the main consumers of the </w:t>
      </w:r>
      <w:r w:rsidR="00F35B87">
        <w:t>VRA</w:t>
      </w:r>
      <w:r>
        <w:t xml:space="preserve"> results presented by forensic evaluators. Judges use </w:t>
      </w:r>
      <w:r w:rsidR="00F35B87">
        <w:t>VRAs</w:t>
      </w:r>
      <w:r>
        <w:t xml:space="preserve"> to inform their judgments </w:t>
      </w:r>
      <w:r w:rsidRPr="00F6033E">
        <w:t>and often give considerable deference to the opinions of forensic experts</w:t>
      </w:r>
      <w:r>
        <w:t xml:space="preserve"> (</w:t>
      </w:r>
      <w:proofErr w:type="spellStart"/>
      <w:r w:rsidR="0071178F">
        <w:t>Blais</w:t>
      </w:r>
      <w:proofErr w:type="spellEnd"/>
      <w:r w:rsidR="0071178F">
        <w:t xml:space="preserve">, 2015; </w:t>
      </w:r>
      <w:r>
        <w:t xml:space="preserve">Hicks, 2004). </w:t>
      </w:r>
      <w:r w:rsidR="00E24B5E">
        <w:t xml:space="preserve">Judicial decision-making regarding violence risk as it pertains to culture has not been examined in the empirical literature. </w:t>
      </w:r>
      <w:r>
        <w:t>The</w:t>
      </w:r>
      <w:r w:rsidR="00E24B5E">
        <w:t>refore, the</w:t>
      </w:r>
      <w:r>
        <w:t xml:space="preserve"> present study examines what judges </w:t>
      </w:r>
      <w:r w:rsidR="00EC1885">
        <w:t>consider in</w:t>
      </w:r>
      <w:r>
        <w:t xml:space="preserve"> violence risk decision-making related to culture by comparing judicial discussions of </w:t>
      </w:r>
      <w:r>
        <w:lastRenderedPageBreak/>
        <w:t xml:space="preserve">violence risk in </w:t>
      </w:r>
      <w:r w:rsidR="00E24B5E">
        <w:t xml:space="preserve">DO/LTO </w:t>
      </w:r>
      <w:r>
        <w:t xml:space="preserve">cases with Indigenous and non-Indigenous evaluees. Specifically, this study examines </w:t>
      </w:r>
      <w:r w:rsidR="00E24B5E">
        <w:t xml:space="preserve">judicial comments regarding: </w:t>
      </w:r>
      <w:r w:rsidR="00EC1885" w:rsidRPr="00E827FE">
        <w:rPr>
          <w:color w:val="000000" w:themeColor="text1"/>
        </w:rPr>
        <w:t xml:space="preserve">(1) the qualities of </w:t>
      </w:r>
      <w:r w:rsidR="0081014B">
        <w:rPr>
          <w:color w:val="000000" w:themeColor="text1"/>
        </w:rPr>
        <w:t xml:space="preserve">the </w:t>
      </w:r>
      <w:r w:rsidR="00EC1885" w:rsidRPr="00E827FE">
        <w:rPr>
          <w:color w:val="000000" w:themeColor="text1"/>
        </w:rPr>
        <w:t>evaluator</w:t>
      </w:r>
      <w:r w:rsidR="0081014B">
        <w:rPr>
          <w:color w:val="000000" w:themeColor="text1"/>
        </w:rPr>
        <w:t>s</w:t>
      </w:r>
      <w:r w:rsidR="00EC1885" w:rsidRPr="00E827FE">
        <w:rPr>
          <w:color w:val="000000" w:themeColor="text1"/>
        </w:rPr>
        <w:t xml:space="preserve"> who conducted the VRA, (2) the qualities of the VRA(s) completed, </w:t>
      </w:r>
      <w:r w:rsidR="00E24B5E">
        <w:rPr>
          <w:color w:val="000000" w:themeColor="text1"/>
        </w:rPr>
        <w:t xml:space="preserve">and </w:t>
      </w:r>
      <w:r w:rsidR="00EC1885" w:rsidRPr="00E827FE">
        <w:rPr>
          <w:color w:val="000000" w:themeColor="text1"/>
        </w:rPr>
        <w:t xml:space="preserve">(3) </w:t>
      </w:r>
      <w:r w:rsidR="00E24B5E">
        <w:rPr>
          <w:color w:val="000000" w:themeColor="text1"/>
        </w:rPr>
        <w:t>the</w:t>
      </w:r>
      <w:r w:rsidR="00EC1885" w:rsidRPr="00E827FE">
        <w:rPr>
          <w:color w:val="000000" w:themeColor="text1"/>
        </w:rPr>
        <w:t xml:space="preserve"> qualities of the evaluators</w:t>
      </w:r>
      <w:r w:rsidR="0081014B">
        <w:rPr>
          <w:color w:val="000000" w:themeColor="text1"/>
        </w:rPr>
        <w:t>’</w:t>
      </w:r>
      <w:r w:rsidR="00EC1885" w:rsidRPr="00E827FE">
        <w:rPr>
          <w:color w:val="000000" w:themeColor="text1"/>
        </w:rPr>
        <w:t xml:space="preserve"> expert witness testimony about the VRA</w:t>
      </w:r>
      <w:r>
        <w:t xml:space="preserve">. </w:t>
      </w:r>
    </w:p>
    <w:p w14:paraId="2650933D" w14:textId="77777777" w:rsidR="009E772C" w:rsidRDefault="000E3088" w:rsidP="00EA3C36">
      <w:pPr>
        <w:spacing w:line="480" w:lineRule="auto"/>
        <w:jc w:val="center"/>
        <w:outlineLvl w:val="0"/>
        <w:rPr>
          <w:b/>
        </w:rPr>
      </w:pPr>
      <w:r w:rsidRPr="00F1475D">
        <w:rPr>
          <w:b/>
        </w:rPr>
        <w:t>M</w:t>
      </w:r>
      <w:r w:rsidR="00983B70">
        <w:rPr>
          <w:b/>
        </w:rPr>
        <w:t>ethod</w:t>
      </w:r>
    </w:p>
    <w:p w14:paraId="7C2D4AB2" w14:textId="77777777" w:rsidR="00CB15C2" w:rsidRDefault="00CB15C2" w:rsidP="00EA3C36">
      <w:pPr>
        <w:spacing w:line="480" w:lineRule="auto"/>
        <w:outlineLvl w:val="0"/>
      </w:pPr>
      <w:r w:rsidRPr="000773EC">
        <w:rPr>
          <w:b/>
        </w:rPr>
        <w:t>Overview</w:t>
      </w:r>
      <w:r w:rsidR="009E772C">
        <w:tab/>
      </w:r>
    </w:p>
    <w:p w14:paraId="70979010" w14:textId="77777777" w:rsidR="000E3088" w:rsidRDefault="00907C76" w:rsidP="00E650B9">
      <w:pPr>
        <w:spacing w:line="480" w:lineRule="auto"/>
        <w:ind w:firstLine="720"/>
      </w:pPr>
      <w:r>
        <w:t xml:space="preserve">Judicial decisions that </w:t>
      </w:r>
      <w:r w:rsidR="002C22D5">
        <w:t>discussed</w:t>
      </w:r>
      <w:r>
        <w:t xml:space="preserve"> </w:t>
      </w:r>
      <w:r w:rsidR="00F35B87">
        <w:t>VRA</w:t>
      </w:r>
      <w:r w:rsidR="0081014B">
        <w:t>s</w:t>
      </w:r>
      <w:r>
        <w:t xml:space="preserve"> in </w:t>
      </w:r>
      <w:r w:rsidR="009E772C">
        <w:t>DO</w:t>
      </w:r>
      <w:r w:rsidR="004D37F9">
        <w:t>/</w:t>
      </w:r>
      <w:r w:rsidR="009E772C">
        <w:t xml:space="preserve">LTO hearings were coded </w:t>
      </w:r>
      <w:r w:rsidR="00763410">
        <w:t xml:space="preserve">for </w:t>
      </w:r>
      <w:r w:rsidR="00B32751">
        <w:t>demographic information, case information,</w:t>
      </w:r>
      <w:r w:rsidR="00763410">
        <w:t xml:space="preserve"> and themes</w:t>
      </w:r>
      <w:r>
        <w:t xml:space="preserve">. Comparisons were then made using frequency analysis to identify any differences in the presence of the </w:t>
      </w:r>
      <w:r w:rsidR="005C3DCA">
        <w:t xml:space="preserve">coded </w:t>
      </w:r>
      <w:r>
        <w:t xml:space="preserve">variables based </w:t>
      </w:r>
      <w:r w:rsidR="00964454">
        <w:t xml:space="preserve">on </w:t>
      </w:r>
      <w:r>
        <w:t xml:space="preserve">the </w:t>
      </w:r>
      <w:r w:rsidR="00A242C7">
        <w:t xml:space="preserve">ethnic </w:t>
      </w:r>
      <w:r>
        <w:t>background of the offender</w:t>
      </w:r>
      <w:r w:rsidR="00A242C7">
        <w:t>, as identified by the judge</w:t>
      </w:r>
      <w:r>
        <w:t xml:space="preserve"> (i.e., Indigenous or non-Indigenous). </w:t>
      </w:r>
      <w:r w:rsidR="00E650B9">
        <w:t xml:space="preserve">Unfortunately, the pursuit of this research is challenging when examining published Canadian legal decisions as culture, </w:t>
      </w:r>
      <w:r w:rsidR="00236AB2">
        <w:t>when</w:t>
      </w:r>
      <w:r w:rsidR="00E650B9">
        <w:t xml:space="preserve"> formally defined (i.e., </w:t>
      </w:r>
      <w:r w:rsidR="00DE5C94">
        <w:t>“</w:t>
      </w:r>
      <w:r w:rsidR="00E650B9">
        <w:t>the ideas, customs, or social behaviour of a particular people or society”,</w:t>
      </w:r>
      <w:r w:rsidR="00AB3BD4">
        <w:t xml:space="preserve"> culture, n.d.</w:t>
      </w:r>
      <w:r w:rsidR="00E650B9">
        <w:t xml:space="preserve">), is often not made explicit or discussed in a way </w:t>
      </w:r>
      <w:r w:rsidR="007E7759">
        <w:t>in which</w:t>
      </w:r>
      <w:r w:rsidR="00E650B9">
        <w:t xml:space="preserve"> researchers can examine </w:t>
      </w:r>
      <w:r w:rsidR="007E7759">
        <w:t>the concept</w:t>
      </w:r>
      <w:r w:rsidR="00E650B9">
        <w:t xml:space="preserve"> </w:t>
      </w:r>
      <w:r w:rsidR="007E7759">
        <w:t>with</w:t>
      </w:r>
      <w:r w:rsidR="00E650B9">
        <w:t xml:space="preserve">in </w:t>
      </w:r>
      <w:r w:rsidR="007E7759">
        <w:t>a</w:t>
      </w:r>
      <w:r w:rsidR="00E650B9">
        <w:t xml:space="preserve"> legal context. </w:t>
      </w:r>
      <w:r w:rsidR="0012335D">
        <w:t>T</w:t>
      </w:r>
      <w:r w:rsidR="009E4620">
        <w:t>herefore</w:t>
      </w:r>
      <w:r w:rsidR="0012335D">
        <w:t>, it was</w:t>
      </w:r>
      <w:r w:rsidR="009E4620">
        <w:t xml:space="preserve"> </w:t>
      </w:r>
      <w:r w:rsidR="00E650B9">
        <w:t>chose</w:t>
      </w:r>
      <w:r w:rsidR="0012335D">
        <w:t>n</w:t>
      </w:r>
      <w:r w:rsidR="00E650B9">
        <w:t xml:space="preserve"> to use the imperfect method of using </w:t>
      </w:r>
      <w:r w:rsidR="009E4620">
        <w:t xml:space="preserve">the </w:t>
      </w:r>
      <w:r w:rsidR="00E650B9">
        <w:t>identification of ethnicity,</w:t>
      </w:r>
      <w:r w:rsidR="00E650B9" w:rsidRPr="00535587">
        <w:t xml:space="preserve"> </w:t>
      </w:r>
      <w:r w:rsidR="00E650B9">
        <w:t xml:space="preserve">which is the state of presenting as or belonging to a certain ethnic group, as a proxy for culture. </w:t>
      </w:r>
      <w:r w:rsidR="002861EC">
        <w:t>It is</w:t>
      </w:r>
      <w:r w:rsidR="004D37F9">
        <w:t xml:space="preserve"> recognized this method </w:t>
      </w:r>
      <w:r w:rsidR="009E4620">
        <w:t>i</w:t>
      </w:r>
      <w:r w:rsidR="004D37F9">
        <w:t>s</w:t>
      </w:r>
      <w:r w:rsidR="00E650B9">
        <w:t xml:space="preserve"> imperfect as ethnicity does not necessarily capture the nuances of how ones belonging to a certain ethnic group impacts their own experience of the ideas, customs, or social behaviours of a particular culture, or the degree of acculturation </w:t>
      </w:r>
      <w:r w:rsidR="00EF7810">
        <w:t xml:space="preserve">to different cultures </w:t>
      </w:r>
      <w:r w:rsidR="00E650B9">
        <w:t xml:space="preserve">when ones belongs </w:t>
      </w:r>
      <w:r w:rsidR="00CB2849">
        <w:t xml:space="preserve">to </w:t>
      </w:r>
      <w:r w:rsidR="00E650B9">
        <w:t xml:space="preserve">or identifies with one or more culture. </w:t>
      </w:r>
    </w:p>
    <w:p w14:paraId="017EAA55" w14:textId="77777777" w:rsidR="00F45C32" w:rsidRPr="00F45C32" w:rsidRDefault="00F45C32" w:rsidP="00EA3C36">
      <w:pPr>
        <w:spacing w:line="480" w:lineRule="auto"/>
        <w:outlineLvl w:val="0"/>
        <w:rPr>
          <w:i/>
        </w:rPr>
      </w:pPr>
      <w:r w:rsidRPr="00F709DD">
        <w:rPr>
          <w:b/>
        </w:rPr>
        <w:t>Procedure</w:t>
      </w:r>
    </w:p>
    <w:p w14:paraId="73591D5F" w14:textId="77777777" w:rsidR="00117926" w:rsidRDefault="00117926" w:rsidP="00B4323D">
      <w:pPr>
        <w:spacing w:line="480" w:lineRule="auto"/>
        <w:ind w:firstLine="720"/>
      </w:pPr>
      <w:r>
        <w:lastRenderedPageBreak/>
        <w:t>Data were derived from published court decisions available</w:t>
      </w:r>
      <w:r w:rsidR="00695421">
        <w:t xml:space="preserve"> from </w:t>
      </w:r>
      <w:proofErr w:type="spellStart"/>
      <w:r w:rsidR="00695421">
        <w:t>CanLII</w:t>
      </w:r>
      <w:proofErr w:type="spellEnd"/>
      <w:r w:rsidR="00695421">
        <w:t xml:space="preserve">, </w:t>
      </w:r>
      <w:r>
        <w:t>the Canadian Legal Information Institute (</w:t>
      </w:r>
      <w:r w:rsidRPr="008F283A">
        <w:t>www.canlii.org)</w:t>
      </w:r>
      <w:r>
        <w:t xml:space="preserve">. </w:t>
      </w:r>
      <w:proofErr w:type="spellStart"/>
      <w:r>
        <w:t>CanLII</w:t>
      </w:r>
      <w:proofErr w:type="spellEnd"/>
      <w:r>
        <w:t xml:space="preserve"> is</w:t>
      </w:r>
      <w:r w:rsidR="00763410">
        <w:t xml:space="preserve"> a</w:t>
      </w:r>
      <w:r>
        <w:t xml:space="preserve"> </w:t>
      </w:r>
      <w:r w:rsidR="00763410">
        <w:t>publicly</w:t>
      </w:r>
      <w:r>
        <w:t xml:space="preserve"> available </w:t>
      </w:r>
      <w:r w:rsidR="00695421">
        <w:t xml:space="preserve">legal database of judicial decisions from all levels of the Canadian court system. </w:t>
      </w:r>
    </w:p>
    <w:p w14:paraId="3CC8C2F2" w14:textId="02D67F29" w:rsidR="00101636" w:rsidRDefault="006A77E3" w:rsidP="00B4323D">
      <w:pPr>
        <w:spacing w:line="480" w:lineRule="auto"/>
        <w:ind w:firstLine="720"/>
      </w:pPr>
      <w:proofErr w:type="spellStart"/>
      <w:r>
        <w:t>CanLII</w:t>
      </w:r>
      <w:proofErr w:type="spellEnd"/>
      <w:r>
        <w:t xml:space="preserve"> </w:t>
      </w:r>
      <w:r w:rsidR="009E4620">
        <w:t>was searched on January 25, 2017</w:t>
      </w:r>
      <w:r w:rsidR="00AB59F7">
        <w:t xml:space="preserve"> </w:t>
      </w:r>
      <w:r w:rsidR="009E4620">
        <w:t>using</w:t>
      </w:r>
      <w:r>
        <w:t xml:space="preserve"> the following</w:t>
      </w:r>
      <w:r w:rsidR="00117926">
        <w:t xml:space="preserve"> </w:t>
      </w:r>
      <w:r w:rsidR="00B156C0">
        <w:t xml:space="preserve">Boolean </w:t>
      </w:r>
      <w:r w:rsidR="00117926">
        <w:t>search</w:t>
      </w:r>
      <w:r w:rsidR="00695421">
        <w:t xml:space="preserve"> terms: </w:t>
      </w:r>
      <w:r w:rsidR="00B156C0">
        <w:t>[</w:t>
      </w:r>
      <w:r w:rsidR="00695421" w:rsidRPr="00695421">
        <w:rPr>
          <w:i/>
        </w:rPr>
        <w:t xml:space="preserve">dangerous offender, long-term offender, violence risk assessment </w:t>
      </w:r>
      <w:r w:rsidR="00B156C0">
        <w:rPr>
          <w:i/>
        </w:rPr>
        <w:t>AND</w:t>
      </w:r>
      <w:r w:rsidR="00B156C0" w:rsidRPr="00695421">
        <w:rPr>
          <w:i/>
        </w:rPr>
        <w:t xml:space="preserve"> </w:t>
      </w:r>
      <w:r w:rsidR="00695421" w:rsidRPr="00695421">
        <w:rPr>
          <w:i/>
        </w:rPr>
        <w:t>risk assessment</w:t>
      </w:r>
      <w:r w:rsidR="00B156C0">
        <w:t>]</w:t>
      </w:r>
      <w:r w:rsidR="00117926">
        <w:rPr>
          <w:i/>
        </w:rPr>
        <w:t>.</w:t>
      </w:r>
      <w:r w:rsidR="00695421">
        <w:t xml:space="preserve"> </w:t>
      </w:r>
      <w:r>
        <w:t xml:space="preserve">Inclusion criteria were </w:t>
      </w:r>
      <w:r w:rsidR="00B156C0">
        <w:t>court decisions</w:t>
      </w:r>
      <w:r>
        <w:t xml:space="preserve"> where</w:t>
      </w:r>
      <w:r w:rsidR="00C858E5">
        <w:t>:</w:t>
      </w:r>
      <w:r>
        <w:t xml:space="preserve"> 1) the legal judgment occurred between </w:t>
      </w:r>
      <w:r w:rsidR="005D3C0E">
        <w:t xml:space="preserve">January </w:t>
      </w:r>
      <w:r w:rsidR="00E64851">
        <w:t xml:space="preserve">1, </w:t>
      </w:r>
      <w:r>
        <w:t xml:space="preserve">2009 and </w:t>
      </w:r>
      <w:r w:rsidR="005D3C0E">
        <w:t xml:space="preserve">December </w:t>
      </w:r>
      <w:r w:rsidR="00E64851">
        <w:t xml:space="preserve">31, </w:t>
      </w:r>
      <w:r>
        <w:t>2016</w:t>
      </w:r>
      <w:r w:rsidR="00C858E5">
        <w:rPr>
          <w:rStyle w:val="FootnoteReference"/>
        </w:rPr>
        <w:footnoteReference w:id="6"/>
      </w:r>
      <w:r>
        <w:t xml:space="preserve">; 2) a </w:t>
      </w:r>
      <w:r w:rsidR="003846B7">
        <w:t>DO/LTO</w:t>
      </w:r>
      <w:r>
        <w:t xml:space="preserve"> application </w:t>
      </w:r>
      <w:r w:rsidR="00B156C0">
        <w:t>was</w:t>
      </w:r>
      <w:r>
        <w:t xml:space="preserve"> </w:t>
      </w:r>
      <w:r w:rsidR="00D37E2E">
        <w:t>before the court</w:t>
      </w:r>
      <w:r>
        <w:t xml:space="preserve">; 3) </w:t>
      </w:r>
      <w:r w:rsidR="009E4620">
        <w:t>there was</w:t>
      </w:r>
      <w:r w:rsidR="005C0257" w:rsidRPr="00875A80">
        <w:rPr>
          <w:rStyle w:val="Hyperlink"/>
          <w:color w:val="000000" w:themeColor="text1"/>
          <w:u w:val="none"/>
        </w:rPr>
        <w:t xml:space="preserve"> expert evidence on VRA discussed by the judge (</w:t>
      </w:r>
      <w:r w:rsidR="009E4620">
        <w:rPr>
          <w:rStyle w:val="Hyperlink"/>
          <w:color w:val="000000" w:themeColor="text1"/>
          <w:u w:val="none"/>
        </w:rPr>
        <w:t xml:space="preserve">although </w:t>
      </w:r>
      <w:r w:rsidR="005C0257" w:rsidRPr="00E827FE">
        <w:rPr>
          <w:color w:val="000000" w:themeColor="text1"/>
        </w:rPr>
        <w:t>VRAs are required for DO/LTO hearings</w:t>
      </w:r>
      <w:r w:rsidR="009E4620">
        <w:rPr>
          <w:color w:val="000000" w:themeColor="text1"/>
        </w:rPr>
        <w:t>,</w:t>
      </w:r>
      <w:r w:rsidR="005C0257" w:rsidRPr="00E827FE">
        <w:rPr>
          <w:color w:val="000000" w:themeColor="text1"/>
        </w:rPr>
        <w:t xml:space="preserve"> judges may or may not have discussed the VRA evidence in their reasons for judgment)</w:t>
      </w:r>
      <w:r w:rsidR="00C858E5">
        <w:t>;</w:t>
      </w:r>
      <w:r>
        <w:t xml:space="preserve"> </w:t>
      </w:r>
      <w:r w:rsidR="005C0257">
        <w:t>4</w:t>
      </w:r>
      <w:r>
        <w:t>) the case was not an appeal case</w:t>
      </w:r>
      <w:r w:rsidR="007A5C7F">
        <w:t xml:space="preserve">; </w:t>
      </w:r>
      <w:r w:rsidR="009E4620">
        <w:t>and 5</w:t>
      </w:r>
      <w:r w:rsidR="007A5C7F">
        <w:t>) the decision was published in English</w:t>
      </w:r>
      <w:r w:rsidR="00CC2D62">
        <w:rPr>
          <w:rStyle w:val="FootnoteReference"/>
        </w:rPr>
        <w:footnoteReference w:id="7"/>
      </w:r>
      <w:r w:rsidR="007A5C7F">
        <w:t>.</w:t>
      </w:r>
      <w:r>
        <w:t xml:space="preserve"> </w:t>
      </w:r>
      <w:r w:rsidR="00D37E2E">
        <w:t xml:space="preserve">The </w:t>
      </w:r>
      <w:r w:rsidR="00117926">
        <w:t xml:space="preserve">initial search </w:t>
      </w:r>
      <w:r>
        <w:t>result</w:t>
      </w:r>
      <w:r w:rsidR="00D37E2E">
        <w:t>ed in</w:t>
      </w:r>
      <w:r w:rsidR="00117926">
        <w:t xml:space="preserve"> </w:t>
      </w:r>
      <w:r w:rsidR="00695421">
        <w:t xml:space="preserve">693 cases. </w:t>
      </w:r>
      <w:r>
        <w:t>Duplicate cases were removed (</w:t>
      </w:r>
      <w:r w:rsidRPr="00B26CD1">
        <w:rPr>
          <w:i/>
        </w:rPr>
        <w:t>n</w:t>
      </w:r>
      <w:r>
        <w:t xml:space="preserve"> = 143). Of the remaining </w:t>
      </w:r>
      <w:r w:rsidR="00695421">
        <w:t>550 cases</w:t>
      </w:r>
      <w:r>
        <w:t xml:space="preserve">, </w:t>
      </w:r>
      <w:r w:rsidR="00695421">
        <w:t xml:space="preserve">336 </w:t>
      </w:r>
      <w:r w:rsidR="002E3C69">
        <w:t xml:space="preserve">were </w:t>
      </w:r>
      <w:r w:rsidR="00D37E2E">
        <w:t>removed as they did not meet one or more of the</w:t>
      </w:r>
      <w:r>
        <w:t xml:space="preserve"> inclusion criteria</w:t>
      </w:r>
      <w:r w:rsidR="005367C5">
        <w:t xml:space="preserve"> (</w:t>
      </w:r>
      <w:r w:rsidR="007F0AB1">
        <w:t xml:space="preserve">e.g., </w:t>
      </w:r>
      <w:r w:rsidR="0080363A">
        <w:t xml:space="preserve">91 </w:t>
      </w:r>
      <w:r w:rsidR="00357A49">
        <w:t xml:space="preserve">did not include </w:t>
      </w:r>
      <w:r w:rsidR="00CC496B">
        <w:t xml:space="preserve">a DO or LTO assessment, </w:t>
      </w:r>
      <w:r w:rsidR="00316C73">
        <w:t>76 were Appeal cases</w:t>
      </w:r>
      <w:r w:rsidR="0080363A">
        <w:t>)</w:t>
      </w:r>
      <w:r>
        <w:t xml:space="preserve">. </w:t>
      </w:r>
      <w:r w:rsidR="00CC2D62">
        <w:t>A</w:t>
      </w:r>
      <w:r w:rsidR="002E3C69">
        <w:t xml:space="preserve"> total of 214 cases </w:t>
      </w:r>
      <w:r w:rsidR="00D37E2E">
        <w:t xml:space="preserve">remained for </w:t>
      </w:r>
      <w:r w:rsidR="002E3C69">
        <w:t>analysis.</w:t>
      </w:r>
      <w:r w:rsidR="00101636">
        <w:t xml:space="preserve"> </w:t>
      </w:r>
    </w:p>
    <w:p w14:paraId="7CEB7F79" w14:textId="77777777" w:rsidR="00023EE4" w:rsidRPr="000E0CD4" w:rsidRDefault="006635E2" w:rsidP="00174DBB">
      <w:pPr>
        <w:spacing w:line="480" w:lineRule="auto"/>
        <w:ind w:firstLine="720"/>
        <w:rPr>
          <w:b/>
        </w:rPr>
      </w:pPr>
      <w:r>
        <w:t>D</w:t>
      </w:r>
      <w:r w:rsidR="00C858E5">
        <w:t xml:space="preserve">ecisions </w:t>
      </w:r>
      <w:r w:rsidR="00CC2D62">
        <w:t xml:space="preserve">were </w:t>
      </w:r>
      <w:r w:rsidR="00DC2639">
        <w:t>coded by one of two coders</w:t>
      </w:r>
      <w:r w:rsidR="00CC2D62">
        <w:t xml:space="preserve"> </w:t>
      </w:r>
      <w:r w:rsidR="00726F0B">
        <w:t>(</w:t>
      </w:r>
      <w:r w:rsidR="002F19E1">
        <w:t xml:space="preserve">M.E. </w:t>
      </w:r>
      <w:r w:rsidR="002B0898">
        <w:t>or</w:t>
      </w:r>
      <w:r w:rsidR="002F19E1">
        <w:t xml:space="preserve"> E.D.</w:t>
      </w:r>
      <w:r w:rsidR="00726F0B">
        <w:t xml:space="preserve">) </w:t>
      </w:r>
      <w:r w:rsidR="00CC2D62">
        <w:t xml:space="preserve">using </w:t>
      </w:r>
      <w:r w:rsidR="00742761" w:rsidRPr="00E827FE">
        <w:rPr>
          <w:color w:val="000000" w:themeColor="text1"/>
        </w:rPr>
        <w:t>a 24-item coding sheet that included items related to demographic information about the case and three a</w:t>
      </w:r>
      <w:r w:rsidR="00410969">
        <w:rPr>
          <w:color w:val="000000" w:themeColor="text1"/>
        </w:rPr>
        <w:t xml:space="preserve"> </w:t>
      </w:r>
      <w:r w:rsidR="00742761" w:rsidRPr="00E827FE">
        <w:rPr>
          <w:color w:val="000000" w:themeColor="text1"/>
        </w:rPr>
        <w:t>priori categories</w:t>
      </w:r>
      <w:r w:rsidR="00023EE4">
        <w:rPr>
          <w:color w:val="000000" w:themeColor="text1"/>
        </w:rPr>
        <w:t xml:space="preserve"> of judicial comments</w:t>
      </w:r>
      <w:r w:rsidR="00742761" w:rsidRPr="00E827FE">
        <w:rPr>
          <w:color w:val="000000" w:themeColor="text1"/>
        </w:rPr>
        <w:t xml:space="preserve"> derived from previous research (</w:t>
      </w:r>
      <w:proofErr w:type="spellStart"/>
      <w:r w:rsidR="00742761" w:rsidRPr="00E827FE">
        <w:rPr>
          <w:color w:val="000000" w:themeColor="text1"/>
        </w:rPr>
        <w:t>Storey</w:t>
      </w:r>
      <w:proofErr w:type="spellEnd"/>
      <w:r w:rsidR="00742761" w:rsidRPr="00E827FE">
        <w:rPr>
          <w:color w:val="000000" w:themeColor="text1"/>
        </w:rPr>
        <w:t xml:space="preserve"> et al., 2013)</w:t>
      </w:r>
      <w:r w:rsidR="00137052">
        <w:rPr>
          <w:color w:val="000000" w:themeColor="text1"/>
        </w:rPr>
        <w:t xml:space="preserve">. </w:t>
      </w:r>
      <w:r w:rsidR="00023EE4">
        <w:rPr>
          <w:color w:val="000000" w:themeColor="text1"/>
        </w:rPr>
        <w:t xml:space="preserve">Regarding demographics, </w:t>
      </w:r>
      <w:r w:rsidR="00023EE4">
        <w:t>offenders were considered Indigenous when they were identified as First Nations, Métis, or Inuit (</w:t>
      </w:r>
      <w:r w:rsidR="00023EE4">
        <w:rPr>
          <w:i/>
        </w:rPr>
        <w:t>n</w:t>
      </w:r>
      <w:r w:rsidR="00023EE4">
        <w:t xml:space="preserve"> = 56; 26.2% of all cases), which is consistent with the Government of Canada </w:t>
      </w:r>
      <w:r w:rsidR="00023EE4">
        <w:lastRenderedPageBreak/>
        <w:t xml:space="preserve">definition of Indigenous peoples, or in the absence of identification of ethnic origins when a </w:t>
      </w:r>
      <w:proofErr w:type="spellStart"/>
      <w:r w:rsidR="00023EE4">
        <w:t>Gladue</w:t>
      </w:r>
      <w:proofErr w:type="spellEnd"/>
      <w:r w:rsidR="00023EE4">
        <w:t xml:space="preserve"> report was included in the decision (</w:t>
      </w:r>
      <w:r w:rsidR="00023EE4">
        <w:rPr>
          <w:i/>
        </w:rPr>
        <w:t>n</w:t>
      </w:r>
      <w:r w:rsidR="00023EE4">
        <w:t xml:space="preserve"> = 28; 13.1% of all cases), as </w:t>
      </w:r>
      <w:proofErr w:type="spellStart"/>
      <w:r w:rsidR="00023EE4">
        <w:t>Gladue</w:t>
      </w:r>
      <w:proofErr w:type="spellEnd"/>
      <w:r w:rsidR="00023EE4">
        <w:t xml:space="preserve"> reports are only requested for offenders of Indigenous descent (</w:t>
      </w:r>
      <w:r w:rsidR="00023EE4" w:rsidRPr="00584278">
        <w:rPr>
          <w:i/>
          <w:iCs/>
        </w:rPr>
        <w:t xml:space="preserve">R v </w:t>
      </w:r>
      <w:proofErr w:type="spellStart"/>
      <w:r w:rsidR="00023EE4" w:rsidRPr="00584278">
        <w:rPr>
          <w:i/>
          <w:iCs/>
        </w:rPr>
        <w:t>Gladue</w:t>
      </w:r>
      <w:proofErr w:type="spellEnd"/>
      <w:r w:rsidR="00023EE4">
        <w:t xml:space="preserve">, 1999). Using this methodology, </w:t>
      </w:r>
      <w:r w:rsidR="00437177">
        <w:t>it is</w:t>
      </w:r>
      <w:r w:rsidR="00023EE4">
        <w:t xml:space="preserve"> reasonably certain that all Indigenous offenders were identified. </w:t>
      </w:r>
      <w:r w:rsidR="00437177">
        <w:t>It is</w:t>
      </w:r>
      <w:r w:rsidR="00023EE4">
        <w:t xml:space="preserve"> therefore assume</w:t>
      </w:r>
      <w:r w:rsidR="00437177">
        <w:t>d</w:t>
      </w:r>
      <w:r w:rsidR="00023EE4">
        <w:t xml:space="preserve"> that no Indigenous offenders remained in the unknown ethic origin group, </w:t>
      </w:r>
      <w:r w:rsidR="00023EE4" w:rsidRPr="004A494E">
        <w:t>with the exception of those with Indigenous descent that do not identify as Indigenous, for which the number is unknown</w:t>
      </w:r>
      <w:r w:rsidR="00023EE4">
        <w:t xml:space="preserve">. </w:t>
      </w:r>
    </w:p>
    <w:p w14:paraId="718642AF" w14:textId="77777777" w:rsidR="00F1027A" w:rsidRPr="00F1027A" w:rsidRDefault="00F97059" w:rsidP="00F1027A">
      <w:pPr>
        <w:spacing w:line="480" w:lineRule="auto"/>
        <w:ind w:firstLine="720"/>
      </w:pPr>
      <w:r>
        <w:t>Within the sample of cases with an Indigenous defendant, j</w:t>
      </w:r>
      <w:r w:rsidR="00F1027A">
        <w:t xml:space="preserve">udicial comments on culture were separated into two categories: superficial and meaningful. A comment was considered superficial if the judge only acknowledged that the offender was of Indigenous decent and provided no further elaboration or discussion. This happened in three circumstances across cases: (1) the judge referred to the defendant as “Indigenous” but did not elaborate, (2) a </w:t>
      </w:r>
      <w:proofErr w:type="spellStart"/>
      <w:r w:rsidR="00F1027A">
        <w:t>Gladue</w:t>
      </w:r>
      <w:proofErr w:type="spellEnd"/>
      <w:r w:rsidR="00F1027A">
        <w:t xml:space="preserve"> report was referred to but not discussed further, and (3) the judge mentioned Indigenous-specific programming but only mentioned the program name and did not elaborate further. A comment was considered meaningful if the judge discussed the offender’s Indigenous background in more depth, such as commenting on cultural risk factors that lead to a higher likelihood of incarceration for Indigenous peoples, discussing the presence of the Indigenous defendant’s interest in their culture, or mentioning the benefit</w:t>
      </w:r>
      <w:r w:rsidR="00FE14BE">
        <w:t>s</w:t>
      </w:r>
      <w:r w:rsidR="00F1027A">
        <w:t xml:space="preserve"> of Indigenous support systems for the defendant.</w:t>
      </w:r>
    </w:p>
    <w:p w14:paraId="46B92BFC" w14:textId="79D906FB" w:rsidR="007C623F" w:rsidRDefault="00137052" w:rsidP="004D37F9">
      <w:pPr>
        <w:spacing w:line="480" w:lineRule="auto"/>
        <w:ind w:firstLine="720"/>
      </w:pPr>
      <w:r>
        <w:rPr>
          <w:color w:val="000000" w:themeColor="text1"/>
        </w:rPr>
        <w:t xml:space="preserve">The three </w:t>
      </w:r>
      <w:r w:rsidR="00F1027A">
        <w:rPr>
          <w:color w:val="000000" w:themeColor="text1"/>
        </w:rPr>
        <w:t xml:space="preserve">a priori categories from </w:t>
      </w:r>
      <w:proofErr w:type="spellStart"/>
      <w:r w:rsidR="00F1027A">
        <w:rPr>
          <w:color w:val="000000" w:themeColor="text1"/>
        </w:rPr>
        <w:t>Storey</w:t>
      </w:r>
      <w:proofErr w:type="spellEnd"/>
      <w:r w:rsidR="00F1027A">
        <w:rPr>
          <w:color w:val="000000" w:themeColor="text1"/>
        </w:rPr>
        <w:t xml:space="preserve"> et al. (2013) </w:t>
      </w:r>
      <w:r w:rsidR="002B0898">
        <w:rPr>
          <w:color w:val="000000" w:themeColor="text1"/>
        </w:rPr>
        <w:t>included</w:t>
      </w:r>
      <w:r w:rsidR="00742761" w:rsidRPr="00E827FE">
        <w:rPr>
          <w:color w:val="000000" w:themeColor="text1"/>
        </w:rPr>
        <w:t xml:space="preserve"> judicial comments regarding</w:t>
      </w:r>
      <w:r w:rsidR="00576F2D">
        <w:rPr>
          <w:color w:val="000000" w:themeColor="text1"/>
        </w:rPr>
        <w:t>:</w:t>
      </w:r>
      <w:r w:rsidR="00742761" w:rsidRPr="00E827FE">
        <w:rPr>
          <w:color w:val="000000" w:themeColor="text1"/>
        </w:rPr>
        <w:t xml:space="preserve"> (1) the qualities of </w:t>
      </w:r>
      <w:r w:rsidR="0081014B">
        <w:rPr>
          <w:color w:val="000000" w:themeColor="text1"/>
        </w:rPr>
        <w:t xml:space="preserve">the </w:t>
      </w:r>
      <w:r w:rsidR="00742761" w:rsidRPr="00E827FE">
        <w:rPr>
          <w:color w:val="000000" w:themeColor="text1"/>
        </w:rPr>
        <w:t>evaluator</w:t>
      </w:r>
      <w:r w:rsidR="0081014B">
        <w:rPr>
          <w:color w:val="000000" w:themeColor="text1"/>
        </w:rPr>
        <w:t>s</w:t>
      </w:r>
      <w:r w:rsidR="00742761" w:rsidRPr="00E827FE">
        <w:rPr>
          <w:color w:val="000000" w:themeColor="text1"/>
        </w:rPr>
        <w:t xml:space="preserve"> who conducted the VRA, (2) the qualities of the VRA(s) completed, </w:t>
      </w:r>
      <w:r w:rsidR="00576F2D">
        <w:rPr>
          <w:color w:val="000000" w:themeColor="text1"/>
        </w:rPr>
        <w:t xml:space="preserve">and </w:t>
      </w:r>
      <w:r w:rsidR="00742761" w:rsidRPr="00E827FE">
        <w:rPr>
          <w:color w:val="000000" w:themeColor="text1"/>
        </w:rPr>
        <w:t xml:space="preserve">(3) </w:t>
      </w:r>
      <w:r w:rsidR="00576F2D">
        <w:rPr>
          <w:color w:val="000000" w:themeColor="text1"/>
        </w:rPr>
        <w:t>the</w:t>
      </w:r>
      <w:r w:rsidR="00742761" w:rsidRPr="00E827FE">
        <w:rPr>
          <w:color w:val="000000" w:themeColor="text1"/>
        </w:rPr>
        <w:t xml:space="preserve"> qualities of the evaluators</w:t>
      </w:r>
      <w:r w:rsidR="0081014B">
        <w:rPr>
          <w:color w:val="000000" w:themeColor="text1"/>
        </w:rPr>
        <w:t>’</w:t>
      </w:r>
      <w:r w:rsidR="00742761" w:rsidRPr="00E827FE">
        <w:rPr>
          <w:color w:val="000000" w:themeColor="text1"/>
        </w:rPr>
        <w:t xml:space="preserve"> expert witness testimony about the VRA.</w:t>
      </w:r>
      <w:r w:rsidR="00B1050E">
        <w:t xml:space="preserve"> </w:t>
      </w:r>
      <w:r w:rsidR="00B3207A">
        <w:t xml:space="preserve">Within these three a priori categories, </w:t>
      </w:r>
      <w:proofErr w:type="spellStart"/>
      <w:r w:rsidR="00B3207A">
        <w:t>Storey</w:t>
      </w:r>
      <w:proofErr w:type="spellEnd"/>
      <w:r w:rsidR="00B3207A">
        <w:t xml:space="preserve"> et al. (2013) found specific </w:t>
      </w:r>
      <w:r w:rsidR="00130426">
        <w:t>subthemes</w:t>
      </w:r>
      <w:r w:rsidR="00826EA7">
        <w:t xml:space="preserve">; </w:t>
      </w:r>
      <w:r w:rsidR="00B65B7D">
        <w:t>the same</w:t>
      </w:r>
      <w:r w:rsidR="00826EA7">
        <w:t xml:space="preserve"> a priori subthemes </w:t>
      </w:r>
      <w:r w:rsidR="00B65B7D">
        <w:t xml:space="preserve">were used herein </w:t>
      </w:r>
      <w:r w:rsidR="00826EA7">
        <w:t xml:space="preserve">to guide </w:t>
      </w:r>
      <w:r w:rsidR="00D25D3A">
        <w:t>this study’s</w:t>
      </w:r>
      <w:r w:rsidR="00826EA7">
        <w:t xml:space="preserve"> qualitative coding.</w:t>
      </w:r>
      <w:r w:rsidR="00130426">
        <w:t xml:space="preserve"> Additionally, </w:t>
      </w:r>
      <w:r w:rsidR="00130426">
        <w:lastRenderedPageBreak/>
        <w:t>i</w:t>
      </w:r>
      <w:r w:rsidR="00875A80" w:rsidRPr="00875A80">
        <w:t>n all cases w</w:t>
      </w:r>
      <w:r w:rsidR="008E5873">
        <w:t>h</w:t>
      </w:r>
      <w:r w:rsidR="00875A80" w:rsidRPr="00875A80">
        <w:t>ere culture was discussed, the nature of that discussion as it related to a priori categories was coded to gather details from judicial comments specific to culture</w:t>
      </w:r>
      <w:r w:rsidR="00875A80">
        <w:t xml:space="preserve">. </w:t>
      </w:r>
      <w:r w:rsidR="00B1050E">
        <w:t xml:space="preserve">Prior to coding the data, four practice cases were </w:t>
      </w:r>
      <w:r w:rsidR="0003310A">
        <w:t>coded</w:t>
      </w:r>
      <w:r w:rsidR="00B1050E">
        <w:t xml:space="preserve"> to ensure coder agreement on the criteria</w:t>
      </w:r>
      <w:r w:rsidR="008B47E0">
        <w:t xml:space="preserve"> and any disagreements were discussed and clarified</w:t>
      </w:r>
      <w:r w:rsidR="00B1050E">
        <w:t xml:space="preserve">. </w:t>
      </w:r>
      <w:r w:rsidR="008B47E0">
        <w:t>Next, i</w:t>
      </w:r>
      <w:r w:rsidR="00B1050E">
        <w:t xml:space="preserve">nterrater agreement was established </w:t>
      </w:r>
      <w:r w:rsidR="0003310A">
        <w:t>by comparing the coding of the two coders on 44</w:t>
      </w:r>
      <w:r w:rsidR="00F26C71">
        <w:t xml:space="preserve"> </w:t>
      </w:r>
      <w:r w:rsidR="00657BA2">
        <w:t xml:space="preserve">randomly selected </w:t>
      </w:r>
      <w:r w:rsidR="00F26C71">
        <w:t>cases (20</w:t>
      </w:r>
      <w:r w:rsidR="00111656">
        <w:t>.6</w:t>
      </w:r>
      <w:r w:rsidR="00F26C71">
        <w:t xml:space="preserve">% of </w:t>
      </w:r>
      <w:r w:rsidR="0003310A">
        <w:t>sample</w:t>
      </w:r>
      <w:r w:rsidR="00F26C71">
        <w:t>).</w:t>
      </w:r>
      <w:r w:rsidR="002F19E1">
        <w:t xml:space="preserve"> </w:t>
      </w:r>
      <w:r w:rsidR="004B61C0">
        <w:t xml:space="preserve">Interrater reliability was only </w:t>
      </w:r>
      <w:r w:rsidR="00C07F01">
        <w:t xml:space="preserve">assessed on variables </w:t>
      </w:r>
      <w:r w:rsidR="001D088F">
        <w:t xml:space="preserve">that relied on human judgment (e.g., </w:t>
      </w:r>
      <w:r w:rsidR="00EF159B">
        <w:t xml:space="preserve">determination if a theme was present) </w:t>
      </w:r>
      <w:r w:rsidR="00051E12">
        <w:t xml:space="preserve">where discrepancies </w:t>
      </w:r>
      <w:r w:rsidR="0003310A">
        <w:t>were most</w:t>
      </w:r>
      <w:r w:rsidR="00051E12">
        <w:t xml:space="preserve"> likely </w:t>
      </w:r>
      <w:r w:rsidR="0003310A">
        <w:t xml:space="preserve">to </w:t>
      </w:r>
      <w:r w:rsidR="00051E12">
        <w:t>occur.</w:t>
      </w:r>
      <w:r w:rsidR="00742761">
        <w:t xml:space="preserve"> </w:t>
      </w:r>
      <w:r w:rsidR="002F19E1">
        <w:t xml:space="preserve">Comparisons were made using </w:t>
      </w:r>
      <w:r w:rsidR="002F19E1" w:rsidRPr="00FD461A">
        <w:t xml:space="preserve">intraclass correlation </w:t>
      </w:r>
      <w:r w:rsidR="002F19E1" w:rsidRPr="00FA4D5F">
        <w:t>coefficients (ICC</w:t>
      </w:r>
      <w:r w:rsidR="002F19E1" w:rsidRPr="00FA4D5F">
        <w:rPr>
          <w:vertAlign w:val="subscript"/>
        </w:rPr>
        <w:t>1</w:t>
      </w:r>
      <w:r w:rsidR="002F19E1">
        <w:t>; a</w:t>
      </w:r>
      <w:r w:rsidR="002F19E1" w:rsidRPr="00FA4D5F">
        <w:t>ll ICC</w:t>
      </w:r>
      <w:r w:rsidR="002F19E1" w:rsidRPr="00FA4D5F">
        <w:rPr>
          <w:vertAlign w:val="subscript"/>
        </w:rPr>
        <w:t>1</w:t>
      </w:r>
      <w:r w:rsidR="002F19E1" w:rsidRPr="00FA4D5F">
        <w:t xml:space="preserve"> values were calculated </w:t>
      </w:r>
      <w:r w:rsidR="002F19E1" w:rsidRPr="00FD461A">
        <w:t>using single measures with two-way mixed effects models and</w:t>
      </w:r>
      <w:r w:rsidR="002F19E1">
        <w:t xml:space="preserve"> </w:t>
      </w:r>
      <w:r w:rsidR="002F19E1" w:rsidRPr="00FD461A">
        <w:t xml:space="preserve">absolute agreement) </w:t>
      </w:r>
      <w:r w:rsidR="002F19E1">
        <w:t xml:space="preserve">to determine whether raters had identified the same number of judicial comments across each of the </w:t>
      </w:r>
      <w:r w:rsidR="00BF1696">
        <w:t xml:space="preserve">three </w:t>
      </w:r>
      <w:r w:rsidR="002F19E1">
        <w:t xml:space="preserve">categories examined. </w:t>
      </w:r>
      <w:r w:rsidR="00BF1696">
        <w:t>ICCs for the three categories separately ranged from good to moderate</w:t>
      </w:r>
      <w:r w:rsidR="00662DFF">
        <w:t xml:space="preserve"> where ICC &gt; .75 = excellent; ICC from .60 to .75 = good; ICC from .40 to .60 = moderate; ICC &lt; 40 = poor (Fleiss, 1986).</w:t>
      </w:r>
      <w:r w:rsidR="00BF1696">
        <w:t xml:space="preserve"> </w:t>
      </w:r>
      <w:r w:rsidR="00662DFF">
        <w:t>J</w:t>
      </w:r>
      <w:r w:rsidR="00BF1696">
        <w:t>udicial comments regarding evaluators</w:t>
      </w:r>
      <w:r w:rsidR="0081014B">
        <w:t>’</w:t>
      </w:r>
      <w:r w:rsidR="00BF1696">
        <w:t xml:space="preserve"> qualities was .74 (good), judicial comments regarding VRA qualities was .70 (good), and judicial comments regarding evaluators</w:t>
      </w:r>
      <w:r w:rsidR="0081014B">
        <w:t>’</w:t>
      </w:r>
      <w:r w:rsidR="00BF1696">
        <w:t xml:space="preserve"> testimony was .50 (moderate). </w:t>
      </w:r>
    </w:p>
    <w:p w14:paraId="48D9387D" w14:textId="77777777" w:rsidR="00507DD6" w:rsidRPr="00F709DD" w:rsidRDefault="0096479D" w:rsidP="00EA3C36">
      <w:pPr>
        <w:spacing w:line="480" w:lineRule="auto"/>
        <w:outlineLvl w:val="0"/>
        <w:rPr>
          <w:b/>
        </w:rPr>
      </w:pPr>
      <w:r>
        <w:rPr>
          <w:b/>
        </w:rPr>
        <w:t>Sample Characteristics</w:t>
      </w:r>
    </w:p>
    <w:p w14:paraId="5058FA5C" w14:textId="2B8ADF9E" w:rsidR="00E37F93" w:rsidRPr="006B6044" w:rsidRDefault="00E37F93" w:rsidP="00E37F93">
      <w:pPr>
        <w:spacing w:line="480" w:lineRule="auto"/>
        <w:ind w:firstLine="720"/>
      </w:pPr>
      <w:r>
        <w:t xml:space="preserve">Only </w:t>
      </w:r>
      <w:r w:rsidRPr="00097F0E">
        <w:t>113 (5</w:t>
      </w:r>
      <w:r w:rsidR="00772C5B">
        <w:t>2.8</w:t>
      </w:r>
      <w:r w:rsidRPr="00097F0E">
        <w:t xml:space="preserve">%) </w:t>
      </w:r>
      <w:r w:rsidR="00AE3F20">
        <w:t xml:space="preserve">of the 214 </w:t>
      </w:r>
      <w:r w:rsidRPr="00097F0E">
        <w:t>cases</w:t>
      </w:r>
      <w:r>
        <w:t xml:space="preserve"> explicitly identified the ethnic or cultural origins of the offender in the judicial decision. </w:t>
      </w:r>
      <w:r w:rsidR="00772C5B">
        <w:t xml:space="preserve">These </w:t>
      </w:r>
      <w:r w:rsidR="00D37C73">
        <w:t xml:space="preserve">113 </w:t>
      </w:r>
      <w:r w:rsidR="00772C5B">
        <w:t>cases were the sole cases analyzed when examining themes of ethnicity, while all 214 cases (split into those that did and did not identify an offender of a minority ethnicity) were utilized to compare the prevalence of themes unrelated to ethnicity (see</w:t>
      </w:r>
      <w:r w:rsidR="00A16CB8">
        <w:t xml:space="preserve"> </w:t>
      </w:r>
      <w:r w:rsidR="00772C5B">
        <w:t xml:space="preserve">“Broad Non-Cultural Themes…”). </w:t>
      </w:r>
      <w:r>
        <w:t xml:space="preserve">Of the cases where ethnic origins were identified, most </w:t>
      </w:r>
      <w:r w:rsidRPr="00097F0E">
        <w:t xml:space="preserve">offenders were identified as having First Nations origins </w:t>
      </w:r>
      <w:r w:rsidR="00772C5B" w:rsidRPr="00097F0E">
        <w:t>(</w:t>
      </w:r>
      <w:r w:rsidR="00772C5B" w:rsidRPr="00097F0E">
        <w:rPr>
          <w:i/>
        </w:rPr>
        <w:t xml:space="preserve">n = </w:t>
      </w:r>
      <w:r w:rsidR="00772C5B" w:rsidRPr="00097F0E">
        <w:t xml:space="preserve">50; </w:t>
      </w:r>
      <w:r w:rsidR="00772C5B">
        <w:t>44.2</w:t>
      </w:r>
      <w:r w:rsidR="00772C5B" w:rsidRPr="00097F0E">
        <w:t>%). The remainder were identified as White (</w:t>
      </w:r>
      <w:r w:rsidR="00772C5B" w:rsidRPr="00097F0E">
        <w:rPr>
          <w:i/>
        </w:rPr>
        <w:t xml:space="preserve">n = </w:t>
      </w:r>
      <w:r w:rsidR="00772C5B" w:rsidRPr="00097F0E">
        <w:t xml:space="preserve">20; </w:t>
      </w:r>
      <w:r w:rsidR="00772C5B">
        <w:t>17.7</w:t>
      </w:r>
      <w:r w:rsidR="00772C5B" w:rsidRPr="00097F0E">
        <w:t>%), Métis (</w:t>
      </w:r>
      <w:r w:rsidR="00772C5B" w:rsidRPr="00097F0E">
        <w:rPr>
          <w:i/>
        </w:rPr>
        <w:t xml:space="preserve">n = </w:t>
      </w:r>
      <w:r w:rsidR="00772C5B" w:rsidRPr="00097F0E">
        <w:t xml:space="preserve">5; </w:t>
      </w:r>
      <w:r w:rsidR="00772C5B">
        <w:t>4.4</w:t>
      </w:r>
      <w:r w:rsidR="00772C5B" w:rsidRPr="00097F0E">
        <w:t>%), Latin</w:t>
      </w:r>
      <w:r w:rsidR="00772C5B">
        <w:t xml:space="preserve">, Central, or </w:t>
      </w:r>
      <w:r w:rsidR="00772C5B">
        <w:lastRenderedPageBreak/>
        <w:t>South</w:t>
      </w:r>
      <w:r w:rsidR="00772C5B" w:rsidRPr="00097F0E">
        <w:t xml:space="preserve"> American (</w:t>
      </w:r>
      <w:r w:rsidR="00772C5B" w:rsidRPr="00097F0E">
        <w:rPr>
          <w:i/>
        </w:rPr>
        <w:t xml:space="preserve">n = </w:t>
      </w:r>
      <w:r w:rsidR="00772C5B" w:rsidRPr="00097F0E">
        <w:t xml:space="preserve">3; </w:t>
      </w:r>
      <w:r w:rsidR="00772C5B">
        <w:t>2.7</w:t>
      </w:r>
      <w:r w:rsidR="00772C5B" w:rsidRPr="00097F0E">
        <w:t>%), African (</w:t>
      </w:r>
      <w:r w:rsidR="00772C5B" w:rsidRPr="00097F0E">
        <w:rPr>
          <w:i/>
        </w:rPr>
        <w:t xml:space="preserve">n = </w:t>
      </w:r>
      <w:r w:rsidR="00772C5B" w:rsidRPr="00097F0E">
        <w:t>2; 1</w:t>
      </w:r>
      <w:r w:rsidR="00772C5B">
        <w:t>.8</w:t>
      </w:r>
      <w:r w:rsidR="00772C5B" w:rsidRPr="00097F0E">
        <w:t>%), Asian (</w:t>
      </w:r>
      <w:r w:rsidR="00772C5B" w:rsidRPr="00097F0E">
        <w:rPr>
          <w:i/>
        </w:rPr>
        <w:t xml:space="preserve">n = </w:t>
      </w:r>
      <w:r w:rsidR="00772C5B" w:rsidRPr="00097F0E">
        <w:t>2; 1</w:t>
      </w:r>
      <w:r w:rsidR="00772C5B">
        <w:t>.8</w:t>
      </w:r>
      <w:r w:rsidR="00772C5B" w:rsidRPr="00097F0E">
        <w:t>%), Caribbean (</w:t>
      </w:r>
      <w:r w:rsidR="00772C5B" w:rsidRPr="00097F0E">
        <w:rPr>
          <w:i/>
        </w:rPr>
        <w:t xml:space="preserve">n = </w:t>
      </w:r>
      <w:r w:rsidR="00772C5B" w:rsidRPr="00097F0E">
        <w:t>2; 1</w:t>
      </w:r>
      <w:r w:rsidR="00772C5B">
        <w:t>.8</w:t>
      </w:r>
      <w:r w:rsidR="00772C5B" w:rsidRPr="00097F0E">
        <w:t>%),</w:t>
      </w:r>
      <w:r w:rsidR="00772C5B">
        <w:t xml:space="preserve"> and Inuit (</w:t>
      </w:r>
      <w:r w:rsidR="00772C5B">
        <w:rPr>
          <w:i/>
        </w:rPr>
        <w:t xml:space="preserve">n = </w:t>
      </w:r>
      <w:r w:rsidR="00772C5B">
        <w:t>1; &lt;1%).</w:t>
      </w:r>
      <w:r w:rsidR="00023EE4">
        <w:t xml:space="preserve"> Using our procedure of identifying Indigenous offenders (i.e., offenders were identified as First Nations, Métis, or Inuit [</w:t>
      </w:r>
      <w:r w:rsidR="00023EE4">
        <w:rPr>
          <w:i/>
        </w:rPr>
        <w:t>n</w:t>
      </w:r>
      <w:r w:rsidR="00023EE4">
        <w:t xml:space="preserve"> = 56; 26.2% of all cases] or when a </w:t>
      </w:r>
      <w:proofErr w:type="spellStart"/>
      <w:r w:rsidR="00023EE4">
        <w:t>Gladue</w:t>
      </w:r>
      <w:proofErr w:type="spellEnd"/>
      <w:r w:rsidR="00023EE4">
        <w:t xml:space="preserve"> report was included in the decision [</w:t>
      </w:r>
      <w:r w:rsidR="00023EE4">
        <w:rPr>
          <w:i/>
        </w:rPr>
        <w:t>n</w:t>
      </w:r>
      <w:r w:rsidR="00023EE4">
        <w:t xml:space="preserve"> = 28; 13.1% of all cases]</w:t>
      </w:r>
      <w:r w:rsidR="002F537C">
        <w:t>)</w:t>
      </w:r>
      <w:r w:rsidR="00023EE4">
        <w:t xml:space="preserve">, </w:t>
      </w:r>
      <w:r w:rsidR="00B65B7D">
        <w:t xml:space="preserve">it was determined that </w:t>
      </w:r>
      <w:r w:rsidR="00023EE4" w:rsidRPr="00097F0E">
        <w:t>8</w:t>
      </w:r>
      <w:r w:rsidR="00023EE4">
        <w:t>4</w:t>
      </w:r>
      <w:r w:rsidR="00023EE4" w:rsidRPr="00097F0E">
        <w:t xml:space="preserve"> (</w:t>
      </w:r>
      <w:r w:rsidR="00023EE4">
        <w:t>39.3</w:t>
      </w:r>
      <w:r w:rsidR="00023EE4" w:rsidRPr="00097F0E">
        <w:t xml:space="preserve">%) </w:t>
      </w:r>
      <w:r w:rsidR="00023EE4">
        <w:t xml:space="preserve">of the 214 cases </w:t>
      </w:r>
      <w:r w:rsidR="00023EE4" w:rsidRPr="00097F0E">
        <w:t>involved</w:t>
      </w:r>
      <w:r w:rsidR="00023EE4">
        <w:t xml:space="preserve"> an Indigenous offender. The remaining cases were non-Indigenous White (</w:t>
      </w:r>
      <w:r w:rsidR="00023EE4">
        <w:rPr>
          <w:i/>
        </w:rPr>
        <w:t xml:space="preserve">n = </w:t>
      </w:r>
      <w:r w:rsidR="00023EE4">
        <w:t>20; 9.3%), non-Indigenous ethnic minorities (</w:t>
      </w:r>
      <w:r w:rsidR="00023EE4">
        <w:rPr>
          <w:i/>
        </w:rPr>
        <w:t xml:space="preserve">n </w:t>
      </w:r>
      <w:r w:rsidR="00023EE4">
        <w:t xml:space="preserve">= </w:t>
      </w:r>
      <w:r w:rsidR="00023EE4" w:rsidRPr="00F16C4F">
        <w:t>9</w:t>
      </w:r>
      <w:r w:rsidR="00023EE4">
        <w:t>; 4.2%), and unknown ethnic origin (</w:t>
      </w:r>
      <w:r w:rsidR="00023EE4">
        <w:rPr>
          <w:i/>
        </w:rPr>
        <w:t>n</w:t>
      </w:r>
      <w:r w:rsidR="00023EE4">
        <w:t xml:space="preserve"> = 101, 47.2%).</w:t>
      </w:r>
      <w:r w:rsidR="004C03D6">
        <w:t xml:space="preserve"> See Table </w:t>
      </w:r>
      <w:r w:rsidR="009C3F6D">
        <w:t>1</w:t>
      </w:r>
      <w:r w:rsidR="004C03D6">
        <w:t xml:space="preserve"> for a detailed breakdown of sample characteristics for cases with Indigenous and Non-Indigenous defendants.</w:t>
      </w:r>
    </w:p>
    <w:p w14:paraId="00898B4B" w14:textId="77777777" w:rsidR="00772C5B" w:rsidRPr="00037E11" w:rsidRDefault="00772C5B" w:rsidP="00772C5B">
      <w:pPr>
        <w:spacing w:line="480" w:lineRule="auto"/>
        <w:ind w:firstLine="720"/>
      </w:pPr>
      <w:r>
        <w:t xml:space="preserve">Of the 214 </w:t>
      </w:r>
      <w:r w:rsidRPr="00EF641B">
        <w:t>cases</w:t>
      </w:r>
      <w:r w:rsidRPr="00BC09D1">
        <w:t xml:space="preserve">, </w:t>
      </w:r>
      <w:r>
        <w:t>69.6</w:t>
      </w:r>
      <w:r w:rsidRPr="00BC09D1">
        <w:t>% (</w:t>
      </w:r>
      <w:r w:rsidRPr="00BC09D1">
        <w:rPr>
          <w:i/>
        </w:rPr>
        <w:t xml:space="preserve">n = </w:t>
      </w:r>
      <w:r w:rsidRPr="00BC09D1">
        <w:t>149) were hearings for DO applications, 20</w:t>
      </w:r>
      <w:r>
        <w:t>.1</w:t>
      </w:r>
      <w:r w:rsidRPr="00BC09D1">
        <w:t>% (</w:t>
      </w:r>
      <w:r w:rsidRPr="00BC09D1">
        <w:rPr>
          <w:i/>
        </w:rPr>
        <w:t xml:space="preserve">n = </w:t>
      </w:r>
      <w:r w:rsidRPr="00BC09D1">
        <w:t>43) were hearings where joint DO/LTO applications were submitted, and 10</w:t>
      </w:r>
      <w:r>
        <w:t>.3</w:t>
      </w:r>
      <w:r w:rsidRPr="00BC09D1">
        <w:t>% (</w:t>
      </w:r>
      <w:r w:rsidRPr="00BC09D1">
        <w:rPr>
          <w:i/>
        </w:rPr>
        <w:t xml:space="preserve">n = </w:t>
      </w:r>
      <w:r w:rsidRPr="00BC09D1">
        <w:t>22)</w:t>
      </w:r>
      <w:r w:rsidRPr="00EF641B">
        <w:t xml:space="preserve"> were hearings for LTO applications. Sexual violence was the index offence in 55</w:t>
      </w:r>
      <w:r>
        <w:t>.1</w:t>
      </w:r>
      <w:r w:rsidRPr="00EF641B">
        <w:t>% (</w:t>
      </w:r>
      <w:r w:rsidRPr="00EF641B">
        <w:rPr>
          <w:i/>
        </w:rPr>
        <w:t xml:space="preserve">n = </w:t>
      </w:r>
      <w:r w:rsidRPr="00EF641B">
        <w:t>118) of cases and the remaining index offences were violent non-sexual offences (4</w:t>
      </w:r>
      <w:r>
        <w:t>4.9</w:t>
      </w:r>
      <w:r w:rsidRPr="00EF641B">
        <w:t xml:space="preserve">%, </w:t>
      </w:r>
      <w:r w:rsidRPr="00EF641B">
        <w:rPr>
          <w:i/>
        </w:rPr>
        <w:t xml:space="preserve">n = </w:t>
      </w:r>
      <w:r w:rsidRPr="00EF641B">
        <w:t>96). Regarding the outcome of the case, in 27</w:t>
      </w:r>
      <w:r>
        <w:t>.1</w:t>
      </w:r>
      <w:r w:rsidRPr="00EF641B">
        <w:t>% (</w:t>
      </w:r>
      <w:r w:rsidRPr="00EF641B">
        <w:rPr>
          <w:i/>
        </w:rPr>
        <w:t xml:space="preserve">n = </w:t>
      </w:r>
      <w:r w:rsidRPr="00EF641B">
        <w:t>58) of the cases the offender was designated an LTO, in 6</w:t>
      </w:r>
      <w:r w:rsidR="003235D9">
        <w:t>9.2</w:t>
      </w:r>
      <w:r w:rsidRPr="00EF641B">
        <w:t>% (</w:t>
      </w:r>
      <w:r w:rsidRPr="00EF641B">
        <w:rPr>
          <w:i/>
        </w:rPr>
        <w:t xml:space="preserve">n = </w:t>
      </w:r>
      <w:r w:rsidRPr="00EF641B">
        <w:t>14</w:t>
      </w:r>
      <w:r w:rsidR="003235D9">
        <w:t>8</w:t>
      </w:r>
      <w:r w:rsidRPr="00EF641B">
        <w:t xml:space="preserve">) the offender was designated a DO, and in </w:t>
      </w:r>
      <w:r>
        <w:t>3.7</w:t>
      </w:r>
      <w:r w:rsidRPr="00EF641B">
        <w:t>% (</w:t>
      </w:r>
      <w:r w:rsidRPr="00EF641B">
        <w:rPr>
          <w:i/>
        </w:rPr>
        <w:t xml:space="preserve">n = </w:t>
      </w:r>
      <w:r w:rsidRPr="00EF641B">
        <w:t xml:space="preserve">8) the offender was given a regular sentence with no </w:t>
      </w:r>
      <w:r w:rsidR="00AD7D05">
        <w:t xml:space="preserve">DO or </w:t>
      </w:r>
      <w:r w:rsidRPr="00EF641B">
        <w:t xml:space="preserve">LTO </w:t>
      </w:r>
      <w:r w:rsidR="00AD7D05">
        <w:t>d</w:t>
      </w:r>
      <w:r w:rsidRPr="00EF641B">
        <w:t>esignation.</w:t>
      </w:r>
      <w:r>
        <w:t xml:space="preserve">  </w:t>
      </w:r>
    </w:p>
    <w:p w14:paraId="37B176FE" w14:textId="77777777" w:rsidR="00772C5B" w:rsidRDefault="00772C5B" w:rsidP="00772C5B">
      <w:pPr>
        <w:spacing w:line="480" w:lineRule="auto"/>
        <w:ind w:firstLine="720"/>
      </w:pPr>
      <w:r>
        <w:t>In most cases (7</w:t>
      </w:r>
      <w:r w:rsidR="00D7208D">
        <w:t>2.0</w:t>
      </w:r>
      <w:r>
        <w:t xml:space="preserve">%, </w:t>
      </w:r>
      <w:r>
        <w:rPr>
          <w:i/>
        </w:rPr>
        <w:t xml:space="preserve">n = </w:t>
      </w:r>
      <w:r>
        <w:t>15</w:t>
      </w:r>
      <w:r w:rsidR="00D7208D">
        <w:t>4</w:t>
      </w:r>
      <w:r>
        <w:t>), the evaluators opined that the offender was a high risk to reoffend. In 12.6% (</w:t>
      </w:r>
      <w:r>
        <w:rPr>
          <w:i/>
        </w:rPr>
        <w:t xml:space="preserve">n = </w:t>
      </w:r>
      <w:r>
        <w:t>27), evaluators opined that the offender was a moderate to high risk, in 6.1% (</w:t>
      </w:r>
      <w:r>
        <w:rPr>
          <w:i/>
        </w:rPr>
        <w:t xml:space="preserve">n = </w:t>
      </w:r>
      <w:r>
        <w:t>13) offenders were deemed to be moderate risk, and in &lt; 1% (</w:t>
      </w:r>
      <w:r>
        <w:rPr>
          <w:i/>
        </w:rPr>
        <w:t xml:space="preserve">n = </w:t>
      </w:r>
      <w:r>
        <w:t xml:space="preserve">1) they were identified as low risk. Half (50.5%, </w:t>
      </w:r>
      <w:r w:rsidRPr="002C57CA">
        <w:rPr>
          <w:i/>
        </w:rPr>
        <w:t>n</w:t>
      </w:r>
      <w:r>
        <w:t xml:space="preserve"> = 108) of the cases had more than one evaluator, and in 9</w:t>
      </w:r>
      <w:r w:rsidRPr="007407B0">
        <w:t>.3% (</w:t>
      </w:r>
      <w:r w:rsidRPr="007407B0">
        <w:rPr>
          <w:i/>
        </w:rPr>
        <w:t xml:space="preserve">n = </w:t>
      </w:r>
      <w:r w:rsidRPr="007407B0">
        <w:t>20) of</w:t>
      </w:r>
      <w:r>
        <w:t xml:space="preserve"> </w:t>
      </w:r>
      <w:r w:rsidR="009D007A">
        <w:t xml:space="preserve">these </w:t>
      </w:r>
      <w:r>
        <w:t>cases evaluators disagreed on whether the offender was a low, medium, or high risk to reoffend.</w:t>
      </w:r>
    </w:p>
    <w:p w14:paraId="2E2EB156" w14:textId="5E4A4185" w:rsidR="00772C5B" w:rsidRDefault="00772C5B" w:rsidP="00772C5B">
      <w:pPr>
        <w:spacing w:line="480" w:lineRule="auto"/>
        <w:ind w:firstLine="720"/>
      </w:pPr>
      <w:r>
        <w:t>In 45.8% (</w:t>
      </w:r>
      <w:r>
        <w:rPr>
          <w:i/>
        </w:rPr>
        <w:t xml:space="preserve">n = </w:t>
      </w:r>
      <w:r>
        <w:t>98) of cases, the method of conducting the VRA involved the use of both actuarial tools</w:t>
      </w:r>
      <w:r w:rsidR="00413655">
        <w:t xml:space="preserve"> and structured professional judgment tools</w:t>
      </w:r>
      <w:r>
        <w:t>, in 27.1% (</w:t>
      </w:r>
      <w:r>
        <w:rPr>
          <w:i/>
        </w:rPr>
        <w:t xml:space="preserve">n = </w:t>
      </w:r>
      <w:r>
        <w:t xml:space="preserve">58) only actuarial tools </w:t>
      </w:r>
      <w:r>
        <w:lastRenderedPageBreak/>
        <w:t>were used, in 17.3% (</w:t>
      </w:r>
      <w:r>
        <w:rPr>
          <w:i/>
        </w:rPr>
        <w:t xml:space="preserve">n = </w:t>
      </w:r>
      <w:r>
        <w:t xml:space="preserve">37) the method of </w:t>
      </w:r>
      <w:r w:rsidR="00AF21FC">
        <w:t>VRA</w:t>
      </w:r>
      <w:r>
        <w:t xml:space="preserve"> was not indicated, and in 9.8% (</w:t>
      </w:r>
      <w:r>
        <w:rPr>
          <w:i/>
        </w:rPr>
        <w:t xml:space="preserve">n = </w:t>
      </w:r>
      <w:r>
        <w:t xml:space="preserve">21) only structured professional judgment was used. </w:t>
      </w:r>
      <w:r w:rsidR="00AF21FC">
        <w:t>Cases were heard</w:t>
      </w:r>
      <w:r>
        <w:t xml:space="preserve"> across a range of provinces and territories in Canada but the frequency of cases in each area was comparable to the density of the populations in those areas</w:t>
      </w:r>
      <w:r w:rsidR="006635E2">
        <w:t xml:space="preserve"> except for Quebec where a small number of cases were included</w:t>
      </w:r>
      <w:r w:rsidR="00413655">
        <w:t>. It is likely the lower number</w:t>
      </w:r>
      <w:r w:rsidR="00ED1349">
        <w:t xml:space="preserve"> in Quebec</w:t>
      </w:r>
      <w:r w:rsidR="00413655">
        <w:t xml:space="preserve"> is a result of</w:t>
      </w:r>
      <w:r w:rsidR="006635E2">
        <w:t xml:space="preserve"> cases in French </w:t>
      </w:r>
      <w:r w:rsidR="00413655">
        <w:t xml:space="preserve">not being included </w:t>
      </w:r>
      <w:r w:rsidR="006635E2">
        <w:t>due to researcher constraints</w:t>
      </w:r>
      <w:r w:rsidR="00ED1349">
        <w:t xml:space="preserve"> as French is more commonly used in Quebec than the other proviences</w:t>
      </w:r>
      <w:r w:rsidR="004E0324">
        <w:t>.</w:t>
      </w:r>
      <w:r w:rsidR="006635E2" w:rsidRPr="004E0324">
        <w:rPr>
          <w:vertAlign w:val="superscript"/>
        </w:rPr>
        <w:t>6</w:t>
      </w:r>
      <w:r>
        <w:t xml:space="preserve"> </w:t>
      </w:r>
      <w:r w:rsidRPr="00814703">
        <w:t xml:space="preserve">Ontario was the setting for </w:t>
      </w:r>
      <w:r w:rsidRPr="003B6284">
        <w:t>36</w:t>
      </w:r>
      <w:r>
        <w:t>.4</w:t>
      </w:r>
      <w:r w:rsidRPr="003B6284">
        <w:t>% (</w:t>
      </w:r>
      <w:r w:rsidRPr="00BF1696">
        <w:rPr>
          <w:i/>
        </w:rPr>
        <w:t xml:space="preserve">n = </w:t>
      </w:r>
      <w:r w:rsidRPr="00BF1696">
        <w:t>78) of cases, 2</w:t>
      </w:r>
      <w:r>
        <w:t>1.9</w:t>
      </w:r>
      <w:r w:rsidRPr="00BF1696">
        <w:t>% (</w:t>
      </w:r>
      <w:r w:rsidRPr="00BF1696">
        <w:rPr>
          <w:i/>
        </w:rPr>
        <w:t xml:space="preserve">n = </w:t>
      </w:r>
      <w:r w:rsidRPr="00E37F93">
        <w:t>47) of cases were judged in Saskatchewan, 17</w:t>
      </w:r>
      <w:r>
        <w:t>.3</w:t>
      </w:r>
      <w:r w:rsidRPr="00E37F93">
        <w:t>% (</w:t>
      </w:r>
      <w:r w:rsidRPr="00E37F93">
        <w:rPr>
          <w:i/>
        </w:rPr>
        <w:t xml:space="preserve">n = </w:t>
      </w:r>
      <w:r w:rsidRPr="00E37F93">
        <w:t xml:space="preserve">37) in British Columbia, </w:t>
      </w:r>
      <w:r>
        <w:t>8.9</w:t>
      </w:r>
      <w:r w:rsidRPr="00E37F93">
        <w:t>% (</w:t>
      </w:r>
      <w:r w:rsidRPr="00E37F93">
        <w:rPr>
          <w:i/>
        </w:rPr>
        <w:t>n</w:t>
      </w:r>
      <w:r w:rsidRPr="00E37F93">
        <w:t xml:space="preserve"> = 19) in Alberta, </w:t>
      </w:r>
      <w:r>
        <w:t>6.5</w:t>
      </w:r>
      <w:r w:rsidRPr="00E37F93">
        <w:t>%</w:t>
      </w:r>
      <w:r>
        <w:t xml:space="preserve"> </w:t>
      </w:r>
      <w:r w:rsidRPr="003B6284">
        <w:t>(</w:t>
      </w:r>
      <w:r w:rsidRPr="00BF1696">
        <w:rPr>
          <w:i/>
        </w:rPr>
        <w:t xml:space="preserve">n = </w:t>
      </w:r>
      <w:r w:rsidRPr="00BF1696">
        <w:t>14) in Manitoba, 4</w:t>
      </w:r>
      <w:r>
        <w:t>.2</w:t>
      </w:r>
      <w:r w:rsidRPr="00BF1696">
        <w:t>% (</w:t>
      </w:r>
      <w:r w:rsidRPr="00BF1696">
        <w:rPr>
          <w:i/>
        </w:rPr>
        <w:t xml:space="preserve">n = </w:t>
      </w:r>
      <w:r w:rsidRPr="008A3099">
        <w:t xml:space="preserve">9) </w:t>
      </w:r>
      <w:r w:rsidRPr="00E37F93">
        <w:t>in Nova Scotia, 2</w:t>
      </w:r>
      <w:r>
        <w:t>.3</w:t>
      </w:r>
      <w:r w:rsidRPr="00E37F93">
        <w:t>% (</w:t>
      </w:r>
      <w:r w:rsidRPr="00E37F93">
        <w:rPr>
          <w:i/>
        </w:rPr>
        <w:t xml:space="preserve">n = </w:t>
      </w:r>
      <w:r w:rsidRPr="00E37F93">
        <w:t>5) in the Yukon Territories, 1</w:t>
      </w:r>
      <w:r>
        <w:t>.4</w:t>
      </w:r>
      <w:r w:rsidRPr="00E37F93">
        <w:t>% (</w:t>
      </w:r>
      <w:r w:rsidRPr="00E37F93">
        <w:rPr>
          <w:i/>
        </w:rPr>
        <w:t xml:space="preserve">n = </w:t>
      </w:r>
      <w:r w:rsidRPr="00E37F93">
        <w:t xml:space="preserve">3) in Quebec, and </w:t>
      </w:r>
      <w:r>
        <w:t>&lt; 1</w:t>
      </w:r>
      <w:r w:rsidRPr="00E37F93">
        <w:t>% (</w:t>
      </w:r>
      <w:r w:rsidRPr="00E37F93">
        <w:rPr>
          <w:i/>
        </w:rPr>
        <w:t xml:space="preserve">n = </w:t>
      </w:r>
      <w:r w:rsidRPr="00B535B2">
        <w:t>2) in the Northwest Territories.</w:t>
      </w:r>
      <w:r w:rsidR="009C14DA">
        <w:t xml:space="preserve"> </w:t>
      </w:r>
    </w:p>
    <w:p w14:paraId="505604FC" w14:textId="77777777" w:rsidR="00F96970" w:rsidRDefault="00F96970" w:rsidP="00772C5B">
      <w:pPr>
        <w:spacing w:line="480" w:lineRule="auto"/>
        <w:ind w:firstLine="720"/>
        <w:rPr>
          <w:color w:val="000000" w:themeColor="text1"/>
        </w:rPr>
      </w:pPr>
      <w:r w:rsidRPr="00E827FE">
        <w:rPr>
          <w:color w:val="000000" w:themeColor="text1"/>
        </w:rPr>
        <w:t>A total of 110 experts provided evidence. About half of the experts (</w:t>
      </w:r>
      <w:r w:rsidRPr="00E827FE">
        <w:rPr>
          <w:i/>
          <w:color w:val="000000" w:themeColor="text1"/>
        </w:rPr>
        <w:t>n</w:t>
      </w:r>
      <w:r w:rsidRPr="00E827FE">
        <w:rPr>
          <w:color w:val="000000" w:themeColor="text1"/>
        </w:rPr>
        <w:t xml:space="preserve"> = 53, 48</w:t>
      </w:r>
      <w:r w:rsidR="003235D9">
        <w:rPr>
          <w:color w:val="000000" w:themeColor="text1"/>
        </w:rPr>
        <w:t>.2</w:t>
      </w:r>
      <w:r w:rsidRPr="00E827FE">
        <w:rPr>
          <w:color w:val="000000" w:themeColor="text1"/>
        </w:rPr>
        <w:t xml:space="preserve">%) provided evidence multiple times, completing an average of </w:t>
      </w:r>
      <w:r w:rsidR="003F7C9A">
        <w:rPr>
          <w:color w:val="000000" w:themeColor="text1"/>
        </w:rPr>
        <w:t>seven</w:t>
      </w:r>
      <w:r w:rsidRPr="00E827FE">
        <w:rPr>
          <w:color w:val="000000" w:themeColor="text1"/>
        </w:rPr>
        <w:t xml:space="preserve"> </w:t>
      </w:r>
      <w:r w:rsidR="00AF21FC">
        <w:rPr>
          <w:color w:val="000000" w:themeColor="text1"/>
        </w:rPr>
        <w:t>VRAs</w:t>
      </w:r>
      <w:r w:rsidRPr="00E827FE">
        <w:rPr>
          <w:color w:val="000000" w:themeColor="text1"/>
        </w:rPr>
        <w:t xml:space="preserve"> (</w:t>
      </w:r>
      <w:r w:rsidRPr="00E827FE">
        <w:rPr>
          <w:i/>
          <w:color w:val="000000" w:themeColor="text1"/>
        </w:rPr>
        <w:t>SD</w:t>
      </w:r>
      <w:r w:rsidRPr="00E827FE">
        <w:rPr>
          <w:color w:val="000000" w:themeColor="text1"/>
        </w:rPr>
        <w:t xml:space="preserve"> = 6.50, range: 2-29</w:t>
      </w:r>
      <w:r>
        <w:rPr>
          <w:color w:val="000000" w:themeColor="text1"/>
        </w:rPr>
        <w:t>)</w:t>
      </w:r>
      <w:r w:rsidR="00AF21FC">
        <w:rPr>
          <w:color w:val="000000" w:themeColor="text1"/>
        </w:rPr>
        <w:t>.</w:t>
      </w:r>
      <w:r>
        <w:rPr>
          <w:color w:val="000000" w:themeColor="text1"/>
        </w:rPr>
        <w:t xml:space="preserve"> </w:t>
      </w:r>
      <w:r w:rsidR="00AF21FC">
        <w:rPr>
          <w:color w:val="000000" w:themeColor="text1"/>
        </w:rPr>
        <w:t>Most e</w:t>
      </w:r>
      <w:r>
        <w:rPr>
          <w:color w:val="000000" w:themeColor="text1"/>
        </w:rPr>
        <w:t xml:space="preserve">xperts </w:t>
      </w:r>
      <w:r w:rsidRPr="00E827FE">
        <w:rPr>
          <w:color w:val="000000" w:themeColor="text1"/>
        </w:rPr>
        <w:t xml:space="preserve">completing </w:t>
      </w:r>
      <w:r w:rsidR="00AF21FC">
        <w:rPr>
          <w:color w:val="000000" w:themeColor="text1"/>
        </w:rPr>
        <w:t xml:space="preserve">multiple VRAs </w:t>
      </w:r>
      <w:r w:rsidRPr="00E827FE">
        <w:rPr>
          <w:color w:val="000000" w:themeColor="text1"/>
        </w:rPr>
        <w:t>did so in two (</w:t>
      </w:r>
      <w:r w:rsidRPr="00E827FE">
        <w:rPr>
          <w:i/>
          <w:color w:val="000000" w:themeColor="text1"/>
        </w:rPr>
        <w:t>n</w:t>
      </w:r>
      <w:r w:rsidRPr="00E827FE">
        <w:rPr>
          <w:color w:val="000000" w:themeColor="text1"/>
        </w:rPr>
        <w:t xml:space="preserve"> = 19, 36%) or three cases (</w:t>
      </w:r>
      <w:r w:rsidRPr="00E827FE">
        <w:rPr>
          <w:i/>
          <w:color w:val="000000" w:themeColor="text1"/>
        </w:rPr>
        <w:t>n</w:t>
      </w:r>
      <w:r w:rsidRPr="00E827FE">
        <w:rPr>
          <w:color w:val="000000" w:themeColor="text1"/>
        </w:rPr>
        <w:t xml:space="preserve"> = 12, 23%), with the remainder providing evidence in 4 to 29 cases.</w:t>
      </w:r>
      <w:r>
        <w:rPr>
          <w:color w:val="000000" w:themeColor="text1"/>
        </w:rPr>
        <w:t xml:space="preserve"> Evidence was provided on 356 </w:t>
      </w:r>
      <w:r w:rsidR="003F6E48">
        <w:rPr>
          <w:color w:val="000000" w:themeColor="text1"/>
        </w:rPr>
        <w:t>occasions</w:t>
      </w:r>
      <w:r>
        <w:rPr>
          <w:color w:val="000000" w:themeColor="text1"/>
        </w:rPr>
        <w:t xml:space="preserve">. </w:t>
      </w:r>
      <w:r w:rsidR="003F6E48">
        <w:rPr>
          <w:color w:val="000000" w:themeColor="text1"/>
        </w:rPr>
        <w:t xml:space="preserve">Evidence was mostly provided by psychiatrists </w:t>
      </w:r>
      <w:r w:rsidR="003F6E48" w:rsidRPr="00E827FE">
        <w:rPr>
          <w:color w:val="000000" w:themeColor="text1"/>
        </w:rPr>
        <w:t>(</w:t>
      </w:r>
      <w:r w:rsidR="003F6E48" w:rsidRPr="00E827FE">
        <w:rPr>
          <w:i/>
          <w:color w:val="000000" w:themeColor="text1"/>
        </w:rPr>
        <w:t>n</w:t>
      </w:r>
      <w:r w:rsidR="003F6E48">
        <w:rPr>
          <w:color w:val="000000" w:themeColor="text1"/>
        </w:rPr>
        <w:t xml:space="preserve"> = 212, 60</w:t>
      </w:r>
      <w:r w:rsidR="003F6E48" w:rsidRPr="00E827FE">
        <w:rPr>
          <w:color w:val="000000" w:themeColor="text1"/>
        </w:rPr>
        <w:t>%)</w:t>
      </w:r>
      <w:r w:rsidR="003F6E48">
        <w:rPr>
          <w:color w:val="000000" w:themeColor="text1"/>
        </w:rPr>
        <w:t xml:space="preserve"> or psychologists </w:t>
      </w:r>
      <w:r w:rsidR="003F6E48" w:rsidRPr="00E827FE">
        <w:rPr>
          <w:color w:val="000000" w:themeColor="text1"/>
        </w:rPr>
        <w:t>(</w:t>
      </w:r>
      <w:r w:rsidR="003F6E48" w:rsidRPr="00E827FE">
        <w:rPr>
          <w:i/>
          <w:color w:val="000000" w:themeColor="text1"/>
        </w:rPr>
        <w:t>n</w:t>
      </w:r>
      <w:r w:rsidR="003F6E48">
        <w:rPr>
          <w:color w:val="000000" w:themeColor="text1"/>
        </w:rPr>
        <w:t xml:space="preserve"> = 105, 29</w:t>
      </w:r>
      <w:r w:rsidR="003F6E48" w:rsidRPr="00E827FE">
        <w:rPr>
          <w:color w:val="000000" w:themeColor="text1"/>
        </w:rPr>
        <w:t>%)</w:t>
      </w:r>
      <w:r w:rsidR="004E0324">
        <w:rPr>
          <w:color w:val="000000" w:themeColor="text1"/>
        </w:rPr>
        <w:t>;</w:t>
      </w:r>
      <w:r w:rsidR="008F283A">
        <w:rPr>
          <w:color w:val="000000" w:themeColor="text1"/>
        </w:rPr>
        <w:t xml:space="preserve"> </w:t>
      </w:r>
      <w:r w:rsidR="003F6E48">
        <w:rPr>
          <w:color w:val="000000" w:themeColor="text1"/>
        </w:rPr>
        <w:t xml:space="preserve">the professional was unspecified in the remaining cases </w:t>
      </w:r>
      <w:r w:rsidR="003F6E48" w:rsidRPr="00E827FE">
        <w:rPr>
          <w:color w:val="000000" w:themeColor="text1"/>
        </w:rPr>
        <w:t>(</w:t>
      </w:r>
      <w:r w:rsidR="003F6E48" w:rsidRPr="00E827FE">
        <w:rPr>
          <w:i/>
          <w:color w:val="000000" w:themeColor="text1"/>
        </w:rPr>
        <w:t>n</w:t>
      </w:r>
      <w:r w:rsidR="003F6E48">
        <w:rPr>
          <w:color w:val="000000" w:themeColor="text1"/>
        </w:rPr>
        <w:t xml:space="preserve"> = 39, 11</w:t>
      </w:r>
      <w:r w:rsidR="003F6E48" w:rsidRPr="00E827FE">
        <w:rPr>
          <w:color w:val="000000" w:themeColor="text1"/>
        </w:rPr>
        <w:t>%)</w:t>
      </w:r>
      <w:r w:rsidR="003F6E48">
        <w:rPr>
          <w:color w:val="000000" w:themeColor="text1"/>
        </w:rPr>
        <w:t xml:space="preserve">. </w:t>
      </w:r>
    </w:p>
    <w:p w14:paraId="0F0A2219" w14:textId="2CD022E3" w:rsidR="003F6E48" w:rsidRPr="003F6E48" w:rsidRDefault="003F6E48" w:rsidP="003F6E48">
      <w:pPr>
        <w:spacing w:line="480" w:lineRule="auto"/>
        <w:ind w:firstLine="720"/>
        <w:rPr>
          <w:color w:val="000000" w:themeColor="text1"/>
        </w:rPr>
      </w:pPr>
      <w:r>
        <w:rPr>
          <w:color w:val="000000" w:themeColor="text1"/>
        </w:rPr>
        <w:t>A total of 175 judges provided judgments in the cases</w:t>
      </w:r>
      <w:r w:rsidR="00BB444B">
        <w:rPr>
          <w:color w:val="000000" w:themeColor="text1"/>
        </w:rPr>
        <w:t xml:space="preserve"> examined</w:t>
      </w:r>
      <w:r w:rsidR="00ED625B">
        <w:rPr>
          <w:color w:val="000000" w:themeColor="text1"/>
        </w:rPr>
        <w:t>;</w:t>
      </w:r>
      <w:r>
        <w:rPr>
          <w:color w:val="000000" w:themeColor="text1"/>
        </w:rPr>
        <w:t xml:space="preserve"> </w:t>
      </w:r>
      <w:r w:rsidRPr="00E827FE">
        <w:rPr>
          <w:color w:val="000000" w:themeColor="text1"/>
        </w:rPr>
        <w:t>most (</w:t>
      </w:r>
      <w:r w:rsidRPr="00E827FE">
        <w:rPr>
          <w:i/>
          <w:color w:val="000000" w:themeColor="text1"/>
        </w:rPr>
        <w:t>n</w:t>
      </w:r>
      <w:r w:rsidRPr="00E827FE">
        <w:rPr>
          <w:color w:val="000000" w:themeColor="text1"/>
        </w:rPr>
        <w:t xml:space="preserve"> = 144; 67</w:t>
      </w:r>
      <w:r w:rsidR="00BB444B">
        <w:rPr>
          <w:color w:val="000000" w:themeColor="text1"/>
        </w:rPr>
        <w:t>.3</w:t>
      </w:r>
      <w:r w:rsidRPr="00E827FE">
        <w:rPr>
          <w:color w:val="000000" w:themeColor="text1"/>
        </w:rPr>
        <w:t>%) only provided a judicial opinion in one case.</w:t>
      </w:r>
      <w:r>
        <w:rPr>
          <w:color w:val="000000" w:themeColor="text1"/>
        </w:rPr>
        <w:t xml:space="preserve"> When more than one judgment </w:t>
      </w:r>
      <w:r w:rsidR="00BB444B">
        <w:rPr>
          <w:color w:val="000000" w:themeColor="text1"/>
        </w:rPr>
        <w:t xml:space="preserve">in the sample </w:t>
      </w:r>
      <w:r>
        <w:rPr>
          <w:color w:val="000000" w:themeColor="text1"/>
        </w:rPr>
        <w:t>was completed</w:t>
      </w:r>
      <w:r w:rsidR="00BB444B">
        <w:rPr>
          <w:color w:val="000000" w:themeColor="text1"/>
        </w:rPr>
        <w:t xml:space="preserve"> by the same judge</w:t>
      </w:r>
      <w:r>
        <w:rPr>
          <w:color w:val="000000" w:themeColor="text1"/>
        </w:rPr>
        <w:t xml:space="preserve">, the average number of opinions provided was </w:t>
      </w:r>
      <w:r w:rsidRPr="00E827FE">
        <w:rPr>
          <w:color w:val="000000" w:themeColor="text1"/>
        </w:rPr>
        <w:t>2.32 (</w:t>
      </w:r>
      <w:r w:rsidRPr="00E827FE">
        <w:rPr>
          <w:i/>
          <w:color w:val="000000" w:themeColor="text1"/>
        </w:rPr>
        <w:t>SD</w:t>
      </w:r>
      <w:r w:rsidRPr="00E827FE">
        <w:rPr>
          <w:color w:val="000000" w:themeColor="text1"/>
        </w:rPr>
        <w:t xml:space="preserve"> = 0.54; mode = 2), with a range </w:t>
      </w:r>
      <w:r w:rsidR="00BB444B">
        <w:rPr>
          <w:color w:val="000000" w:themeColor="text1"/>
        </w:rPr>
        <w:t>of</w:t>
      </w:r>
      <w:r w:rsidRPr="00E827FE">
        <w:rPr>
          <w:color w:val="000000" w:themeColor="text1"/>
        </w:rPr>
        <w:t xml:space="preserve"> 2 to 4 opinions (22 judges provided 2 opinions, 8 judges provided 3 opinions, and 1 judge provided 4 opinions). </w:t>
      </w:r>
    </w:p>
    <w:p w14:paraId="12CAD7CD" w14:textId="77777777" w:rsidR="0050232E" w:rsidRPr="00077DC9" w:rsidRDefault="0050232E" w:rsidP="00EA3C36">
      <w:pPr>
        <w:spacing w:line="480" w:lineRule="auto"/>
        <w:outlineLvl w:val="0"/>
        <w:rPr>
          <w:b/>
        </w:rPr>
      </w:pPr>
      <w:r w:rsidRPr="00077DC9">
        <w:rPr>
          <w:b/>
        </w:rPr>
        <w:t>Data Analysis</w:t>
      </w:r>
    </w:p>
    <w:p w14:paraId="0AC5883A" w14:textId="77777777" w:rsidR="00B0539C" w:rsidRPr="00F97059" w:rsidRDefault="006B21C1" w:rsidP="00F97059">
      <w:pPr>
        <w:spacing w:line="480" w:lineRule="auto"/>
        <w:ind w:firstLine="720"/>
      </w:pPr>
      <w:r>
        <w:lastRenderedPageBreak/>
        <w:t xml:space="preserve">Analyses were completed using SPSS Version 24. </w:t>
      </w:r>
      <w:r w:rsidR="008A69ED">
        <w:t xml:space="preserve">First, </w:t>
      </w:r>
      <w:r w:rsidR="00EF0CAD">
        <w:t xml:space="preserve">the </w:t>
      </w:r>
      <w:r w:rsidR="000B744A">
        <w:t xml:space="preserve">number of times judges commented on culture </w:t>
      </w:r>
      <w:r w:rsidR="009C14DA">
        <w:t xml:space="preserve">or </w:t>
      </w:r>
      <w:r w:rsidR="000B744A">
        <w:t>ethnicity in Indigenous cases</w:t>
      </w:r>
      <w:r w:rsidR="000773EC">
        <w:t xml:space="preserve"> was analyzed</w:t>
      </w:r>
      <w:r w:rsidR="00F97059">
        <w:t xml:space="preserve"> and comments were separated into the superficial and meaningful categories</w:t>
      </w:r>
      <w:r w:rsidR="00EF0CAD">
        <w:t xml:space="preserve">. </w:t>
      </w:r>
      <w:r w:rsidR="00925D72">
        <w:t xml:space="preserve">Next, qualitative analyses were conducted using </w:t>
      </w:r>
      <w:r w:rsidR="00D12956">
        <w:t>conventional</w:t>
      </w:r>
      <w:r w:rsidR="00925D72">
        <w:t xml:space="preserve"> content analysis to examine themes </w:t>
      </w:r>
      <w:r w:rsidR="00CE0011">
        <w:t xml:space="preserve">among the </w:t>
      </w:r>
      <w:r w:rsidR="00925D72">
        <w:t xml:space="preserve">judicial comments </w:t>
      </w:r>
      <w:r w:rsidR="00CE0011">
        <w:t xml:space="preserve">that </w:t>
      </w:r>
      <w:r w:rsidR="00EC1885">
        <w:t>referenced</w:t>
      </w:r>
      <w:r w:rsidR="00925D72">
        <w:t xml:space="preserve"> culture. </w:t>
      </w:r>
      <w:r w:rsidR="00EF1AB2">
        <w:t>Conventional content analysis is a qualitative method of analytics</w:t>
      </w:r>
      <w:r w:rsidR="00EF0CAD">
        <w:t xml:space="preserve"> used</w:t>
      </w:r>
      <w:r w:rsidR="00EF1AB2">
        <w:t xml:space="preserve"> where no prior research has been conducted (Hsieh &amp; Shannon, 2005). This is in contrast with directed content analysis which is applied when there has been research</w:t>
      </w:r>
      <w:r w:rsidR="00EF0CAD">
        <w:t xml:space="preserve"> conducted</w:t>
      </w:r>
      <w:r w:rsidR="00EF1AB2">
        <w:t xml:space="preserve"> on a phenomenon, and therefore the researcher is informed </w:t>
      </w:r>
      <w:r w:rsidR="00EF0CAD">
        <w:t>regarding</w:t>
      </w:r>
      <w:r w:rsidR="00EF1AB2">
        <w:t xml:space="preserve"> what themes they should be searching for among their data </w:t>
      </w:r>
      <w:r w:rsidR="008054BA">
        <w:t xml:space="preserve">or </w:t>
      </w:r>
      <w:r w:rsidR="008054BA" w:rsidRPr="00F5252F">
        <w:t>summa</w:t>
      </w:r>
      <w:r w:rsidR="008054BA" w:rsidRPr="00B26CD1">
        <w:t>tive content analysis</w:t>
      </w:r>
      <w:r w:rsidR="008054BA">
        <w:t xml:space="preserve"> where one identifies certain </w:t>
      </w:r>
      <w:r w:rsidR="00EF0CAD">
        <w:t xml:space="preserve">predetermined </w:t>
      </w:r>
      <w:r w:rsidR="008054BA">
        <w:t xml:space="preserve">words or ideas </w:t>
      </w:r>
      <w:r w:rsidR="00EB6E93">
        <w:t>to</w:t>
      </w:r>
      <w:r w:rsidR="008054BA">
        <w:t xml:space="preserve"> understand their contextual usage </w:t>
      </w:r>
      <w:r w:rsidR="00EF1AB2">
        <w:t>(Hsieh &amp; Shannon, 2005).</w:t>
      </w:r>
      <w:r w:rsidR="00A324D1">
        <w:t xml:space="preserve"> </w:t>
      </w:r>
      <w:r w:rsidR="00A52B32">
        <w:t>In contrast, d</w:t>
      </w:r>
      <w:r w:rsidR="006567C1">
        <w:t>irected content analysis was used</w:t>
      </w:r>
      <w:r w:rsidR="00996062">
        <w:t xml:space="preserve">, given the previous research conducted by </w:t>
      </w:r>
      <w:proofErr w:type="spellStart"/>
      <w:r w:rsidR="00996062">
        <w:t>Storey</w:t>
      </w:r>
      <w:proofErr w:type="spellEnd"/>
      <w:r w:rsidR="00996062">
        <w:t xml:space="preserve"> et al. (2013),</w:t>
      </w:r>
      <w:r w:rsidR="006567C1">
        <w:t xml:space="preserve"> </w:t>
      </w:r>
      <w:r w:rsidR="00996062">
        <w:t xml:space="preserve">to count pre-established subthemes </w:t>
      </w:r>
      <w:r w:rsidR="00942E6C">
        <w:t>within</w:t>
      </w:r>
      <w:r w:rsidR="00EB6E93">
        <w:t xml:space="preserve"> </w:t>
      </w:r>
      <w:r w:rsidR="00A324D1" w:rsidRPr="00E827FE">
        <w:rPr>
          <w:color w:val="000000" w:themeColor="text1"/>
        </w:rPr>
        <w:t>the a</w:t>
      </w:r>
      <w:r w:rsidR="00410969">
        <w:rPr>
          <w:color w:val="000000" w:themeColor="text1"/>
        </w:rPr>
        <w:t xml:space="preserve"> </w:t>
      </w:r>
      <w:r w:rsidR="00A324D1" w:rsidRPr="00E827FE">
        <w:rPr>
          <w:color w:val="000000" w:themeColor="text1"/>
        </w:rPr>
        <w:t>priori categories described above of judicial comments regarding</w:t>
      </w:r>
      <w:r w:rsidR="00675117">
        <w:rPr>
          <w:color w:val="000000" w:themeColor="text1"/>
        </w:rPr>
        <w:t>:</w:t>
      </w:r>
      <w:r w:rsidR="00A324D1" w:rsidRPr="00E827FE">
        <w:rPr>
          <w:color w:val="000000" w:themeColor="text1"/>
        </w:rPr>
        <w:t xml:space="preserve"> (1) the qualities of </w:t>
      </w:r>
      <w:r w:rsidR="0081014B">
        <w:rPr>
          <w:color w:val="000000" w:themeColor="text1"/>
        </w:rPr>
        <w:t xml:space="preserve">the </w:t>
      </w:r>
      <w:r w:rsidR="00A324D1" w:rsidRPr="00E827FE">
        <w:rPr>
          <w:color w:val="000000" w:themeColor="text1"/>
        </w:rPr>
        <w:t>evaluator</w:t>
      </w:r>
      <w:r w:rsidR="0081014B">
        <w:rPr>
          <w:color w:val="000000" w:themeColor="text1"/>
        </w:rPr>
        <w:t>s</w:t>
      </w:r>
      <w:r w:rsidR="00A324D1" w:rsidRPr="00E827FE">
        <w:rPr>
          <w:color w:val="000000" w:themeColor="text1"/>
        </w:rPr>
        <w:t xml:space="preserve"> who conducted the VRA, (2) the qualities of the VRA(s) completed,</w:t>
      </w:r>
      <w:r w:rsidR="00675117">
        <w:rPr>
          <w:color w:val="000000" w:themeColor="text1"/>
        </w:rPr>
        <w:t xml:space="preserve"> and</w:t>
      </w:r>
      <w:r w:rsidR="00A324D1" w:rsidRPr="00E827FE">
        <w:rPr>
          <w:color w:val="000000" w:themeColor="text1"/>
        </w:rPr>
        <w:t xml:space="preserve"> (3) </w:t>
      </w:r>
      <w:r w:rsidR="00675117">
        <w:rPr>
          <w:color w:val="000000" w:themeColor="text1"/>
        </w:rPr>
        <w:t>the</w:t>
      </w:r>
      <w:r w:rsidR="00A324D1" w:rsidRPr="00E827FE">
        <w:rPr>
          <w:color w:val="000000" w:themeColor="text1"/>
        </w:rPr>
        <w:t xml:space="preserve"> qualities of the evaluators</w:t>
      </w:r>
      <w:r w:rsidR="0081014B">
        <w:rPr>
          <w:color w:val="000000" w:themeColor="text1"/>
        </w:rPr>
        <w:t>’</w:t>
      </w:r>
      <w:r w:rsidR="00A324D1" w:rsidRPr="00E827FE">
        <w:rPr>
          <w:color w:val="000000" w:themeColor="text1"/>
        </w:rPr>
        <w:t xml:space="preserve"> expert witness testimony about the VRA.</w:t>
      </w:r>
    </w:p>
    <w:p w14:paraId="5707C7C0" w14:textId="77777777" w:rsidR="00B4323D" w:rsidRDefault="00925D72" w:rsidP="00A324D1">
      <w:pPr>
        <w:spacing w:line="480" w:lineRule="auto"/>
        <w:ind w:firstLine="720"/>
        <w:rPr>
          <w:b/>
        </w:rPr>
      </w:pPr>
      <w:r>
        <w:t>Last, the frequency</w:t>
      </w:r>
      <w:r w:rsidR="006F53BE">
        <w:t xml:space="preserve"> of the previously</w:t>
      </w:r>
      <w:r>
        <w:t xml:space="preserve"> </w:t>
      </w:r>
      <w:r w:rsidR="008054BA">
        <w:t xml:space="preserve">identified </w:t>
      </w:r>
      <w:r w:rsidR="00B8673C">
        <w:t xml:space="preserve">three categories of judicial comments </w:t>
      </w:r>
      <w:r w:rsidR="00333A79">
        <w:t xml:space="preserve">and their sub-categories </w:t>
      </w:r>
      <w:r w:rsidR="000773EC">
        <w:t>w</w:t>
      </w:r>
      <w:r w:rsidR="00333A79">
        <w:t>ere</w:t>
      </w:r>
      <w:r w:rsidR="000773EC">
        <w:t xml:space="preserve"> compared</w:t>
      </w:r>
      <w:r w:rsidR="006F53BE">
        <w:t xml:space="preserve"> </w:t>
      </w:r>
      <w:r w:rsidR="00D12956">
        <w:t xml:space="preserve">to determine if factors </w:t>
      </w:r>
      <w:r w:rsidR="00C67134">
        <w:t>unrelated</w:t>
      </w:r>
      <w:r w:rsidR="00A1750E">
        <w:t xml:space="preserve"> </w:t>
      </w:r>
      <w:r w:rsidR="00EF1AB2">
        <w:t xml:space="preserve">to </w:t>
      </w:r>
      <w:r w:rsidR="008054BA">
        <w:t>culture</w:t>
      </w:r>
      <w:r w:rsidR="00D12956">
        <w:t xml:space="preserve"> occurred with comparable frequency for Indigenous and non-Indigenous </w:t>
      </w:r>
      <w:r w:rsidR="00C67134">
        <w:t>offenders</w:t>
      </w:r>
      <w:r w:rsidR="00D12956">
        <w:t xml:space="preserve">. </w:t>
      </w:r>
      <w:r w:rsidR="003D79A2">
        <w:t xml:space="preserve">The frequency of themes for these three categories was also compared using a test of two proportions. </w:t>
      </w:r>
      <w:r w:rsidR="00CD453B">
        <w:t xml:space="preserve">Additionally, the overall </w:t>
      </w:r>
      <w:r w:rsidR="00F3426B">
        <w:t>number</w:t>
      </w:r>
      <w:r w:rsidR="00CD453B">
        <w:t xml:space="preserve"> of VRA tool</w:t>
      </w:r>
      <w:r w:rsidR="00F3426B">
        <w:t>s</w:t>
      </w:r>
      <w:r w:rsidR="00CD453B">
        <w:t xml:space="preserve"> use</w:t>
      </w:r>
      <w:r w:rsidR="00F3426B">
        <w:t xml:space="preserve">d </w:t>
      </w:r>
      <w:r w:rsidR="00CD453B">
        <w:t>with Indigenous and non-Indigenous defendants was compar</w:t>
      </w:r>
      <w:r w:rsidR="00B62F4F">
        <w:t>ed</w:t>
      </w:r>
      <w:r w:rsidR="00CD453B">
        <w:t xml:space="preserve"> using an independent samples t-test and </w:t>
      </w:r>
      <w:r w:rsidR="00F3426B">
        <w:t xml:space="preserve">the frequency of use of each tool </w:t>
      </w:r>
      <w:r w:rsidR="00B62F4F">
        <w:t>within</w:t>
      </w:r>
      <w:r w:rsidR="00F3426B">
        <w:t xml:space="preserve"> the same samples was</w:t>
      </w:r>
      <w:r w:rsidR="0047601B">
        <w:t xml:space="preserve"> analyzed with a test of two proportions. </w:t>
      </w:r>
    </w:p>
    <w:p w14:paraId="6086F0CE" w14:textId="77777777" w:rsidR="00467518" w:rsidRPr="001127AD" w:rsidRDefault="00983B70" w:rsidP="00EA3C36">
      <w:pPr>
        <w:spacing w:line="480" w:lineRule="auto"/>
        <w:jc w:val="center"/>
        <w:outlineLvl w:val="0"/>
      </w:pPr>
      <w:r>
        <w:rPr>
          <w:b/>
        </w:rPr>
        <w:t>Results</w:t>
      </w:r>
    </w:p>
    <w:p w14:paraId="33D109CB" w14:textId="59A34DA7" w:rsidR="00772C5B" w:rsidRDefault="00772C5B" w:rsidP="00772C5B">
      <w:pPr>
        <w:spacing w:line="480" w:lineRule="auto"/>
        <w:ind w:firstLine="720"/>
      </w:pPr>
      <w:r>
        <w:lastRenderedPageBreak/>
        <w:t>As depicte</w:t>
      </w:r>
      <w:r w:rsidRPr="00011FC5">
        <w:t>d in Figure 1</w:t>
      </w:r>
      <w:r>
        <w:t>, themes relating to culture were identified in 9</w:t>
      </w:r>
      <w:r w:rsidR="00C33E42">
        <w:t>3</w:t>
      </w:r>
      <w:r>
        <w:t xml:space="preserve"> (4</w:t>
      </w:r>
      <w:r w:rsidR="00B8673C">
        <w:t>3.</w:t>
      </w:r>
      <w:r w:rsidR="000E3AF1">
        <w:t>5</w:t>
      </w:r>
      <w:r>
        <w:t xml:space="preserve">%) judicial decisions.  </w:t>
      </w:r>
      <w:r w:rsidRPr="00CD62F0">
        <w:t>Most</w:t>
      </w:r>
      <w:r>
        <w:t xml:space="preserve"> of the 9</w:t>
      </w:r>
      <w:r w:rsidR="000E3AF1">
        <w:t>3</w:t>
      </w:r>
      <w:r>
        <w:t xml:space="preserve"> cases involved offenders ethnically identified as Indigenous (</w:t>
      </w:r>
      <w:r>
        <w:rPr>
          <w:i/>
        </w:rPr>
        <w:t>n</w:t>
      </w:r>
      <w:r>
        <w:t xml:space="preserve"> = 84, </w:t>
      </w:r>
      <w:r w:rsidR="00301B96">
        <w:t>90.3</w:t>
      </w:r>
      <w:r>
        <w:t xml:space="preserve">% of cases </w:t>
      </w:r>
      <w:r w:rsidR="00D5584A">
        <w:t>where ethnicity was</w:t>
      </w:r>
      <w:r>
        <w:t xml:space="preserve"> identified)</w:t>
      </w:r>
      <w:r w:rsidR="00C10899">
        <w:t xml:space="preserve"> and no cases with culture </w:t>
      </w:r>
      <w:r w:rsidR="003703EA">
        <w:t xml:space="preserve">identified </w:t>
      </w:r>
      <w:r w:rsidR="00CD5510">
        <w:t>involved a White defendant</w:t>
      </w:r>
      <w:r w:rsidRPr="001E1DAE">
        <w:t>.</w:t>
      </w:r>
      <w:r>
        <w:t xml:space="preserve"> While </w:t>
      </w:r>
      <w:r w:rsidR="00B8673C">
        <w:t xml:space="preserve">ethnicity or </w:t>
      </w:r>
      <w:proofErr w:type="spellStart"/>
      <w:r w:rsidR="00B8673C">
        <w:t>Gladue</w:t>
      </w:r>
      <w:proofErr w:type="spellEnd"/>
      <w:r w:rsidR="00B8673C">
        <w:t xml:space="preserve"> factors were</w:t>
      </w:r>
      <w:r>
        <w:t xml:space="preserve"> mentioned in all 84 cases with an Indigenous defendant, in 3</w:t>
      </w:r>
      <w:r w:rsidR="00C97CCB">
        <w:t>0</w:t>
      </w:r>
      <w:r>
        <w:t xml:space="preserve"> (3</w:t>
      </w:r>
      <w:r w:rsidR="00C97CCB">
        <w:t>5</w:t>
      </w:r>
      <w:r w:rsidR="00B8673C">
        <w:t>.</w:t>
      </w:r>
      <w:r w:rsidR="00C97CCB">
        <w:t>7</w:t>
      </w:r>
      <w:r>
        <w:t>%) of those cases, the judge commented on the defendant’s culture in a superficial manner</w:t>
      </w:r>
      <w:r w:rsidR="00B8673C">
        <w:t xml:space="preserve"> (e.g., merely stating the defendant was Indigenous or that </w:t>
      </w:r>
      <w:proofErr w:type="spellStart"/>
      <w:r w:rsidR="00B8673C">
        <w:t>Gladue</w:t>
      </w:r>
      <w:proofErr w:type="spellEnd"/>
      <w:r w:rsidR="00B8673C">
        <w:t xml:space="preserve"> factors should be attended to)</w:t>
      </w:r>
      <w:r>
        <w:t xml:space="preserve">. In </w:t>
      </w:r>
      <w:r w:rsidR="00BC1D77">
        <w:t xml:space="preserve">the remaining </w:t>
      </w:r>
      <w:r>
        <w:t>54 (64</w:t>
      </w:r>
      <w:r w:rsidR="00B8673C">
        <w:t>.3</w:t>
      </w:r>
      <w:r>
        <w:t xml:space="preserve">%) of the 84 cases, the judge commented on culture in a meaningful way by discussing </w:t>
      </w:r>
      <w:r w:rsidR="006B433A">
        <w:t xml:space="preserve">(1) </w:t>
      </w:r>
      <w:r>
        <w:t xml:space="preserve">risk factors appearing more prevalently in Indigenous culture </w:t>
      </w:r>
      <w:r w:rsidRPr="0017063D">
        <w:t>either</w:t>
      </w:r>
      <w:r>
        <w:t xml:space="preserve"> generally, where the judge merely acknowledged the impact of risk factors, or specifically, where they explained what the risk factors were</w:t>
      </w:r>
      <w:r w:rsidR="00D5584A">
        <w:t xml:space="preserve">; (2) </w:t>
      </w:r>
      <w:r>
        <w:t xml:space="preserve">the </w:t>
      </w:r>
      <w:r w:rsidRPr="00AF312C">
        <w:t>applicability of DO/LTO sente</w:t>
      </w:r>
      <w:r>
        <w:t>ncing or VRA generally to Indigenous peoples</w:t>
      </w:r>
      <w:r w:rsidR="00D5584A">
        <w:t>,</w:t>
      </w:r>
      <w:r>
        <w:t xml:space="preserve"> or</w:t>
      </w:r>
      <w:r w:rsidR="00D5584A">
        <w:t xml:space="preserve"> (3) </w:t>
      </w:r>
      <w:r>
        <w:t xml:space="preserve">the impact of racism on the defendant’s life. </w:t>
      </w:r>
      <w:r w:rsidR="00870AAB">
        <w:t>W</w:t>
      </w:r>
      <w:r w:rsidR="000C0D39">
        <w:t xml:space="preserve">hen </w:t>
      </w:r>
      <w:r w:rsidR="009C14DA">
        <w:t xml:space="preserve">superficial or meaningful mentions of </w:t>
      </w:r>
      <w:r w:rsidR="000C0D39">
        <w:t xml:space="preserve">culture </w:t>
      </w:r>
      <w:r w:rsidR="009C14DA">
        <w:t>were</w:t>
      </w:r>
      <w:r w:rsidR="000C0D39">
        <w:t xml:space="preserve"> discussed in Indigenous cases, </w:t>
      </w:r>
      <w:r w:rsidR="007F0DAB">
        <w:t xml:space="preserve">these cases were </w:t>
      </w:r>
      <w:r w:rsidR="009C14DA">
        <w:t>equally as</w:t>
      </w:r>
      <w:r w:rsidR="007F0DAB">
        <w:t xml:space="preserve"> likely to result in a DO</w:t>
      </w:r>
      <w:r w:rsidR="009C14DA">
        <w:t>,</w:t>
      </w:r>
      <w:r w:rsidR="007F0DAB">
        <w:t xml:space="preserve"> LTO</w:t>
      </w:r>
      <w:r w:rsidR="009C14DA">
        <w:t>, or regular sentence</w:t>
      </w:r>
      <w:r w:rsidR="007F0DAB">
        <w:t xml:space="preserve"> finding (</w:t>
      </w:r>
      <w:r w:rsidR="00851010">
        <w:t>χ²</w:t>
      </w:r>
      <w:r w:rsidR="00AA070E">
        <w:t xml:space="preserve"> = 5.28, </w:t>
      </w:r>
      <w:r w:rsidR="00AA070E" w:rsidRPr="009C14DA">
        <w:rPr>
          <w:i/>
          <w:iCs/>
        </w:rPr>
        <w:t>p</w:t>
      </w:r>
      <w:r w:rsidR="00AA070E">
        <w:t xml:space="preserve"> &gt; .05). </w:t>
      </w:r>
      <w:r w:rsidR="001E5024">
        <w:t xml:space="preserve">However, Indigenous defendants were significantly more likely to be deemed high risk of reoffending by experts </w:t>
      </w:r>
      <w:r w:rsidR="000B7BE0">
        <w:t xml:space="preserve">than non-Indigenous defendants </w:t>
      </w:r>
      <w:r w:rsidR="003015BF">
        <w:t xml:space="preserve">(χ² = 14.95, </w:t>
      </w:r>
      <w:r w:rsidR="003015BF" w:rsidRPr="009C14DA">
        <w:rPr>
          <w:i/>
          <w:iCs/>
        </w:rPr>
        <w:t>p</w:t>
      </w:r>
      <w:r w:rsidR="003015BF">
        <w:t xml:space="preserve"> </w:t>
      </w:r>
      <w:r w:rsidR="00F6033E">
        <w:t>&lt;</w:t>
      </w:r>
      <w:r w:rsidR="003015BF">
        <w:t xml:space="preserve"> .001)</w:t>
      </w:r>
      <w:r w:rsidR="00024EBD">
        <w:t xml:space="preserve">. </w:t>
      </w:r>
      <w:r w:rsidR="00A56CC7">
        <w:t xml:space="preserve">Indigenous defendants with </w:t>
      </w:r>
      <w:r w:rsidR="006C6A16">
        <w:t xml:space="preserve">culture considered superficially were not more likely to be designated high risk </w:t>
      </w:r>
      <w:r w:rsidR="009122E8">
        <w:t xml:space="preserve">than defendants with culture considered meaningfully (χ² = </w:t>
      </w:r>
      <w:r w:rsidR="000340E3">
        <w:t>.</w:t>
      </w:r>
      <w:r w:rsidR="00C11F35">
        <w:t xml:space="preserve">50, </w:t>
      </w:r>
      <w:r w:rsidR="00C11F35" w:rsidRPr="000E0CD4">
        <w:rPr>
          <w:i/>
          <w:iCs/>
        </w:rPr>
        <w:t>p</w:t>
      </w:r>
      <w:r w:rsidR="00C11F35">
        <w:t xml:space="preserve"> &gt; .05)</w:t>
      </w:r>
      <w:r w:rsidR="003015BF">
        <w:t xml:space="preserve">. </w:t>
      </w:r>
      <w:r>
        <w:t>All discussions of culture in the non-Indigenous cases</w:t>
      </w:r>
      <w:r w:rsidR="008C54A5">
        <w:t xml:space="preserve"> with defendants of other ethnicities</w:t>
      </w:r>
      <w:r>
        <w:t xml:space="preserve"> were superficial.</w:t>
      </w:r>
    </w:p>
    <w:p w14:paraId="75718D5B" w14:textId="77777777" w:rsidR="002207C0" w:rsidRPr="00D532DC" w:rsidRDefault="00595948" w:rsidP="00EA3C36">
      <w:pPr>
        <w:spacing w:line="480" w:lineRule="auto"/>
        <w:outlineLvl w:val="0"/>
        <w:rPr>
          <w:b/>
        </w:rPr>
      </w:pPr>
      <w:r>
        <w:rPr>
          <w:b/>
        </w:rPr>
        <w:t xml:space="preserve">Cultural </w:t>
      </w:r>
      <w:r w:rsidR="005B589A" w:rsidRPr="00D532DC">
        <w:rPr>
          <w:b/>
        </w:rPr>
        <w:t>Themes in Indigenous Cases</w:t>
      </w:r>
      <w:r w:rsidR="00016CFE" w:rsidRPr="00D532DC">
        <w:rPr>
          <w:b/>
        </w:rPr>
        <w:t xml:space="preserve"> </w:t>
      </w:r>
    </w:p>
    <w:p w14:paraId="2048C962" w14:textId="7641F2A0" w:rsidR="00DF16BA" w:rsidRDefault="00AA26E5" w:rsidP="005B589A">
      <w:pPr>
        <w:spacing w:line="480" w:lineRule="auto"/>
        <w:ind w:firstLine="720"/>
      </w:pPr>
      <w:r>
        <w:t xml:space="preserve">In </w:t>
      </w:r>
      <w:r w:rsidR="00DF16BA">
        <w:t>the 8</w:t>
      </w:r>
      <w:r w:rsidR="00772C5B">
        <w:t>4</w:t>
      </w:r>
      <w:r w:rsidR="00DF16BA">
        <w:t xml:space="preserve"> cases with an Indigenous defendant,</w:t>
      </w:r>
      <w:r w:rsidR="00164244">
        <w:t xml:space="preserve"> </w:t>
      </w:r>
      <w:r w:rsidR="00164244" w:rsidRPr="00D2706A">
        <w:t>255</w:t>
      </w:r>
      <w:r w:rsidR="00164244">
        <w:t xml:space="preserve"> comments about culture were identified. A total of</w:t>
      </w:r>
      <w:r w:rsidR="00DF16BA">
        <w:t xml:space="preserve"> </w:t>
      </w:r>
      <w:r w:rsidR="00CB2339">
        <w:t>7</w:t>
      </w:r>
      <w:r w:rsidR="00DF16BA">
        <w:t xml:space="preserve"> themes </w:t>
      </w:r>
      <w:r w:rsidR="00A1750E">
        <w:t xml:space="preserve">related to </w:t>
      </w:r>
      <w:r w:rsidR="00DF16BA">
        <w:t xml:space="preserve">culture </w:t>
      </w:r>
      <w:r w:rsidR="0003498D">
        <w:t xml:space="preserve">were identified from the </w:t>
      </w:r>
      <w:r w:rsidR="00D601C3">
        <w:t>conventional</w:t>
      </w:r>
      <w:r w:rsidR="0003498D">
        <w:t xml:space="preserve"> content analysis</w:t>
      </w:r>
      <w:r w:rsidR="0047618B">
        <w:t xml:space="preserve"> </w:t>
      </w:r>
      <w:r w:rsidR="00164244">
        <w:t xml:space="preserve">of those comments </w:t>
      </w:r>
      <w:r w:rsidR="0047618B">
        <w:t xml:space="preserve">(see Table </w:t>
      </w:r>
      <w:r w:rsidR="009C3F6D">
        <w:t>2</w:t>
      </w:r>
      <w:r w:rsidR="0047618B">
        <w:t>)</w:t>
      </w:r>
      <w:r w:rsidR="0003498D">
        <w:t>.</w:t>
      </w:r>
      <w:r w:rsidR="00DF16BA">
        <w:t xml:space="preserve"> The most common </w:t>
      </w:r>
      <w:r w:rsidR="0003498D">
        <w:t xml:space="preserve">theme </w:t>
      </w:r>
      <w:r w:rsidR="00DC43CF">
        <w:t xml:space="preserve">across cases </w:t>
      </w:r>
      <w:r w:rsidR="00DF16BA">
        <w:t xml:space="preserve">was </w:t>
      </w:r>
      <w:r w:rsidR="00B62255" w:rsidRPr="00FF5253">
        <w:rPr>
          <w:i/>
        </w:rPr>
        <w:t>ethnicity</w:t>
      </w:r>
      <w:r w:rsidR="00B62255">
        <w:t xml:space="preserve"> </w:t>
      </w:r>
      <w:r w:rsidR="00DF16BA">
        <w:lastRenderedPageBreak/>
        <w:t>(</w:t>
      </w:r>
      <w:r w:rsidR="00417164">
        <w:t>72</w:t>
      </w:r>
      <w:r w:rsidR="00AC3BDD">
        <w:t>.6</w:t>
      </w:r>
      <w:r w:rsidR="00417164">
        <w:t xml:space="preserve">%, </w:t>
      </w:r>
      <w:r w:rsidR="00DF16BA">
        <w:rPr>
          <w:i/>
        </w:rPr>
        <w:t xml:space="preserve">n = </w:t>
      </w:r>
      <w:r w:rsidR="00DF16BA">
        <w:t xml:space="preserve">61), where the judge referred to the defendant as </w:t>
      </w:r>
      <w:r w:rsidR="00B8673C">
        <w:t>Indigenous</w:t>
      </w:r>
      <w:r w:rsidR="00DF16BA">
        <w:t xml:space="preserve"> </w:t>
      </w:r>
      <w:r w:rsidR="00CE2BA8">
        <w:t>(</w:t>
      </w:r>
      <w:r w:rsidR="0003498D">
        <w:t>e.g</w:t>
      </w:r>
      <w:r w:rsidR="00CE2BA8">
        <w:t xml:space="preserve">., </w:t>
      </w:r>
      <w:r w:rsidR="00614799">
        <w:t>“[the defendant] was born to Aboriginal parents in Manitoba”)</w:t>
      </w:r>
      <w:r w:rsidR="00DF16BA">
        <w:t xml:space="preserve">. </w:t>
      </w:r>
      <w:proofErr w:type="spellStart"/>
      <w:r w:rsidR="00DF16BA" w:rsidRPr="00FF5253">
        <w:rPr>
          <w:i/>
        </w:rPr>
        <w:t>Gladue</w:t>
      </w:r>
      <w:proofErr w:type="spellEnd"/>
      <w:r w:rsidR="00DF16BA" w:rsidRPr="00FF5253">
        <w:rPr>
          <w:i/>
        </w:rPr>
        <w:t xml:space="preserve"> factors</w:t>
      </w:r>
      <w:r w:rsidR="00DF16BA">
        <w:t xml:space="preserve"> </w:t>
      </w:r>
      <w:r w:rsidR="00A1750E">
        <w:t xml:space="preserve">was </w:t>
      </w:r>
      <w:r w:rsidR="00DF16BA">
        <w:t>the second most frequent theme (</w:t>
      </w:r>
      <w:r w:rsidR="00D909EF">
        <w:t>69.0</w:t>
      </w:r>
      <w:r w:rsidR="00417164">
        <w:t xml:space="preserve">%, </w:t>
      </w:r>
      <w:r w:rsidR="00DF16BA">
        <w:rPr>
          <w:i/>
        </w:rPr>
        <w:t xml:space="preserve">n = </w:t>
      </w:r>
      <w:r w:rsidR="00DF16BA">
        <w:t>5</w:t>
      </w:r>
      <w:r w:rsidR="00D909EF">
        <w:t>8</w:t>
      </w:r>
      <w:r w:rsidR="00DF16BA">
        <w:t xml:space="preserve">), where the judge mentioned the necessity of considering </w:t>
      </w:r>
      <w:proofErr w:type="spellStart"/>
      <w:r w:rsidR="00DF16BA">
        <w:t>Gladue</w:t>
      </w:r>
      <w:proofErr w:type="spellEnd"/>
      <w:r w:rsidR="00DF16BA">
        <w:t xml:space="preserve"> factors in sentencing, but did not elaborate further (</w:t>
      </w:r>
      <w:r w:rsidR="0003498D">
        <w:t>e.g</w:t>
      </w:r>
      <w:r w:rsidR="00DF16BA">
        <w:t xml:space="preserve">., “[because the defendant is] </w:t>
      </w:r>
      <w:r w:rsidR="00DF16BA" w:rsidRPr="00261E78">
        <w:t>considered an aboriginal offender</w:t>
      </w:r>
      <w:r w:rsidR="00DF16BA">
        <w:t>,</w:t>
      </w:r>
      <w:r w:rsidR="00DF16BA" w:rsidRPr="00261E78">
        <w:t xml:space="preserve"> a </w:t>
      </w:r>
      <w:proofErr w:type="spellStart"/>
      <w:r w:rsidR="00DF16BA" w:rsidRPr="00261E78">
        <w:t>Gladue</w:t>
      </w:r>
      <w:proofErr w:type="spellEnd"/>
      <w:r w:rsidR="00DF16BA" w:rsidRPr="00261E78">
        <w:t xml:space="preserve"> Report was prepared pursuant to s.718.2 (e) of the Criminal Code</w:t>
      </w:r>
      <w:r w:rsidR="00DF16BA">
        <w:t>”).</w:t>
      </w:r>
      <w:r w:rsidR="00D909EF">
        <w:t xml:space="preserve"> Of note, in two of these</w:t>
      </w:r>
      <w:r w:rsidR="00EE269B">
        <w:t xml:space="preserve"> 58 cases, the judge rejected the consideration of </w:t>
      </w:r>
      <w:proofErr w:type="spellStart"/>
      <w:r w:rsidR="00EE269B">
        <w:t>Gladue</w:t>
      </w:r>
      <w:proofErr w:type="spellEnd"/>
      <w:r w:rsidR="00EE269B">
        <w:t xml:space="preserve"> factors.</w:t>
      </w:r>
      <w:r w:rsidR="00DF16BA">
        <w:t xml:space="preserve"> The third most common theme was the judge’s discussion of </w:t>
      </w:r>
      <w:r w:rsidR="00DF16BA" w:rsidRPr="00FF5253">
        <w:rPr>
          <w:i/>
        </w:rPr>
        <w:t>past or potential Indigenous specific programming</w:t>
      </w:r>
      <w:r w:rsidR="00DF16BA">
        <w:t xml:space="preserve"> </w:t>
      </w:r>
      <w:r w:rsidR="00A1750E">
        <w:t xml:space="preserve">that </w:t>
      </w:r>
      <w:r w:rsidR="00DF16BA">
        <w:t>the defendant has or should participate in (</w:t>
      </w:r>
      <w:r w:rsidR="00417164">
        <w:t>55</w:t>
      </w:r>
      <w:r w:rsidR="00454C97">
        <w:t>.9</w:t>
      </w:r>
      <w:r w:rsidR="00417164">
        <w:t xml:space="preserve">%, </w:t>
      </w:r>
      <w:r w:rsidR="00DF16BA">
        <w:rPr>
          <w:i/>
        </w:rPr>
        <w:t xml:space="preserve">n = </w:t>
      </w:r>
      <w:r w:rsidR="00DF16BA">
        <w:t>47)</w:t>
      </w:r>
      <w:r w:rsidR="00164244">
        <w:t xml:space="preserve">. </w:t>
      </w:r>
      <w:r w:rsidR="006E4369">
        <w:t xml:space="preserve">Fourth </w:t>
      </w:r>
      <w:r w:rsidR="00DF16BA">
        <w:t xml:space="preserve">was </w:t>
      </w:r>
      <w:r w:rsidR="006E4369">
        <w:t>a</w:t>
      </w:r>
      <w:r w:rsidR="00DF16BA">
        <w:t xml:space="preserve"> discussion of </w:t>
      </w:r>
      <w:r w:rsidR="00DF16BA" w:rsidRPr="00FF5253">
        <w:rPr>
          <w:i/>
        </w:rPr>
        <w:t>cultural</w:t>
      </w:r>
      <w:r w:rsidR="0047618B" w:rsidRPr="00FF5253">
        <w:rPr>
          <w:i/>
        </w:rPr>
        <w:t>ly-relevant</w:t>
      </w:r>
      <w:r w:rsidR="00DF16BA" w:rsidRPr="00FF5253">
        <w:rPr>
          <w:i/>
        </w:rPr>
        <w:t xml:space="preserve"> risk factors</w:t>
      </w:r>
      <w:r w:rsidR="00DF16BA">
        <w:t xml:space="preserve"> (</w:t>
      </w:r>
      <w:r w:rsidR="00417164">
        <w:t>47</w:t>
      </w:r>
      <w:r w:rsidR="00454C97">
        <w:t>.6</w:t>
      </w:r>
      <w:r w:rsidR="00417164">
        <w:t xml:space="preserve">%, </w:t>
      </w:r>
      <w:r w:rsidR="00DF16BA">
        <w:rPr>
          <w:i/>
        </w:rPr>
        <w:t xml:space="preserve">n = </w:t>
      </w:r>
      <w:r w:rsidR="00DF16BA">
        <w:t xml:space="preserve">40). </w:t>
      </w:r>
      <w:r w:rsidR="006E4369">
        <w:t>For</w:t>
      </w:r>
      <w:r w:rsidR="00DF16BA">
        <w:t xml:space="preserve"> 25</w:t>
      </w:r>
      <w:r w:rsidR="00381F08">
        <w:t xml:space="preserve"> of the 40</w:t>
      </w:r>
      <w:r w:rsidR="00DF16BA">
        <w:t xml:space="preserve"> </w:t>
      </w:r>
      <w:r w:rsidR="00381F08">
        <w:t xml:space="preserve">culturally relevant risk factors </w:t>
      </w:r>
      <w:r w:rsidR="00164244">
        <w:t>(6</w:t>
      </w:r>
      <w:r w:rsidR="00454C97">
        <w:t>2.5</w:t>
      </w:r>
      <w:r w:rsidR="00164244">
        <w:t>%</w:t>
      </w:r>
      <w:r w:rsidR="000773EC">
        <w:t>)</w:t>
      </w:r>
      <w:r w:rsidR="00DF16BA">
        <w:t xml:space="preserve">, </w:t>
      </w:r>
      <w:r w:rsidR="006E4369">
        <w:t>judges only made a general refere</w:t>
      </w:r>
      <w:r w:rsidR="00A1750E">
        <w:t>nce</w:t>
      </w:r>
      <w:r w:rsidR="00DF16BA">
        <w:t xml:space="preserve"> (</w:t>
      </w:r>
      <w:r w:rsidR="00024EBD">
        <w:t>e.g.</w:t>
      </w:r>
      <w:r w:rsidR="00DF16BA">
        <w:t>, “t</w:t>
      </w:r>
      <w:r w:rsidR="00DF16BA" w:rsidRPr="007E601C">
        <w:t xml:space="preserve">here is an explicit causal relationship between the </w:t>
      </w:r>
      <w:r w:rsidR="00955244">
        <w:t>offender</w:t>
      </w:r>
      <w:r w:rsidR="00DF16BA" w:rsidRPr="007E601C">
        <w:t>’s Aboriginal status and the major prob</w:t>
      </w:r>
      <w:r w:rsidR="00DF16BA">
        <w:t>lems subsequently developed”)</w:t>
      </w:r>
      <w:r w:rsidR="00417164">
        <w:t xml:space="preserve">. </w:t>
      </w:r>
      <w:r w:rsidR="00DF16BA">
        <w:t xml:space="preserve"> </w:t>
      </w:r>
      <w:r w:rsidR="00417164">
        <w:t xml:space="preserve">In </w:t>
      </w:r>
      <w:r w:rsidR="00381F08">
        <w:t xml:space="preserve">the other </w:t>
      </w:r>
      <w:r w:rsidR="00DF16BA">
        <w:t>15</w:t>
      </w:r>
      <w:r w:rsidR="00164244">
        <w:t xml:space="preserve"> (3</w:t>
      </w:r>
      <w:r w:rsidR="00454C97">
        <w:t>7.5</w:t>
      </w:r>
      <w:r w:rsidR="00164244">
        <w:t>%</w:t>
      </w:r>
      <w:r w:rsidR="000773EC">
        <w:t>)</w:t>
      </w:r>
      <w:r w:rsidR="006E4369">
        <w:t xml:space="preserve"> instances</w:t>
      </w:r>
      <w:r w:rsidR="000773EC">
        <w:t>,</w:t>
      </w:r>
      <w:r w:rsidR="00DF16BA">
        <w:t xml:space="preserve"> the judged referred to specific risk factors (</w:t>
      </w:r>
      <w:r w:rsidR="003F7C9A">
        <w:t>e.g</w:t>
      </w:r>
      <w:r w:rsidR="00DF16BA">
        <w:t xml:space="preserve">., “[the </w:t>
      </w:r>
      <w:proofErr w:type="spellStart"/>
      <w:r w:rsidR="00DF16BA">
        <w:t>Gladue</w:t>
      </w:r>
      <w:proofErr w:type="spellEnd"/>
      <w:r w:rsidR="00DF16BA">
        <w:t xml:space="preserve"> report filed] f</w:t>
      </w:r>
      <w:r w:rsidR="00DF16BA" w:rsidRPr="007E601C">
        <w:t>ound that the substance abuse, family violence, and family dislocation documented by the Royal Commission on Aboriginal Peop</w:t>
      </w:r>
      <w:r w:rsidR="00DF16BA">
        <w:t xml:space="preserve">les </w:t>
      </w:r>
      <w:r w:rsidR="00DF16BA" w:rsidRPr="007E601C">
        <w:t xml:space="preserve">appear to have led to a multitude of negative impacts in </w:t>
      </w:r>
      <w:r w:rsidR="00DF16BA">
        <w:t xml:space="preserve">[the defendant’s] life”). The most frequently referenced specific risk factors </w:t>
      </w:r>
      <w:r w:rsidR="00317B96">
        <w:t xml:space="preserve">were </w:t>
      </w:r>
      <w:r w:rsidR="00DF16BA">
        <w:t>as follows: substance abuse (</w:t>
      </w:r>
      <w:r w:rsidR="00B441C7">
        <w:t>2</w:t>
      </w:r>
      <w:r w:rsidR="00454C97">
        <w:t>7.5</w:t>
      </w:r>
      <w:r w:rsidR="00B441C7">
        <w:t xml:space="preserve">% of the 40, </w:t>
      </w:r>
      <w:r w:rsidR="00DF16BA">
        <w:rPr>
          <w:i/>
        </w:rPr>
        <w:t xml:space="preserve">n = </w:t>
      </w:r>
      <w:r w:rsidR="00DF16BA">
        <w:t>11), poverty (</w:t>
      </w:r>
      <w:r w:rsidR="00B441C7">
        <w:t>20</w:t>
      </w:r>
      <w:r w:rsidR="00454C97">
        <w:t>.0</w:t>
      </w:r>
      <w:r w:rsidR="00B441C7">
        <w:t xml:space="preserve">%, </w:t>
      </w:r>
      <w:r w:rsidR="00DF16BA">
        <w:rPr>
          <w:i/>
        </w:rPr>
        <w:t xml:space="preserve">n = </w:t>
      </w:r>
      <w:r w:rsidR="00DF16BA">
        <w:t>8), the influence of residential schools (</w:t>
      </w:r>
      <w:r w:rsidR="00B441C7">
        <w:t>15</w:t>
      </w:r>
      <w:r w:rsidR="00454C97">
        <w:t>.0</w:t>
      </w:r>
      <w:r w:rsidR="00B441C7">
        <w:t xml:space="preserve">%, </w:t>
      </w:r>
      <w:r w:rsidR="00DF16BA">
        <w:rPr>
          <w:i/>
        </w:rPr>
        <w:t xml:space="preserve">n = </w:t>
      </w:r>
      <w:r w:rsidR="00DF16BA">
        <w:t>6), high unemployment rates (</w:t>
      </w:r>
      <w:r w:rsidR="00B441C7">
        <w:t>15</w:t>
      </w:r>
      <w:r w:rsidR="00454C97">
        <w:t>.0</w:t>
      </w:r>
      <w:r w:rsidR="00B441C7">
        <w:t xml:space="preserve">%, </w:t>
      </w:r>
      <w:r w:rsidR="00DF16BA">
        <w:rPr>
          <w:i/>
        </w:rPr>
        <w:t xml:space="preserve">n = </w:t>
      </w:r>
      <w:r w:rsidR="00DF16BA">
        <w:t>6), and high suicide rates (</w:t>
      </w:r>
      <w:r w:rsidR="00B441C7">
        <w:t>10</w:t>
      </w:r>
      <w:r w:rsidR="00454C97">
        <w:t>.0</w:t>
      </w:r>
      <w:r w:rsidR="00B441C7">
        <w:t xml:space="preserve">%, </w:t>
      </w:r>
      <w:r w:rsidR="00DF16BA">
        <w:rPr>
          <w:i/>
        </w:rPr>
        <w:t xml:space="preserve">n = </w:t>
      </w:r>
      <w:r w:rsidR="00DF16BA">
        <w:t>4).</w:t>
      </w:r>
    </w:p>
    <w:p w14:paraId="236268AE" w14:textId="5B05DD95" w:rsidR="00FA30C9" w:rsidRDefault="00DF16BA" w:rsidP="00FA30C9">
      <w:pPr>
        <w:spacing w:line="480" w:lineRule="auto"/>
        <w:ind w:firstLine="720"/>
      </w:pPr>
      <w:r>
        <w:t xml:space="preserve">The </w:t>
      </w:r>
      <w:r w:rsidRPr="00FF5253">
        <w:rPr>
          <w:i/>
        </w:rPr>
        <w:t xml:space="preserve">applicability of </w:t>
      </w:r>
      <w:r w:rsidR="00F35B87">
        <w:rPr>
          <w:i/>
        </w:rPr>
        <w:t>VRA</w:t>
      </w:r>
      <w:r w:rsidRPr="00FF5253">
        <w:rPr>
          <w:i/>
        </w:rPr>
        <w:t xml:space="preserve"> to Indigenous offenders</w:t>
      </w:r>
      <w:r>
        <w:t xml:space="preserve"> was </w:t>
      </w:r>
      <w:r w:rsidR="00317B96">
        <w:t>the f</w:t>
      </w:r>
      <w:r w:rsidR="00417164">
        <w:t>ifth</w:t>
      </w:r>
      <w:r>
        <w:t xml:space="preserve"> theme</w:t>
      </w:r>
      <w:r w:rsidR="0047674B">
        <w:t xml:space="preserve"> identified</w:t>
      </w:r>
      <w:r>
        <w:t xml:space="preserve"> (</w:t>
      </w:r>
      <w:r w:rsidR="00CC1715">
        <w:t>14</w:t>
      </w:r>
      <w:r w:rsidR="00454C97">
        <w:t>.3</w:t>
      </w:r>
      <w:r w:rsidR="00CC1715">
        <w:t xml:space="preserve">%, </w:t>
      </w:r>
      <w:r>
        <w:rPr>
          <w:i/>
        </w:rPr>
        <w:t xml:space="preserve">n = </w:t>
      </w:r>
      <w:r>
        <w:t>12)</w:t>
      </w:r>
      <w:r w:rsidR="00317B96">
        <w:t>. J</w:t>
      </w:r>
      <w:r>
        <w:t>udge</w:t>
      </w:r>
      <w:r w:rsidR="0047674B">
        <w:t>s</w:t>
      </w:r>
      <w:r>
        <w:t xml:space="preserve"> support</w:t>
      </w:r>
      <w:r w:rsidR="00317B96">
        <w:t>ed</w:t>
      </w:r>
      <w:r>
        <w:t xml:space="preserve"> the use of </w:t>
      </w:r>
      <w:r w:rsidR="00F35B87">
        <w:t>VRA</w:t>
      </w:r>
      <w:r w:rsidR="00317B96">
        <w:t xml:space="preserve"> </w:t>
      </w:r>
      <w:r>
        <w:t xml:space="preserve">tools with Indigenous </w:t>
      </w:r>
      <w:r w:rsidR="0047674B">
        <w:t>offenders</w:t>
      </w:r>
      <w:r>
        <w:t xml:space="preserve"> in </w:t>
      </w:r>
      <w:r w:rsidR="00DA3227">
        <w:t>three</w:t>
      </w:r>
      <w:r>
        <w:t xml:space="preserve"> </w:t>
      </w:r>
      <w:r w:rsidR="0047674B">
        <w:t>(25</w:t>
      </w:r>
      <w:r w:rsidR="00454C97">
        <w:t>.0</w:t>
      </w:r>
      <w:r w:rsidR="0047674B">
        <w:t xml:space="preserve">%) </w:t>
      </w:r>
      <w:r>
        <w:t>of the</w:t>
      </w:r>
      <w:r w:rsidR="00B23C55">
        <w:t xml:space="preserve"> </w:t>
      </w:r>
      <w:r w:rsidR="00772C5B">
        <w:t>12</w:t>
      </w:r>
      <w:r>
        <w:t xml:space="preserve"> cases</w:t>
      </w:r>
      <w:r w:rsidR="00772C5B">
        <w:t xml:space="preserve"> that discussed this theme</w:t>
      </w:r>
      <w:r w:rsidR="00933A50">
        <w:t>,</w:t>
      </w:r>
      <w:r>
        <w:t xml:space="preserve"> criticiz</w:t>
      </w:r>
      <w:r w:rsidR="0047674B">
        <w:t>ed</w:t>
      </w:r>
      <w:r>
        <w:t xml:space="preserve"> </w:t>
      </w:r>
      <w:r w:rsidR="00317B96">
        <w:t>their use</w:t>
      </w:r>
      <w:r>
        <w:t xml:space="preserve"> in </w:t>
      </w:r>
      <w:r w:rsidR="00DA3227">
        <w:t>three</w:t>
      </w:r>
      <w:r>
        <w:t xml:space="preserve"> cases</w:t>
      </w:r>
      <w:r w:rsidR="00772C5B">
        <w:t xml:space="preserve"> (25</w:t>
      </w:r>
      <w:r w:rsidR="00454C97">
        <w:t>.0</w:t>
      </w:r>
      <w:r w:rsidR="00772C5B">
        <w:t>%)</w:t>
      </w:r>
      <w:r>
        <w:t xml:space="preserve"> and discuss</w:t>
      </w:r>
      <w:r w:rsidR="0047674B">
        <w:t>ed</w:t>
      </w:r>
      <w:r>
        <w:t xml:space="preserve"> the issue but </w:t>
      </w:r>
      <w:r w:rsidR="0047674B">
        <w:t xml:space="preserve">did </w:t>
      </w:r>
      <w:r>
        <w:t>not tak</w:t>
      </w:r>
      <w:r w:rsidR="0047674B">
        <w:t>e</w:t>
      </w:r>
      <w:r>
        <w:t xml:space="preserve"> a stance </w:t>
      </w:r>
      <w:r w:rsidR="00317B96">
        <w:t>i</w:t>
      </w:r>
      <w:r>
        <w:t xml:space="preserve">n the </w:t>
      </w:r>
      <w:r w:rsidR="00DA3227">
        <w:t xml:space="preserve">remaining </w:t>
      </w:r>
      <w:r w:rsidR="00AD18C8">
        <w:t xml:space="preserve">six </w:t>
      </w:r>
      <w:r>
        <w:t>cases</w:t>
      </w:r>
      <w:r w:rsidR="00AD18C8">
        <w:t xml:space="preserve"> (50</w:t>
      </w:r>
      <w:r w:rsidR="00454C97">
        <w:t>.0</w:t>
      </w:r>
      <w:r w:rsidR="00AD18C8">
        <w:t>%)</w:t>
      </w:r>
      <w:r>
        <w:t xml:space="preserve">. </w:t>
      </w:r>
      <w:r w:rsidR="00A9060C">
        <w:t>One example of a criticism was</w:t>
      </w:r>
      <w:r w:rsidR="0047618B">
        <w:t>:</w:t>
      </w:r>
      <w:r>
        <w:t xml:space="preserve"> “t</w:t>
      </w:r>
      <w:r w:rsidRPr="00BA7CE2">
        <w:t xml:space="preserve">he conclusion from </w:t>
      </w:r>
      <w:r>
        <w:t>[the evaluator’s]</w:t>
      </w:r>
      <w:r w:rsidRPr="00BA7CE2">
        <w:t xml:space="preserve"> expert report is that the actuarial tests are not </w:t>
      </w:r>
      <w:r w:rsidRPr="00BA7CE2">
        <w:lastRenderedPageBreak/>
        <w:t>sufficiently predictably reliable for Aboriginals because of the cultura</w:t>
      </w:r>
      <w:r>
        <w:t>l variance or bias of the tests</w:t>
      </w:r>
      <w:r w:rsidR="0047618B">
        <w:t>.</w:t>
      </w:r>
      <w:r>
        <w:t xml:space="preserve">” </w:t>
      </w:r>
      <w:r w:rsidR="0061763B">
        <w:t xml:space="preserve">One judge who did not take a stance </w:t>
      </w:r>
      <w:r w:rsidR="0047618B">
        <w:t>commented:</w:t>
      </w:r>
      <w:r>
        <w:t xml:space="preserve"> “[the evaluator did agree that] the HCR-20 has</w:t>
      </w:r>
      <w:r w:rsidRPr="008C4A2E">
        <w:t xml:space="preserve"> not been subjected to a specific evaluation as to whether the results are good, better, or worse in Abor</w:t>
      </w:r>
      <w:r>
        <w:t xml:space="preserve">iginals than in non-Aboriginals.” Other themes arising in judicial discussion of culture </w:t>
      </w:r>
      <w:r w:rsidR="00381F08">
        <w:t>in the 8</w:t>
      </w:r>
      <w:r w:rsidR="00772C5B">
        <w:t>4</w:t>
      </w:r>
      <w:r w:rsidR="00381F08">
        <w:t xml:space="preserve"> Indigenous cases </w:t>
      </w:r>
      <w:r>
        <w:t>included</w:t>
      </w:r>
      <w:r w:rsidR="0047618B">
        <w:t xml:space="preserve"> </w:t>
      </w:r>
      <w:r w:rsidR="007C0F9C">
        <w:rPr>
          <w:i/>
          <w:iCs/>
        </w:rPr>
        <w:t xml:space="preserve">the offender’s experience of culture </w:t>
      </w:r>
      <w:r w:rsidR="007C0F9C">
        <w:t>(</w:t>
      </w:r>
      <w:r w:rsidR="00B342FA">
        <w:t>21.4</w:t>
      </w:r>
      <w:r w:rsidR="007C0F9C">
        <w:t xml:space="preserve">%, </w:t>
      </w:r>
      <w:r w:rsidR="007C0F9C">
        <w:rPr>
          <w:i/>
        </w:rPr>
        <w:t xml:space="preserve">n = </w:t>
      </w:r>
      <w:r w:rsidR="00B342FA">
        <w:t>18</w:t>
      </w:r>
      <w:r w:rsidR="007C0F9C">
        <w:t>)</w:t>
      </w:r>
      <w:r w:rsidR="00195331">
        <w:t xml:space="preserve"> </w:t>
      </w:r>
      <w:r w:rsidR="004052B6">
        <w:t xml:space="preserve">(e.g. “[the defendant] </w:t>
      </w:r>
      <w:r w:rsidR="004052B6" w:rsidRPr="004052B6">
        <w:t xml:space="preserve">has made some positive steps to become more involved in his aboriginal culture and </w:t>
      </w:r>
      <w:r w:rsidR="004052B6">
        <w:t xml:space="preserve">heritage”) </w:t>
      </w:r>
      <w:r w:rsidR="00195331">
        <w:t>and</w:t>
      </w:r>
      <w:r w:rsidR="007C0F9C">
        <w:rPr>
          <w:i/>
          <w:iCs/>
        </w:rPr>
        <w:t xml:space="preserve"> </w:t>
      </w:r>
      <w:bookmarkStart w:id="2" w:name="_Hlk24997222"/>
      <w:r w:rsidR="0047618B" w:rsidRPr="00FF5253">
        <w:rPr>
          <w:i/>
        </w:rPr>
        <w:t>the application of</w:t>
      </w:r>
      <w:r w:rsidRPr="00FF5253">
        <w:rPr>
          <w:i/>
        </w:rPr>
        <w:t xml:space="preserve"> DO/LTO sentencing to Indigenous peoples</w:t>
      </w:r>
      <w:r>
        <w:t xml:space="preserve"> </w:t>
      </w:r>
      <w:bookmarkEnd w:id="2"/>
      <w:r>
        <w:t>(</w:t>
      </w:r>
      <w:r w:rsidR="00CC1715">
        <w:t>1</w:t>
      </w:r>
      <w:r w:rsidR="00454C97">
        <w:t>1.9</w:t>
      </w:r>
      <w:r w:rsidR="00CC1715">
        <w:t xml:space="preserve">%, </w:t>
      </w:r>
      <w:r>
        <w:rPr>
          <w:i/>
        </w:rPr>
        <w:t xml:space="preserve">n = </w:t>
      </w:r>
      <w:r>
        <w:t>10)</w:t>
      </w:r>
      <w:r w:rsidR="006167EE">
        <w:t xml:space="preserve"> (e.g., “</w:t>
      </w:r>
      <w:r w:rsidR="005A61C5" w:rsidRPr="005A61C5">
        <w:t>because of the serious nature of the offences which bring about a dangerous offender application, incarceration will generally be the result for both aboriginal and non-aboriginal offenders alike</w:t>
      </w:r>
      <w:r w:rsidR="0073786E">
        <w:t>”</w:t>
      </w:r>
      <w:r w:rsidR="006167EE">
        <w:t>)</w:t>
      </w:r>
      <w:r>
        <w:t xml:space="preserve">. </w:t>
      </w:r>
      <w:r w:rsidR="00EE269B">
        <w:t xml:space="preserve">While not frequent enough to be considered themes, </w:t>
      </w:r>
      <w:r w:rsidR="00C14912">
        <w:t xml:space="preserve">it is of note that discussion of the defendant experiencing racism was present in four cases and </w:t>
      </w:r>
      <w:r w:rsidR="005E4523">
        <w:t xml:space="preserve">discussion of the </w:t>
      </w:r>
      <w:r w:rsidR="0028363F">
        <w:t xml:space="preserve">benefit of Indigenous </w:t>
      </w:r>
      <w:r w:rsidR="00A70692">
        <w:t>family and friend supports was present in one case.</w:t>
      </w:r>
    </w:p>
    <w:p w14:paraId="115697E8" w14:textId="77777777" w:rsidR="00D532DC" w:rsidRPr="00D532DC" w:rsidRDefault="00FA30C9" w:rsidP="00EA3C36">
      <w:pPr>
        <w:spacing w:line="480" w:lineRule="auto"/>
        <w:outlineLvl w:val="0"/>
        <w:rPr>
          <w:b/>
        </w:rPr>
      </w:pPr>
      <w:r w:rsidRPr="00D532DC">
        <w:rPr>
          <w:b/>
        </w:rPr>
        <w:t xml:space="preserve">Comparison of Broad </w:t>
      </w:r>
      <w:r w:rsidR="00CC1715">
        <w:rPr>
          <w:b/>
        </w:rPr>
        <w:t xml:space="preserve">Non-Cultural </w:t>
      </w:r>
      <w:r w:rsidRPr="00D532DC">
        <w:rPr>
          <w:b/>
        </w:rPr>
        <w:t>Themes in Indigenous and Non-Indigenous Cases</w:t>
      </w:r>
    </w:p>
    <w:p w14:paraId="420E57B4" w14:textId="77777777" w:rsidR="00126C29" w:rsidRDefault="00E66F2F" w:rsidP="0027327D">
      <w:pPr>
        <w:spacing w:line="480" w:lineRule="auto"/>
      </w:pPr>
      <w:r>
        <w:tab/>
      </w:r>
      <w:r w:rsidR="00D532DC">
        <w:rPr>
          <w:b/>
        </w:rPr>
        <w:t>Theme 1: Qualities of the evaluator</w:t>
      </w:r>
      <w:r w:rsidR="0081014B">
        <w:rPr>
          <w:b/>
        </w:rPr>
        <w:t>s</w:t>
      </w:r>
      <w:r w:rsidR="00222BCC">
        <w:rPr>
          <w:b/>
        </w:rPr>
        <w:t xml:space="preserve"> who conducted the VRA</w:t>
      </w:r>
      <w:r w:rsidR="00D532DC">
        <w:rPr>
          <w:b/>
        </w:rPr>
        <w:t xml:space="preserve">. </w:t>
      </w:r>
      <w:r w:rsidR="002742F4">
        <w:t xml:space="preserve">The </w:t>
      </w:r>
      <w:r w:rsidR="00814E2D">
        <w:t xml:space="preserve">five </w:t>
      </w:r>
      <w:r w:rsidR="00217E95">
        <w:t>sub-</w:t>
      </w:r>
      <w:r w:rsidR="00814E2D">
        <w:t xml:space="preserve">themes </w:t>
      </w:r>
      <w:r w:rsidR="009D3530">
        <w:t xml:space="preserve">previously </w:t>
      </w:r>
      <w:r w:rsidR="007E0E12">
        <w:t xml:space="preserve">identified </w:t>
      </w:r>
      <w:r w:rsidR="009D3530">
        <w:t xml:space="preserve">by </w:t>
      </w:r>
      <w:proofErr w:type="spellStart"/>
      <w:r w:rsidR="009D3530">
        <w:t>Storey</w:t>
      </w:r>
      <w:proofErr w:type="spellEnd"/>
      <w:r w:rsidR="009D3530">
        <w:t xml:space="preserve"> et al. (2013) were also </w:t>
      </w:r>
      <w:r w:rsidR="00651C7C">
        <w:t xml:space="preserve">present </w:t>
      </w:r>
      <w:r w:rsidR="00814E2D">
        <w:t xml:space="preserve">within the </w:t>
      </w:r>
      <w:r w:rsidR="000E21A0">
        <w:t xml:space="preserve">broad theme of </w:t>
      </w:r>
      <w:r w:rsidR="00814E2D">
        <w:t xml:space="preserve">judicial comments on the </w:t>
      </w:r>
      <w:r w:rsidR="00D532DC">
        <w:t>qualities</w:t>
      </w:r>
      <w:r w:rsidR="00814E2D">
        <w:t xml:space="preserve"> of the evaluator</w:t>
      </w:r>
      <w:r w:rsidR="0081014B">
        <w:t>s</w:t>
      </w:r>
      <w:r w:rsidR="005A3825">
        <w:t xml:space="preserve"> for Indigenous </w:t>
      </w:r>
      <w:r w:rsidR="00A51542">
        <w:t>(</w:t>
      </w:r>
      <w:r w:rsidR="00A51542" w:rsidRPr="00C772F7">
        <w:rPr>
          <w:i/>
        </w:rPr>
        <w:t xml:space="preserve">n </w:t>
      </w:r>
      <w:r w:rsidR="00A51542">
        <w:t>= 8</w:t>
      </w:r>
      <w:r w:rsidR="00772C5B">
        <w:t>4</w:t>
      </w:r>
      <w:r w:rsidR="00A51542">
        <w:t>) and non-Indigenous (</w:t>
      </w:r>
      <w:r w:rsidR="00A51542" w:rsidRPr="008E1287">
        <w:rPr>
          <w:i/>
        </w:rPr>
        <w:t>n</w:t>
      </w:r>
      <w:r w:rsidR="00A51542">
        <w:t xml:space="preserve"> = 1</w:t>
      </w:r>
      <w:r w:rsidR="00772C5B">
        <w:t>30</w:t>
      </w:r>
      <w:r w:rsidR="00A51542">
        <w:t xml:space="preserve">) </w:t>
      </w:r>
      <w:r w:rsidR="005A3825">
        <w:t>cases</w:t>
      </w:r>
      <w:r w:rsidR="00814E2D">
        <w:t xml:space="preserve">. The most common </w:t>
      </w:r>
      <w:r w:rsidR="007E0E12">
        <w:t xml:space="preserve">theme </w:t>
      </w:r>
      <w:r w:rsidR="00814E2D">
        <w:t xml:space="preserve">was the </w:t>
      </w:r>
      <w:r w:rsidR="00814E2D" w:rsidRPr="003C6BC3">
        <w:rPr>
          <w:i/>
        </w:rPr>
        <w:t>evaluator</w:t>
      </w:r>
      <w:r w:rsidR="00EA2DC2" w:rsidRPr="003C6BC3">
        <w:rPr>
          <w:i/>
        </w:rPr>
        <w:t>s</w:t>
      </w:r>
      <w:r w:rsidR="0081014B">
        <w:rPr>
          <w:i/>
        </w:rPr>
        <w:t>’</w:t>
      </w:r>
      <w:r w:rsidR="00EA2DC2" w:rsidRPr="003C6BC3">
        <w:rPr>
          <w:i/>
        </w:rPr>
        <w:t xml:space="preserve"> work experience</w:t>
      </w:r>
      <w:r w:rsidR="00EA2DC2">
        <w:t xml:space="preserve"> (</w:t>
      </w:r>
      <w:r w:rsidR="00A51542">
        <w:t>Indigenous</w:t>
      </w:r>
      <w:r w:rsidR="00A20DBC">
        <w:t xml:space="preserve"> </w:t>
      </w:r>
      <w:r w:rsidR="00970896">
        <w:t>39.3</w:t>
      </w:r>
      <w:r w:rsidR="00A20DBC">
        <w:t>%,</w:t>
      </w:r>
      <w:r w:rsidR="00A51542">
        <w:t xml:space="preserve"> </w:t>
      </w:r>
      <w:r w:rsidR="00EA2DC2">
        <w:rPr>
          <w:i/>
        </w:rPr>
        <w:t xml:space="preserve">n = </w:t>
      </w:r>
      <w:r w:rsidR="00CE5B1A">
        <w:t>33</w:t>
      </w:r>
      <w:r w:rsidR="00A51542">
        <w:t>; Non-</w:t>
      </w:r>
      <w:r w:rsidR="00D67E78">
        <w:t>I</w:t>
      </w:r>
      <w:r w:rsidR="00A51542">
        <w:t xml:space="preserve">ndigenous </w:t>
      </w:r>
      <w:r w:rsidR="00152ED9">
        <w:t>42.3</w:t>
      </w:r>
      <w:r w:rsidR="00A51542">
        <w:t xml:space="preserve">%, </w:t>
      </w:r>
      <w:r w:rsidR="00A51542">
        <w:rPr>
          <w:i/>
        </w:rPr>
        <w:t xml:space="preserve">n = </w:t>
      </w:r>
      <w:r w:rsidR="00152ED9">
        <w:t>55</w:t>
      </w:r>
      <w:r w:rsidR="00EA2DC2">
        <w:t>)</w:t>
      </w:r>
      <w:r w:rsidR="00814E2D">
        <w:t xml:space="preserve">, </w:t>
      </w:r>
      <w:r w:rsidR="00317B96">
        <w:t>followed by</w:t>
      </w:r>
      <w:r w:rsidR="00814E2D">
        <w:t xml:space="preserve"> </w:t>
      </w:r>
      <w:r w:rsidR="0027327D">
        <w:t xml:space="preserve">the </w:t>
      </w:r>
      <w:r w:rsidR="0027327D" w:rsidRPr="003C6BC3">
        <w:rPr>
          <w:i/>
        </w:rPr>
        <w:t>academic</w:t>
      </w:r>
      <w:r w:rsidR="009A2CB4">
        <w:rPr>
          <w:i/>
        </w:rPr>
        <w:t>/</w:t>
      </w:r>
      <w:r w:rsidR="0027327D" w:rsidRPr="003C6BC3">
        <w:rPr>
          <w:i/>
        </w:rPr>
        <w:t>professional qualifications of the evaluator</w:t>
      </w:r>
      <w:r w:rsidR="0081014B">
        <w:rPr>
          <w:i/>
        </w:rPr>
        <w:t>s</w:t>
      </w:r>
      <w:r w:rsidR="0027327D">
        <w:t xml:space="preserve"> </w:t>
      </w:r>
      <w:r w:rsidR="00EA2DC2">
        <w:t>(</w:t>
      </w:r>
      <w:r w:rsidR="00A51542">
        <w:t>Indigenous</w:t>
      </w:r>
      <w:r w:rsidR="00A20DBC">
        <w:t xml:space="preserve"> </w:t>
      </w:r>
      <w:r w:rsidR="00970896">
        <w:t>48.8</w:t>
      </w:r>
      <w:r w:rsidR="00A20DBC">
        <w:t>%,</w:t>
      </w:r>
      <w:r w:rsidR="00A51542">
        <w:t xml:space="preserve"> </w:t>
      </w:r>
      <w:r w:rsidR="00EA2DC2">
        <w:rPr>
          <w:i/>
        </w:rPr>
        <w:t xml:space="preserve">n = </w:t>
      </w:r>
      <w:r w:rsidR="00970896">
        <w:t>41</w:t>
      </w:r>
      <w:r w:rsidR="00A51542">
        <w:t>; Non-</w:t>
      </w:r>
      <w:r w:rsidR="00D67E78">
        <w:t>I</w:t>
      </w:r>
      <w:r w:rsidR="00A51542">
        <w:t xml:space="preserve">ndigenous </w:t>
      </w:r>
      <w:r w:rsidR="00152ED9">
        <w:t>36.9</w:t>
      </w:r>
      <w:r w:rsidR="00A51542">
        <w:t xml:space="preserve">%, </w:t>
      </w:r>
      <w:r w:rsidR="00A51542">
        <w:rPr>
          <w:i/>
        </w:rPr>
        <w:t xml:space="preserve">n = </w:t>
      </w:r>
      <w:r w:rsidR="00152ED9">
        <w:t>48</w:t>
      </w:r>
      <w:r w:rsidR="00EA2DC2">
        <w:t xml:space="preserve">), </w:t>
      </w:r>
      <w:r w:rsidR="00814E2D">
        <w:t xml:space="preserve">and the </w:t>
      </w:r>
      <w:r w:rsidR="00814E2D" w:rsidRPr="003C6BC3">
        <w:rPr>
          <w:i/>
        </w:rPr>
        <w:t>evaluators</w:t>
      </w:r>
      <w:r w:rsidR="0081014B">
        <w:rPr>
          <w:i/>
        </w:rPr>
        <w:t>’</w:t>
      </w:r>
      <w:r w:rsidR="00814E2D" w:rsidRPr="003C6BC3">
        <w:rPr>
          <w:i/>
        </w:rPr>
        <w:t xml:space="preserve"> previous experience with </w:t>
      </w:r>
      <w:r w:rsidR="00C772F7">
        <w:rPr>
          <w:i/>
        </w:rPr>
        <w:t xml:space="preserve">DO/LTO </w:t>
      </w:r>
      <w:r w:rsidR="00EA2DC2" w:rsidRPr="003C6BC3">
        <w:rPr>
          <w:i/>
        </w:rPr>
        <w:t>evaluations</w:t>
      </w:r>
      <w:r w:rsidR="00EA2DC2">
        <w:t xml:space="preserve"> (</w:t>
      </w:r>
      <w:r w:rsidR="00A51542">
        <w:t>Indigenous</w:t>
      </w:r>
      <w:r w:rsidR="00A20DBC">
        <w:t xml:space="preserve"> </w:t>
      </w:r>
      <w:r w:rsidR="00785FEF">
        <w:t>22.6</w:t>
      </w:r>
      <w:r w:rsidR="00A20DBC">
        <w:t>%,</w:t>
      </w:r>
      <w:r w:rsidR="00A51542">
        <w:t xml:space="preserve"> </w:t>
      </w:r>
      <w:r w:rsidR="00EA2DC2">
        <w:rPr>
          <w:i/>
        </w:rPr>
        <w:t xml:space="preserve">n = </w:t>
      </w:r>
      <w:r w:rsidR="00785FEF">
        <w:t>19</w:t>
      </w:r>
      <w:r w:rsidR="00A51542">
        <w:t>; Non-</w:t>
      </w:r>
      <w:r w:rsidR="00D67E78">
        <w:t>I</w:t>
      </w:r>
      <w:r w:rsidR="00A51542">
        <w:t xml:space="preserve">ndigenous </w:t>
      </w:r>
      <w:r w:rsidR="001F279B">
        <w:t>13.1</w:t>
      </w:r>
      <w:r w:rsidR="00A51542">
        <w:t xml:space="preserve">%, </w:t>
      </w:r>
      <w:r w:rsidR="00A51542">
        <w:rPr>
          <w:i/>
        </w:rPr>
        <w:t xml:space="preserve">n = </w:t>
      </w:r>
      <w:r w:rsidR="00A51542">
        <w:t>1</w:t>
      </w:r>
      <w:r w:rsidR="001F279B">
        <w:t>7</w:t>
      </w:r>
      <w:r w:rsidR="00EA2DC2">
        <w:t>)</w:t>
      </w:r>
      <w:r w:rsidR="00814E2D">
        <w:t xml:space="preserve">. </w:t>
      </w:r>
      <w:r w:rsidR="00925D72">
        <w:t xml:space="preserve">The least frequent </w:t>
      </w:r>
      <w:r w:rsidR="00317B96">
        <w:t>qualities of the</w:t>
      </w:r>
      <w:r w:rsidR="00FF5253">
        <w:t xml:space="preserve"> </w:t>
      </w:r>
      <w:r w:rsidR="00317B96">
        <w:t>evaluator</w:t>
      </w:r>
      <w:r w:rsidR="0081014B">
        <w:t>s</w:t>
      </w:r>
      <w:r w:rsidR="00317B96">
        <w:t xml:space="preserve"> discussed </w:t>
      </w:r>
      <w:r w:rsidR="00925D72">
        <w:t xml:space="preserve">were </w:t>
      </w:r>
      <w:r w:rsidR="000E21A0">
        <w:t xml:space="preserve">the </w:t>
      </w:r>
      <w:r w:rsidR="000E21A0" w:rsidRPr="003C6BC3">
        <w:rPr>
          <w:i/>
        </w:rPr>
        <w:t>evaluators</w:t>
      </w:r>
      <w:r w:rsidR="0081014B">
        <w:rPr>
          <w:i/>
        </w:rPr>
        <w:t>’</w:t>
      </w:r>
      <w:r w:rsidR="000E21A0" w:rsidRPr="003C6BC3">
        <w:rPr>
          <w:i/>
        </w:rPr>
        <w:t xml:space="preserve"> previous experience as an expert</w:t>
      </w:r>
      <w:r w:rsidR="000E21A0" w:rsidRPr="003C1534">
        <w:rPr>
          <w:b/>
        </w:rPr>
        <w:t xml:space="preserve"> </w:t>
      </w:r>
      <w:r w:rsidR="000E21A0" w:rsidRPr="003C6BC3">
        <w:rPr>
          <w:i/>
        </w:rPr>
        <w:t>witness</w:t>
      </w:r>
      <w:r w:rsidR="000E21A0">
        <w:t xml:space="preserve"> </w:t>
      </w:r>
      <w:r w:rsidR="000E21A0" w:rsidRPr="000E21A0">
        <w:t>(</w:t>
      </w:r>
      <w:r w:rsidR="00A51542">
        <w:t>Indigenous</w:t>
      </w:r>
      <w:r w:rsidR="00A20DBC">
        <w:t xml:space="preserve"> </w:t>
      </w:r>
      <w:r w:rsidR="00785FEF">
        <w:t>8.3</w:t>
      </w:r>
      <w:r w:rsidR="00A20DBC">
        <w:t>%,</w:t>
      </w:r>
      <w:r w:rsidR="00A51542">
        <w:t xml:space="preserve"> </w:t>
      </w:r>
      <w:r w:rsidR="000E21A0" w:rsidRPr="00D2706A">
        <w:rPr>
          <w:i/>
        </w:rPr>
        <w:t>n</w:t>
      </w:r>
      <w:r w:rsidR="000E21A0" w:rsidRPr="000E21A0">
        <w:t xml:space="preserve"> = </w:t>
      </w:r>
      <w:r w:rsidR="00785FEF">
        <w:t>7</w:t>
      </w:r>
      <w:r w:rsidR="00A51542">
        <w:t>; Non-</w:t>
      </w:r>
      <w:r w:rsidR="00D67E78">
        <w:t>I</w:t>
      </w:r>
      <w:r w:rsidR="00A51542">
        <w:t xml:space="preserve">ndigenous </w:t>
      </w:r>
      <w:r w:rsidR="001F279B">
        <w:t>3.1</w:t>
      </w:r>
      <w:r w:rsidR="00A51542">
        <w:t xml:space="preserve">%, </w:t>
      </w:r>
      <w:r w:rsidR="00A51542" w:rsidRPr="009A2CB4">
        <w:rPr>
          <w:i/>
        </w:rPr>
        <w:t>n</w:t>
      </w:r>
      <w:r w:rsidR="00A51542" w:rsidRPr="000E21A0">
        <w:t xml:space="preserve"> = </w:t>
      </w:r>
      <w:r w:rsidR="001F279B">
        <w:t>4</w:t>
      </w:r>
      <w:r w:rsidR="000E21A0" w:rsidRPr="000E21A0">
        <w:t>)</w:t>
      </w:r>
      <w:r w:rsidR="000E21A0">
        <w:t xml:space="preserve"> and </w:t>
      </w:r>
      <w:r w:rsidR="000E21A0" w:rsidRPr="000E21A0">
        <w:t xml:space="preserve">the </w:t>
      </w:r>
      <w:r w:rsidR="00925D72" w:rsidRPr="003C6BC3">
        <w:rPr>
          <w:i/>
        </w:rPr>
        <w:t>evaluators</w:t>
      </w:r>
      <w:r w:rsidR="0081014B">
        <w:rPr>
          <w:i/>
        </w:rPr>
        <w:t>’</w:t>
      </w:r>
      <w:r w:rsidR="00925D72" w:rsidRPr="003C6BC3">
        <w:rPr>
          <w:i/>
        </w:rPr>
        <w:t xml:space="preserve"> reputation</w:t>
      </w:r>
      <w:r w:rsidR="00317B96" w:rsidRPr="003C6BC3">
        <w:rPr>
          <w:i/>
        </w:rPr>
        <w:t xml:space="preserve"> in their field</w:t>
      </w:r>
      <w:r w:rsidR="00925D72" w:rsidRPr="000E21A0">
        <w:t xml:space="preserve"> (</w:t>
      </w:r>
      <w:r w:rsidR="00A51542">
        <w:t>Indigenous</w:t>
      </w:r>
      <w:r w:rsidR="00A20DBC">
        <w:t xml:space="preserve"> </w:t>
      </w:r>
      <w:r w:rsidR="00785FEF">
        <w:t>2.4</w:t>
      </w:r>
      <w:r w:rsidR="00A20DBC">
        <w:t>%</w:t>
      </w:r>
      <w:r w:rsidR="00A51542">
        <w:t xml:space="preserve"> </w:t>
      </w:r>
      <w:r w:rsidR="00925D72" w:rsidRPr="00D2706A">
        <w:rPr>
          <w:i/>
        </w:rPr>
        <w:t>n</w:t>
      </w:r>
      <w:r w:rsidR="00925D72" w:rsidRPr="000E21A0">
        <w:t xml:space="preserve"> = </w:t>
      </w:r>
      <w:r w:rsidR="00785FEF">
        <w:t>2</w:t>
      </w:r>
      <w:r w:rsidR="00A51542">
        <w:t>; Non-</w:t>
      </w:r>
      <w:r w:rsidR="00D67E78">
        <w:t>I</w:t>
      </w:r>
      <w:r w:rsidR="00A51542">
        <w:t xml:space="preserve">ndigenous </w:t>
      </w:r>
      <w:r w:rsidR="001F279B">
        <w:t>1.5</w:t>
      </w:r>
      <w:r w:rsidR="00A51542">
        <w:t xml:space="preserve">%, </w:t>
      </w:r>
      <w:r w:rsidR="00A51542" w:rsidRPr="009A2CB4">
        <w:rPr>
          <w:i/>
        </w:rPr>
        <w:t>n</w:t>
      </w:r>
      <w:r w:rsidR="00A51542" w:rsidRPr="000E21A0">
        <w:t xml:space="preserve"> = </w:t>
      </w:r>
      <w:r w:rsidR="00A51542">
        <w:lastRenderedPageBreak/>
        <w:t>2</w:t>
      </w:r>
      <w:r w:rsidR="00925D72" w:rsidRPr="000E21A0">
        <w:t>)</w:t>
      </w:r>
      <w:r w:rsidR="000E21A0" w:rsidRPr="000E21A0">
        <w:t>.</w:t>
      </w:r>
      <w:r w:rsidR="00B75548">
        <w:t xml:space="preserve"> Frequencies for sub-theme</w:t>
      </w:r>
      <w:r w:rsidR="00A43BAE">
        <w:t>s</w:t>
      </w:r>
      <w:r w:rsidR="00B75548">
        <w:t xml:space="preserve"> were compared for cases with and without an Indigenous offender using tests of two proportions,</w:t>
      </w:r>
      <w:r w:rsidR="00454BB4">
        <w:t xml:space="preserve"> with</w:t>
      </w:r>
      <w:r w:rsidR="00B75548">
        <w:t xml:space="preserve"> no significant differences found (</w:t>
      </w:r>
      <w:r w:rsidR="00B75548" w:rsidRPr="000773EC">
        <w:rPr>
          <w:i/>
        </w:rPr>
        <w:t>p</w:t>
      </w:r>
      <w:r w:rsidR="00B75548">
        <w:t xml:space="preserve"> &gt; .07).</w:t>
      </w:r>
    </w:p>
    <w:p w14:paraId="3B47659D" w14:textId="77777777" w:rsidR="00D532DC" w:rsidRDefault="00D532DC" w:rsidP="00761039">
      <w:pPr>
        <w:spacing w:line="480" w:lineRule="auto"/>
        <w:ind w:firstLine="720"/>
      </w:pPr>
      <w:r>
        <w:rPr>
          <w:b/>
        </w:rPr>
        <w:t xml:space="preserve">Theme 2: Qualities of the </w:t>
      </w:r>
      <w:r w:rsidR="00B23C55">
        <w:rPr>
          <w:b/>
        </w:rPr>
        <w:t>VRA</w:t>
      </w:r>
      <w:r w:rsidR="000C5B8B">
        <w:rPr>
          <w:b/>
        </w:rPr>
        <w:t>(</w:t>
      </w:r>
      <w:r w:rsidR="00222BCC">
        <w:rPr>
          <w:b/>
        </w:rPr>
        <w:t>s</w:t>
      </w:r>
      <w:r w:rsidR="000C5B8B">
        <w:rPr>
          <w:b/>
        </w:rPr>
        <w:t>)</w:t>
      </w:r>
      <w:r w:rsidR="00222BCC">
        <w:rPr>
          <w:b/>
        </w:rPr>
        <w:t xml:space="preserve"> completed</w:t>
      </w:r>
      <w:r>
        <w:rPr>
          <w:b/>
        </w:rPr>
        <w:t xml:space="preserve">. </w:t>
      </w:r>
      <w:r w:rsidR="00534BE3">
        <w:t xml:space="preserve">The </w:t>
      </w:r>
      <w:r w:rsidR="003B2DF4">
        <w:t>e</w:t>
      </w:r>
      <w:r w:rsidR="002A7088">
        <w:t xml:space="preserve">ight </w:t>
      </w:r>
      <w:r w:rsidR="00B0539C">
        <w:t>sub-</w:t>
      </w:r>
      <w:r w:rsidR="00C069FF">
        <w:t xml:space="preserve">themes </w:t>
      </w:r>
      <w:r w:rsidR="003B2DF4">
        <w:t xml:space="preserve">from </w:t>
      </w:r>
      <w:proofErr w:type="spellStart"/>
      <w:r w:rsidR="003B2DF4">
        <w:t>Storey</w:t>
      </w:r>
      <w:proofErr w:type="spellEnd"/>
      <w:r w:rsidR="003B2DF4">
        <w:t xml:space="preserve"> et al. (2013) </w:t>
      </w:r>
      <w:r w:rsidR="00B0539C">
        <w:t xml:space="preserve">were present </w:t>
      </w:r>
      <w:r w:rsidR="00C069FF">
        <w:t xml:space="preserve">in the judicial comments on </w:t>
      </w:r>
      <w:r w:rsidR="003556E4">
        <w:t xml:space="preserve">the </w:t>
      </w:r>
      <w:r w:rsidR="00C069FF">
        <w:t xml:space="preserve">qualities of the </w:t>
      </w:r>
      <w:r w:rsidR="00F35B87">
        <w:t>VRA</w:t>
      </w:r>
      <w:r w:rsidR="00C069FF">
        <w:t xml:space="preserve"> tools used</w:t>
      </w:r>
      <w:r w:rsidR="00761039">
        <w:t xml:space="preserve"> in Indigenous cases</w:t>
      </w:r>
      <w:r w:rsidR="008E1287">
        <w:t xml:space="preserve"> (</w:t>
      </w:r>
      <w:r w:rsidR="008E1287" w:rsidRPr="008E1287">
        <w:rPr>
          <w:i/>
        </w:rPr>
        <w:t>n</w:t>
      </w:r>
      <w:r w:rsidR="008E1287">
        <w:t xml:space="preserve"> = 8</w:t>
      </w:r>
      <w:r w:rsidR="00772C5B">
        <w:t>4</w:t>
      </w:r>
      <w:r w:rsidR="008E1287">
        <w:t>)</w:t>
      </w:r>
      <w:r w:rsidR="00AD18C8">
        <w:t xml:space="preserve"> and non-Indigenous cases (</w:t>
      </w:r>
      <w:r w:rsidR="00AD18C8" w:rsidRPr="008E1287">
        <w:rPr>
          <w:i/>
        </w:rPr>
        <w:t>n</w:t>
      </w:r>
      <w:r w:rsidR="00AD18C8">
        <w:t xml:space="preserve"> = 1</w:t>
      </w:r>
      <w:r w:rsidR="00772C5B">
        <w:t>30</w:t>
      </w:r>
      <w:r w:rsidR="00AD18C8">
        <w:t>)</w:t>
      </w:r>
      <w:r w:rsidR="00D77DF5">
        <w:t>. The</w:t>
      </w:r>
      <w:r w:rsidR="00C069FF">
        <w:t xml:space="preserve"> </w:t>
      </w:r>
      <w:r w:rsidR="00D67E78">
        <w:t xml:space="preserve">first </w:t>
      </w:r>
      <w:r w:rsidR="00D77DF5">
        <w:t>sub-theme was</w:t>
      </w:r>
      <w:r w:rsidR="00C069FF">
        <w:t xml:space="preserve"> </w:t>
      </w:r>
      <w:r w:rsidR="00761039">
        <w:t xml:space="preserve">the </w:t>
      </w:r>
      <w:r w:rsidR="00761039" w:rsidRPr="00A56A77">
        <w:rPr>
          <w:i/>
        </w:rPr>
        <w:t xml:space="preserve">overall quality of the </w:t>
      </w:r>
      <w:r w:rsidR="00F35B87">
        <w:rPr>
          <w:i/>
        </w:rPr>
        <w:t>VRA</w:t>
      </w:r>
      <w:r w:rsidR="00761039">
        <w:t xml:space="preserve"> (</w:t>
      </w:r>
      <w:r w:rsidR="003556E4">
        <w:t xml:space="preserve">e.g., </w:t>
      </w:r>
      <w:r w:rsidR="00761039">
        <w:t xml:space="preserve"> “the </w:t>
      </w:r>
      <w:r w:rsidR="00F35B87">
        <w:t>VRA</w:t>
      </w:r>
      <w:r w:rsidR="00761039">
        <w:t xml:space="preserve"> used was deemed comprehensive yet practical”</w:t>
      </w:r>
      <w:r w:rsidR="00DA3227">
        <w:t>;</w:t>
      </w:r>
      <w:r w:rsidR="00D67E78">
        <w:t xml:space="preserve"> Indigenous</w:t>
      </w:r>
      <w:r w:rsidR="00A20DBC">
        <w:t xml:space="preserve"> 7</w:t>
      </w:r>
      <w:r w:rsidR="004D210B">
        <w:t>.1</w:t>
      </w:r>
      <w:r w:rsidR="00A20DBC">
        <w:t>%,</w:t>
      </w:r>
      <w:r w:rsidR="00DA3227">
        <w:t xml:space="preserve"> </w:t>
      </w:r>
      <w:r w:rsidR="00761039">
        <w:rPr>
          <w:i/>
        </w:rPr>
        <w:t xml:space="preserve">n = </w:t>
      </w:r>
      <w:r w:rsidR="00761039">
        <w:t>6</w:t>
      </w:r>
      <w:r w:rsidR="00D67E78">
        <w:t>; Non-Indigenous</w:t>
      </w:r>
      <w:r w:rsidR="00A20DBC">
        <w:t xml:space="preserve"> 6</w:t>
      </w:r>
      <w:r w:rsidR="00040936">
        <w:t>.2</w:t>
      </w:r>
      <w:r w:rsidR="00A20DBC">
        <w:t>%,</w:t>
      </w:r>
      <w:r w:rsidR="00D67E78">
        <w:t xml:space="preserve"> </w:t>
      </w:r>
      <w:r w:rsidR="00D67E78">
        <w:rPr>
          <w:i/>
        </w:rPr>
        <w:t xml:space="preserve">n = </w:t>
      </w:r>
      <w:r w:rsidR="00D67E78">
        <w:t>8</w:t>
      </w:r>
      <w:r w:rsidR="00761039">
        <w:t>)</w:t>
      </w:r>
      <w:r w:rsidR="00C069FF">
        <w:t xml:space="preserve">, </w:t>
      </w:r>
      <w:r w:rsidR="00D77DF5">
        <w:t xml:space="preserve">followed by </w:t>
      </w:r>
      <w:r w:rsidR="000C5B8B">
        <w:t xml:space="preserve"> </w:t>
      </w:r>
      <w:r w:rsidR="00761039" w:rsidRPr="00A56A77">
        <w:rPr>
          <w:i/>
        </w:rPr>
        <w:t xml:space="preserve">judicial preference for certain </w:t>
      </w:r>
      <w:r w:rsidR="00C02B79">
        <w:rPr>
          <w:i/>
        </w:rPr>
        <w:t>VRA</w:t>
      </w:r>
      <w:r w:rsidR="00C02B79" w:rsidRPr="00A56A77">
        <w:rPr>
          <w:i/>
        </w:rPr>
        <w:t xml:space="preserve"> </w:t>
      </w:r>
      <w:r w:rsidR="00761039" w:rsidRPr="00A56A77">
        <w:rPr>
          <w:i/>
        </w:rPr>
        <w:t>tools</w:t>
      </w:r>
      <w:r w:rsidR="00C069FF" w:rsidRPr="003C1534">
        <w:rPr>
          <w:b/>
        </w:rPr>
        <w:t xml:space="preserve"> </w:t>
      </w:r>
      <w:r w:rsidR="00761039">
        <w:t>(</w:t>
      </w:r>
      <w:r w:rsidR="003556E4">
        <w:t xml:space="preserve">e.g., </w:t>
      </w:r>
      <w:r w:rsidR="00761039">
        <w:t xml:space="preserve"> “the HCR-20 is the leading violence risk assessment tool [in the field]”) (</w:t>
      </w:r>
      <w:r w:rsidR="00D67E78">
        <w:t>Indigenous</w:t>
      </w:r>
      <w:r w:rsidR="00A20DBC">
        <w:t xml:space="preserve"> </w:t>
      </w:r>
      <w:r w:rsidR="00040936">
        <w:t>5.9</w:t>
      </w:r>
      <w:r w:rsidR="00A20DBC">
        <w:t>%,</w:t>
      </w:r>
      <w:r w:rsidR="00D67E78">
        <w:t xml:space="preserve"> </w:t>
      </w:r>
      <w:r w:rsidR="00761039">
        <w:rPr>
          <w:i/>
        </w:rPr>
        <w:t xml:space="preserve">n = </w:t>
      </w:r>
      <w:r w:rsidR="00761039">
        <w:t>5</w:t>
      </w:r>
      <w:r w:rsidR="00D67E78">
        <w:t>; Non-Indigenous</w:t>
      </w:r>
      <w:r w:rsidR="00FD2CD1">
        <w:t xml:space="preserve"> </w:t>
      </w:r>
      <w:r w:rsidR="00040936">
        <w:t>6.9</w:t>
      </w:r>
      <w:r w:rsidR="00FD2CD1">
        <w:t>%</w:t>
      </w:r>
      <w:r w:rsidR="00D67E78">
        <w:t xml:space="preserve">, </w:t>
      </w:r>
      <w:r w:rsidR="00D67E78" w:rsidRPr="00FC0B04">
        <w:rPr>
          <w:i/>
        </w:rPr>
        <w:t xml:space="preserve">n = </w:t>
      </w:r>
      <w:r w:rsidR="00D67E78" w:rsidRPr="00FC0B04">
        <w:t>9</w:t>
      </w:r>
      <w:r w:rsidR="00761039">
        <w:t xml:space="preserve">), </w:t>
      </w:r>
      <w:r w:rsidR="00C069FF">
        <w:t xml:space="preserve">and </w:t>
      </w:r>
      <w:r w:rsidR="0096173C" w:rsidRPr="00A56A77">
        <w:rPr>
          <w:i/>
        </w:rPr>
        <w:t xml:space="preserve">criticism of the </w:t>
      </w:r>
      <w:r w:rsidR="00C02B79">
        <w:rPr>
          <w:i/>
        </w:rPr>
        <w:t xml:space="preserve">VRA </w:t>
      </w:r>
      <w:r w:rsidR="0096173C" w:rsidRPr="00A56A77">
        <w:rPr>
          <w:i/>
        </w:rPr>
        <w:t>tool used</w:t>
      </w:r>
      <w:r w:rsidR="0096173C">
        <w:t xml:space="preserve"> (</w:t>
      </w:r>
      <w:r w:rsidR="003556E4">
        <w:t>e.g.,</w:t>
      </w:r>
      <w:r w:rsidR="0096173C">
        <w:t xml:space="preserve"> </w:t>
      </w:r>
      <w:r w:rsidR="003556E4">
        <w:t xml:space="preserve">where the judge found that </w:t>
      </w:r>
      <w:r w:rsidR="0096173C">
        <w:t xml:space="preserve">the tool was not validated by sufficient research or </w:t>
      </w:r>
      <w:r w:rsidR="003556E4">
        <w:t xml:space="preserve">that </w:t>
      </w:r>
      <w:r w:rsidR="0096173C">
        <w:t>the evaluator mishandled its use</w:t>
      </w:r>
      <w:r w:rsidR="00DA3227">
        <w:t>;</w:t>
      </w:r>
      <w:r w:rsidR="00D67E78">
        <w:t xml:space="preserve"> Indigenous</w:t>
      </w:r>
      <w:r w:rsidR="00A20DBC">
        <w:t xml:space="preserve"> </w:t>
      </w:r>
      <w:r w:rsidR="006F0DAF">
        <w:t>4.8</w:t>
      </w:r>
      <w:r w:rsidR="00A20DBC">
        <w:t>%,</w:t>
      </w:r>
      <w:r w:rsidR="00DA3227">
        <w:t xml:space="preserve"> </w:t>
      </w:r>
      <w:r>
        <w:rPr>
          <w:i/>
        </w:rPr>
        <w:t xml:space="preserve">n = </w:t>
      </w:r>
      <w:r>
        <w:t>4</w:t>
      </w:r>
      <w:r w:rsidR="00D67E78">
        <w:t>;</w:t>
      </w:r>
      <w:r w:rsidR="00A20DBC">
        <w:t xml:space="preserve"> </w:t>
      </w:r>
      <w:r w:rsidR="000C5B8B">
        <w:t xml:space="preserve">Non-Indigenous </w:t>
      </w:r>
      <w:r w:rsidR="006F0DAF">
        <w:t>6.9</w:t>
      </w:r>
      <w:r w:rsidR="00A20DBC">
        <w:t>%,</w:t>
      </w:r>
      <w:r w:rsidR="00D67E78">
        <w:t xml:space="preserve"> </w:t>
      </w:r>
      <w:r w:rsidR="00D67E78" w:rsidRPr="00FC0B04">
        <w:rPr>
          <w:i/>
        </w:rPr>
        <w:t xml:space="preserve">n = </w:t>
      </w:r>
      <w:r w:rsidR="00D67E78" w:rsidRPr="00FC0B04">
        <w:t>9</w:t>
      </w:r>
      <w:r>
        <w:t>)</w:t>
      </w:r>
      <w:r w:rsidR="0096173C">
        <w:t>.</w:t>
      </w:r>
      <w:r w:rsidR="00C069FF">
        <w:t xml:space="preserve"> </w:t>
      </w:r>
      <w:r w:rsidR="000C5B8B">
        <w:t xml:space="preserve">The remaining </w:t>
      </w:r>
      <w:r w:rsidR="00B0539C">
        <w:t>sub-</w:t>
      </w:r>
      <w:r>
        <w:t>themes</w:t>
      </w:r>
      <w:r w:rsidR="00DA3227">
        <w:t xml:space="preserve"> </w:t>
      </w:r>
      <w:r w:rsidR="000C5B8B">
        <w:t>were</w:t>
      </w:r>
      <w:r w:rsidR="00DA3227">
        <w:t>:</w:t>
      </w:r>
      <w:r>
        <w:t xml:space="preserve"> </w:t>
      </w:r>
      <w:r w:rsidRPr="00A56A77">
        <w:rPr>
          <w:i/>
        </w:rPr>
        <w:t xml:space="preserve">materials used in the </w:t>
      </w:r>
      <w:r w:rsidR="00C02B79">
        <w:rPr>
          <w:i/>
        </w:rPr>
        <w:t>VRA</w:t>
      </w:r>
      <w:r w:rsidR="00C02B79">
        <w:t xml:space="preserve"> </w:t>
      </w:r>
      <w:r>
        <w:t>(</w:t>
      </w:r>
      <w:r w:rsidR="003556E4">
        <w:t>e.g.,</w:t>
      </w:r>
      <w:r>
        <w:t xml:space="preserve"> interview with the defendant, case files)</w:t>
      </w:r>
      <w:r w:rsidR="00A56A77">
        <w:t xml:space="preserve"> (</w:t>
      </w:r>
      <w:r w:rsidR="00D67E78">
        <w:t>Indigenous</w:t>
      </w:r>
      <w:r w:rsidR="00A20DBC">
        <w:t xml:space="preserve"> </w:t>
      </w:r>
      <w:r w:rsidR="00E7006F">
        <w:t>3.5</w:t>
      </w:r>
      <w:r w:rsidR="00A20DBC">
        <w:t>%</w:t>
      </w:r>
      <w:r w:rsidR="00A56A77">
        <w:t xml:space="preserve"> </w:t>
      </w:r>
      <w:r w:rsidR="00A56A77">
        <w:rPr>
          <w:i/>
        </w:rPr>
        <w:t xml:space="preserve">n = </w:t>
      </w:r>
      <w:r w:rsidR="003C6BC3">
        <w:t>3</w:t>
      </w:r>
      <w:r w:rsidR="00D67E78">
        <w:t xml:space="preserve">; </w:t>
      </w:r>
      <w:r w:rsidR="000C5B8B">
        <w:t>N</w:t>
      </w:r>
      <w:r w:rsidR="00D67E78">
        <w:t>on-Indigenous</w:t>
      </w:r>
      <w:r w:rsidR="00A20DBC">
        <w:t xml:space="preserve"> </w:t>
      </w:r>
      <w:r w:rsidR="00E7006F">
        <w:t>8.5</w:t>
      </w:r>
      <w:r w:rsidR="00A20DBC">
        <w:t>%,</w:t>
      </w:r>
      <w:r w:rsidR="00D67E78">
        <w:t xml:space="preserve"> </w:t>
      </w:r>
      <w:r w:rsidR="00D67E78" w:rsidRPr="00FC0B04">
        <w:rPr>
          <w:i/>
        </w:rPr>
        <w:t xml:space="preserve">n = </w:t>
      </w:r>
      <w:r w:rsidR="00D67E78" w:rsidRPr="00FC0B04">
        <w:t>11</w:t>
      </w:r>
      <w:r w:rsidR="00A56A77">
        <w:t>)</w:t>
      </w:r>
      <w:r>
        <w:t xml:space="preserve">, </w:t>
      </w:r>
      <w:r w:rsidRPr="00A56A77">
        <w:rPr>
          <w:i/>
        </w:rPr>
        <w:t xml:space="preserve">comparison between two </w:t>
      </w:r>
      <w:r w:rsidR="00C02B79">
        <w:rPr>
          <w:i/>
        </w:rPr>
        <w:t>VRA</w:t>
      </w:r>
      <w:r w:rsidR="00C02B79" w:rsidRPr="00A56A77">
        <w:rPr>
          <w:i/>
        </w:rPr>
        <w:t xml:space="preserve"> </w:t>
      </w:r>
      <w:r w:rsidRPr="00A56A77">
        <w:rPr>
          <w:i/>
        </w:rPr>
        <w:t>tools</w:t>
      </w:r>
      <w:r w:rsidR="00A56A77">
        <w:rPr>
          <w:b/>
        </w:rPr>
        <w:t xml:space="preserve"> </w:t>
      </w:r>
      <w:r w:rsidR="00A56A77">
        <w:t>(</w:t>
      </w:r>
      <w:r w:rsidR="00D67E78">
        <w:t>Indigenous</w:t>
      </w:r>
      <w:r w:rsidR="00A20DBC">
        <w:t xml:space="preserve"> </w:t>
      </w:r>
      <w:r w:rsidR="00E7006F">
        <w:t>3.6</w:t>
      </w:r>
      <w:r w:rsidR="00A20DBC">
        <w:t>%,</w:t>
      </w:r>
      <w:r w:rsidR="00D67E78">
        <w:t xml:space="preserve"> </w:t>
      </w:r>
      <w:r w:rsidR="00A56A77">
        <w:rPr>
          <w:i/>
        </w:rPr>
        <w:t xml:space="preserve">n = </w:t>
      </w:r>
      <w:r w:rsidR="003C6BC3">
        <w:t>3</w:t>
      </w:r>
      <w:r w:rsidR="00D67E78">
        <w:t xml:space="preserve">; </w:t>
      </w:r>
      <w:r w:rsidR="000C5B8B">
        <w:t>N</w:t>
      </w:r>
      <w:r w:rsidR="00D67E78">
        <w:t>on-Indigenous</w:t>
      </w:r>
      <w:r w:rsidR="00A20DBC">
        <w:t xml:space="preserve"> 5</w:t>
      </w:r>
      <w:r w:rsidR="00E7006F">
        <w:t>.4</w:t>
      </w:r>
      <w:r w:rsidR="00A20DBC">
        <w:t>%,</w:t>
      </w:r>
      <w:r w:rsidR="00D67E78">
        <w:t xml:space="preserve"> </w:t>
      </w:r>
      <w:r w:rsidR="00D67E78">
        <w:rPr>
          <w:i/>
        </w:rPr>
        <w:t xml:space="preserve">n = </w:t>
      </w:r>
      <w:r w:rsidR="00D67E78">
        <w:t>7</w:t>
      </w:r>
      <w:r w:rsidR="007073F6">
        <w:t xml:space="preserve">; </w:t>
      </w:r>
      <w:r w:rsidR="007A671D">
        <w:t xml:space="preserve">e.g., </w:t>
      </w:r>
      <w:r w:rsidR="007073F6">
        <w:t>“</w:t>
      </w:r>
      <w:r w:rsidR="00A518B7">
        <w:rPr>
          <w:color w:val="000000"/>
          <w:shd w:val="clear" w:color="auto" w:fill="FFFFFF"/>
        </w:rPr>
        <w:t>The latter two experts were much more clear about what they had reviewed [than the first expert]”</w:t>
      </w:r>
      <w:r w:rsidR="00A56A77">
        <w:t>)</w:t>
      </w:r>
      <w:r>
        <w:t xml:space="preserve">, </w:t>
      </w:r>
      <w:r w:rsidRPr="003C6BC3">
        <w:rPr>
          <w:i/>
        </w:rPr>
        <w:t xml:space="preserve">the applicability of </w:t>
      </w:r>
      <w:r w:rsidR="00F35B87">
        <w:rPr>
          <w:i/>
        </w:rPr>
        <w:t>VRA</w:t>
      </w:r>
      <w:r w:rsidRPr="003C6BC3">
        <w:rPr>
          <w:i/>
        </w:rPr>
        <w:t xml:space="preserve"> with Indigenous defendants</w:t>
      </w:r>
      <w:r w:rsidR="00A56A77">
        <w:rPr>
          <w:b/>
        </w:rPr>
        <w:t xml:space="preserve"> </w:t>
      </w:r>
      <w:r w:rsidR="00A56A77">
        <w:t>(</w:t>
      </w:r>
      <w:r w:rsidR="00D67E78">
        <w:t>Indigenous</w:t>
      </w:r>
      <w:r w:rsidR="00A20DBC">
        <w:t xml:space="preserve"> </w:t>
      </w:r>
      <w:r w:rsidR="00E7006F">
        <w:t>3.6</w:t>
      </w:r>
      <w:r w:rsidR="00A20DBC">
        <w:t>%</w:t>
      </w:r>
      <w:r w:rsidR="00D67E78">
        <w:t xml:space="preserve"> </w:t>
      </w:r>
      <w:r w:rsidR="00A56A77">
        <w:rPr>
          <w:i/>
        </w:rPr>
        <w:t xml:space="preserve">n = </w:t>
      </w:r>
      <w:r w:rsidR="003C6BC3">
        <w:t>3</w:t>
      </w:r>
      <w:r w:rsidR="00D67E78">
        <w:t xml:space="preserve">; </w:t>
      </w:r>
      <w:r w:rsidR="00926DF5">
        <w:t>N</w:t>
      </w:r>
      <w:r w:rsidR="00D67E78">
        <w:t xml:space="preserve">on-Indigenous  </w:t>
      </w:r>
      <w:r w:rsidR="00D67E78" w:rsidRPr="00A20DBC">
        <w:rPr>
          <w:i/>
        </w:rPr>
        <w:t>n</w:t>
      </w:r>
      <w:r w:rsidR="00D67E78">
        <w:t xml:space="preserve"> = 0</w:t>
      </w:r>
      <w:r w:rsidR="00BE2569">
        <w:t xml:space="preserve">; </w:t>
      </w:r>
      <w:r w:rsidR="007A671D">
        <w:t xml:space="preserve">e.g., </w:t>
      </w:r>
      <w:r w:rsidR="00BE2569">
        <w:t>“</w:t>
      </w:r>
      <w:r w:rsidR="000E1B73">
        <w:t xml:space="preserve">[the issue of whether] </w:t>
      </w:r>
      <w:r w:rsidR="00BE2569" w:rsidRPr="00BE2569">
        <w:t xml:space="preserve">the CSC's reliance on actuarial risk assessment tools for aboriginal offenders constitutes a breach of its obligations under the CCRA </w:t>
      </w:r>
      <w:r w:rsidR="000E1B73">
        <w:t>and</w:t>
      </w:r>
      <w:r w:rsidR="00BE2569" w:rsidRPr="00BE2569">
        <w:t xml:space="preserve"> s. 7 and/or 15 of the Charter</w:t>
      </w:r>
      <w:r w:rsidR="00BE2569">
        <w:t>”</w:t>
      </w:r>
      <w:r w:rsidR="00A56A77">
        <w:t>)</w:t>
      </w:r>
      <w:r>
        <w:t xml:space="preserve">,  </w:t>
      </w:r>
      <w:r w:rsidRPr="003C6BC3">
        <w:rPr>
          <w:i/>
        </w:rPr>
        <w:t xml:space="preserve">the outcome of the </w:t>
      </w:r>
      <w:r w:rsidR="00C02B79">
        <w:rPr>
          <w:i/>
        </w:rPr>
        <w:t>VRA</w:t>
      </w:r>
      <w:r w:rsidR="00C02B79" w:rsidRPr="003C6BC3">
        <w:rPr>
          <w:i/>
        </w:rPr>
        <w:t xml:space="preserve"> </w:t>
      </w:r>
      <w:r w:rsidRPr="003C6BC3">
        <w:rPr>
          <w:i/>
        </w:rPr>
        <w:t>tool</w:t>
      </w:r>
      <w:r w:rsidR="00A56A77">
        <w:rPr>
          <w:b/>
        </w:rPr>
        <w:t xml:space="preserve"> </w:t>
      </w:r>
      <w:r w:rsidR="00A56A77">
        <w:t>(</w:t>
      </w:r>
      <w:r w:rsidR="00D67E78">
        <w:t>Indigenous</w:t>
      </w:r>
      <w:r w:rsidR="00A56A77">
        <w:t xml:space="preserve"> </w:t>
      </w:r>
      <w:r w:rsidR="00A20DBC">
        <w:t>2</w:t>
      </w:r>
      <w:r w:rsidR="00F1771C">
        <w:t>.4</w:t>
      </w:r>
      <w:r w:rsidR="00A20DBC">
        <w:t xml:space="preserve">%, </w:t>
      </w:r>
      <w:r w:rsidR="00A56A77">
        <w:rPr>
          <w:i/>
        </w:rPr>
        <w:t xml:space="preserve">n = </w:t>
      </w:r>
      <w:r w:rsidR="003C6BC3">
        <w:t>2</w:t>
      </w:r>
      <w:r w:rsidR="00D67E78">
        <w:t xml:space="preserve">; </w:t>
      </w:r>
      <w:r w:rsidR="000C5B8B">
        <w:t>N</w:t>
      </w:r>
      <w:r w:rsidR="00D67E78">
        <w:t>on-Indigenous</w:t>
      </w:r>
      <w:r w:rsidR="00A20DBC">
        <w:t xml:space="preserve"> </w:t>
      </w:r>
      <w:r w:rsidR="00F1771C">
        <w:t>7.7</w:t>
      </w:r>
      <w:r w:rsidR="00A20DBC">
        <w:t>%,</w:t>
      </w:r>
      <w:r w:rsidR="00D67E78">
        <w:t xml:space="preserve"> </w:t>
      </w:r>
      <w:r w:rsidR="00D67E78" w:rsidRPr="00FC0B04">
        <w:rPr>
          <w:i/>
        </w:rPr>
        <w:t xml:space="preserve">n = </w:t>
      </w:r>
      <w:r w:rsidR="00D67E78" w:rsidRPr="00FC0B04">
        <w:t>10</w:t>
      </w:r>
      <w:r w:rsidR="00D56799">
        <w:t xml:space="preserve">; </w:t>
      </w:r>
      <w:r w:rsidR="007A671D">
        <w:t xml:space="preserve">e.g., </w:t>
      </w:r>
      <w:r w:rsidR="00D56799">
        <w:t>“</w:t>
      </w:r>
      <w:r w:rsidR="00AB269A">
        <w:t>[the risk assessment total]</w:t>
      </w:r>
      <w:r w:rsidR="00D56799" w:rsidRPr="00D56799">
        <w:t xml:space="preserve"> scores were lower than those obtained by </w:t>
      </w:r>
      <w:r w:rsidR="00AB269A">
        <w:t>[the evaluator]</w:t>
      </w:r>
      <w:r w:rsidR="00D56799" w:rsidRPr="00D56799">
        <w:t xml:space="preserve"> on the same measures (two points lower on the Static-99R and six points lower on the PCL-R</w:t>
      </w:r>
      <w:r w:rsidR="00AB269A">
        <w:t>)”</w:t>
      </w:r>
      <w:r w:rsidR="00A56A77">
        <w:t>)</w:t>
      </w:r>
      <w:r w:rsidR="003C6BC3">
        <w:t xml:space="preserve">, and </w:t>
      </w:r>
      <w:r w:rsidR="003C6BC3" w:rsidRPr="0049574A">
        <w:rPr>
          <w:i/>
        </w:rPr>
        <w:t xml:space="preserve">the content of the </w:t>
      </w:r>
      <w:r w:rsidR="00C02B79">
        <w:rPr>
          <w:i/>
        </w:rPr>
        <w:t>VRA</w:t>
      </w:r>
      <w:r w:rsidR="00C02B79" w:rsidRPr="0049574A">
        <w:rPr>
          <w:i/>
        </w:rPr>
        <w:t xml:space="preserve"> </w:t>
      </w:r>
      <w:r w:rsidR="003C6BC3" w:rsidRPr="0049574A">
        <w:rPr>
          <w:i/>
        </w:rPr>
        <w:t>tool</w:t>
      </w:r>
      <w:r w:rsidR="003C6BC3">
        <w:rPr>
          <w:b/>
        </w:rPr>
        <w:t xml:space="preserve"> </w:t>
      </w:r>
      <w:r w:rsidR="00D67E78">
        <w:t>(Indigenous</w:t>
      </w:r>
      <w:r w:rsidR="00A20DBC">
        <w:t xml:space="preserve"> 1</w:t>
      </w:r>
      <w:r w:rsidR="00F1771C">
        <w:t>.2</w:t>
      </w:r>
      <w:r w:rsidR="00A20DBC">
        <w:t>%,</w:t>
      </w:r>
      <w:r w:rsidR="003C6BC3">
        <w:t xml:space="preserve"> </w:t>
      </w:r>
      <w:r w:rsidR="003C6BC3">
        <w:rPr>
          <w:i/>
        </w:rPr>
        <w:t xml:space="preserve">n = </w:t>
      </w:r>
      <w:r w:rsidR="00A20DBC">
        <w:t>1</w:t>
      </w:r>
      <w:r w:rsidR="00D67E78">
        <w:t xml:space="preserve">; </w:t>
      </w:r>
      <w:r w:rsidR="000C5B8B">
        <w:t>N</w:t>
      </w:r>
      <w:r w:rsidR="00D67E78">
        <w:t>on-Indigenous</w:t>
      </w:r>
      <w:r w:rsidR="00A20DBC">
        <w:t xml:space="preserve"> 5</w:t>
      </w:r>
      <w:r w:rsidR="00F1771C">
        <w:t>.4</w:t>
      </w:r>
      <w:r w:rsidR="00A20DBC">
        <w:t>%,</w:t>
      </w:r>
      <w:r w:rsidR="00D67E78">
        <w:t xml:space="preserve"> </w:t>
      </w:r>
      <w:r w:rsidR="00D67E78">
        <w:rPr>
          <w:i/>
        </w:rPr>
        <w:t xml:space="preserve">n = </w:t>
      </w:r>
      <w:r w:rsidR="00A20DBC">
        <w:t>7</w:t>
      </w:r>
      <w:r w:rsidR="003C6BC3">
        <w:t>).</w:t>
      </w:r>
    </w:p>
    <w:p w14:paraId="3D120DFA" w14:textId="77777777" w:rsidR="009A1927" w:rsidRDefault="006635F3" w:rsidP="00D532DC">
      <w:pPr>
        <w:spacing w:line="480" w:lineRule="auto"/>
        <w:ind w:firstLine="720"/>
      </w:pPr>
      <w:r>
        <w:lastRenderedPageBreak/>
        <w:t xml:space="preserve">When comparing the statistical </w:t>
      </w:r>
      <w:r w:rsidR="00DA3227">
        <w:t>significance</w:t>
      </w:r>
      <w:r w:rsidR="009A1927">
        <w:t xml:space="preserve"> of the proportions </w:t>
      </w:r>
      <w:r>
        <w:t xml:space="preserve">of Indigenous and </w:t>
      </w:r>
      <w:r w:rsidR="00926DF5">
        <w:t>N</w:t>
      </w:r>
      <w:r>
        <w:t xml:space="preserve">on-Indigenous sub-themes </w:t>
      </w:r>
      <w:r w:rsidR="00926DF5">
        <w:t>regarding the</w:t>
      </w:r>
      <w:r>
        <w:t xml:space="preserve"> qualit</w:t>
      </w:r>
      <w:r w:rsidR="00926DF5">
        <w:t>ies</w:t>
      </w:r>
      <w:r>
        <w:t xml:space="preserve"> of the </w:t>
      </w:r>
      <w:r w:rsidR="00B3324C">
        <w:t>VRA</w:t>
      </w:r>
      <w:r>
        <w:t xml:space="preserve">, </w:t>
      </w:r>
      <w:r w:rsidR="00926DF5">
        <w:t>only one theme showed a significant difference,</w:t>
      </w:r>
      <w:r w:rsidR="00AC1022">
        <w:t xml:space="preserve"> </w:t>
      </w:r>
      <w:r w:rsidRPr="002A7088">
        <w:rPr>
          <w:i/>
        </w:rPr>
        <w:t xml:space="preserve">content of the </w:t>
      </w:r>
      <w:r w:rsidR="00F35B87">
        <w:rPr>
          <w:i/>
        </w:rPr>
        <w:t>VRA</w:t>
      </w:r>
      <w:r>
        <w:t xml:space="preserve"> (</w:t>
      </w:r>
      <w:r>
        <w:rPr>
          <w:i/>
        </w:rPr>
        <w:t xml:space="preserve">p </w:t>
      </w:r>
      <w:r>
        <w:t>= .0</w:t>
      </w:r>
      <w:r w:rsidR="00CB67E7">
        <w:t>3</w:t>
      </w:r>
      <w:r>
        <w:t>)</w:t>
      </w:r>
      <w:r w:rsidR="00926DF5">
        <w:t xml:space="preserve">. </w:t>
      </w:r>
      <w:r w:rsidR="00274A5A">
        <w:t>An example of this theme is</w:t>
      </w:r>
      <w:r w:rsidR="004C4E65">
        <w:t xml:space="preserve">: </w:t>
      </w:r>
      <w:r w:rsidR="001A2C4F">
        <w:t>“</w:t>
      </w:r>
      <w:r w:rsidR="001A2C4F">
        <w:rPr>
          <w:color w:val="000000"/>
          <w:shd w:val="clear" w:color="auto" w:fill="FFFFFF"/>
        </w:rPr>
        <w:t xml:space="preserve">some concerns with respect to [the evaluator’s] report. </w:t>
      </w:r>
      <w:r w:rsidR="001A2C4F" w:rsidRPr="000E0CD4">
        <w:t>His risk assessment testing</w:t>
      </w:r>
      <w:r w:rsidR="001A2C4F">
        <w:rPr>
          <w:color w:val="000000"/>
          <w:shd w:val="clear" w:color="auto" w:fill="FFFFFF"/>
        </w:rPr>
        <w:t xml:space="preserve"> seems to be limited in that apart from the psychological type testing he did, his report reflects that the only </w:t>
      </w:r>
      <w:r w:rsidR="007D065B">
        <w:rPr>
          <w:color w:val="000000"/>
          <w:shd w:val="clear" w:color="auto" w:fill="FFFFFF"/>
        </w:rPr>
        <w:t>‘</w:t>
      </w:r>
      <w:r w:rsidR="001A2C4F">
        <w:rPr>
          <w:color w:val="000000"/>
          <w:shd w:val="clear" w:color="auto" w:fill="FFFFFF"/>
        </w:rPr>
        <w:t>risk instrument</w:t>
      </w:r>
      <w:r w:rsidR="007D065B">
        <w:rPr>
          <w:color w:val="000000"/>
          <w:shd w:val="clear" w:color="auto" w:fill="FFFFFF"/>
        </w:rPr>
        <w:t>’</w:t>
      </w:r>
      <w:r w:rsidR="001A2C4F">
        <w:rPr>
          <w:color w:val="000000"/>
          <w:shd w:val="clear" w:color="auto" w:fill="FFFFFF"/>
        </w:rPr>
        <w:t xml:space="preserve"> he used as the PCL-R-2</w:t>
      </w:r>
      <w:r w:rsidR="007D065B">
        <w:rPr>
          <w:color w:val="000000"/>
          <w:shd w:val="clear" w:color="auto" w:fill="FFFFFF"/>
        </w:rPr>
        <w:t xml:space="preserve">.” </w:t>
      </w:r>
      <w:r w:rsidR="00926DF5">
        <w:t>A discussion of the content of the VRA was more common</w:t>
      </w:r>
      <w:r w:rsidR="00AC1022">
        <w:t xml:space="preserve"> in non-Indigenous cases (</w:t>
      </w:r>
      <w:r w:rsidR="002F1718" w:rsidRPr="002F1718">
        <w:rPr>
          <w:i/>
        </w:rPr>
        <w:t>n</w:t>
      </w:r>
      <w:r w:rsidR="002F1718">
        <w:t xml:space="preserve"> = 7</w:t>
      </w:r>
      <w:r w:rsidR="00AC1022">
        <w:t>) than in Indigenous cases</w:t>
      </w:r>
      <w:r w:rsidR="002F1718">
        <w:t xml:space="preserve"> (</w:t>
      </w:r>
      <w:r w:rsidR="002F1718" w:rsidRPr="002F1718">
        <w:rPr>
          <w:i/>
        </w:rPr>
        <w:t>n</w:t>
      </w:r>
      <w:r w:rsidR="002F1718">
        <w:t xml:space="preserve"> = </w:t>
      </w:r>
      <w:r w:rsidR="00A20DBC">
        <w:t>1</w:t>
      </w:r>
      <w:r w:rsidR="002F1718">
        <w:t>)</w:t>
      </w:r>
      <w:r>
        <w:t xml:space="preserve">. </w:t>
      </w:r>
      <w:r w:rsidR="00981C47">
        <w:t xml:space="preserve">No other subthemes were significantly </w:t>
      </w:r>
      <w:r w:rsidR="00403D9B">
        <w:t>different in Indigenous and non-Indigenous cases (</w:t>
      </w:r>
      <w:r w:rsidR="00403D9B" w:rsidRPr="009C14DA">
        <w:rPr>
          <w:i/>
          <w:iCs/>
        </w:rPr>
        <w:t>p</w:t>
      </w:r>
      <w:r w:rsidR="00403D9B">
        <w:t xml:space="preserve"> &gt; .10).</w:t>
      </w:r>
    </w:p>
    <w:p w14:paraId="78AF16C5" w14:textId="0B1287E8" w:rsidR="0047601B" w:rsidRPr="00A43BAE" w:rsidRDefault="00AC1022">
      <w:pPr>
        <w:spacing w:line="480" w:lineRule="auto"/>
        <w:ind w:firstLine="720"/>
      </w:pPr>
      <w:r>
        <w:t>The</w:t>
      </w:r>
      <w:r w:rsidR="009A1927">
        <w:t xml:space="preserve"> frequency </w:t>
      </w:r>
      <w:r>
        <w:t xml:space="preserve">with which </w:t>
      </w:r>
      <w:r w:rsidR="00A20DBC">
        <w:t>VRA</w:t>
      </w:r>
      <w:r w:rsidR="009A1927">
        <w:t xml:space="preserve"> tools </w:t>
      </w:r>
      <w:r>
        <w:t>were used in Indigenous and non-Indigenous cases was also examined</w:t>
      </w:r>
      <w:r w:rsidR="002E786E">
        <w:t xml:space="preserve"> </w:t>
      </w:r>
      <w:r w:rsidR="00503CE9">
        <w:t xml:space="preserve">(see Table </w:t>
      </w:r>
      <w:r w:rsidR="009C3F6D">
        <w:t>3</w:t>
      </w:r>
      <w:r w:rsidR="00503CE9">
        <w:t>)</w:t>
      </w:r>
      <w:r w:rsidR="00933CFF" w:rsidRPr="00933CFF">
        <w:t>.</w:t>
      </w:r>
      <w:r w:rsidR="003A0590" w:rsidRPr="003A0590">
        <w:t xml:space="preserve">The </w:t>
      </w:r>
      <w:r w:rsidR="003A0590">
        <w:t>Non-Indigenous defendants</w:t>
      </w:r>
      <w:r w:rsidR="003A0590" w:rsidRPr="003A0590">
        <w:t xml:space="preserve"> (</w:t>
      </w:r>
      <w:r w:rsidR="003A0590" w:rsidRPr="003A0590">
        <w:rPr>
          <w:i/>
          <w:iCs/>
        </w:rPr>
        <w:t>M</w:t>
      </w:r>
      <w:r w:rsidR="003A0590" w:rsidRPr="003A0590">
        <w:t xml:space="preserve"> = </w:t>
      </w:r>
      <w:r w:rsidR="00201992">
        <w:t>3.90</w:t>
      </w:r>
      <w:r w:rsidR="003A0590" w:rsidRPr="003A0590">
        <w:t>, </w:t>
      </w:r>
      <w:r w:rsidR="003A0590" w:rsidRPr="003A0590">
        <w:rPr>
          <w:i/>
          <w:iCs/>
        </w:rPr>
        <w:t>SD</w:t>
      </w:r>
      <w:r w:rsidR="003A0590" w:rsidRPr="003A0590">
        <w:t xml:space="preserve"> = </w:t>
      </w:r>
      <w:r w:rsidR="00201992">
        <w:t>2.68</w:t>
      </w:r>
      <w:r w:rsidR="003A0590" w:rsidRPr="003A0590">
        <w:t xml:space="preserve">) compared to the </w:t>
      </w:r>
      <w:r w:rsidR="00201992">
        <w:t xml:space="preserve">Indigenous </w:t>
      </w:r>
      <w:r w:rsidR="00114D14">
        <w:t>defendants</w:t>
      </w:r>
      <w:r w:rsidR="003A0590" w:rsidRPr="003A0590">
        <w:t xml:space="preserve"> (</w:t>
      </w:r>
      <w:r w:rsidR="003A0590" w:rsidRPr="003A0590">
        <w:rPr>
          <w:i/>
          <w:iCs/>
        </w:rPr>
        <w:t>M</w:t>
      </w:r>
      <w:r w:rsidR="003A0590" w:rsidRPr="003A0590">
        <w:t xml:space="preserve"> = </w:t>
      </w:r>
      <w:r w:rsidR="00114D14">
        <w:t>3.07</w:t>
      </w:r>
      <w:r w:rsidR="003A0590" w:rsidRPr="003A0590">
        <w:t>, </w:t>
      </w:r>
      <w:r w:rsidR="003A0590" w:rsidRPr="003A0590">
        <w:rPr>
          <w:i/>
          <w:iCs/>
        </w:rPr>
        <w:t>SD</w:t>
      </w:r>
      <w:r w:rsidR="003A0590" w:rsidRPr="003A0590">
        <w:t xml:space="preserve"> = </w:t>
      </w:r>
      <w:r w:rsidR="00114D14">
        <w:t>1.75</w:t>
      </w:r>
      <w:r w:rsidR="003A0590" w:rsidRPr="003A0590">
        <w:t xml:space="preserve">) </w:t>
      </w:r>
      <w:r w:rsidR="00201992">
        <w:t>were assessed using a significantly higher number of VRA tools</w:t>
      </w:r>
      <w:r w:rsidR="003A0590" w:rsidRPr="003A0590">
        <w:t>, </w:t>
      </w:r>
      <w:r w:rsidR="003A0590" w:rsidRPr="003A0590">
        <w:rPr>
          <w:i/>
          <w:iCs/>
        </w:rPr>
        <w:t>t</w:t>
      </w:r>
      <w:r w:rsidR="003A0590" w:rsidRPr="003A0590">
        <w:t>(</w:t>
      </w:r>
      <w:r w:rsidR="00BD5236">
        <w:t>167</w:t>
      </w:r>
      <w:r w:rsidR="003A0590" w:rsidRPr="003A0590">
        <w:t xml:space="preserve">) = </w:t>
      </w:r>
      <w:r w:rsidR="00BD5236">
        <w:t>-2.43</w:t>
      </w:r>
      <w:r w:rsidR="003A0590" w:rsidRPr="003A0590">
        <w:t>, </w:t>
      </w:r>
      <w:r w:rsidR="003A0590" w:rsidRPr="003A0590">
        <w:rPr>
          <w:i/>
          <w:iCs/>
        </w:rPr>
        <w:t>p</w:t>
      </w:r>
      <w:r w:rsidR="003A0590" w:rsidRPr="003A0590">
        <w:t> = .0</w:t>
      </w:r>
      <w:r w:rsidR="00257FB4">
        <w:t>2</w:t>
      </w:r>
      <w:r w:rsidR="003A0590" w:rsidRPr="003A0590">
        <w:t>.</w:t>
      </w:r>
      <w:r w:rsidR="00201992">
        <w:t xml:space="preserve"> When comparisons were broken down by tool, </w:t>
      </w:r>
      <w:r w:rsidR="00493C11">
        <w:t>t</w:t>
      </w:r>
      <w:r w:rsidR="007D7BB2">
        <w:t xml:space="preserve">hree tools were used more frequently to assess Indigenous defendants than </w:t>
      </w:r>
      <w:r w:rsidR="00154DAE">
        <w:t>Non-Indigenous defendants: the RSVP (</w:t>
      </w:r>
      <w:r w:rsidR="00BB1145" w:rsidRPr="000E0CD4">
        <w:rPr>
          <w:i/>
          <w:iCs/>
        </w:rPr>
        <w:t>p</w:t>
      </w:r>
      <w:r w:rsidR="00BB1145">
        <w:t xml:space="preserve"> = .01), the HCR-20 </w:t>
      </w:r>
      <w:r w:rsidR="004D6E2E">
        <w:t>(</w:t>
      </w:r>
      <w:r w:rsidR="004D6E2E" w:rsidRPr="000E0CD4">
        <w:rPr>
          <w:i/>
          <w:iCs/>
        </w:rPr>
        <w:t>p</w:t>
      </w:r>
      <w:r w:rsidR="004D6E2E">
        <w:t xml:space="preserve"> = .01), and the SARA (</w:t>
      </w:r>
      <w:r w:rsidR="004D6E2E" w:rsidRPr="000E0CD4">
        <w:rPr>
          <w:i/>
          <w:iCs/>
        </w:rPr>
        <w:t>p</w:t>
      </w:r>
      <w:r w:rsidR="004D6E2E">
        <w:t xml:space="preserve"> = .04)</w:t>
      </w:r>
      <w:r w:rsidR="00493C11">
        <w:t>.</w:t>
      </w:r>
      <w:r w:rsidR="004D6E2E">
        <w:t xml:space="preserve"> </w:t>
      </w:r>
      <w:r w:rsidR="00493C11">
        <w:t>T</w:t>
      </w:r>
      <w:r w:rsidR="00B36A88">
        <w:t>hree</w:t>
      </w:r>
      <w:r w:rsidR="004D6E2E">
        <w:t xml:space="preserve"> tools were employed to assess Non-Indigenous defendants more often: the </w:t>
      </w:r>
      <w:r w:rsidR="00B36A88">
        <w:t>PCL-R (</w:t>
      </w:r>
      <w:r w:rsidR="00B36A88" w:rsidRPr="000E0CD4">
        <w:rPr>
          <w:i/>
          <w:iCs/>
        </w:rPr>
        <w:t>p</w:t>
      </w:r>
      <w:r w:rsidR="00B36A88">
        <w:t xml:space="preserve"> &lt; .0</w:t>
      </w:r>
      <w:r w:rsidR="008F1376">
        <w:t>1), the SORAG (</w:t>
      </w:r>
      <w:r w:rsidR="008F1376" w:rsidRPr="000E0CD4">
        <w:rPr>
          <w:i/>
          <w:iCs/>
        </w:rPr>
        <w:t>p</w:t>
      </w:r>
      <w:r w:rsidR="008F1376">
        <w:t xml:space="preserve"> = .03), and the VRAG (</w:t>
      </w:r>
      <w:r w:rsidR="008F1376" w:rsidRPr="000E0CD4">
        <w:rPr>
          <w:i/>
          <w:iCs/>
        </w:rPr>
        <w:t>p</w:t>
      </w:r>
      <w:r w:rsidR="008F1376">
        <w:t xml:space="preserve"> = .03).</w:t>
      </w:r>
    </w:p>
    <w:p w14:paraId="7009736F" w14:textId="77777777" w:rsidR="00544291" w:rsidRDefault="00946F98" w:rsidP="00946F98">
      <w:pPr>
        <w:spacing w:line="480" w:lineRule="auto"/>
        <w:ind w:firstLine="720"/>
      </w:pPr>
      <w:r>
        <w:rPr>
          <w:b/>
        </w:rPr>
        <w:t>Theme 3: Qualities of the evaluators</w:t>
      </w:r>
      <w:r w:rsidR="0081014B">
        <w:rPr>
          <w:b/>
        </w:rPr>
        <w:t>’</w:t>
      </w:r>
      <w:r>
        <w:rPr>
          <w:b/>
        </w:rPr>
        <w:t xml:space="preserve"> </w:t>
      </w:r>
      <w:r w:rsidR="00222BCC">
        <w:rPr>
          <w:b/>
        </w:rPr>
        <w:t xml:space="preserve">expert witness </w:t>
      </w:r>
      <w:r>
        <w:rPr>
          <w:b/>
        </w:rPr>
        <w:t>testimony</w:t>
      </w:r>
      <w:r w:rsidR="00222BCC">
        <w:rPr>
          <w:b/>
        </w:rPr>
        <w:t xml:space="preserve"> about the VRA</w:t>
      </w:r>
      <w:r>
        <w:rPr>
          <w:b/>
        </w:rPr>
        <w:t xml:space="preserve">. </w:t>
      </w:r>
      <w:r w:rsidR="004C0071">
        <w:t>The f</w:t>
      </w:r>
      <w:r w:rsidR="00755FA7">
        <w:t>our</w:t>
      </w:r>
      <w:r>
        <w:t xml:space="preserve"> sub-</w:t>
      </w:r>
      <w:r w:rsidR="00755FA7">
        <w:t xml:space="preserve">themes </w:t>
      </w:r>
      <w:r w:rsidR="004C0071">
        <w:t xml:space="preserve">first found by </w:t>
      </w:r>
      <w:proofErr w:type="spellStart"/>
      <w:r w:rsidR="004C0071">
        <w:t>Storey</w:t>
      </w:r>
      <w:proofErr w:type="spellEnd"/>
      <w:r w:rsidR="004C0071">
        <w:t xml:space="preserve"> et al. (2013) also </w:t>
      </w:r>
      <w:r w:rsidR="00755FA7">
        <w:t>were apparent throughout the judicial comments on the evaluators’ testimony</w:t>
      </w:r>
      <w:r>
        <w:t xml:space="preserve"> in Indigenous cases</w:t>
      </w:r>
      <w:r w:rsidR="00D90B81">
        <w:t xml:space="preserve"> (</w:t>
      </w:r>
      <w:r w:rsidR="00D90B81" w:rsidRPr="000773EC">
        <w:rPr>
          <w:i/>
        </w:rPr>
        <w:t>n</w:t>
      </w:r>
      <w:r w:rsidR="00D90B81">
        <w:t xml:space="preserve"> = </w:t>
      </w:r>
      <w:r w:rsidR="00D32F86">
        <w:t>8</w:t>
      </w:r>
      <w:r w:rsidR="00772C5B">
        <w:t>4</w:t>
      </w:r>
      <w:r w:rsidR="00D90B81">
        <w:t>)</w:t>
      </w:r>
      <w:r w:rsidR="00DD043C">
        <w:t xml:space="preserve"> and </w:t>
      </w:r>
      <w:r w:rsidR="009C14DA">
        <w:t>N</w:t>
      </w:r>
      <w:r w:rsidR="00DD043C">
        <w:t>on-Indigenous cases (</w:t>
      </w:r>
      <w:r w:rsidR="00DD043C" w:rsidRPr="000773EC">
        <w:rPr>
          <w:i/>
        </w:rPr>
        <w:t>n</w:t>
      </w:r>
      <w:r w:rsidR="00DD043C">
        <w:t xml:space="preserve"> = 1</w:t>
      </w:r>
      <w:r w:rsidR="00772C5B">
        <w:t>30</w:t>
      </w:r>
      <w:r w:rsidR="00DD043C">
        <w:t>)</w:t>
      </w:r>
      <w:r w:rsidR="00755FA7">
        <w:t xml:space="preserve">. </w:t>
      </w:r>
      <w:r>
        <w:t xml:space="preserve">The </w:t>
      </w:r>
      <w:r w:rsidR="00DD043C">
        <w:t>first</w:t>
      </w:r>
      <w:r>
        <w:t xml:space="preserve"> sub-theme </w:t>
      </w:r>
      <w:r w:rsidR="00DD043C">
        <w:t xml:space="preserve">was </w:t>
      </w:r>
      <w:r w:rsidR="00755FA7">
        <w:t xml:space="preserve">the </w:t>
      </w:r>
      <w:r w:rsidR="00755FA7" w:rsidRPr="00543E58">
        <w:t>judge</w:t>
      </w:r>
      <w:r w:rsidRPr="00543E58">
        <w:t>’s</w:t>
      </w:r>
      <w:r w:rsidRPr="00E93FD8">
        <w:rPr>
          <w:i/>
        </w:rPr>
        <w:t xml:space="preserve"> </w:t>
      </w:r>
      <w:r w:rsidR="00755FA7" w:rsidRPr="00E93FD8">
        <w:rPr>
          <w:i/>
        </w:rPr>
        <w:t xml:space="preserve">overall impression of the </w:t>
      </w:r>
      <w:r w:rsidRPr="00E93FD8">
        <w:rPr>
          <w:i/>
        </w:rPr>
        <w:t>evaluators</w:t>
      </w:r>
      <w:r w:rsidR="0081014B">
        <w:rPr>
          <w:i/>
        </w:rPr>
        <w:t>’</w:t>
      </w:r>
      <w:r w:rsidRPr="00E93FD8">
        <w:rPr>
          <w:i/>
        </w:rPr>
        <w:t xml:space="preserve"> </w:t>
      </w:r>
      <w:r w:rsidR="00755FA7" w:rsidRPr="00E93FD8">
        <w:rPr>
          <w:i/>
        </w:rPr>
        <w:t>testimony</w:t>
      </w:r>
      <w:r w:rsidR="00755FA7">
        <w:t xml:space="preserve"> (</w:t>
      </w:r>
      <w:r w:rsidR="00DD043C">
        <w:t xml:space="preserve">Indigenous </w:t>
      </w:r>
      <w:r w:rsidR="00EC7B28">
        <w:t>28.5</w:t>
      </w:r>
      <w:r w:rsidR="00DD043C">
        <w:t xml:space="preserve">%, </w:t>
      </w:r>
      <w:r w:rsidR="00755FA7">
        <w:rPr>
          <w:i/>
        </w:rPr>
        <w:t xml:space="preserve">n = </w:t>
      </w:r>
      <w:r w:rsidR="00060A8A">
        <w:t>37</w:t>
      </w:r>
      <w:r w:rsidR="00DD043C">
        <w:t xml:space="preserve">; </w:t>
      </w:r>
      <w:r w:rsidR="009C14DA">
        <w:t>N</w:t>
      </w:r>
      <w:r w:rsidR="00DD043C">
        <w:t>on-Indigenous 2</w:t>
      </w:r>
      <w:r w:rsidR="00BE7AFD">
        <w:t>8.6</w:t>
      </w:r>
      <w:r w:rsidR="00DD043C">
        <w:t xml:space="preserve">%, </w:t>
      </w:r>
      <w:r w:rsidR="00DD043C">
        <w:rPr>
          <w:i/>
        </w:rPr>
        <w:t xml:space="preserve">n = </w:t>
      </w:r>
      <w:r w:rsidR="004C1963">
        <w:t>24</w:t>
      </w:r>
      <w:r w:rsidR="00421798">
        <w:t xml:space="preserve">; </w:t>
      </w:r>
      <w:r w:rsidR="007A671D">
        <w:t xml:space="preserve">e.g., </w:t>
      </w:r>
      <w:r w:rsidR="00421798">
        <w:t xml:space="preserve">“[the expert] </w:t>
      </w:r>
      <w:r w:rsidR="007B7EA2">
        <w:t>displayed a professional demeanor throughout”</w:t>
      </w:r>
      <w:r w:rsidR="00DD043C">
        <w:t>). The second subtheme was</w:t>
      </w:r>
      <w:r w:rsidR="00755FA7">
        <w:t xml:space="preserve"> </w:t>
      </w:r>
      <w:r w:rsidR="00916216" w:rsidRPr="00543E58">
        <w:rPr>
          <w:i/>
        </w:rPr>
        <w:t xml:space="preserve">judicial </w:t>
      </w:r>
      <w:r w:rsidR="00755FA7" w:rsidRPr="00916216">
        <w:rPr>
          <w:i/>
        </w:rPr>
        <w:t>agreement</w:t>
      </w:r>
      <w:r w:rsidR="00755FA7" w:rsidRPr="00E93FD8">
        <w:rPr>
          <w:i/>
        </w:rPr>
        <w:t xml:space="preserve"> with the evaluators’ testimony</w:t>
      </w:r>
      <w:r w:rsidR="00755FA7">
        <w:t xml:space="preserve"> (</w:t>
      </w:r>
      <w:r w:rsidR="00DD043C">
        <w:t xml:space="preserve">Indigenous </w:t>
      </w:r>
      <w:r w:rsidR="009D7432">
        <w:t>16.7</w:t>
      </w:r>
      <w:r w:rsidR="00DD043C">
        <w:t xml:space="preserve">%, </w:t>
      </w:r>
      <w:r w:rsidR="00755FA7">
        <w:rPr>
          <w:i/>
        </w:rPr>
        <w:t xml:space="preserve">n = </w:t>
      </w:r>
      <w:r w:rsidR="009D7432">
        <w:t>14</w:t>
      </w:r>
      <w:r w:rsidR="00DD043C">
        <w:t xml:space="preserve">; </w:t>
      </w:r>
      <w:r w:rsidR="009C14DA">
        <w:t>N</w:t>
      </w:r>
      <w:r w:rsidR="00DD043C">
        <w:t>on-Indigenous 2</w:t>
      </w:r>
      <w:r w:rsidR="001F3E76">
        <w:t>1.5</w:t>
      </w:r>
      <w:r w:rsidR="00DD043C">
        <w:t xml:space="preserve">%, </w:t>
      </w:r>
      <w:r w:rsidR="00DD043C">
        <w:rPr>
          <w:i/>
        </w:rPr>
        <w:t xml:space="preserve">n = </w:t>
      </w:r>
      <w:r w:rsidR="001F3E76">
        <w:t>28</w:t>
      </w:r>
      <w:r w:rsidR="00755FA7">
        <w:t xml:space="preserve">). The </w:t>
      </w:r>
      <w:r w:rsidR="00DD043C">
        <w:t xml:space="preserve">third </w:t>
      </w:r>
      <w:r w:rsidR="00DD043C">
        <w:lastRenderedPageBreak/>
        <w:t>was</w:t>
      </w:r>
      <w:r w:rsidR="002A7088">
        <w:t xml:space="preserve"> </w:t>
      </w:r>
      <w:r w:rsidR="00755FA7" w:rsidRPr="00E93FD8">
        <w:rPr>
          <w:i/>
        </w:rPr>
        <w:t>jud</w:t>
      </w:r>
      <w:r w:rsidR="00916216">
        <w:rPr>
          <w:i/>
        </w:rPr>
        <w:t xml:space="preserve">icial </w:t>
      </w:r>
      <w:r w:rsidR="00755FA7" w:rsidRPr="00E93FD8">
        <w:rPr>
          <w:i/>
        </w:rPr>
        <w:t>criticism of the testimony</w:t>
      </w:r>
      <w:r w:rsidR="00755FA7">
        <w:t xml:space="preserve"> (</w:t>
      </w:r>
      <w:r w:rsidR="00DD043C">
        <w:t xml:space="preserve">Indigenous </w:t>
      </w:r>
      <w:r w:rsidR="00EC7B28">
        <w:t>18.5</w:t>
      </w:r>
      <w:r w:rsidR="00DD043C">
        <w:t xml:space="preserve">%, </w:t>
      </w:r>
      <w:r w:rsidR="00755FA7">
        <w:rPr>
          <w:i/>
        </w:rPr>
        <w:t xml:space="preserve">n = </w:t>
      </w:r>
      <w:r w:rsidR="00EC7B28">
        <w:t>24</w:t>
      </w:r>
      <w:r w:rsidR="00DD043C">
        <w:t xml:space="preserve">; </w:t>
      </w:r>
      <w:r w:rsidR="009C14DA">
        <w:t>N</w:t>
      </w:r>
      <w:r w:rsidR="00DD043C">
        <w:t xml:space="preserve">on-Indigenous </w:t>
      </w:r>
      <w:r w:rsidR="00BE7AFD">
        <w:t>20.2</w:t>
      </w:r>
      <w:r w:rsidR="00D0101F">
        <w:t xml:space="preserve">%, </w:t>
      </w:r>
      <w:r w:rsidR="00D0101F">
        <w:rPr>
          <w:i/>
        </w:rPr>
        <w:t xml:space="preserve">n = </w:t>
      </w:r>
      <w:r w:rsidR="00BE7AFD">
        <w:t>17</w:t>
      </w:r>
      <w:r w:rsidR="00755FA7">
        <w:t xml:space="preserve">) and </w:t>
      </w:r>
      <w:r w:rsidR="00916216" w:rsidRPr="00543E58">
        <w:rPr>
          <w:i/>
        </w:rPr>
        <w:t xml:space="preserve">judicial </w:t>
      </w:r>
      <w:r w:rsidR="00755FA7" w:rsidRPr="00916216">
        <w:rPr>
          <w:i/>
        </w:rPr>
        <w:t>d</w:t>
      </w:r>
      <w:r w:rsidR="00755FA7" w:rsidRPr="00E93FD8">
        <w:rPr>
          <w:i/>
        </w:rPr>
        <w:t>isagreement with the testimony</w:t>
      </w:r>
      <w:r w:rsidR="00755FA7">
        <w:t xml:space="preserve"> (</w:t>
      </w:r>
      <w:r w:rsidR="00D0101F">
        <w:t xml:space="preserve">Indigenous </w:t>
      </w:r>
      <w:r w:rsidR="00C06BCD">
        <w:t>7.1</w:t>
      </w:r>
      <w:r w:rsidR="00D0101F">
        <w:t xml:space="preserve">%, </w:t>
      </w:r>
      <w:r w:rsidR="00755FA7">
        <w:rPr>
          <w:i/>
        </w:rPr>
        <w:t xml:space="preserve">n = </w:t>
      </w:r>
      <w:r w:rsidR="00C06BCD">
        <w:t>6</w:t>
      </w:r>
      <w:r w:rsidR="00D0101F">
        <w:t xml:space="preserve">; </w:t>
      </w:r>
      <w:r w:rsidR="009C14DA">
        <w:t>N</w:t>
      </w:r>
      <w:r w:rsidR="00D0101F">
        <w:t xml:space="preserve">on-Indigenous </w:t>
      </w:r>
      <w:r w:rsidR="001F3E76">
        <w:t>12.3</w:t>
      </w:r>
      <w:r w:rsidR="00D0101F">
        <w:t xml:space="preserve">%, </w:t>
      </w:r>
      <w:r w:rsidR="00D0101F">
        <w:rPr>
          <w:i/>
        </w:rPr>
        <w:t xml:space="preserve">n = </w:t>
      </w:r>
      <w:r w:rsidR="00D0101F">
        <w:t>1</w:t>
      </w:r>
      <w:r w:rsidR="001F3E76">
        <w:t>6</w:t>
      </w:r>
      <w:r w:rsidR="00755FA7">
        <w:t>)</w:t>
      </w:r>
      <w:r w:rsidR="00D0101F">
        <w:t xml:space="preserve"> was the fourth</w:t>
      </w:r>
      <w:r w:rsidR="00755FA7">
        <w:t xml:space="preserve">. </w:t>
      </w:r>
      <w:r w:rsidR="00124675">
        <w:t xml:space="preserve">No significant differences were found </w:t>
      </w:r>
      <w:r w:rsidR="00483096">
        <w:t>within test</w:t>
      </w:r>
      <w:r w:rsidR="00403261">
        <w:t>s</w:t>
      </w:r>
      <w:r w:rsidR="00483096">
        <w:t xml:space="preserve"> of two proportions for frequency of themes in cases with an Indigenous and non-Indigenous defendant</w:t>
      </w:r>
      <w:r w:rsidR="0010491B">
        <w:t xml:space="preserve"> (</w:t>
      </w:r>
      <w:r w:rsidR="0010491B" w:rsidRPr="009C14DA">
        <w:rPr>
          <w:i/>
          <w:iCs/>
        </w:rPr>
        <w:t>p</w:t>
      </w:r>
      <w:r w:rsidR="0010491B">
        <w:t xml:space="preserve"> </w:t>
      </w:r>
      <w:r w:rsidR="00CB67E7">
        <w:t xml:space="preserve">&gt; </w:t>
      </w:r>
      <w:r w:rsidR="00483096">
        <w:t>.</w:t>
      </w:r>
      <w:r w:rsidR="003A1821">
        <w:t>22).</w:t>
      </w:r>
      <w:r w:rsidR="000D4671">
        <w:t xml:space="preserve"> There were no references to culture in the comments on the testimony of the evaluator</w:t>
      </w:r>
      <w:r w:rsidR="0081014B">
        <w:t>s</w:t>
      </w:r>
      <w:r w:rsidR="000D4671">
        <w:t xml:space="preserve"> in any case with an Indigenous defendant.</w:t>
      </w:r>
    </w:p>
    <w:p w14:paraId="359E4A82" w14:textId="77777777" w:rsidR="000E3088" w:rsidRPr="0002027E" w:rsidRDefault="0002027E" w:rsidP="00EA3C36">
      <w:pPr>
        <w:spacing w:line="480" w:lineRule="auto"/>
        <w:jc w:val="center"/>
        <w:outlineLvl w:val="0"/>
        <w:rPr>
          <w:b/>
        </w:rPr>
      </w:pPr>
      <w:r>
        <w:rPr>
          <w:b/>
        </w:rPr>
        <w:t>Discussion</w:t>
      </w:r>
    </w:p>
    <w:p w14:paraId="149D2755" w14:textId="77777777" w:rsidR="00FD54BF" w:rsidRPr="00FD54BF" w:rsidRDefault="00FD54BF" w:rsidP="000773EC">
      <w:pPr>
        <w:spacing w:line="480" w:lineRule="auto"/>
        <w:rPr>
          <w:b/>
        </w:rPr>
      </w:pPr>
      <w:r w:rsidRPr="00FD54BF">
        <w:rPr>
          <w:b/>
        </w:rPr>
        <w:t>Consideration of Culture</w:t>
      </w:r>
      <w:r w:rsidR="004A63FA" w:rsidRPr="00FD54BF">
        <w:rPr>
          <w:b/>
        </w:rPr>
        <w:tab/>
      </w:r>
    </w:p>
    <w:p w14:paraId="6BFAB401" w14:textId="6A0F3DB7" w:rsidR="000607BA" w:rsidRDefault="00EF56DB" w:rsidP="00FD54BF">
      <w:pPr>
        <w:spacing w:line="480" w:lineRule="auto"/>
        <w:ind w:firstLine="720"/>
      </w:pPr>
      <w:r>
        <w:t>This study was the first to</w:t>
      </w:r>
      <w:r w:rsidR="00647699">
        <w:t xml:space="preserve"> examine</w:t>
      </w:r>
      <w:r>
        <w:t xml:space="preserve"> </w:t>
      </w:r>
      <w:r w:rsidR="00647699">
        <w:t xml:space="preserve">culture as it relates to </w:t>
      </w:r>
      <w:r w:rsidR="00AE3733">
        <w:t xml:space="preserve">expert evidence </w:t>
      </w:r>
      <w:r w:rsidR="000371D4">
        <w:t>on</w:t>
      </w:r>
      <w:r w:rsidR="00AE3733">
        <w:t xml:space="preserve"> </w:t>
      </w:r>
      <w:r w:rsidR="00AF178B">
        <w:t>VRA</w:t>
      </w:r>
      <w:r w:rsidR="00602946">
        <w:t xml:space="preserve"> </w:t>
      </w:r>
      <w:r w:rsidR="00AE3733">
        <w:t>within judicial decisions</w:t>
      </w:r>
      <w:r w:rsidR="00602946">
        <w:t xml:space="preserve">. </w:t>
      </w:r>
      <w:r w:rsidR="00647699">
        <w:t>The</w:t>
      </w:r>
      <w:r w:rsidR="00602946">
        <w:t xml:space="preserve"> first major finding was </w:t>
      </w:r>
      <w:r w:rsidR="00602946" w:rsidRPr="00CF733A">
        <w:t xml:space="preserve">that </w:t>
      </w:r>
      <w:r w:rsidR="00566BC3">
        <w:t xml:space="preserve">culture is </w:t>
      </w:r>
      <w:r w:rsidR="00AF2867">
        <w:t xml:space="preserve">not always </w:t>
      </w:r>
      <w:r w:rsidR="00566BC3">
        <w:t xml:space="preserve">considered </w:t>
      </w:r>
      <w:r w:rsidR="00AE3733">
        <w:t>in judicial decisions</w:t>
      </w:r>
      <w:r w:rsidR="003F5E7B">
        <w:t xml:space="preserve"> </w:t>
      </w:r>
      <w:r w:rsidR="00AF178B">
        <w:t>regarding</w:t>
      </w:r>
      <w:r w:rsidR="003F5E7B">
        <w:t xml:space="preserve"> violence risk</w:t>
      </w:r>
      <w:r w:rsidR="00602946" w:rsidRPr="00CF733A">
        <w:t>.</w:t>
      </w:r>
      <w:r w:rsidR="00566BC3">
        <w:t xml:space="preserve"> </w:t>
      </w:r>
      <w:r w:rsidR="005033A1">
        <w:t xml:space="preserve">In fact, cultural was only meaningfully considered in a small number of </w:t>
      </w:r>
      <w:r w:rsidR="009A6DC0">
        <w:t xml:space="preserve">the 214 </w:t>
      </w:r>
      <w:r w:rsidR="005033A1">
        <w:t xml:space="preserve">cases </w:t>
      </w:r>
      <w:r w:rsidR="009A6DC0">
        <w:t>examined</w:t>
      </w:r>
      <w:r w:rsidR="005033A1">
        <w:t xml:space="preserve"> (2</w:t>
      </w:r>
      <w:r w:rsidR="004D2929">
        <w:t>5</w:t>
      </w:r>
      <w:r w:rsidR="005033A1">
        <w:t>.</w:t>
      </w:r>
      <w:r w:rsidR="004D2929">
        <w:t>2</w:t>
      </w:r>
      <w:r w:rsidR="005033A1">
        <w:t>%). Specifically, t</w:t>
      </w:r>
      <w:r w:rsidR="00C8581D">
        <w:t>he</w:t>
      </w:r>
      <w:r w:rsidR="00D70A5D">
        <w:t xml:space="preserve"> results</w:t>
      </w:r>
      <w:r w:rsidR="00915E08">
        <w:t xml:space="preserve"> indicated that culture was identified explicitly </w:t>
      </w:r>
      <w:r w:rsidR="00897C0F">
        <w:t xml:space="preserve">(i.e., either superficially or meaningfully) </w:t>
      </w:r>
      <w:r w:rsidR="00945A5E">
        <w:t>by judg</w:t>
      </w:r>
      <w:r w:rsidR="0075157A">
        <w:t>e</w:t>
      </w:r>
      <w:r w:rsidR="00AF178B">
        <w:t>s</w:t>
      </w:r>
      <w:r w:rsidR="00945A5E">
        <w:t xml:space="preserve"> </w:t>
      </w:r>
      <w:r w:rsidR="00915E08">
        <w:t>in</w:t>
      </w:r>
      <w:r w:rsidR="00176A22">
        <w:t xml:space="preserve"> just under half </w:t>
      </w:r>
      <w:r w:rsidR="00915E08">
        <w:t xml:space="preserve">of </w:t>
      </w:r>
      <w:r w:rsidR="00774F89">
        <w:t xml:space="preserve">all </w:t>
      </w:r>
      <w:r w:rsidR="00915E08">
        <w:t>cases</w:t>
      </w:r>
      <w:r w:rsidR="005033A1">
        <w:t xml:space="preserve"> (43.</w:t>
      </w:r>
      <w:r w:rsidR="00D03362">
        <w:t>0</w:t>
      </w:r>
      <w:r w:rsidR="005033A1">
        <w:t>%) --</w:t>
      </w:r>
      <w:r w:rsidR="00176A22">
        <w:t xml:space="preserve"> in </w:t>
      </w:r>
      <w:r w:rsidR="00915E08">
        <w:t>almost all</w:t>
      </w:r>
      <w:r w:rsidR="00AF178B">
        <w:t xml:space="preserve"> these </w:t>
      </w:r>
      <w:r w:rsidR="00176A22">
        <w:t xml:space="preserve">instances the case involved </w:t>
      </w:r>
      <w:r w:rsidR="00D74BD6">
        <w:t xml:space="preserve">an Indigenous </w:t>
      </w:r>
      <w:r w:rsidR="00C36AAC">
        <w:t>defendant</w:t>
      </w:r>
      <w:r w:rsidR="00A63C1E">
        <w:t xml:space="preserve"> (</w:t>
      </w:r>
      <w:r w:rsidR="008542B7">
        <w:t>89</w:t>
      </w:r>
      <w:r w:rsidR="00A63C1E">
        <w:t>.</w:t>
      </w:r>
      <w:r w:rsidR="008542B7">
        <w:t>4</w:t>
      </w:r>
      <w:r w:rsidR="00A63C1E">
        <w:t>%)</w:t>
      </w:r>
      <w:r w:rsidR="00D74BD6">
        <w:t>.</w:t>
      </w:r>
      <w:r w:rsidR="00897C0F">
        <w:t xml:space="preserve"> </w:t>
      </w:r>
      <w:r w:rsidR="005A2115">
        <w:t>Put another way, t</w:t>
      </w:r>
      <w:r w:rsidR="00AF178B">
        <w:t xml:space="preserve">his meant that </w:t>
      </w:r>
      <w:r w:rsidR="00E83D63">
        <w:t xml:space="preserve">in </w:t>
      </w:r>
      <w:r w:rsidR="00176A22">
        <w:t>most (</w:t>
      </w:r>
      <w:r w:rsidR="00945A5E">
        <w:t>7</w:t>
      </w:r>
      <w:r w:rsidR="004D2929">
        <w:t>4</w:t>
      </w:r>
      <w:r w:rsidR="00AF178B">
        <w:t>.</w:t>
      </w:r>
      <w:r w:rsidR="004D2929">
        <w:t>8</w:t>
      </w:r>
      <w:r w:rsidR="00945A5E">
        <w:t>%)</w:t>
      </w:r>
      <w:r w:rsidR="007A37BC">
        <w:t xml:space="preserve"> of the cases</w:t>
      </w:r>
      <w:r w:rsidR="00945A5E">
        <w:t xml:space="preserve"> </w:t>
      </w:r>
      <w:r w:rsidR="00176A22">
        <w:t>examined t</w:t>
      </w:r>
      <w:r w:rsidR="007A37BC">
        <w:t xml:space="preserve">here was </w:t>
      </w:r>
      <w:r w:rsidR="00AF178B">
        <w:t xml:space="preserve">either </w:t>
      </w:r>
      <w:r w:rsidR="007A37BC">
        <w:t xml:space="preserve">no </w:t>
      </w:r>
      <w:r w:rsidR="00176A22">
        <w:t>discussion</w:t>
      </w:r>
      <w:r w:rsidR="007A37BC">
        <w:t xml:space="preserve"> </w:t>
      </w:r>
      <w:r w:rsidR="00AF178B">
        <w:t xml:space="preserve">of culture or only a </w:t>
      </w:r>
      <w:r w:rsidR="007A37BC">
        <w:t xml:space="preserve">superficial </w:t>
      </w:r>
      <w:r w:rsidR="00176A22">
        <w:t>discussion</w:t>
      </w:r>
      <w:r w:rsidR="007A37BC">
        <w:t xml:space="preserve">. </w:t>
      </w:r>
      <w:r w:rsidR="00B57A85">
        <w:t xml:space="preserve">While this was expected to a degree, as most non-Indigenous offenders are White (Public Safety Canada, 2019) and judges would be unlikely to make reference to a majority ethnicity in their decisions, </w:t>
      </w:r>
      <w:r w:rsidR="00C642B7">
        <w:t>other</w:t>
      </w:r>
      <w:r w:rsidR="00B57A85">
        <w:t xml:space="preserve"> cultures were represented in </w:t>
      </w:r>
      <w:r w:rsidR="00C642B7">
        <w:t>the</w:t>
      </w:r>
      <w:r w:rsidR="00B57A85">
        <w:t xml:space="preserve"> sample (see Sample Characteristics) and when culture was not identified (in 47.2% of </w:t>
      </w:r>
      <w:r w:rsidR="00397D0E">
        <w:t>the</w:t>
      </w:r>
      <w:r w:rsidR="00B57A85">
        <w:t xml:space="preserve"> sample) it is likely that a portion of these offenders were non-White, non-Indigenous offenders based on the diversity of the </w:t>
      </w:r>
      <w:r w:rsidR="00397D0E">
        <w:t xml:space="preserve">Canadian </w:t>
      </w:r>
      <w:r w:rsidR="00B57A85">
        <w:t>Federal Correctional population (Caucasian = 56.3%, Indigenous = 24.0%, Black = 7.3%, Asian = 5.5%, Hispanic = 1.1%, Other/unknown = 5.9%; Public Safety Canada, 2019). Despite this</w:t>
      </w:r>
      <w:r w:rsidR="00397D0E">
        <w:t xml:space="preserve"> likelihood</w:t>
      </w:r>
      <w:r w:rsidR="00B57A85">
        <w:t xml:space="preserve">, culture was not </w:t>
      </w:r>
      <w:r w:rsidR="00B57A85">
        <w:lastRenderedPageBreak/>
        <w:t xml:space="preserve">considered for these other </w:t>
      </w:r>
      <w:r w:rsidR="00397D0E">
        <w:t xml:space="preserve">non-White </w:t>
      </w:r>
      <w:r w:rsidR="00B57A85">
        <w:t xml:space="preserve">groups. Given the diversity of this population, the same thoughtful consideration of how culture may affect </w:t>
      </w:r>
      <w:r w:rsidR="00397D0E">
        <w:t>VRA</w:t>
      </w:r>
      <w:r w:rsidR="00B57A85">
        <w:t xml:space="preserve"> can and should be extended to individual</w:t>
      </w:r>
      <w:r w:rsidR="00397D0E">
        <w:t>s</w:t>
      </w:r>
      <w:r w:rsidR="00B57A85">
        <w:t xml:space="preserve"> from all cultures (American Psychological Association, 2013; Cook &amp; Hart, 2017; Haag, 2016; Knapp &amp; </w:t>
      </w:r>
      <w:proofErr w:type="spellStart"/>
      <w:r w:rsidR="00B57A85">
        <w:t>VandeCreek</w:t>
      </w:r>
      <w:proofErr w:type="spellEnd"/>
      <w:r w:rsidR="00B57A85">
        <w:t xml:space="preserve">, 2006). </w:t>
      </w:r>
      <w:r w:rsidR="00397D0E">
        <w:t>A</w:t>
      </w:r>
      <w:r w:rsidR="00176A22">
        <w:t xml:space="preserve">s stated </w:t>
      </w:r>
      <w:r w:rsidR="00FC0B04">
        <w:t xml:space="preserve">by Cook </w:t>
      </w:r>
      <w:r w:rsidR="00176A22">
        <w:t>and</w:t>
      </w:r>
      <w:r w:rsidR="00FC0B04">
        <w:t xml:space="preserve"> Hart</w:t>
      </w:r>
      <w:r w:rsidR="00D74BD6">
        <w:t xml:space="preserve"> (2017)</w:t>
      </w:r>
      <w:r w:rsidR="00AF2867">
        <w:t>:</w:t>
      </w:r>
      <w:r w:rsidR="00FC0B04">
        <w:t xml:space="preserve"> “</w:t>
      </w:r>
      <w:r w:rsidR="00FC0B04" w:rsidRPr="0061133C">
        <w:t xml:space="preserve">Considering culture in violence risk assessment goes </w:t>
      </w:r>
      <w:r w:rsidR="00FC0B04">
        <w:t>beyond noting that someone is from</w:t>
      </w:r>
      <w:r w:rsidR="00FC0B04" w:rsidRPr="0061133C">
        <w:t xml:space="preserve"> a </w:t>
      </w:r>
      <w:r w:rsidR="00FC0B04">
        <w:t xml:space="preserve">specific </w:t>
      </w:r>
      <w:r w:rsidR="00FC0B04" w:rsidRPr="0061133C">
        <w:t>cultural background. It takes</w:t>
      </w:r>
      <w:r w:rsidR="00FC0B04">
        <w:t xml:space="preserve"> critical and careful evaluation</w:t>
      </w:r>
      <w:r w:rsidR="00FC0B04" w:rsidRPr="0061133C">
        <w:t xml:space="preserve"> and review of an individual’s history and current functioning in the context of the cultur</w:t>
      </w:r>
      <w:r w:rsidR="00FC0B04">
        <w:t>e</w:t>
      </w:r>
      <w:r w:rsidR="00FC0B04" w:rsidRPr="0061133C">
        <w:t xml:space="preserve"> </w:t>
      </w:r>
      <w:r w:rsidR="00FC0B04">
        <w:t xml:space="preserve">with </w:t>
      </w:r>
      <w:r w:rsidR="00FC0B04" w:rsidRPr="0061133C">
        <w:t xml:space="preserve">which they identify and discerning not only if there are unique cultural considerations </w:t>
      </w:r>
      <w:r w:rsidR="00FC0B04" w:rsidRPr="00AD0C7A">
        <w:rPr>
          <w:i/>
        </w:rPr>
        <w:t>present</w:t>
      </w:r>
      <w:r w:rsidR="00FC0B04" w:rsidRPr="0061133C">
        <w:t xml:space="preserve">, but if culture is </w:t>
      </w:r>
      <w:r w:rsidR="00FC0B04" w:rsidRPr="00AD0C7A">
        <w:rPr>
          <w:i/>
        </w:rPr>
        <w:t>relevant</w:t>
      </w:r>
      <w:r w:rsidR="00FC0B04" w:rsidRPr="0061133C">
        <w:t xml:space="preserve"> to</w:t>
      </w:r>
      <w:r w:rsidR="00FC0B04">
        <w:t xml:space="preserve"> the </w:t>
      </w:r>
      <w:proofErr w:type="spellStart"/>
      <w:r w:rsidR="00FC0B04">
        <w:t>evaluee’s</w:t>
      </w:r>
      <w:proofErr w:type="spellEnd"/>
      <w:r w:rsidR="00FC0B04">
        <w:t xml:space="preserve"> violence risk” (p. </w:t>
      </w:r>
      <w:r w:rsidR="00D74BD6">
        <w:t>139</w:t>
      </w:r>
      <w:r w:rsidR="00FC0B04">
        <w:t>).</w:t>
      </w:r>
      <w:r w:rsidR="004F7D2E">
        <w:t xml:space="preserve"> Culture should always </w:t>
      </w:r>
      <w:r w:rsidR="000471CA">
        <w:t>be considered</w:t>
      </w:r>
      <w:r w:rsidR="004F7D2E">
        <w:t xml:space="preserve">, particularly for individuals from cultures that differ from the cultures </w:t>
      </w:r>
      <w:r w:rsidR="00201B99">
        <w:t>in which</w:t>
      </w:r>
      <w:r w:rsidR="004F7D2E">
        <w:t xml:space="preserve"> </w:t>
      </w:r>
      <w:r w:rsidR="00CE2BE9">
        <w:t>VRA</w:t>
      </w:r>
      <w:r w:rsidR="004F7D2E">
        <w:t xml:space="preserve"> tools have been </w:t>
      </w:r>
      <w:r w:rsidR="00897C0F">
        <w:t xml:space="preserve">developed or </w:t>
      </w:r>
      <w:r w:rsidR="004F7D2E">
        <w:t>validated</w:t>
      </w:r>
      <w:r w:rsidR="00201B99">
        <w:t xml:space="preserve"> </w:t>
      </w:r>
      <w:r w:rsidR="004F7D2E">
        <w:t>(Haag, 2016)</w:t>
      </w:r>
      <w:r w:rsidR="000C05DC">
        <w:t xml:space="preserve"> </w:t>
      </w:r>
      <w:r w:rsidR="00B57A85">
        <w:t>and certainly other cultural factors can contribute to the nature of violence risk</w:t>
      </w:r>
      <w:r w:rsidR="00166EB8">
        <w:t xml:space="preserve"> (Shepherd &amp; Anthony, 2018)</w:t>
      </w:r>
      <w:r w:rsidR="00B57A85">
        <w:t xml:space="preserve">. </w:t>
      </w:r>
      <w:r w:rsidR="000C05DC">
        <w:t>The nature of our data did not allow us to better understand why culture is not being considered by judges. I</w:t>
      </w:r>
      <w:r w:rsidR="007E70F0">
        <w:t>t is</w:t>
      </w:r>
      <w:r w:rsidR="000C05DC">
        <w:t xml:space="preserve"> possibl</w:t>
      </w:r>
      <w:r w:rsidR="00E06C13">
        <w:t>e, or even likely given the recent findings by Riggs</w:t>
      </w:r>
      <w:r w:rsidR="00836B0F">
        <w:t xml:space="preserve"> </w:t>
      </w:r>
      <w:r w:rsidR="00E06C13">
        <w:t xml:space="preserve">Romaine </w:t>
      </w:r>
      <w:r w:rsidR="00836B0F">
        <w:t>and colleagues</w:t>
      </w:r>
      <w:r w:rsidR="00E06C13">
        <w:t xml:space="preserve"> (2018) </w:t>
      </w:r>
      <w:r w:rsidR="000E0CD4">
        <w:t>on</w:t>
      </w:r>
      <w:r w:rsidR="00E06C13">
        <w:t xml:space="preserve"> the variability in such </w:t>
      </w:r>
      <w:r w:rsidR="000E0CD4">
        <w:t xml:space="preserve">judicial </w:t>
      </w:r>
      <w:r w:rsidR="00E06C13">
        <w:t xml:space="preserve">reporting, </w:t>
      </w:r>
      <w:r w:rsidR="000C05DC">
        <w:t>that the evalua</w:t>
      </w:r>
      <w:r w:rsidR="007E70F0">
        <w:t xml:space="preserve">tors were not reporting on race, </w:t>
      </w:r>
      <w:r w:rsidR="000C05DC">
        <w:t>ethnicity</w:t>
      </w:r>
      <w:r w:rsidR="007E70F0">
        <w:t>,</w:t>
      </w:r>
      <w:r w:rsidR="00E06C13">
        <w:t xml:space="preserve"> and/or culture and the relevance of this to risk and manageability</w:t>
      </w:r>
      <w:r w:rsidR="00662BD6">
        <w:t xml:space="preserve"> and therefore the judges had nothing from the report to discuss</w:t>
      </w:r>
      <w:r w:rsidR="007E70F0">
        <w:t xml:space="preserve">. </w:t>
      </w:r>
    </w:p>
    <w:p w14:paraId="0BD87930" w14:textId="77777777" w:rsidR="006D6BA0" w:rsidRDefault="000607BA">
      <w:pPr>
        <w:spacing w:line="480" w:lineRule="auto"/>
      </w:pPr>
      <w:r>
        <w:tab/>
      </w:r>
      <w:r w:rsidR="00055A3A">
        <w:t>T</w:t>
      </w:r>
      <w:r w:rsidR="00201B99">
        <w:t xml:space="preserve">he </w:t>
      </w:r>
      <w:r w:rsidR="004F7D2E">
        <w:t>culture</w:t>
      </w:r>
      <w:r w:rsidR="00201B99">
        <w:t xml:space="preserve"> of the offender</w:t>
      </w:r>
      <w:r w:rsidR="004F7D2E">
        <w:t xml:space="preserve"> was unknown in over half </w:t>
      </w:r>
      <w:r w:rsidR="00E44AC9">
        <w:t xml:space="preserve">of </w:t>
      </w:r>
      <w:r w:rsidR="00654FEB">
        <w:t xml:space="preserve">the </w:t>
      </w:r>
      <w:r w:rsidR="004F7D2E">
        <w:t>cases in our sample</w:t>
      </w:r>
      <w:r w:rsidR="00E44AC9">
        <w:t xml:space="preserve">. </w:t>
      </w:r>
      <w:r w:rsidR="00055A3A">
        <w:t xml:space="preserve">Other than Indigenous culture (identified in </w:t>
      </w:r>
      <w:r w:rsidR="00133075">
        <w:t>84</w:t>
      </w:r>
      <w:r w:rsidR="00055A3A">
        <w:t xml:space="preserve"> cases)</w:t>
      </w:r>
      <w:r w:rsidR="00234D15">
        <w:t>, culture was only identified in eight cases where offenders had other cultural origins, specifically</w:t>
      </w:r>
      <w:r w:rsidR="00E44AC9">
        <w:t xml:space="preserve"> Latin American, African, Asian, and Caribbean</w:t>
      </w:r>
      <w:r w:rsidR="009E2E67">
        <w:t xml:space="preserve"> origins</w:t>
      </w:r>
      <w:r w:rsidR="00E44AC9">
        <w:t xml:space="preserve">. </w:t>
      </w:r>
      <w:r w:rsidR="00234D15">
        <w:t>The lack of identification as well as the narrow range of cultural origins identified is concerning since</w:t>
      </w:r>
      <w:r w:rsidR="00E44AC9">
        <w:t xml:space="preserve"> Canadians represent over 250 ethnic origins or ancestries, with 41.1% of Canadians reporting having multiple ethnic origins</w:t>
      </w:r>
      <w:r w:rsidR="002D7895">
        <w:t xml:space="preserve"> (Statistics Canada, 2019)</w:t>
      </w:r>
      <w:r w:rsidR="00E44AC9">
        <w:t>. This suggest</w:t>
      </w:r>
      <w:r w:rsidR="009E2E67">
        <w:t>s</w:t>
      </w:r>
      <w:r w:rsidR="00E44AC9">
        <w:t xml:space="preserve"> that </w:t>
      </w:r>
      <w:r w:rsidR="00E471FB">
        <w:t xml:space="preserve">non-White, </w:t>
      </w:r>
      <w:r w:rsidR="00E44AC9">
        <w:t>non-Indigenous culture was under-discussed in our sample</w:t>
      </w:r>
      <w:r w:rsidR="00E471FB">
        <w:t xml:space="preserve"> and points to a clear</w:t>
      </w:r>
      <w:r w:rsidR="00E44AC9">
        <w:t xml:space="preserve"> need </w:t>
      </w:r>
      <w:r w:rsidR="00E44AC9">
        <w:lastRenderedPageBreak/>
        <w:t xml:space="preserve">for further research as well as a need for </w:t>
      </w:r>
      <w:r w:rsidR="004F7D2E">
        <w:t xml:space="preserve">the same thoughtful consideration </w:t>
      </w:r>
      <w:r w:rsidR="00E44AC9">
        <w:t xml:space="preserve">by judges </w:t>
      </w:r>
      <w:r w:rsidR="00E471FB">
        <w:t xml:space="preserve">and evaluators </w:t>
      </w:r>
      <w:r w:rsidR="00E44AC9">
        <w:t xml:space="preserve">regarding </w:t>
      </w:r>
      <w:r w:rsidR="004F7D2E">
        <w:t xml:space="preserve">how culture may affect </w:t>
      </w:r>
      <w:r w:rsidR="001729ED">
        <w:t>VRA</w:t>
      </w:r>
      <w:r w:rsidR="00E471FB">
        <w:t xml:space="preserve"> for individuals from other cultures</w:t>
      </w:r>
      <w:r w:rsidR="004F7D2E">
        <w:t xml:space="preserve"> (American Psychological Association, 2013; Cook &amp; Hart, 2017; Haag, 2016; Knapp &amp; </w:t>
      </w:r>
      <w:proofErr w:type="spellStart"/>
      <w:r w:rsidR="004F7D2E">
        <w:t>VandeCreek</w:t>
      </w:r>
      <w:proofErr w:type="spellEnd"/>
      <w:r w:rsidR="004F7D2E">
        <w:t>, 2006).</w:t>
      </w:r>
    </w:p>
    <w:p w14:paraId="0AADCC6E" w14:textId="77777777" w:rsidR="00133378" w:rsidRPr="00AD2A6A" w:rsidRDefault="003C4A04" w:rsidP="00AD2A6A">
      <w:pPr>
        <w:spacing w:line="480" w:lineRule="auto"/>
        <w:rPr>
          <w:b/>
        </w:rPr>
      </w:pPr>
      <w:r>
        <w:rPr>
          <w:b/>
        </w:rPr>
        <w:t>Consideration of Indigenous Culture</w:t>
      </w:r>
    </w:p>
    <w:p w14:paraId="48884EF5" w14:textId="164D5DBD" w:rsidR="00BE6F75" w:rsidRDefault="00AC210B" w:rsidP="004F7D2E">
      <w:pPr>
        <w:spacing w:line="480" w:lineRule="auto"/>
        <w:ind w:firstLine="720"/>
        <w:rPr>
          <w:color w:val="000000"/>
        </w:rPr>
      </w:pPr>
      <w:r w:rsidRPr="00BF083D">
        <w:t>T</w:t>
      </w:r>
      <w:r w:rsidR="006D6BA0" w:rsidRPr="00BF083D">
        <w:t>he nature</w:t>
      </w:r>
      <w:r w:rsidR="006D6BA0">
        <w:t xml:space="preserve"> of the data allowed us to </w:t>
      </w:r>
      <w:r w:rsidR="00A02E58">
        <w:t xml:space="preserve">systematically </w:t>
      </w:r>
      <w:r w:rsidR="006D6BA0">
        <w:t xml:space="preserve">analyze </w:t>
      </w:r>
      <w:r w:rsidR="00201B99">
        <w:t xml:space="preserve">judicial </w:t>
      </w:r>
      <w:r w:rsidR="006D6BA0">
        <w:t xml:space="preserve">consideration of Indigenous culture. </w:t>
      </w:r>
      <w:r w:rsidR="00CE36C5">
        <w:t>The results reveal</w:t>
      </w:r>
      <w:r w:rsidR="00201B99">
        <w:t>ed</w:t>
      </w:r>
      <w:r w:rsidR="00CE36C5">
        <w:t xml:space="preserve"> that </w:t>
      </w:r>
      <w:r w:rsidR="00816EDD">
        <w:t xml:space="preserve">culture is </w:t>
      </w:r>
      <w:r w:rsidR="00A02E58">
        <w:t>being considered meaningfully in many (6</w:t>
      </w:r>
      <w:r w:rsidR="007F4024">
        <w:t>4.3</w:t>
      </w:r>
      <w:r w:rsidR="00A02E58">
        <w:t>%)</w:t>
      </w:r>
      <w:r w:rsidR="00697744">
        <w:t>,</w:t>
      </w:r>
      <w:r w:rsidR="00A02E58">
        <w:t xml:space="preserve"> but not all</w:t>
      </w:r>
      <w:r w:rsidR="00A26F82">
        <w:t>,</w:t>
      </w:r>
      <w:r w:rsidR="00A02E58">
        <w:t xml:space="preserve"> cases with an Indigenous offender</w:t>
      </w:r>
      <w:r w:rsidR="00133378">
        <w:t xml:space="preserve"> (</w:t>
      </w:r>
      <w:r w:rsidR="00133378" w:rsidRPr="00B2004A">
        <w:rPr>
          <w:i/>
        </w:rPr>
        <w:t>n</w:t>
      </w:r>
      <w:r w:rsidR="00133378">
        <w:t xml:space="preserve"> = </w:t>
      </w:r>
      <w:r w:rsidR="00B2004A">
        <w:t>84</w:t>
      </w:r>
      <w:r w:rsidR="00133378">
        <w:t>)</w:t>
      </w:r>
      <w:r w:rsidR="00A02E58">
        <w:t xml:space="preserve">. </w:t>
      </w:r>
      <w:r w:rsidR="00133378">
        <w:t xml:space="preserve">Although </w:t>
      </w:r>
      <w:r w:rsidR="0085582F">
        <w:t xml:space="preserve">this </w:t>
      </w:r>
      <w:r w:rsidR="00133378">
        <w:t>is positive,</w:t>
      </w:r>
      <w:r w:rsidR="0085582F">
        <w:t xml:space="preserve"> it is insufficient </w:t>
      </w:r>
      <w:r w:rsidR="00133378">
        <w:t>according to Canadian</w:t>
      </w:r>
      <w:r w:rsidR="0085582F">
        <w:t xml:space="preserve"> case law;</w:t>
      </w:r>
      <w:r w:rsidR="00F52B00">
        <w:t xml:space="preserve"> </w:t>
      </w:r>
      <w:r w:rsidR="00A55C48" w:rsidRPr="000773EC">
        <w:rPr>
          <w:i/>
        </w:rPr>
        <w:t xml:space="preserve">R v </w:t>
      </w:r>
      <w:proofErr w:type="spellStart"/>
      <w:r w:rsidR="00A55C48" w:rsidRPr="000773EC">
        <w:rPr>
          <w:i/>
        </w:rPr>
        <w:t>Gladue</w:t>
      </w:r>
      <w:proofErr w:type="spellEnd"/>
      <w:r w:rsidR="00A55C48">
        <w:t xml:space="preserve"> (1999) stipulates that judges </w:t>
      </w:r>
      <w:r w:rsidR="00A55C48" w:rsidRPr="00816D9E">
        <w:rPr>
          <w:i/>
        </w:rPr>
        <w:t>must always</w:t>
      </w:r>
      <w:r w:rsidR="00A55C48">
        <w:t xml:space="preserve"> consider culture</w:t>
      </w:r>
      <w:r w:rsidR="00F52B00">
        <w:t xml:space="preserve">. </w:t>
      </w:r>
      <w:r w:rsidR="00A55C48">
        <w:t xml:space="preserve">Specifically, </w:t>
      </w:r>
      <w:r w:rsidR="00A55C48" w:rsidRPr="00675BDA">
        <w:rPr>
          <w:i/>
        </w:rPr>
        <w:t xml:space="preserve">R v </w:t>
      </w:r>
      <w:proofErr w:type="spellStart"/>
      <w:r w:rsidR="00A55C48" w:rsidRPr="00675BDA">
        <w:rPr>
          <w:i/>
        </w:rPr>
        <w:t>Gladue</w:t>
      </w:r>
      <w:proofErr w:type="spellEnd"/>
      <w:r w:rsidR="00A55C48">
        <w:t xml:space="preserve"> (1999) stipulates that principles and factors, especially the offenders’ unique circumstances, </w:t>
      </w:r>
      <w:r w:rsidR="00A55C48" w:rsidRPr="00294488">
        <w:rPr>
          <w:i/>
        </w:rPr>
        <w:t>must</w:t>
      </w:r>
      <w:r w:rsidR="00A55C48">
        <w:t xml:space="preserve"> be taken into consideration when sentencing Indigenous offenders in Canada. </w:t>
      </w:r>
      <w:r w:rsidR="00F02A54">
        <w:t>T</w:t>
      </w:r>
      <w:r w:rsidR="005A7974">
        <w:t xml:space="preserve">he </w:t>
      </w:r>
      <w:r w:rsidR="00A55C48">
        <w:t>court must consider</w:t>
      </w:r>
      <w:r w:rsidR="00F52B00">
        <w:t>:</w:t>
      </w:r>
      <w:r w:rsidR="00A55C48">
        <w:t xml:space="preserve"> </w:t>
      </w:r>
      <w:r w:rsidR="00A55C48">
        <w:rPr>
          <w:color w:val="000000"/>
        </w:rPr>
        <w:t>(a)</w:t>
      </w:r>
      <w:r w:rsidR="00A55C48" w:rsidRPr="004164DA">
        <w:rPr>
          <w:color w:val="000000"/>
        </w:rPr>
        <w:t xml:space="preserve"> </w:t>
      </w:r>
      <w:r w:rsidR="00A55C48">
        <w:rPr>
          <w:color w:val="000000"/>
        </w:rPr>
        <w:t>t</w:t>
      </w:r>
      <w:r w:rsidR="00A55C48" w:rsidRPr="004164DA">
        <w:rPr>
          <w:color w:val="000000"/>
        </w:rPr>
        <w:t xml:space="preserve">he unique systemic or background factors which may have played a part in bringing the particular </w:t>
      </w:r>
      <w:r w:rsidR="00816D9E">
        <w:rPr>
          <w:color w:val="000000"/>
        </w:rPr>
        <w:t xml:space="preserve">Indigenous </w:t>
      </w:r>
      <w:r w:rsidR="00A55C48" w:rsidRPr="004164DA">
        <w:rPr>
          <w:color w:val="000000"/>
        </w:rPr>
        <w:t>offender before the courts</w:t>
      </w:r>
      <w:r w:rsidR="00F52B00">
        <w:rPr>
          <w:color w:val="000000"/>
        </w:rPr>
        <w:t>,</w:t>
      </w:r>
      <w:r w:rsidR="00A55C48" w:rsidRPr="004164DA">
        <w:rPr>
          <w:color w:val="000000"/>
        </w:rPr>
        <w:t xml:space="preserve"> and</w:t>
      </w:r>
      <w:r w:rsidR="00A55C48">
        <w:t xml:space="preserve"> </w:t>
      </w:r>
      <w:r w:rsidR="00A55C48">
        <w:rPr>
          <w:color w:val="000000"/>
        </w:rPr>
        <w:t>(b) t</w:t>
      </w:r>
      <w:r w:rsidR="00A55C48" w:rsidRPr="004164DA">
        <w:rPr>
          <w:color w:val="000000"/>
        </w:rPr>
        <w:t xml:space="preserve">he types of sentencing procedures and sanctions which may be appropriate in the circumstances for the offender because of his or her particular </w:t>
      </w:r>
      <w:r w:rsidR="00816D9E">
        <w:rPr>
          <w:color w:val="000000"/>
        </w:rPr>
        <w:t>Indigenous</w:t>
      </w:r>
      <w:r w:rsidR="00A55C48" w:rsidRPr="004164DA">
        <w:rPr>
          <w:color w:val="000000"/>
        </w:rPr>
        <w:t xml:space="preserve"> heritage or connection (</w:t>
      </w:r>
      <w:r w:rsidR="00A55C48" w:rsidRPr="00675BDA">
        <w:rPr>
          <w:i/>
          <w:color w:val="000000"/>
        </w:rPr>
        <w:t xml:space="preserve">R v </w:t>
      </w:r>
      <w:proofErr w:type="spellStart"/>
      <w:r w:rsidR="00A55C48" w:rsidRPr="00675BDA">
        <w:rPr>
          <w:i/>
          <w:color w:val="000000"/>
        </w:rPr>
        <w:t>Gladue</w:t>
      </w:r>
      <w:proofErr w:type="spellEnd"/>
      <w:r w:rsidR="00A55C48" w:rsidRPr="004164DA">
        <w:rPr>
          <w:color w:val="000000"/>
        </w:rPr>
        <w:t xml:space="preserve">, para 93(6)). </w:t>
      </w:r>
      <w:r w:rsidR="00F02A54">
        <w:rPr>
          <w:color w:val="000000"/>
        </w:rPr>
        <w:t>It is concerning that these requirements</w:t>
      </w:r>
      <w:r w:rsidR="00B2004A">
        <w:rPr>
          <w:color w:val="000000"/>
        </w:rPr>
        <w:t xml:space="preserve">, as </w:t>
      </w:r>
      <w:r w:rsidR="00DF3C34">
        <w:rPr>
          <w:color w:val="000000"/>
        </w:rPr>
        <w:t xml:space="preserve">put forth </w:t>
      </w:r>
      <w:r w:rsidR="00B2004A">
        <w:rPr>
          <w:color w:val="000000"/>
        </w:rPr>
        <w:t>by Jackson (2015),</w:t>
      </w:r>
      <w:r w:rsidR="00F02A54">
        <w:rPr>
          <w:color w:val="000000"/>
        </w:rPr>
        <w:t xml:space="preserve"> are not being </w:t>
      </w:r>
      <w:r w:rsidR="00133378">
        <w:rPr>
          <w:color w:val="000000"/>
        </w:rPr>
        <w:t>met or are</w:t>
      </w:r>
      <w:r w:rsidR="000C2527">
        <w:rPr>
          <w:color w:val="000000"/>
        </w:rPr>
        <w:t xml:space="preserve"> met too late in the process to be useful and potentially even harmful </w:t>
      </w:r>
      <w:r w:rsidR="00F02A54">
        <w:rPr>
          <w:color w:val="000000"/>
        </w:rPr>
        <w:t>in</w:t>
      </w:r>
      <w:r w:rsidR="00B2004A">
        <w:rPr>
          <w:color w:val="000000"/>
        </w:rPr>
        <w:t xml:space="preserve"> </w:t>
      </w:r>
      <w:r w:rsidR="00F02A54">
        <w:rPr>
          <w:color w:val="000000"/>
        </w:rPr>
        <w:t xml:space="preserve">Canadian </w:t>
      </w:r>
      <w:r w:rsidR="00B2004A">
        <w:rPr>
          <w:color w:val="000000"/>
        </w:rPr>
        <w:t xml:space="preserve">DO </w:t>
      </w:r>
      <w:r w:rsidR="00F02A54">
        <w:rPr>
          <w:color w:val="000000"/>
        </w:rPr>
        <w:t>cases.</w:t>
      </w:r>
    </w:p>
    <w:p w14:paraId="3049F348" w14:textId="4002801D" w:rsidR="00AD2A6A" w:rsidRDefault="00AD2A6A" w:rsidP="00FD1550">
      <w:pPr>
        <w:spacing w:line="480" w:lineRule="auto"/>
        <w:ind w:firstLine="720"/>
      </w:pPr>
      <w:r>
        <w:rPr>
          <w:color w:val="000000"/>
        </w:rPr>
        <w:t xml:space="preserve">Our results also demonstrated </w:t>
      </w:r>
      <w:r w:rsidR="00133378">
        <w:rPr>
          <w:color w:val="000000"/>
        </w:rPr>
        <w:t xml:space="preserve">that </w:t>
      </w:r>
      <w:r w:rsidR="00FD1550">
        <w:rPr>
          <w:color w:val="000000"/>
        </w:rPr>
        <w:t>Indigenous culture was found to be related to risk outcomes. Indigenous defendants were significantly more likely to be considered high</w:t>
      </w:r>
      <w:r w:rsidR="005D4875">
        <w:rPr>
          <w:color w:val="000000"/>
        </w:rPr>
        <w:t>er</w:t>
      </w:r>
      <w:r w:rsidR="00FD1550">
        <w:rPr>
          <w:color w:val="000000"/>
        </w:rPr>
        <w:t xml:space="preserve"> risk for reoffending by experts. </w:t>
      </w:r>
      <w:r w:rsidR="00FD1550">
        <w:t>Although risk</w:t>
      </w:r>
      <w:r w:rsidR="000D79FE">
        <w:t xml:space="preserve"> ratings differed,</w:t>
      </w:r>
      <w:r>
        <w:rPr>
          <w:color w:val="000000"/>
        </w:rPr>
        <w:t xml:space="preserve"> </w:t>
      </w:r>
      <w:r w:rsidR="000D79FE">
        <w:rPr>
          <w:color w:val="000000"/>
        </w:rPr>
        <w:t xml:space="preserve">types of sentence did not differ between the two groups. </w:t>
      </w:r>
      <w:r w:rsidR="00FD1550">
        <w:rPr>
          <w:color w:val="000000"/>
        </w:rPr>
        <w:t xml:space="preserve">This may suggest cultural factors were not considered in rating overall risk but were </w:t>
      </w:r>
      <w:r w:rsidR="005D4875">
        <w:rPr>
          <w:color w:val="000000"/>
        </w:rPr>
        <w:t xml:space="preserve">considering </w:t>
      </w:r>
      <w:r w:rsidR="00FD1550">
        <w:rPr>
          <w:color w:val="000000"/>
        </w:rPr>
        <w:t>in determining length of sentence.</w:t>
      </w:r>
      <w:r>
        <w:rPr>
          <w:color w:val="000000"/>
        </w:rPr>
        <w:t xml:space="preserve"> </w:t>
      </w:r>
      <w:r w:rsidR="005D4875">
        <w:rPr>
          <w:color w:val="000000"/>
        </w:rPr>
        <w:t xml:space="preserve">Or, in line with Jackson’s (2015) suggestion </w:t>
      </w:r>
      <w:r w:rsidR="005D4875">
        <w:rPr>
          <w:color w:val="000000"/>
        </w:rPr>
        <w:lastRenderedPageBreak/>
        <w:t xml:space="preserve">that </w:t>
      </w:r>
      <w:r w:rsidR="00E305EC">
        <w:rPr>
          <w:color w:val="000000"/>
        </w:rPr>
        <w:t>j</w:t>
      </w:r>
      <w:r w:rsidR="005D4875">
        <w:rPr>
          <w:color w:val="000000"/>
        </w:rPr>
        <w:t xml:space="preserve">udges may not be considering </w:t>
      </w:r>
      <w:proofErr w:type="spellStart"/>
      <w:r w:rsidR="005D4875">
        <w:rPr>
          <w:color w:val="000000"/>
        </w:rPr>
        <w:t>Gladue</w:t>
      </w:r>
      <w:proofErr w:type="spellEnd"/>
      <w:r w:rsidR="005D4875">
        <w:rPr>
          <w:color w:val="000000"/>
        </w:rPr>
        <w:t xml:space="preserve"> factors in DO cases for Indigenous peoples (hence the </w:t>
      </w:r>
      <w:r w:rsidR="006F3F7A">
        <w:rPr>
          <w:color w:val="000000"/>
        </w:rPr>
        <w:t xml:space="preserve">higher </w:t>
      </w:r>
      <w:r w:rsidR="005D4875">
        <w:rPr>
          <w:color w:val="000000"/>
        </w:rPr>
        <w:t>risk ratings) and given the severity of DO/LTO offences, there is little practical likelihood</w:t>
      </w:r>
      <w:r w:rsidR="006F3F7A">
        <w:rPr>
          <w:color w:val="000000"/>
        </w:rPr>
        <w:t xml:space="preserve"> we would see</w:t>
      </w:r>
      <w:r w:rsidR="005D4875">
        <w:rPr>
          <w:color w:val="000000"/>
        </w:rPr>
        <w:t xml:space="preserve"> differences in sentences for Indigenous offenders from non-Indigenous offenders (hence the similar sentences). </w:t>
      </w:r>
      <w:r w:rsidR="00133378">
        <w:rPr>
          <w:color w:val="000000"/>
        </w:rPr>
        <w:t>We were unable to examine the impact of a meaningful cultural discussion on the conditions</w:t>
      </w:r>
      <w:r w:rsidR="00B2004A">
        <w:rPr>
          <w:color w:val="000000"/>
        </w:rPr>
        <w:t xml:space="preserve"> of sentencing</w:t>
      </w:r>
      <w:r w:rsidR="00133378">
        <w:rPr>
          <w:color w:val="000000"/>
        </w:rPr>
        <w:t xml:space="preserve"> imposed</w:t>
      </w:r>
      <w:r w:rsidR="008E2843">
        <w:rPr>
          <w:color w:val="000000"/>
        </w:rPr>
        <w:t xml:space="preserve"> </w:t>
      </w:r>
      <w:r w:rsidR="006F7C8C">
        <w:rPr>
          <w:color w:val="000000"/>
        </w:rPr>
        <w:t>due to data collection limitations</w:t>
      </w:r>
      <w:r w:rsidR="009C37E3">
        <w:rPr>
          <w:color w:val="000000"/>
        </w:rPr>
        <w:t>.</w:t>
      </w:r>
      <w:r w:rsidR="00B2004A">
        <w:rPr>
          <w:color w:val="000000"/>
        </w:rPr>
        <w:t xml:space="preserve"> </w:t>
      </w:r>
      <w:r w:rsidR="009C37E3">
        <w:rPr>
          <w:color w:val="000000"/>
        </w:rPr>
        <w:t xml:space="preserve">However, we would expect </w:t>
      </w:r>
      <w:r w:rsidR="00FD1550">
        <w:rPr>
          <w:color w:val="000000"/>
        </w:rPr>
        <w:t>a meaningful discuss</w:t>
      </w:r>
      <w:r w:rsidR="0066022B">
        <w:rPr>
          <w:color w:val="000000"/>
        </w:rPr>
        <w:t>ion</w:t>
      </w:r>
      <w:r w:rsidR="00FD1550">
        <w:rPr>
          <w:color w:val="000000"/>
        </w:rPr>
        <w:t xml:space="preserve"> to impact conditions imposed</w:t>
      </w:r>
      <w:r w:rsidR="009C37E3">
        <w:rPr>
          <w:color w:val="000000"/>
        </w:rPr>
        <w:t xml:space="preserve"> given the guidance on culturally appropriate sentencing.</w:t>
      </w:r>
      <w:r w:rsidR="00133378">
        <w:rPr>
          <w:color w:val="000000"/>
        </w:rPr>
        <w:t xml:space="preserve"> </w:t>
      </w:r>
      <w:r w:rsidR="00420C3F">
        <w:rPr>
          <w:color w:val="000000"/>
        </w:rPr>
        <w:t xml:space="preserve"> </w:t>
      </w:r>
    </w:p>
    <w:p w14:paraId="2006E8AD" w14:textId="77777777" w:rsidR="00232918" w:rsidRPr="009578C3" w:rsidRDefault="00232918" w:rsidP="009578C3">
      <w:pPr>
        <w:spacing w:line="480" w:lineRule="auto"/>
        <w:rPr>
          <w:b/>
        </w:rPr>
      </w:pPr>
      <w:r>
        <w:rPr>
          <w:b/>
        </w:rPr>
        <w:t>Cultural Themes</w:t>
      </w:r>
      <w:r w:rsidR="0063600C">
        <w:rPr>
          <w:b/>
        </w:rPr>
        <w:t xml:space="preserve"> and Implications for Practice</w:t>
      </w:r>
    </w:p>
    <w:p w14:paraId="4418EE51" w14:textId="34E11EC7" w:rsidR="00301197" w:rsidRDefault="00BE6F75" w:rsidP="00DF0055">
      <w:pPr>
        <w:spacing w:line="480" w:lineRule="auto"/>
        <w:ind w:firstLine="720"/>
      </w:pPr>
      <w:r w:rsidRPr="00BE6F75">
        <w:t>Th</w:t>
      </w:r>
      <w:r w:rsidR="00CD26AD">
        <w:t>is</w:t>
      </w:r>
      <w:r w:rsidR="00747EA6">
        <w:t xml:space="preserve"> </w:t>
      </w:r>
      <w:r w:rsidR="00CD26AD">
        <w:t xml:space="preserve">study </w:t>
      </w:r>
      <w:r w:rsidR="00F973CC">
        <w:t xml:space="preserve">identified </w:t>
      </w:r>
      <w:r w:rsidR="00CD26AD">
        <w:t>seven</w:t>
      </w:r>
      <w:r w:rsidR="00747EA6">
        <w:t xml:space="preserve"> broad themes </w:t>
      </w:r>
      <w:r w:rsidR="00F973CC">
        <w:t>related to</w:t>
      </w:r>
      <w:r w:rsidR="00747EA6">
        <w:t xml:space="preserve"> culture (see </w:t>
      </w:r>
      <w:r w:rsidR="00747EA6" w:rsidRPr="00BE6F75">
        <w:t xml:space="preserve">Table </w:t>
      </w:r>
      <w:r w:rsidR="009C3F6D">
        <w:t>2</w:t>
      </w:r>
      <w:r w:rsidR="00747EA6" w:rsidRPr="00BE6F75">
        <w:t>).</w:t>
      </w:r>
      <w:r w:rsidR="00403464">
        <w:t xml:space="preserve"> Although there was a theme </w:t>
      </w:r>
      <w:r w:rsidR="00CD26AD">
        <w:t xml:space="preserve">that captured </w:t>
      </w:r>
      <w:r w:rsidR="00403464">
        <w:t>the superficial mentions of culture (Demographic Ethnicity), there w</w:t>
      </w:r>
      <w:r w:rsidR="00CD26AD">
        <w:t>ere</w:t>
      </w:r>
      <w:r w:rsidR="00403464">
        <w:t xml:space="preserve"> </w:t>
      </w:r>
      <w:r w:rsidR="00C420CC">
        <w:t>many</w:t>
      </w:r>
      <w:r w:rsidR="00403464">
        <w:t xml:space="preserve"> themes that provided clarity </w:t>
      </w:r>
      <w:r w:rsidR="00CD26AD">
        <w:t>regarding</w:t>
      </w:r>
      <w:r w:rsidR="00403464">
        <w:t xml:space="preserve"> how judges meaningfully consider</w:t>
      </w:r>
      <w:r w:rsidR="007D6401">
        <w:t>ed</w:t>
      </w:r>
      <w:r w:rsidR="00403464">
        <w:t xml:space="preserve"> culture. Judges </w:t>
      </w:r>
      <w:r w:rsidR="00C420CC">
        <w:t xml:space="preserve">articulated how culture was present and relevant to an offenders’ risk and management through the consideration of </w:t>
      </w:r>
      <w:proofErr w:type="spellStart"/>
      <w:r w:rsidR="00403464">
        <w:t>Gladue</w:t>
      </w:r>
      <w:proofErr w:type="spellEnd"/>
      <w:r w:rsidR="00403464">
        <w:t xml:space="preserve"> sentencing principles, Indigenous Specific Programming </w:t>
      </w:r>
      <w:r w:rsidR="007D3B01">
        <w:t xml:space="preserve">and </w:t>
      </w:r>
      <w:r w:rsidR="00403464">
        <w:t>Indigenous risk factors.</w:t>
      </w:r>
      <w:r w:rsidR="00C420CC">
        <w:t xml:space="preserve"> Relatedly, judges were considering the offe</w:t>
      </w:r>
      <w:r w:rsidR="007D3B01">
        <w:t>nde</w:t>
      </w:r>
      <w:r w:rsidR="00C420CC">
        <w:t xml:space="preserve">r’s experience of Indigenous culture. The </w:t>
      </w:r>
      <w:r w:rsidR="007D3B01">
        <w:t>presence</w:t>
      </w:r>
      <w:r w:rsidR="00C420CC">
        <w:t xml:space="preserve"> of these themes </w:t>
      </w:r>
      <w:r w:rsidR="007D3B01">
        <w:t>indicates</w:t>
      </w:r>
      <w:r w:rsidR="00C420CC">
        <w:t xml:space="preserve"> that when judges </w:t>
      </w:r>
      <w:r w:rsidR="007D3B01">
        <w:t xml:space="preserve">meaningfully consider culture they are doing so in </w:t>
      </w:r>
      <w:r w:rsidR="00C420CC">
        <w:t xml:space="preserve">line with </w:t>
      </w:r>
      <w:r w:rsidR="009578C3">
        <w:t>what we</w:t>
      </w:r>
      <w:r w:rsidR="009A77B9">
        <w:t xml:space="preserve"> were</w:t>
      </w:r>
      <w:r w:rsidR="009578C3">
        <w:t xml:space="preserve"> expect</w:t>
      </w:r>
      <w:r w:rsidR="009A77B9">
        <w:t>ing</w:t>
      </w:r>
      <w:r w:rsidR="009578C3">
        <w:t xml:space="preserve"> (</w:t>
      </w:r>
      <w:r w:rsidR="009A77B9">
        <w:t xml:space="preserve">i.e., </w:t>
      </w:r>
      <w:r w:rsidR="009578C3">
        <w:t xml:space="preserve">Cook &amp; Hart, 2017). </w:t>
      </w:r>
      <w:r w:rsidR="00C420CC">
        <w:t>The judges also discussed how VRA</w:t>
      </w:r>
      <w:r w:rsidR="007D3B01">
        <w:t>s</w:t>
      </w:r>
      <w:r w:rsidR="00C420CC">
        <w:t xml:space="preserve"> are applied to Indigenous Offenders</w:t>
      </w:r>
      <w:r w:rsidR="009578C3">
        <w:t xml:space="preserve"> and the application of DO/LTO sentencing to Indigenous Peoples</w:t>
      </w:r>
      <w:r w:rsidR="00C420CC">
        <w:t>, bring</w:t>
      </w:r>
      <w:r w:rsidR="009578C3">
        <w:t>ing</w:t>
      </w:r>
      <w:r w:rsidR="00C420CC">
        <w:t xml:space="preserve"> life to many of the considerations outlined in </w:t>
      </w:r>
      <w:r w:rsidR="00C420CC">
        <w:rPr>
          <w:i/>
        </w:rPr>
        <w:t xml:space="preserve">Ewert v. Canada </w:t>
      </w:r>
      <w:r w:rsidR="00C420CC">
        <w:t>(2</w:t>
      </w:r>
      <w:r w:rsidR="00C420CC" w:rsidRPr="006B0427">
        <w:t>018</w:t>
      </w:r>
      <w:r w:rsidR="00C420CC">
        <w:t>) and the Ha</w:t>
      </w:r>
      <w:r w:rsidR="00E27548">
        <w:t>a</w:t>
      </w:r>
      <w:r w:rsidR="00C420CC">
        <w:t>g (2016) special issue</w:t>
      </w:r>
      <w:r w:rsidR="00E27548">
        <w:t>: f</w:t>
      </w:r>
      <w:r w:rsidR="007D3B01">
        <w:t>or example</w:t>
      </w:r>
      <w:r w:rsidR="009A77B9">
        <w:t xml:space="preserve">, the status of research on the use of specific VRA tools with Indigenous peoples. </w:t>
      </w:r>
    </w:p>
    <w:p w14:paraId="0B7B7F7B" w14:textId="47D720B4" w:rsidR="00D97C48" w:rsidRPr="000E0CD4" w:rsidRDefault="00301197" w:rsidP="00273A0F">
      <w:pPr>
        <w:spacing w:line="480" w:lineRule="auto"/>
        <w:ind w:firstLine="720"/>
        <w:rPr>
          <w:color w:val="000000" w:themeColor="text1"/>
        </w:rPr>
      </w:pPr>
      <w:r>
        <w:t xml:space="preserve">Another </w:t>
      </w:r>
      <w:r w:rsidR="000B1B81">
        <w:t xml:space="preserve">notable </w:t>
      </w:r>
      <w:r>
        <w:t xml:space="preserve">finding was </w:t>
      </w:r>
      <w:r w:rsidR="000B1B81">
        <w:t xml:space="preserve">that </w:t>
      </w:r>
      <w:r>
        <w:t xml:space="preserve">there was </w:t>
      </w:r>
      <w:r w:rsidR="00C62A44">
        <w:t xml:space="preserve">only </w:t>
      </w:r>
      <w:r w:rsidR="0083671A">
        <w:t xml:space="preserve">judicial </w:t>
      </w:r>
      <w:r>
        <w:t>consideration of the evaluators</w:t>
      </w:r>
      <w:r w:rsidR="0083671A">
        <w:t>’</w:t>
      </w:r>
      <w:r>
        <w:t xml:space="preserve"> experience with Indigenous offender assessment in </w:t>
      </w:r>
      <w:r w:rsidR="0083671A">
        <w:t>a minority of cases</w:t>
      </w:r>
      <w:r w:rsidR="00D3399A">
        <w:t xml:space="preserve"> (11.9%)</w:t>
      </w:r>
      <w:r>
        <w:t xml:space="preserve">. This </w:t>
      </w:r>
      <w:r w:rsidR="00C62A44">
        <w:t>suggests</w:t>
      </w:r>
      <w:r>
        <w:t xml:space="preserve"> that cultur</w:t>
      </w:r>
      <w:r w:rsidR="0083671A">
        <w:t>al</w:t>
      </w:r>
      <w:r>
        <w:t xml:space="preserve"> competence </w:t>
      </w:r>
      <w:r w:rsidR="0083671A">
        <w:t xml:space="preserve">among evaluators </w:t>
      </w:r>
      <w:r>
        <w:t xml:space="preserve">in applying </w:t>
      </w:r>
      <w:r w:rsidR="001729ED">
        <w:t>VRA</w:t>
      </w:r>
      <w:r>
        <w:t xml:space="preserve"> tools to Indigenous evaluee</w:t>
      </w:r>
      <w:r w:rsidR="0083671A">
        <w:t>s</w:t>
      </w:r>
      <w:r>
        <w:t xml:space="preserve"> is </w:t>
      </w:r>
      <w:r>
        <w:lastRenderedPageBreak/>
        <w:t xml:space="preserve">assumed, rather than challenged and </w:t>
      </w:r>
      <w:r w:rsidR="009459C7">
        <w:t>carefully considered</w:t>
      </w:r>
      <w:r w:rsidR="00546853">
        <w:t xml:space="preserve"> in judicial decisions</w:t>
      </w:r>
      <w:r w:rsidR="0091142E">
        <w:t xml:space="preserve">. </w:t>
      </w:r>
      <w:r w:rsidR="009459C7">
        <w:t xml:space="preserve">Although </w:t>
      </w:r>
      <w:r w:rsidR="0091142E">
        <w:t>it is expected</w:t>
      </w:r>
      <w:r w:rsidR="009459C7">
        <w:t xml:space="preserve"> </w:t>
      </w:r>
      <w:r w:rsidR="009459C7" w:rsidRPr="00BE6F75">
        <w:t>that Canad</w:t>
      </w:r>
      <w:r w:rsidR="00BE6F75" w:rsidRPr="00BE6F75">
        <w:t>ian</w:t>
      </w:r>
      <w:r w:rsidR="009459C7" w:rsidRPr="00BE6F75">
        <w:t xml:space="preserve"> evalu</w:t>
      </w:r>
      <w:r w:rsidR="00BE6F75">
        <w:t>a</w:t>
      </w:r>
      <w:r w:rsidR="009459C7" w:rsidRPr="00BE6F75">
        <w:t xml:space="preserve">tors </w:t>
      </w:r>
      <w:r w:rsidR="009459C7">
        <w:t xml:space="preserve">have developed competence </w:t>
      </w:r>
      <w:r w:rsidR="008F2F21">
        <w:t>in</w:t>
      </w:r>
      <w:r w:rsidR="009459C7">
        <w:t xml:space="preserve"> assessing violence risk </w:t>
      </w:r>
      <w:r w:rsidR="008F2F21">
        <w:t>among</w:t>
      </w:r>
      <w:r w:rsidR="009459C7">
        <w:t xml:space="preserve"> Indigenous evaluees</w:t>
      </w:r>
      <w:r w:rsidR="0091142E">
        <w:t>,</w:t>
      </w:r>
      <w:r w:rsidR="009459C7">
        <w:t xml:space="preserve"> this should not be assumed. </w:t>
      </w:r>
      <w:r w:rsidR="0091142E" w:rsidRPr="00675BDA">
        <w:t xml:space="preserve">Evaluators are required to consider culture in the evaluation of violence risk and how culture impacts the </w:t>
      </w:r>
      <w:r w:rsidR="008D775C">
        <w:t xml:space="preserve">selection and </w:t>
      </w:r>
      <w:r w:rsidR="0091142E" w:rsidRPr="00675BDA">
        <w:t xml:space="preserve">application of </w:t>
      </w:r>
      <w:r w:rsidR="008D775C">
        <w:t>VRA t</w:t>
      </w:r>
      <w:r w:rsidR="0091142E" w:rsidRPr="00675BDA">
        <w:t>ools across cultures (see Cook &amp; Hart, 2017</w:t>
      </w:r>
      <w:r w:rsidR="008D775C">
        <w:t xml:space="preserve">; </w:t>
      </w:r>
      <w:r w:rsidR="008D775C" w:rsidRPr="00675BDA">
        <w:t xml:space="preserve">Knapp &amp; </w:t>
      </w:r>
      <w:proofErr w:type="spellStart"/>
      <w:r w:rsidR="008D775C" w:rsidRPr="00675BDA">
        <w:t>VandeCreek</w:t>
      </w:r>
      <w:proofErr w:type="spellEnd"/>
      <w:r w:rsidR="008D775C" w:rsidRPr="00675BDA">
        <w:t>, 2006</w:t>
      </w:r>
      <w:r w:rsidR="00321B83">
        <w:t xml:space="preserve">; </w:t>
      </w:r>
      <w:r w:rsidR="00321B83" w:rsidRPr="00320F2E">
        <w:rPr>
          <w:color w:val="000000" w:themeColor="text1"/>
        </w:rPr>
        <w:t>Shepherd</w:t>
      </w:r>
      <w:r w:rsidR="00321B83">
        <w:rPr>
          <w:color w:val="000000" w:themeColor="text1"/>
        </w:rPr>
        <w:t xml:space="preserve"> &amp; </w:t>
      </w:r>
      <w:r w:rsidR="00321B83">
        <w:t>Lewis-Fernandez</w:t>
      </w:r>
      <w:r w:rsidR="00321B83">
        <w:rPr>
          <w:color w:val="000000" w:themeColor="text1"/>
        </w:rPr>
        <w:t>, 2018</w:t>
      </w:r>
      <w:r w:rsidR="0091142E" w:rsidRPr="00675BDA">
        <w:t xml:space="preserve">). </w:t>
      </w:r>
      <w:r w:rsidR="0091142E" w:rsidRPr="00D47948">
        <w:t>Cultural</w:t>
      </w:r>
      <w:r w:rsidR="0091142E" w:rsidRPr="00675BDA">
        <w:t xml:space="preserve"> factors can impact the</w:t>
      </w:r>
      <w:r w:rsidR="00A101A9">
        <w:t xml:space="preserve"> application </w:t>
      </w:r>
      <w:r w:rsidR="00B4385C">
        <w:t>of</w:t>
      </w:r>
      <w:r w:rsidR="00A101A9">
        <w:t xml:space="preserve"> or</w:t>
      </w:r>
      <w:r w:rsidR="0091142E" w:rsidRPr="00675BDA">
        <w:t xml:space="preserve"> interpretation of</w:t>
      </w:r>
      <w:r w:rsidR="009A77B9">
        <w:t xml:space="preserve"> psychological</w:t>
      </w:r>
      <w:r w:rsidR="0091142E" w:rsidRPr="00675BDA">
        <w:t xml:space="preserve"> tests and it is essential that this information be integrated into the selection of a particular test, </w:t>
      </w:r>
      <w:r w:rsidR="00C62A44">
        <w:t>its</w:t>
      </w:r>
      <w:r w:rsidR="0091142E" w:rsidRPr="00675BDA">
        <w:t xml:space="preserve"> interpret</w:t>
      </w:r>
      <w:r w:rsidR="00C62A44">
        <w:t>ation</w:t>
      </w:r>
      <w:r w:rsidR="0091142E" w:rsidRPr="00675BDA">
        <w:t xml:space="preserve">, and in </w:t>
      </w:r>
      <w:r w:rsidR="00C62A44">
        <w:t>the way in which the</w:t>
      </w:r>
      <w:r w:rsidR="0091142E" w:rsidRPr="00675BDA">
        <w:t xml:space="preserve"> information is considered in the overall conceptualization of the case. This has been explicitly established in the Specialty Guidelines for Forensic Psychology of the </w:t>
      </w:r>
      <w:r w:rsidR="0091142E" w:rsidRPr="00675BDA">
        <w:rPr>
          <w:i/>
        </w:rPr>
        <w:t xml:space="preserve">American Psychological Association </w:t>
      </w:r>
      <w:r w:rsidR="0091142E" w:rsidRPr="00675BDA">
        <w:t xml:space="preserve">(2013). The specialty guidelines direct professionals to appreciate individual and group differences (i.e., per Guideline 2.08, understanding culture: understanding how culture may affect and be related to an individual contact and involvement in the legal system) and to appreciate individual differences when interpreting assessment results (i.e., per Guideline 10.03: consider how culture might affect </w:t>
      </w:r>
      <w:r w:rsidR="00696272">
        <w:t>the assessors</w:t>
      </w:r>
      <w:r w:rsidR="0091142E" w:rsidRPr="00675BDA">
        <w:t xml:space="preserve"> own judgments or reduce the accuracy of their interpretation of their tests).</w:t>
      </w:r>
      <w:r w:rsidR="0091142E">
        <w:t xml:space="preserve"> Given this expectation a</w:t>
      </w:r>
      <w:r w:rsidR="009459C7">
        <w:t xml:space="preserve">t a practice </w:t>
      </w:r>
      <w:r w:rsidR="0050186C">
        <w:t>level,</w:t>
      </w:r>
      <w:r w:rsidR="009459C7">
        <w:t xml:space="preserve"> we encourage </w:t>
      </w:r>
      <w:r w:rsidR="00A101A9">
        <w:t>l</w:t>
      </w:r>
      <w:r w:rsidR="0050186C">
        <w:t xml:space="preserve">egal </w:t>
      </w:r>
      <w:r w:rsidR="00A101A9">
        <w:t>c</w:t>
      </w:r>
      <w:r w:rsidR="009459C7">
        <w:t>ounsel to challenge expert experience</w:t>
      </w:r>
      <w:r w:rsidR="0083671A">
        <w:t xml:space="preserve"> on culture</w:t>
      </w:r>
      <w:r w:rsidR="009459C7">
        <w:t xml:space="preserve"> and </w:t>
      </w:r>
      <w:r w:rsidR="0083671A">
        <w:t xml:space="preserve">cultural </w:t>
      </w:r>
      <w:r w:rsidR="009459C7">
        <w:t xml:space="preserve">competence to ensure evaluees are being evaluated by professionals with appropriate experience and competence to conduct </w:t>
      </w:r>
      <w:r w:rsidR="00BC1E7D">
        <w:t xml:space="preserve">these </w:t>
      </w:r>
      <w:r w:rsidR="009459C7">
        <w:t xml:space="preserve">assessments. </w:t>
      </w:r>
      <w:r w:rsidR="00321B83">
        <w:t xml:space="preserve">This is in line with </w:t>
      </w:r>
      <w:r w:rsidR="00BC1E7D">
        <w:t xml:space="preserve">the call by </w:t>
      </w:r>
      <w:r w:rsidR="00321B83">
        <w:rPr>
          <w:color w:val="000000" w:themeColor="text1"/>
        </w:rPr>
        <w:t xml:space="preserve">Shepherd </w:t>
      </w:r>
      <w:r w:rsidR="00397D0E">
        <w:rPr>
          <w:color w:val="000000" w:themeColor="text1"/>
        </w:rPr>
        <w:t>and</w:t>
      </w:r>
      <w:r w:rsidR="00321B83">
        <w:rPr>
          <w:color w:val="000000" w:themeColor="text1"/>
        </w:rPr>
        <w:t xml:space="preserve"> </w:t>
      </w:r>
      <w:r w:rsidR="00321B83">
        <w:t>Lewis-Fernandez</w:t>
      </w:r>
      <w:r w:rsidR="00321B83">
        <w:rPr>
          <w:color w:val="000000" w:themeColor="text1"/>
        </w:rPr>
        <w:t xml:space="preserve"> (2018) f</w:t>
      </w:r>
      <w:r w:rsidR="00273A0F">
        <w:rPr>
          <w:color w:val="000000" w:themeColor="text1"/>
        </w:rPr>
        <w:t xml:space="preserve">or evaluators to establish and </w:t>
      </w:r>
      <w:r w:rsidR="00662BD6">
        <w:rPr>
          <w:color w:val="000000" w:themeColor="text1"/>
        </w:rPr>
        <w:t xml:space="preserve">maintain </w:t>
      </w:r>
      <w:r w:rsidR="00273A0F">
        <w:rPr>
          <w:color w:val="000000" w:themeColor="text1"/>
        </w:rPr>
        <w:t>capacity for cross-cultural assessment. The authors state: “</w:t>
      </w:r>
      <w:r w:rsidR="00273A0F" w:rsidRPr="00273A0F">
        <w:rPr>
          <w:color w:val="000000" w:themeColor="text1"/>
        </w:rPr>
        <w:t>Clinicians must be regularly educated</w:t>
      </w:r>
      <w:r w:rsidR="00273A0F">
        <w:rPr>
          <w:color w:val="000000" w:themeColor="text1"/>
        </w:rPr>
        <w:t xml:space="preserve"> </w:t>
      </w:r>
      <w:r w:rsidR="00273A0F" w:rsidRPr="00273A0F">
        <w:rPr>
          <w:color w:val="000000" w:themeColor="text1"/>
        </w:rPr>
        <w:t>in cultural competency or safety to ensure that risk assessment</w:t>
      </w:r>
      <w:r w:rsidR="00273A0F">
        <w:rPr>
          <w:color w:val="000000" w:themeColor="text1"/>
        </w:rPr>
        <w:t xml:space="preserve"> </w:t>
      </w:r>
      <w:r w:rsidR="00273A0F" w:rsidRPr="00273A0F">
        <w:rPr>
          <w:color w:val="000000" w:themeColor="text1"/>
        </w:rPr>
        <w:t>interviews gather relevant and meaningful information without</w:t>
      </w:r>
      <w:r w:rsidR="00273A0F">
        <w:rPr>
          <w:color w:val="000000" w:themeColor="text1"/>
        </w:rPr>
        <w:t xml:space="preserve"> </w:t>
      </w:r>
      <w:r w:rsidR="00273A0F" w:rsidRPr="00273A0F">
        <w:rPr>
          <w:color w:val="000000" w:themeColor="text1"/>
        </w:rPr>
        <w:t>unintentionally alienating, offending, or demeaning the client. A</w:t>
      </w:r>
      <w:r w:rsidR="00273A0F">
        <w:rPr>
          <w:color w:val="000000" w:themeColor="text1"/>
        </w:rPr>
        <w:t xml:space="preserve"> </w:t>
      </w:r>
      <w:r w:rsidR="00273A0F" w:rsidRPr="00273A0F">
        <w:rPr>
          <w:color w:val="000000" w:themeColor="text1"/>
        </w:rPr>
        <w:t>clinician’s cross-cultural aptitude can shape the risk assessment</w:t>
      </w:r>
      <w:r w:rsidR="00273A0F">
        <w:rPr>
          <w:color w:val="000000" w:themeColor="text1"/>
        </w:rPr>
        <w:t xml:space="preserve"> </w:t>
      </w:r>
      <w:r w:rsidR="00273A0F" w:rsidRPr="00273A0F">
        <w:rPr>
          <w:color w:val="000000" w:themeColor="text1"/>
        </w:rPr>
        <w:t xml:space="preserve">experience (i.e., patient candor or rapport, </w:t>
      </w:r>
      <w:r w:rsidR="00273A0F" w:rsidRPr="00273A0F">
        <w:rPr>
          <w:color w:val="000000" w:themeColor="text1"/>
        </w:rPr>
        <w:lastRenderedPageBreak/>
        <w:t>symptom interpretation,</w:t>
      </w:r>
      <w:r w:rsidR="00273A0F">
        <w:rPr>
          <w:color w:val="000000" w:themeColor="text1"/>
        </w:rPr>
        <w:t xml:space="preserve"> </w:t>
      </w:r>
      <w:r w:rsidR="00273A0F" w:rsidRPr="00273A0F">
        <w:rPr>
          <w:color w:val="000000" w:themeColor="text1"/>
        </w:rPr>
        <w:t>and risk precision) and should not be undervalued.</w:t>
      </w:r>
      <w:r w:rsidR="00273A0F">
        <w:rPr>
          <w:color w:val="000000" w:themeColor="text1"/>
        </w:rPr>
        <w:t xml:space="preserve">” (p. 434). </w:t>
      </w:r>
      <w:r w:rsidR="00546853">
        <w:rPr>
          <w:color w:val="000000" w:themeColor="text1"/>
        </w:rPr>
        <w:t xml:space="preserve">This may be taking place and not discussed in the judicial decisions we reviewed, but given the importance it is worth underscoring here. </w:t>
      </w:r>
      <w:r w:rsidR="004B6BC7">
        <w:t xml:space="preserve">Legal professionals should also obtain and maintain </w:t>
      </w:r>
      <w:r w:rsidR="003D56DB">
        <w:t>cultur</w:t>
      </w:r>
      <w:r w:rsidR="004B6BC7">
        <w:t>al</w:t>
      </w:r>
      <w:r w:rsidR="003D56DB">
        <w:t xml:space="preserve"> competence. </w:t>
      </w:r>
      <w:r w:rsidR="0018458C">
        <w:t xml:space="preserve">If culture is not being considered thoughtfully in all cases, </w:t>
      </w:r>
      <w:r w:rsidR="003D56DB">
        <w:t>it may be a</w:t>
      </w:r>
      <w:r w:rsidR="0018458C">
        <w:t xml:space="preserve"> function of </w:t>
      </w:r>
      <w:r w:rsidR="00534C67">
        <w:t xml:space="preserve">legal professionals </w:t>
      </w:r>
      <w:r w:rsidR="0018458C">
        <w:t xml:space="preserve">not </w:t>
      </w:r>
      <w:r w:rsidR="006B3DBA">
        <w:t xml:space="preserve">being </w:t>
      </w:r>
      <w:r w:rsidR="0018458C">
        <w:t xml:space="preserve">adequately aware of the importance of culture on </w:t>
      </w:r>
      <w:r w:rsidR="006B3DBA">
        <w:t>the assessment of violence risk</w:t>
      </w:r>
      <w:r w:rsidR="0018458C">
        <w:t xml:space="preserve">. </w:t>
      </w:r>
      <w:r w:rsidR="007A7072">
        <w:t xml:space="preserve">We are unaware of any current professional guidelines in the legal community relating to </w:t>
      </w:r>
      <w:r w:rsidR="0081532F">
        <w:t xml:space="preserve">the </w:t>
      </w:r>
      <w:r w:rsidR="007A7072">
        <w:t xml:space="preserve">consideration of culture beyond case law (i.e., </w:t>
      </w:r>
      <w:r w:rsidR="00E113E6">
        <w:rPr>
          <w:i/>
        </w:rPr>
        <w:t>R</w:t>
      </w:r>
      <w:r w:rsidR="007A7072">
        <w:rPr>
          <w:i/>
        </w:rPr>
        <w:t xml:space="preserve"> v </w:t>
      </w:r>
      <w:proofErr w:type="spellStart"/>
      <w:r w:rsidR="007A7072">
        <w:rPr>
          <w:i/>
        </w:rPr>
        <w:t>Gladue</w:t>
      </w:r>
      <w:proofErr w:type="spellEnd"/>
      <w:r w:rsidR="007A7072">
        <w:t>, 1999</w:t>
      </w:r>
      <w:r w:rsidR="00B44AEB">
        <w:t xml:space="preserve">, </w:t>
      </w:r>
      <w:r w:rsidR="00B44AEB" w:rsidRPr="00B44AEB">
        <w:rPr>
          <w:i/>
        </w:rPr>
        <w:t xml:space="preserve">R v </w:t>
      </w:r>
      <w:proofErr w:type="spellStart"/>
      <w:r w:rsidR="00B44AEB" w:rsidRPr="00B44AEB">
        <w:rPr>
          <w:i/>
        </w:rPr>
        <w:t>Ipeelee</w:t>
      </w:r>
      <w:proofErr w:type="spellEnd"/>
      <w:r w:rsidR="00B44AEB">
        <w:t>, 2012</w:t>
      </w:r>
      <w:r w:rsidR="007A7072">
        <w:t>)</w:t>
      </w:r>
      <w:r w:rsidR="00B44AEB">
        <w:t xml:space="preserve"> and suggestions set out by a legal professional on the matter (i.e., Jackson, 2015)</w:t>
      </w:r>
      <w:r w:rsidR="007A7072">
        <w:t xml:space="preserve">. </w:t>
      </w:r>
    </w:p>
    <w:p w14:paraId="1BD6544C" w14:textId="77777777" w:rsidR="00D97C48" w:rsidRPr="00D47455" w:rsidRDefault="007E72B9" w:rsidP="00D47455">
      <w:pPr>
        <w:spacing w:line="480" w:lineRule="auto"/>
        <w:rPr>
          <w:b/>
        </w:rPr>
      </w:pPr>
      <w:r w:rsidRPr="007C4FDA">
        <w:rPr>
          <w:b/>
        </w:rPr>
        <w:t>General (</w:t>
      </w:r>
      <w:r w:rsidR="00D97C48" w:rsidRPr="007C4FDA">
        <w:rPr>
          <w:b/>
        </w:rPr>
        <w:t>Non-Cultural</w:t>
      </w:r>
      <w:r w:rsidRPr="007C4FDA">
        <w:rPr>
          <w:b/>
        </w:rPr>
        <w:t>)</w:t>
      </w:r>
      <w:r w:rsidR="00D97C48" w:rsidRPr="007C4FDA">
        <w:rPr>
          <w:b/>
        </w:rPr>
        <w:t xml:space="preserve"> </w:t>
      </w:r>
      <w:r>
        <w:rPr>
          <w:b/>
        </w:rPr>
        <w:t>Findings</w:t>
      </w:r>
    </w:p>
    <w:p w14:paraId="086CAD72" w14:textId="77777777" w:rsidR="00AF61DD" w:rsidRDefault="0063600C" w:rsidP="00AF61DD">
      <w:pPr>
        <w:spacing w:line="480" w:lineRule="auto"/>
        <w:ind w:firstLine="720"/>
      </w:pPr>
      <w:r>
        <w:t>T</w:t>
      </w:r>
      <w:r w:rsidR="00960564">
        <w:t xml:space="preserve">he </w:t>
      </w:r>
      <w:r w:rsidR="00AF61DD">
        <w:t>results indicate that</w:t>
      </w:r>
      <w:r w:rsidR="00AF0DED">
        <w:t xml:space="preserve"> there was </w:t>
      </w:r>
      <w:r w:rsidR="00AF61DD">
        <w:t xml:space="preserve">no difference in the judicial </w:t>
      </w:r>
      <w:r w:rsidR="009C5C24">
        <w:t xml:space="preserve">consideration of the </w:t>
      </w:r>
      <w:r w:rsidR="00D97C48">
        <w:t xml:space="preserve">broad </w:t>
      </w:r>
      <w:r w:rsidR="009C5C24">
        <w:t xml:space="preserve">qualities of </w:t>
      </w:r>
      <w:r w:rsidR="001729ED">
        <w:t>VRAs</w:t>
      </w:r>
      <w:r w:rsidR="009C5C24">
        <w:t xml:space="preserve"> across Indigenous and non-Indigenous cases (i.e., overall quality of the assessment, judicial preference for certain </w:t>
      </w:r>
      <w:r w:rsidR="000968F5">
        <w:t>VRA</w:t>
      </w:r>
      <w:r w:rsidR="009C5C24">
        <w:t xml:space="preserve"> tools, and criticism of the tools used), </w:t>
      </w:r>
      <w:r w:rsidR="00843CBA">
        <w:t>however there was</w:t>
      </w:r>
      <w:r w:rsidR="009C5C24">
        <w:t xml:space="preserve"> significantly more consideration of the content of the </w:t>
      </w:r>
      <w:r w:rsidR="001729ED">
        <w:t>VRA</w:t>
      </w:r>
      <w:r w:rsidR="009C5C24">
        <w:t xml:space="preserve"> in non-Indigenous cases. </w:t>
      </w:r>
      <w:r w:rsidR="00824343">
        <w:t xml:space="preserve">The general lack of significant differences </w:t>
      </w:r>
      <w:r w:rsidR="00AF0DED">
        <w:t>is in contrast to what would be expected given that Indigenous evaluees are</w:t>
      </w:r>
      <w:r w:rsidR="00824343">
        <w:t xml:space="preserve"> required by law</w:t>
      </w:r>
      <w:r w:rsidR="00AF0DED">
        <w:t xml:space="preserve"> to be given additional consideration based on culture</w:t>
      </w:r>
      <w:r w:rsidR="00843CBA">
        <w:t>. This further highlights</w:t>
      </w:r>
      <w:r w:rsidR="006A5287">
        <w:t xml:space="preserve"> the need for increased cultural competency in the context of VRA for legal professionals</w:t>
      </w:r>
      <w:r w:rsidR="00AF0DED">
        <w:t xml:space="preserve">. </w:t>
      </w:r>
    </w:p>
    <w:p w14:paraId="4C46ACFB" w14:textId="77777777" w:rsidR="00493C11" w:rsidRDefault="001448A8" w:rsidP="00BE2FBB">
      <w:pPr>
        <w:spacing w:line="480" w:lineRule="auto"/>
        <w:ind w:firstLine="720"/>
      </w:pPr>
      <w:r>
        <w:t xml:space="preserve">The results also showed that </w:t>
      </w:r>
      <w:r w:rsidR="00D47948">
        <w:t>VRA</w:t>
      </w:r>
      <w:r w:rsidR="00960564">
        <w:t xml:space="preserve"> tool</w:t>
      </w:r>
      <w:r>
        <w:t>s were used in most (</w:t>
      </w:r>
      <w:r w:rsidR="00D03362">
        <w:t>83.3</w:t>
      </w:r>
      <w:r>
        <w:t xml:space="preserve">%) cases where the offender was </w:t>
      </w:r>
      <w:r w:rsidR="00D47455">
        <w:t>Indigenous</w:t>
      </w:r>
      <w:r w:rsidR="00393111">
        <w:t xml:space="preserve">. </w:t>
      </w:r>
      <w:r w:rsidR="00D47455">
        <w:t xml:space="preserve">It is clear </w:t>
      </w:r>
      <w:r>
        <w:t xml:space="preserve">that </w:t>
      </w:r>
      <w:r w:rsidR="00D47455">
        <w:t>VRA tools are being used with Indigenous offender</w:t>
      </w:r>
      <w:r>
        <w:t>s</w:t>
      </w:r>
      <w:r w:rsidR="00D47455">
        <w:t xml:space="preserve">, despite the </w:t>
      </w:r>
      <w:r>
        <w:t xml:space="preserve">fact that </w:t>
      </w:r>
      <w:r w:rsidR="00D47455">
        <w:t>research on the use of VRA tools with Indigenous offenders is not prevalent or conclusive (Gutierrez et al.</w:t>
      </w:r>
      <w:r w:rsidR="00696272">
        <w:t>,</w:t>
      </w:r>
      <w:r w:rsidR="00D47455">
        <w:t xml:space="preserve"> 2016)</w:t>
      </w:r>
      <w:r w:rsidR="00927EDA">
        <w:t xml:space="preserve"> and that it is still unknown whether VRA tools categorize Indigenous offenders as high risk in disproportionate numbers (</w:t>
      </w:r>
      <w:proofErr w:type="spellStart"/>
      <w:r w:rsidR="00927EDA">
        <w:t>Olver</w:t>
      </w:r>
      <w:proofErr w:type="spellEnd"/>
      <w:r w:rsidR="00927EDA">
        <w:t>, 2016)</w:t>
      </w:r>
      <w:r w:rsidR="00D47455">
        <w:t xml:space="preserve">. This </w:t>
      </w:r>
      <w:r w:rsidR="00EA78B9">
        <w:t xml:space="preserve">result </w:t>
      </w:r>
      <w:r w:rsidR="00D47455">
        <w:t>is</w:t>
      </w:r>
      <w:r w:rsidR="00EA78B9">
        <w:t xml:space="preserve"> however</w:t>
      </w:r>
      <w:r w:rsidR="00D47455">
        <w:t xml:space="preserve"> in line with some recommendations, for example, by Gutierrez et al. </w:t>
      </w:r>
      <w:r w:rsidR="002403A0">
        <w:t xml:space="preserve">(2016) </w:t>
      </w:r>
      <w:r w:rsidR="00EA78B9">
        <w:t xml:space="preserve">who </w:t>
      </w:r>
      <w:r w:rsidR="00EA78B9">
        <w:lastRenderedPageBreak/>
        <w:t xml:space="preserve">recommend </w:t>
      </w:r>
      <w:r w:rsidR="00D47455">
        <w:t>that</w:t>
      </w:r>
      <w:r w:rsidR="00F71886">
        <w:t xml:space="preserve"> VRA still be conducted with Indigenous offenders unless </w:t>
      </w:r>
      <w:r w:rsidR="00071E7D">
        <w:t>and until</w:t>
      </w:r>
      <w:r w:rsidR="00F71886">
        <w:t xml:space="preserve"> better researched option</w:t>
      </w:r>
      <w:r w:rsidR="002403A0">
        <w:t>s</w:t>
      </w:r>
      <w:r w:rsidR="00F71886">
        <w:t xml:space="preserve"> with higher predictive validity </w:t>
      </w:r>
      <w:r w:rsidR="002403A0">
        <w:t>are</w:t>
      </w:r>
      <w:r w:rsidR="00F71886">
        <w:t xml:space="preserve"> presented.</w:t>
      </w:r>
      <w:r w:rsidR="00306AEF">
        <w:t xml:space="preserve"> </w:t>
      </w:r>
      <w:r w:rsidR="00927EDA">
        <w:t>Relatedly</w:t>
      </w:r>
      <w:r w:rsidR="00D47455">
        <w:t xml:space="preserve">, </w:t>
      </w:r>
      <w:proofErr w:type="spellStart"/>
      <w:r w:rsidR="00F71886">
        <w:t>Olver</w:t>
      </w:r>
      <w:proofErr w:type="spellEnd"/>
      <w:r w:rsidR="00F71886">
        <w:t xml:space="preserve"> </w:t>
      </w:r>
      <w:r w:rsidR="007B21EF">
        <w:t xml:space="preserve">(2016) </w:t>
      </w:r>
      <w:r w:rsidR="00D47455">
        <w:t>advises</w:t>
      </w:r>
      <w:r w:rsidR="007B21EF">
        <w:t xml:space="preserve"> that a gap in evidence does not automatically </w:t>
      </w:r>
      <w:r w:rsidR="00071E7D">
        <w:t>translate</w:t>
      </w:r>
      <w:r w:rsidR="007B21EF">
        <w:t xml:space="preserve"> to low predictive validity</w:t>
      </w:r>
      <w:r w:rsidR="00927EDA">
        <w:t xml:space="preserve">. </w:t>
      </w:r>
      <w:r w:rsidR="00BE2FBB">
        <w:t xml:space="preserve">The finding that VRA tools </w:t>
      </w:r>
      <w:r w:rsidR="007E768C">
        <w:t xml:space="preserve">and actuarial tools specifically </w:t>
      </w:r>
      <w:r w:rsidR="00BE2FBB">
        <w:t xml:space="preserve">are generally being used more frequently </w:t>
      </w:r>
      <w:r w:rsidR="007E768C">
        <w:t>for</w:t>
      </w:r>
      <w:r w:rsidR="00BE2FBB">
        <w:t xml:space="preserve"> Non-Indigenous defendants is also encouraging, as this likely reflects a decision by evaluators to not use </w:t>
      </w:r>
      <w:r w:rsidR="007E768C">
        <w:t>the tests on groups for which they are not validated</w:t>
      </w:r>
      <w:r w:rsidR="00BE2FBB">
        <w:t xml:space="preserve">. Further to this, SPJ tools that allow for clinical consideration of item relevance and case-specific risk factors (i.e., RSVP, HCR-20, and SARA) were being used more frequently with Indigenous offenders, and actuarial tools that have no discretion (i.e., PCL-R, SORAG, and VRAG) were being used less frequently with Indigenous offenders. </w:t>
      </w:r>
    </w:p>
    <w:p w14:paraId="4E66E65C" w14:textId="77777777" w:rsidR="00393111" w:rsidRDefault="006939DE" w:rsidP="00D47455">
      <w:pPr>
        <w:spacing w:line="480" w:lineRule="auto"/>
        <w:ind w:firstLine="720"/>
      </w:pPr>
      <w:r>
        <w:t xml:space="preserve">Although </w:t>
      </w:r>
      <w:r w:rsidR="001675B1">
        <w:t>results showed the utilization of VRA tools</w:t>
      </w:r>
      <w:r w:rsidR="00DC0AA8">
        <w:t>, and in particular actuarial tools, was reduced</w:t>
      </w:r>
      <w:r w:rsidR="007D677F">
        <w:t xml:space="preserve"> with Indigenous defendants comparatively to Non-Indigenous, tools were still used frequently </w:t>
      </w:r>
      <w:r w:rsidR="00546853">
        <w:t>with Indigenous peoples</w:t>
      </w:r>
      <w:r w:rsidR="000A2FDE">
        <w:t xml:space="preserve">. </w:t>
      </w:r>
      <w:r w:rsidR="00546853">
        <w:t>As such,</w:t>
      </w:r>
      <w:r w:rsidR="00B2633F">
        <w:t xml:space="preserve"> </w:t>
      </w:r>
      <w:r w:rsidR="006A037F">
        <w:t>the</w:t>
      </w:r>
      <w:r w:rsidR="001E5F54">
        <w:t xml:space="preserve"> </w:t>
      </w:r>
      <w:r w:rsidR="006A037F">
        <w:t xml:space="preserve">validation of </w:t>
      </w:r>
      <w:r w:rsidR="001E5F54">
        <w:rPr>
          <w:i/>
        </w:rPr>
        <w:t xml:space="preserve">all </w:t>
      </w:r>
      <w:r w:rsidR="00071E7D">
        <w:t xml:space="preserve">the </w:t>
      </w:r>
      <w:r w:rsidR="001E5F54">
        <w:t xml:space="preserve">tools </w:t>
      </w:r>
      <w:r w:rsidR="00071E7D">
        <w:t xml:space="preserve">that are currently </w:t>
      </w:r>
      <w:r w:rsidR="001E5F54">
        <w:t>being used</w:t>
      </w:r>
      <w:r w:rsidR="00B57A85">
        <w:t xml:space="preserve"> </w:t>
      </w:r>
      <w:r w:rsidR="00546853">
        <w:t>with Indigenous peoples is</w:t>
      </w:r>
      <w:r w:rsidR="00B57A85">
        <w:t xml:space="preserve"> a priority of future research. </w:t>
      </w:r>
      <w:r w:rsidR="007F084E">
        <w:rPr>
          <w:color w:val="000000" w:themeColor="text1"/>
        </w:rPr>
        <w:t xml:space="preserve">Shepherd </w:t>
      </w:r>
      <w:r w:rsidR="00A96106">
        <w:rPr>
          <w:color w:val="000000" w:themeColor="text1"/>
        </w:rPr>
        <w:t>and</w:t>
      </w:r>
      <w:r w:rsidR="007F084E">
        <w:rPr>
          <w:color w:val="000000" w:themeColor="text1"/>
        </w:rPr>
        <w:t xml:space="preserve"> </w:t>
      </w:r>
      <w:r w:rsidR="007F084E">
        <w:t>Lewis-Fernandez</w:t>
      </w:r>
      <w:r w:rsidR="007F084E">
        <w:rPr>
          <w:color w:val="000000" w:themeColor="text1"/>
        </w:rPr>
        <w:t xml:space="preserve"> (2018) provide a concise review of the challenges in this area and </w:t>
      </w:r>
      <w:r w:rsidR="00321B83">
        <w:rPr>
          <w:color w:val="000000" w:themeColor="text1"/>
        </w:rPr>
        <w:t>suggest that</w:t>
      </w:r>
      <w:r w:rsidR="007F084E">
        <w:rPr>
          <w:color w:val="000000" w:themeColor="text1"/>
        </w:rPr>
        <w:t xml:space="preserve"> efforts be made in examining how culture impacts the development and application </w:t>
      </w:r>
      <w:r w:rsidR="00CA706E">
        <w:rPr>
          <w:color w:val="000000" w:themeColor="text1"/>
        </w:rPr>
        <w:t xml:space="preserve">of </w:t>
      </w:r>
      <w:r w:rsidR="007F084E">
        <w:rPr>
          <w:color w:val="000000" w:themeColor="text1"/>
        </w:rPr>
        <w:t xml:space="preserve">VRA tools, </w:t>
      </w:r>
      <w:r w:rsidR="00A96106">
        <w:rPr>
          <w:color w:val="000000" w:themeColor="text1"/>
        </w:rPr>
        <w:t>that</w:t>
      </w:r>
      <w:r w:rsidR="007F084E">
        <w:rPr>
          <w:color w:val="000000" w:themeColor="text1"/>
        </w:rPr>
        <w:t xml:space="preserve"> item-content may need to be modified for cultural specification, and th</w:t>
      </w:r>
      <w:r w:rsidR="00A96106">
        <w:rPr>
          <w:color w:val="000000" w:themeColor="text1"/>
        </w:rPr>
        <w:t xml:space="preserve">at there is a </w:t>
      </w:r>
      <w:r w:rsidR="007F084E">
        <w:rPr>
          <w:color w:val="000000" w:themeColor="text1"/>
        </w:rPr>
        <w:t xml:space="preserve">potential need to develop entirely new tools for certain minority populations. </w:t>
      </w:r>
      <w:r w:rsidR="00B57A85">
        <w:t xml:space="preserve">More immediately, evaluators must decide which tools to use with Indigenous offenders based on the currently limited research base. As with any other clinical decision </w:t>
      </w:r>
      <w:r w:rsidR="00A96106">
        <w:t>regarding</w:t>
      </w:r>
      <w:r w:rsidR="00B57A85">
        <w:t xml:space="preserve"> what tool</w:t>
      </w:r>
      <w:r w:rsidR="00A96106">
        <w:t>(</w:t>
      </w:r>
      <w:r w:rsidR="00B57A85">
        <w:t>s</w:t>
      </w:r>
      <w:r w:rsidR="00A96106">
        <w:t>)</w:t>
      </w:r>
      <w:r w:rsidR="00B57A85">
        <w:t xml:space="preserve"> to use for an evaluation, evaluators will want to decide based on the extant evidence</w:t>
      </w:r>
      <w:r w:rsidR="00646A70">
        <w:t xml:space="preserve">, particularly work by </w:t>
      </w:r>
      <w:proofErr w:type="spellStart"/>
      <w:r w:rsidR="00942C63">
        <w:t>Olver</w:t>
      </w:r>
      <w:proofErr w:type="spellEnd"/>
      <w:r w:rsidR="00CA09B6">
        <w:t xml:space="preserve">, </w:t>
      </w:r>
      <w:r w:rsidR="00EC3BAD">
        <w:t>Neumann</w:t>
      </w:r>
      <w:r w:rsidR="007B67D5">
        <w:t>, Sewall,</w:t>
      </w:r>
      <w:r w:rsidR="00EC3BAD">
        <w:t xml:space="preserve"> et al</w:t>
      </w:r>
      <w:r w:rsidR="00646A70">
        <w:t>. (</w:t>
      </w:r>
      <w:r w:rsidR="00EC3BAD">
        <w:t>2018</w:t>
      </w:r>
      <w:r w:rsidR="00646A70">
        <w:t>) and</w:t>
      </w:r>
      <w:r w:rsidR="00EC3BAD">
        <w:t xml:space="preserve"> </w:t>
      </w:r>
      <w:proofErr w:type="spellStart"/>
      <w:r w:rsidR="00EC3BAD">
        <w:t>Olver</w:t>
      </w:r>
      <w:proofErr w:type="spellEnd"/>
      <w:r w:rsidR="00EC3BAD">
        <w:t>, Sowden</w:t>
      </w:r>
      <w:r w:rsidR="007B67D5">
        <w:t>, Kingston,</w:t>
      </w:r>
      <w:r w:rsidR="00EC3BAD">
        <w:t xml:space="preserve"> et al.</w:t>
      </w:r>
      <w:r w:rsidR="00AE0F34">
        <w:t xml:space="preserve"> (</w:t>
      </w:r>
      <w:r w:rsidR="00EC3BAD">
        <w:t>2018)</w:t>
      </w:r>
      <w:r w:rsidR="00B57A85">
        <w:t xml:space="preserve">. In doing this, evaluators may want to consider factors such as the intended population and context in which the </w:t>
      </w:r>
      <w:r w:rsidR="00B57A85">
        <w:lastRenderedPageBreak/>
        <w:t xml:space="preserve">tool is </w:t>
      </w:r>
      <w:r w:rsidR="00A96106">
        <w:t xml:space="preserve">meant </w:t>
      </w:r>
      <w:r w:rsidR="00B57A85">
        <w:t xml:space="preserve">to be used, </w:t>
      </w:r>
      <w:r w:rsidR="00B57A85">
        <w:rPr>
          <w:color w:val="000000" w:themeColor="text1"/>
        </w:rPr>
        <w:t xml:space="preserve">if there are any limitations of using the tool with Indigenous offenders, and </w:t>
      </w:r>
      <w:r w:rsidR="00A96106">
        <w:rPr>
          <w:color w:val="000000" w:themeColor="text1"/>
        </w:rPr>
        <w:t xml:space="preserve">if there is </w:t>
      </w:r>
      <w:r w:rsidR="00B57A85">
        <w:rPr>
          <w:color w:val="000000" w:themeColor="text1"/>
        </w:rPr>
        <w:t>any relevant research about the application of the VRA instrument with Indigenous offenders</w:t>
      </w:r>
      <w:r w:rsidR="00AF4FBC">
        <w:t xml:space="preserve">. This is </w:t>
      </w:r>
      <w:r w:rsidR="001E5F54">
        <w:t xml:space="preserve">especially </w:t>
      </w:r>
      <w:r w:rsidR="00AF4FBC">
        <w:t xml:space="preserve">true in </w:t>
      </w:r>
      <w:r w:rsidR="001E5F54">
        <w:t xml:space="preserve">the highest </w:t>
      </w:r>
      <w:r w:rsidR="0050186C">
        <w:t>stakes</w:t>
      </w:r>
      <w:r w:rsidR="001E5F54">
        <w:t xml:space="preserve"> </w:t>
      </w:r>
      <w:r w:rsidR="00AF4FBC">
        <w:t xml:space="preserve">cases </w:t>
      </w:r>
      <w:r w:rsidR="001E5F54">
        <w:t>where the outcome</w:t>
      </w:r>
      <w:r w:rsidR="000262C0">
        <w:t>s</w:t>
      </w:r>
      <w:r w:rsidR="001E5F54">
        <w:t xml:space="preserve"> of these tools </w:t>
      </w:r>
      <w:r w:rsidR="00AF4FBC">
        <w:t xml:space="preserve">inform decisions about attaching </w:t>
      </w:r>
      <w:r w:rsidR="001E5F54">
        <w:t>life-long label</w:t>
      </w:r>
      <w:r w:rsidR="00AF4FBC">
        <w:t>s</w:t>
      </w:r>
      <w:r w:rsidR="001E5F54">
        <w:t xml:space="preserve"> of dangerousness </w:t>
      </w:r>
      <w:r w:rsidR="00AF4FBC">
        <w:t>and indefinite sentences to offenders</w:t>
      </w:r>
      <w:r w:rsidR="001E5F54">
        <w:t>.</w:t>
      </w:r>
      <w:r w:rsidR="00CE3E99">
        <w:t xml:space="preserve"> </w:t>
      </w:r>
    </w:p>
    <w:p w14:paraId="5CA034B5" w14:textId="77777777" w:rsidR="00232918" w:rsidRPr="007C4FDA" w:rsidRDefault="00232918" w:rsidP="007C4FDA">
      <w:pPr>
        <w:spacing w:line="480" w:lineRule="auto"/>
        <w:rPr>
          <w:b/>
        </w:rPr>
      </w:pPr>
      <w:r>
        <w:rPr>
          <w:b/>
        </w:rPr>
        <w:t>Limitations</w:t>
      </w:r>
    </w:p>
    <w:p w14:paraId="0912E311" w14:textId="77777777" w:rsidR="00172762" w:rsidRDefault="00A25A96" w:rsidP="00AF61DD">
      <w:pPr>
        <w:spacing w:line="480" w:lineRule="auto"/>
        <w:ind w:firstLine="720"/>
      </w:pPr>
      <w:r>
        <w:t>Th</w:t>
      </w:r>
      <w:r w:rsidR="000262C0">
        <w:t>is</w:t>
      </w:r>
      <w:r>
        <w:t xml:space="preserve"> study has </w:t>
      </w:r>
      <w:r w:rsidR="00C91C65">
        <w:t xml:space="preserve">several </w:t>
      </w:r>
      <w:r>
        <w:t>limitations</w:t>
      </w:r>
      <w:r w:rsidR="00D86BE4">
        <w:t xml:space="preserve">. </w:t>
      </w:r>
      <w:r w:rsidR="00736B83">
        <w:t xml:space="preserve">First, since </w:t>
      </w:r>
      <w:r>
        <w:t>the material</w:t>
      </w:r>
      <w:r w:rsidR="00C91C65">
        <w:t>s</w:t>
      </w:r>
      <w:r>
        <w:t xml:space="preserve"> utilized were </w:t>
      </w:r>
      <w:r w:rsidR="00736B83">
        <w:t xml:space="preserve">written transcripts of </w:t>
      </w:r>
      <w:r>
        <w:t>judicial</w:t>
      </w:r>
      <w:r w:rsidR="00736B83">
        <w:t xml:space="preserve"> decisions, the data </w:t>
      </w:r>
      <w:r>
        <w:t xml:space="preserve">and subsequent conclusions are based on </w:t>
      </w:r>
      <w:r w:rsidR="00736B83">
        <w:t>judges’ interpretations of the expert evaluators’ reports.</w:t>
      </w:r>
      <w:r w:rsidR="003701D9">
        <w:t xml:space="preserve"> The content </w:t>
      </w:r>
      <w:r w:rsidR="00311CD6">
        <w:t>that a</w:t>
      </w:r>
      <w:r w:rsidR="003701D9">
        <w:t xml:space="preserve"> judge includes in their written decision may also not comprehensively </w:t>
      </w:r>
      <w:r w:rsidR="00311CD6">
        <w:t>discuss</w:t>
      </w:r>
      <w:r w:rsidR="003701D9">
        <w:t xml:space="preserve"> every factor that influenced their decision</w:t>
      </w:r>
      <w:r w:rsidR="00311CD6">
        <w:t xml:space="preserve">. </w:t>
      </w:r>
      <w:r w:rsidR="00896779">
        <w:t>C</w:t>
      </w:r>
      <w:r w:rsidR="00311CD6">
        <w:t xml:space="preserve">ultural considerations may have been omitted </w:t>
      </w:r>
      <w:r w:rsidR="00F43205">
        <w:t>due to social desirability bias (e.g., not wanting to appear racially biased) or for other, unknown reasons.</w:t>
      </w:r>
      <w:r w:rsidR="00736B83">
        <w:t xml:space="preserve"> </w:t>
      </w:r>
      <w:r w:rsidR="00C53A1A">
        <w:t>I</w:t>
      </w:r>
      <w:r w:rsidR="00614D94">
        <w:t xml:space="preserve">t was not possible to access the original </w:t>
      </w:r>
      <w:r w:rsidR="00696272">
        <w:t xml:space="preserve">expert </w:t>
      </w:r>
      <w:r w:rsidR="00736B83">
        <w:t xml:space="preserve">reports </w:t>
      </w:r>
      <w:r w:rsidR="00614D94">
        <w:t xml:space="preserve">to confirm whether </w:t>
      </w:r>
      <w:r w:rsidR="00736B83">
        <w:t xml:space="preserve">culture was </w:t>
      </w:r>
      <w:r w:rsidR="00AF0DED">
        <w:t xml:space="preserve">meaningfully </w:t>
      </w:r>
      <w:r w:rsidR="00736B83">
        <w:t>considered by the evaluator</w:t>
      </w:r>
      <w:r w:rsidR="00AD2E01">
        <w:t xml:space="preserve">, or to </w:t>
      </w:r>
      <w:r w:rsidR="002230D1">
        <w:t>identify what was discussed in court</w:t>
      </w:r>
      <w:r w:rsidR="00736B83">
        <w:t xml:space="preserve">. </w:t>
      </w:r>
      <w:r w:rsidR="00A26E10">
        <w:t xml:space="preserve">Second, </w:t>
      </w:r>
      <w:r w:rsidR="00C53A1A">
        <w:t>it was only possible to use</w:t>
      </w:r>
      <w:r w:rsidR="00C91C65">
        <w:t xml:space="preserve"> published </w:t>
      </w:r>
      <w:r w:rsidR="00E13156">
        <w:t xml:space="preserve">judicial </w:t>
      </w:r>
      <w:r w:rsidR="00C91C65">
        <w:t xml:space="preserve">decisions. While </w:t>
      </w:r>
      <w:proofErr w:type="spellStart"/>
      <w:r w:rsidR="00C91C65">
        <w:t>CanLII</w:t>
      </w:r>
      <w:proofErr w:type="spellEnd"/>
      <w:r w:rsidR="00C91C65">
        <w:t xml:space="preserve"> attests that the Institute makes every effort to provide users with a comprehensive database, some delays may result due to the courtroom-to-online transcription process leaving an unknown number </w:t>
      </w:r>
      <w:r w:rsidR="00BC553B">
        <w:t xml:space="preserve">of cases </w:t>
      </w:r>
      <w:r w:rsidR="00C91C65">
        <w:t>excluded from our analyses</w:t>
      </w:r>
      <w:r w:rsidR="00A26E10">
        <w:t>.</w:t>
      </w:r>
      <w:r w:rsidR="000F1370">
        <w:t xml:space="preserve"> </w:t>
      </w:r>
      <w:r w:rsidR="00F43205">
        <w:t xml:space="preserve">Third, while </w:t>
      </w:r>
      <w:r w:rsidR="00927EDA">
        <w:t xml:space="preserve">we are reasonably confident </w:t>
      </w:r>
      <w:r w:rsidR="00E13156">
        <w:t xml:space="preserve">that </w:t>
      </w:r>
      <w:r w:rsidR="00927EDA">
        <w:t>we correctly</w:t>
      </w:r>
      <w:r w:rsidR="00F43205">
        <w:t xml:space="preserve"> identified </w:t>
      </w:r>
      <w:r w:rsidR="00927EDA">
        <w:t>the</w:t>
      </w:r>
      <w:r w:rsidR="00F43205">
        <w:t xml:space="preserve"> Indigenous</w:t>
      </w:r>
      <w:r w:rsidR="00927EDA">
        <w:t xml:space="preserve"> cases</w:t>
      </w:r>
      <w:r w:rsidR="00F43205">
        <w:t xml:space="preserve"> </w:t>
      </w:r>
      <w:r w:rsidR="00927EDA">
        <w:t>in the sample</w:t>
      </w:r>
      <w:r w:rsidR="00F43205">
        <w:t xml:space="preserve">, it was impossible to assess the extent </w:t>
      </w:r>
      <w:r w:rsidR="00E13156">
        <w:t xml:space="preserve">to which </w:t>
      </w:r>
      <w:r w:rsidR="00F43205">
        <w:t>the defendant</w:t>
      </w:r>
      <w:r w:rsidR="00E13156">
        <w:t xml:space="preserve"> identified with </w:t>
      </w:r>
      <w:r w:rsidR="00F43205">
        <w:t>Indigenous culture</w:t>
      </w:r>
      <w:r w:rsidR="001C3CB1">
        <w:t xml:space="preserve"> or </w:t>
      </w:r>
      <w:r w:rsidR="004A204E">
        <w:t xml:space="preserve">their </w:t>
      </w:r>
      <w:r w:rsidR="001C3CB1">
        <w:t>level of acculturation</w:t>
      </w:r>
      <w:r w:rsidR="00EF7810">
        <w:t xml:space="preserve"> into other cultures, such as the dominant Canadian culture</w:t>
      </w:r>
      <w:r w:rsidR="00F43205">
        <w:t xml:space="preserve">. </w:t>
      </w:r>
      <w:r w:rsidR="00C53A1A">
        <w:t xml:space="preserve">This is important because the relevance of culture may differ depending on </w:t>
      </w:r>
      <w:r w:rsidR="004A204E">
        <w:t>an</w:t>
      </w:r>
      <w:r w:rsidR="00C53A1A">
        <w:t xml:space="preserve"> individual’s </w:t>
      </w:r>
      <w:r w:rsidR="00EF7810">
        <w:t xml:space="preserve">identification </w:t>
      </w:r>
      <w:r w:rsidR="00C53A1A">
        <w:t>with Indigenous culture</w:t>
      </w:r>
      <w:r w:rsidR="00EF7810">
        <w:t xml:space="preserve"> and the degree to which, if any, they identify with another culture or cultures</w:t>
      </w:r>
      <w:r w:rsidR="00C53A1A">
        <w:t xml:space="preserve">. </w:t>
      </w:r>
      <w:r w:rsidR="008B47E0">
        <w:t>Fourth,</w:t>
      </w:r>
      <w:r w:rsidR="000F1370">
        <w:t xml:space="preserve"> the number of the Indigenous and non-Indigenous cases were not equal and </w:t>
      </w:r>
      <w:r w:rsidR="000F1370">
        <w:lastRenderedPageBreak/>
        <w:t xml:space="preserve">could detract power from </w:t>
      </w:r>
      <w:r w:rsidR="00C53A1A">
        <w:t>the statisti</w:t>
      </w:r>
      <w:r w:rsidR="000F1370">
        <w:t>cal analyses</w:t>
      </w:r>
      <w:r w:rsidR="00C53A1A">
        <w:t xml:space="preserve"> conducted.</w:t>
      </w:r>
      <w:r w:rsidR="004E03D1">
        <w:t xml:space="preserve"> </w:t>
      </w:r>
      <w:r w:rsidR="008B47E0">
        <w:t xml:space="preserve">Lastly, we only examined interrater agreement on the number of comments provided by judges, not the content of the comments. We also did not assess for interrater agreement intermittently after the coding began. Optimally, our coding procedures would have reflected these elements and we cannot be certain that the same content of contents was reliably coded or if coding remained reliable </w:t>
      </w:r>
      <w:r w:rsidR="009558B6">
        <w:t xml:space="preserve">over the entire sample. </w:t>
      </w:r>
    </w:p>
    <w:p w14:paraId="349DB873" w14:textId="77777777" w:rsidR="00232918" w:rsidRPr="00927EDA" w:rsidRDefault="00232918" w:rsidP="00927EDA">
      <w:pPr>
        <w:spacing w:line="480" w:lineRule="auto"/>
        <w:rPr>
          <w:b/>
        </w:rPr>
      </w:pPr>
      <w:r>
        <w:rPr>
          <w:b/>
        </w:rPr>
        <w:t>Suggestions for Future Research</w:t>
      </w:r>
    </w:p>
    <w:p w14:paraId="21B9F33D" w14:textId="77777777" w:rsidR="00D112AF" w:rsidRDefault="00172762" w:rsidP="004E0324">
      <w:pPr>
        <w:spacing w:line="480" w:lineRule="auto"/>
        <w:ind w:firstLine="720"/>
      </w:pPr>
      <w:r>
        <w:t xml:space="preserve">This </w:t>
      </w:r>
      <w:r w:rsidR="00164857">
        <w:t xml:space="preserve">study was the first to </w:t>
      </w:r>
      <w:r w:rsidR="00C91C65">
        <w:t xml:space="preserve">examine </w:t>
      </w:r>
      <w:r w:rsidR="00164857">
        <w:t xml:space="preserve">how judges consider culture in </w:t>
      </w:r>
      <w:r>
        <w:t xml:space="preserve">cases with </w:t>
      </w:r>
      <w:r w:rsidR="00164857">
        <w:t xml:space="preserve">Indigenous </w:t>
      </w:r>
      <w:r w:rsidR="00BE4BC3">
        <w:t>defendants</w:t>
      </w:r>
      <w:r w:rsidR="00164857">
        <w:t xml:space="preserve">. Future studies can build on these initial efforts by addressing some of the limitations of the current methods, specifically </w:t>
      </w:r>
      <w:r w:rsidR="0083604D">
        <w:t xml:space="preserve">(1) </w:t>
      </w:r>
      <w:r w:rsidR="00164857">
        <w:t xml:space="preserve">investigating expert reports </w:t>
      </w:r>
      <w:r w:rsidR="00164857">
        <w:rPr>
          <w:i/>
        </w:rPr>
        <w:t xml:space="preserve">and </w:t>
      </w:r>
      <w:r w:rsidR="00164857">
        <w:t>the</w:t>
      </w:r>
      <w:r w:rsidR="00B968B0">
        <w:t>ir interpretation by judges</w:t>
      </w:r>
      <w:r w:rsidR="00330E33">
        <w:t>,</w:t>
      </w:r>
      <w:r w:rsidR="0083604D">
        <w:t xml:space="preserve"> (2) utilizing methods that can examine </w:t>
      </w:r>
      <w:r w:rsidR="00696272">
        <w:t xml:space="preserve">the impact of </w:t>
      </w:r>
      <w:r w:rsidR="0083604D">
        <w:t>level of acculturation</w:t>
      </w:r>
      <w:r w:rsidR="00EF7810">
        <w:t xml:space="preserve"> into the dominant Canadian culture</w:t>
      </w:r>
      <w:r w:rsidR="0083604D">
        <w:t xml:space="preserve"> </w:t>
      </w:r>
      <w:r w:rsidR="00EF7810">
        <w:t xml:space="preserve">or other cultures </w:t>
      </w:r>
      <w:r w:rsidR="0083604D">
        <w:t>on VRA and judicial decision making on VRA</w:t>
      </w:r>
      <w:r w:rsidR="00330E33">
        <w:t xml:space="preserve">, and (3) examining the cultural competence of evaluators </w:t>
      </w:r>
      <w:r w:rsidR="00E34690">
        <w:t xml:space="preserve">and judges who work on cases with </w:t>
      </w:r>
      <w:r w:rsidR="00330E33">
        <w:t xml:space="preserve">Indigenous offenders. </w:t>
      </w:r>
      <w:r w:rsidR="00B57A85">
        <w:t>On</w:t>
      </w:r>
      <w:r w:rsidR="00C20FFA">
        <w:t>e</w:t>
      </w:r>
      <w:r w:rsidR="00B57A85">
        <w:t xml:space="preserve"> important avenue will be to gain an increased understanding of the findings of </w:t>
      </w:r>
      <w:r w:rsidR="008E4CA0">
        <w:t xml:space="preserve">Riggs </w:t>
      </w:r>
      <w:r w:rsidR="00B57A85">
        <w:t>Romaine and Kavanaugh (2018) to determine if there is variability in reporting on race, ethnicity, and/or culture</w:t>
      </w:r>
      <w:r w:rsidR="00C87B57">
        <w:t>, and</w:t>
      </w:r>
      <w:r w:rsidR="00B57A85">
        <w:t xml:space="preserve"> why</w:t>
      </w:r>
      <w:r w:rsidR="00C87B57">
        <w:t xml:space="preserve"> this may be </w:t>
      </w:r>
      <w:r w:rsidR="00112FE8">
        <w:t>the case</w:t>
      </w:r>
      <w:r w:rsidR="00B57A85">
        <w:t xml:space="preserve">. For example, evaluators may not be reporting on race, ethnicity, and/or culture out of fear they will be perceived as racially biased, or </w:t>
      </w:r>
      <w:r w:rsidR="00462D51">
        <w:t xml:space="preserve">because they lack </w:t>
      </w:r>
      <w:r w:rsidR="00E71EB8">
        <w:t>the requisite training</w:t>
      </w:r>
      <w:r w:rsidR="00B57A85">
        <w:t xml:space="preserve">. </w:t>
      </w:r>
      <w:r w:rsidR="00330E33">
        <w:t>Further to this, as this study was conducted on Canadian cases involving high-stakes evaluations and specifically examined Indigenous culture, it will also be important to expand the investigation to lower stakes cases, other cultural groups, and other countries.</w:t>
      </w:r>
      <w:r w:rsidR="004C6E75">
        <w:t xml:space="preserve"> </w:t>
      </w:r>
      <w:r w:rsidR="00B60BEB">
        <w:t xml:space="preserve">Lastly, </w:t>
      </w:r>
      <w:r w:rsidR="00330E33">
        <w:t xml:space="preserve">we suggest that </w:t>
      </w:r>
      <w:r w:rsidR="002C6B7C">
        <w:t xml:space="preserve">this topic should </w:t>
      </w:r>
      <w:r w:rsidR="00E34690">
        <w:t xml:space="preserve">also </w:t>
      </w:r>
      <w:r w:rsidR="002C6B7C">
        <w:t xml:space="preserve">be </w:t>
      </w:r>
      <w:r w:rsidR="00326525">
        <w:t>explore</w:t>
      </w:r>
      <w:r w:rsidR="002C6B7C">
        <w:t>d</w:t>
      </w:r>
      <w:r w:rsidR="00326525">
        <w:t xml:space="preserve"> through a comparative law review by our colleagues in the legal profession</w:t>
      </w:r>
      <w:r w:rsidR="00C153F1">
        <w:t xml:space="preserve"> in other countries, such as that done by Jackson (2015) and </w:t>
      </w:r>
      <w:r w:rsidR="00C153F1" w:rsidRPr="0029636D">
        <w:t>Thompson (2016)</w:t>
      </w:r>
      <w:r w:rsidR="00C153F1">
        <w:t xml:space="preserve"> in Canada.</w:t>
      </w:r>
    </w:p>
    <w:p w14:paraId="75B52E5E" w14:textId="77777777" w:rsidR="00172762" w:rsidRDefault="00AC320D" w:rsidP="001F193D">
      <w:pPr>
        <w:spacing w:line="480" w:lineRule="auto"/>
        <w:ind w:firstLine="720"/>
      </w:pPr>
      <w:r>
        <w:lastRenderedPageBreak/>
        <w:t>T</w:t>
      </w:r>
      <w:r w:rsidR="00647D2F">
        <w:t>he results suggest that although</w:t>
      </w:r>
      <w:r>
        <w:t xml:space="preserve"> some practices</w:t>
      </w:r>
      <w:r w:rsidR="005F546A">
        <w:t xml:space="preserve"> in the consideration of </w:t>
      </w:r>
      <w:r w:rsidR="00357D24">
        <w:t xml:space="preserve">violence </w:t>
      </w:r>
      <w:r w:rsidR="005F546A">
        <w:t>risk in cases with Indigenous offers</w:t>
      </w:r>
      <w:r>
        <w:t xml:space="preserve"> </w:t>
      </w:r>
      <w:r w:rsidR="005F546A">
        <w:t>are</w:t>
      </w:r>
      <w:r>
        <w:t xml:space="preserve"> in line with recommendations and </w:t>
      </w:r>
      <w:r w:rsidR="005F546A">
        <w:t xml:space="preserve">Canadian </w:t>
      </w:r>
      <w:r>
        <w:t xml:space="preserve">case law, </w:t>
      </w:r>
      <w:r w:rsidR="00357D24">
        <w:t>culture is not being routinely or meaningfully considered in all cases.</w:t>
      </w:r>
      <w:r>
        <w:t xml:space="preserve"> </w:t>
      </w:r>
      <w:r w:rsidR="005F546A">
        <w:t>It is therefore important that</w:t>
      </w:r>
      <w:r w:rsidR="0026241B">
        <w:t xml:space="preserve"> we continue to critically examine </w:t>
      </w:r>
      <w:r w:rsidR="00B052B9">
        <w:t>whether</w:t>
      </w:r>
      <w:r w:rsidR="0026241B">
        <w:t xml:space="preserve"> and how professionals incorporate cultural </w:t>
      </w:r>
      <w:r w:rsidR="00357D24">
        <w:t>in their evaluations</w:t>
      </w:r>
      <w:r w:rsidR="00696272">
        <w:t xml:space="preserve"> of risk</w:t>
      </w:r>
      <w:r w:rsidR="00357D24">
        <w:t xml:space="preserve"> and that we </w:t>
      </w:r>
      <w:r w:rsidR="00696272">
        <w:t xml:space="preserve">continue to </w:t>
      </w:r>
      <w:r w:rsidR="00357D24">
        <w:t>increase</w:t>
      </w:r>
      <w:r w:rsidR="00064FA7">
        <w:t xml:space="preserve"> </w:t>
      </w:r>
      <w:r w:rsidR="0096401B">
        <w:t xml:space="preserve">cultural competence of professionals through education and research. </w:t>
      </w:r>
    </w:p>
    <w:p w14:paraId="42C0C9BA" w14:textId="77777777" w:rsidR="00B60BEB" w:rsidRDefault="00B60BEB">
      <w:pPr>
        <w:spacing w:after="160" w:line="259" w:lineRule="auto"/>
      </w:pPr>
      <w:r>
        <w:br w:type="page"/>
      </w:r>
    </w:p>
    <w:p w14:paraId="7907CEE4" w14:textId="77777777" w:rsidR="00617FEE" w:rsidRPr="009A2006" w:rsidRDefault="00617FEE" w:rsidP="00EA3C36">
      <w:pPr>
        <w:spacing w:line="480" w:lineRule="auto"/>
        <w:jc w:val="center"/>
        <w:outlineLvl w:val="0"/>
        <w:rPr>
          <w:bCs/>
          <w:color w:val="000000" w:themeColor="text1"/>
        </w:rPr>
      </w:pPr>
      <w:r w:rsidRPr="009A2006">
        <w:rPr>
          <w:bCs/>
          <w:color w:val="000000" w:themeColor="text1"/>
        </w:rPr>
        <w:lastRenderedPageBreak/>
        <w:t>References</w:t>
      </w:r>
    </w:p>
    <w:p w14:paraId="3B98F75E" w14:textId="77777777" w:rsidR="00617FEE" w:rsidRPr="00105463" w:rsidRDefault="00617FEE" w:rsidP="00EA3C36">
      <w:pPr>
        <w:spacing w:line="480" w:lineRule="auto"/>
        <w:outlineLvl w:val="0"/>
        <w:rPr>
          <w:rFonts w:eastAsia="Times New Roman"/>
          <w:color w:val="000000" w:themeColor="text1"/>
        </w:rPr>
      </w:pPr>
      <w:r w:rsidRPr="00105463">
        <w:rPr>
          <w:rFonts w:eastAsia="Times New Roman"/>
          <w:color w:val="000000" w:themeColor="text1"/>
        </w:rPr>
        <w:t xml:space="preserve">American Psychological Association. (2013). Specialty guidelines for forensic </w:t>
      </w:r>
    </w:p>
    <w:p w14:paraId="76569268" w14:textId="77777777" w:rsidR="00617FEE" w:rsidRPr="000F5596" w:rsidRDefault="00617FEE" w:rsidP="00617FEE">
      <w:pPr>
        <w:spacing w:line="480" w:lineRule="auto"/>
        <w:ind w:firstLine="720"/>
        <w:rPr>
          <w:rFonts w:eastAsia="Times New Roman"/>
          <w:color w:val="000000" w:themeColor="text1"/>
          <w:lang w:val="fr-FR"/>
        </w:rPr>
      </w:pPr>
      <w:proofErr w:type="spellStart"/>
      <w:r w:rsidRPr="000F5596">
        <w:rPr>
          <w:rFonts w:eastAsia="Times New Roman"/>
          <w:color w:val="000000" w:themeColor="text1"/>
          <w:lang w:val="fr-FR"/>
        </w:rPr>
        <w:t>psychology</w:t>
      </w:r>
      <w:proofErr w:type="spellEnd"/>
      <w:r w:rsidRPr="000F5596">
        <w:rPr>
          <w:rFonts w:eastAsia="Times New Roman"/>
          <w:color w:val="000000" w:themeColor="text1"/>
          <w:lang w:val="fr-FR"/>
        </w:rPr>
        <w:t>.</w:t>
      </w:r>
      <w:r w:rsidRPr="000F5596">
        <w:rPr>
          <w:rStyle w:val="apple-converted-space"/>
          <w:rFonts w:eastAsia="Times New Roman"/>
          <w:color w:val="000000" w:themeColor="text1"/>
          <w:lang w:val="fr-FR"/>
        </w:rPr>
        <w:t> </w:t>
      </w:r>
      <w:r w:rsidRPr="000F5596">
        <w:rPr>
          <w:rStyle w:val="Emphasis"/>
          <w:rFonts w:eastAsia="Times New Roman"/>
          <w:color w:val="000000" w:themeColor="text1"/>
          <w:lang w:val="fr-FR"/>
        </w:rPr>
        <w:t xml:space="preserve">American </w:t>
      </w:r>
      <w:proofErr w:type="spellStart"/>
      <w:r w:rsidRPr="000F5596">
        <w:rPr>
          <w:rStyle w:val="Emphasis"/>
          <w:rFonts w:eastAsia="Times New Roman"/>
          <w:color w:val="000000" w:themeColor="text1"/>
          <w:lang w:val="fr-FR"/>
        </w:rPr>
        <w:t>Psychologist</w:t>
      </w:r>
      <w:proofErr w:type="spellEnd"/>
      <w:r w:rsidRPr="000F5596">
        <w:rPr>
          <w:rStyle w:val="Emphasis"/>
          <w:rFonts w:eastAsia="Times New Roman"/>
          <w:color w:val="000000" w:themeColor="text1"/>
          <w:lang w:val="fr-FR"/>
        </w:rPr>
        <w:t>, 68</w:t>
      </w:r>
      <w:r w:rsidRPr="000F5596">
        <w:rPr>
          <w:rFonts w:eastAsia="Times New Roman"/>
          <w:color w:val="000000" w:themeColor="text1"/>
          <w:lang w:val="fr-FR"/>
        </w:rPr>
        <w:t>(1), 7-19.</w:t>
      </w:r>
      <w:r w:rsidRPr="000F5596">
        <w:rPr>
          <w:rStyle w:val="apple-converted-space"/>
          <w:rFonts w:eastAsia="Times New Roman"/>
          <w:color w:val="000000" w:themeColor="text1"/>
          <w:lang w:val="fr-FR"/>
        </w:rPr>
        <w:t> </w:t>
      </w:r>
      <w:r w:rsidRPr="000F5596">
        <w:rPr>
          <w:color w:val="000000" w:themeColor="text1"/>
          <w:lang w:val="fr-FR"/>
        </w:rPr>
        <w:t>http://dx.doi.org/10.1037/a0029889</w:t>
      </w:r>
    </w:p>
    <w:p w14:paraId="723BA800" w14:textId="77777777" w:rsidR="00705FB9" w:rsidRPr="00105463" w:rsidRDefault="00705FB9" w:rsidP="00EA3C36">
      <w:pPr>
        <w:spacing w:line="480" w:lineRule="auto"/>
        <w:outlineLvl w:val="0"/>
        <w:rPr>
          <w:rFonts w:eastAsia="Times New Roman"/>
          <w:color w:val="000000" w:themeColor="text1"/>
        </w:rPr>
      </w:pPr>
      <w:r w:rsidRPr="00105463">
        <w:rPr>
          <w:rFonts w:eastAsia="Times New Roman"/>
          <w:color w:val="000000" w:themeColor="text1"/>
        </w:rPr>
        <w:t xml:space="preserve">Bailey, K. A. (2016). Racism within the Canadian university: Indigenous students’ </w:t>
      </w:r>
    </w:p>
    <w:p w14:paraId="75A8EA87" w14:textId="77777777" w:rsidR="00705FB9" w:rsidRPr="00105463" w:rsidRDefault="00705FB9" w:rsidP="00105463">
      <w:pPr>
        <w:spacing w:line="480" w:lineRule="auto"/>
        <w:ind w:left="720"/>
        <w:rPr>
          <w:rFonts w:eastAsia="Times New Roman"/>
          <w:color w:val="000000" w:themeColor="text1"/>
        </w:rPr>
      </w:pPr>
      <w:r w:rsidRPr="00105463">
        <w:rPr>
          <w:rFonts w:eastAsia="Times New Roman"/>
          <w:color w:val="000000" w:themeColor="text1"/>
        </w:rPr>
        <w:t>experiences. </w:t>
      </w:r>
      <w:r w:rsidRPr="00105463">
        <w:rPr>
          <w:rFonts w:eastAsia="Times New Roman"/>
          <w:i/>
          <w:iCs/>
          <w:color w:val="000000" w:themeColor="text1"/>
        </w:rPr>
        <w:t>Ethnic and Racial Studies</w:t>
      </w:r>
      <w:r w:rsidRPr="00105463">
        <w:rPr>
          <w:rFonts w:eastAsia="Times New Roman"/>
          <w:color w:val="000000" w:themeColor="text1"/>
        </w:rPr>
        <w:t>, </w:t>
      </w:r>
      <w:r w:rsidRPr="00105463">
        <w:rPr>
          <w:rFonts w:eastAsia="Times New Roman"/>
          <w:i/>
          <w:iCs/>
          <w:color w:val="000000" w:themeColor="text1"/>
        </w:rPr>
        <w:t>39</w:t>
      </w:r>
      <w:r w:rsidRPr="00105463">
        <w:rPr>
          <w:rFonts w:eastAsia="Times New Roman"/>
          <w:color w:val="000000" w:themeColor="text1"/>
        </w:rPr>
        <w:t>(7), 1261–1279. https://doi-org.proxy.lib.sfu.ca/10.1080/01419870.2015.1081961</w:t>
      </w:r>
    </w:p>
    <w:p w14:paraId="6C3A37D9" w14:textId="3D7C0279" w:rsidR="0071178F" w:rsidRPr="00E827FE" w:rsidRDefault="0071178F" w:rsidP="0071178F">
      <w:pPr>
        <w:spacing w:line="480" w:lineRule="auto"/>
        <w:ind w:left="567" w:hanging="567"/>
        <w:rPr>
          <w:rFonts w:eastAsia="Times New Roman"/>
          <w:color w:val="000000" w:themeColor="text1"/>
          <w:shd w:val="clear" w:color="auto" w:fill="FFFFFF"/>
        </w:rPr>
      </w:pPr>
      <w:proofErr w:type="spellStart"/>
      <w:r w:rsidRPr="00E827FE">
        <w:rPr>
          <w:rFonts w:eastAsia="Times New Roman"/>
          <w:color w:val="000000" w:themeColor="text1"/>
          <w:shd w:val="clear" w:color="auto" w:fill="FFFFFF"/>
        </w:rPr>
        <w:t>Blais</w:t>
      </w:r>
      <w:proofErr w:type="spellEnd"/>
      <w:r w:rsidRPr="00E827FE">
        <w:rPr>
          <w:rFonts w:eastAsia="Times New Roman"/>
          <w:color w:val="000000" w:themeColor="text1"/>
          <w:shd w:val="clear" w:color="auto" w:fill="FFFFFF"/>
        </w:rPr>
        <w:t xml:space="preserve">, J. (2015). Preventative detention decisions: Reliance on expert assessments and evidence of partisan allegiance within the Canadian context. </w:t>
      </w:r>
      <w:r w:rsidRPr="00E827FE">
        <w:rPr>
          <w:rFonts w:eastAsia="Times New Roman"/>
          <w:i/>
          <w:color w:val="000000" w:themeColor="text1"/>
          <w:shd w:val="clear" w:color="auto" w:fill="FFFFFF"/>
        </w:rPr>
        <w:t>Behavioral Sciences and the Law, 33,</w:t>
      </w:r>
      <w:r w:rsidRPr="00E827FE">
        <w:rPr>
          <w:rFonts w:eastAsia="Times New Roman"/>
          <w:color w:val="000000" w:themeColor="text1"/>
          <w:shd w:val="clear" w:color="auto" w:fill="FFFFFF"/>
        </w:rPr>
        <w:t xml:space="preserve"> 74-91. </w:t>
      </w:r>
      <w:r w:rsidR="00E51ABA">
        <w:rPr>
          <w:rFonts w:eastAsia="Times New Roman"/>
          <w:color w:val="000000" w:themeColor="text1"/>
          <w:shd w:val="clear" w:color="auto" w:fill="FFFFFF"/>
        </w:rPr>
        <w:t>DOI</w:t>
      </w:r>
      <w:r w:rsidRPr="00E827FE">
        <w:rPr>
          <w:rFonts w:eastAsia="Times New Roman"/>
          <w:color w:val="000000" w:themeColor="text1"/>
          <w:shd w:val="clear" w:color="auto" w:fill="FFFFFF"/>
        </w:rPr>
        <w:t>: 10.1002/bsl.2155</w:t>
      </w:r>
    </w:p>
    <w:p w14:paraId="107D74F3" w14:textId="77777777" w:rsidR="00166FF1" w:rsidRDefault="00617FEE" w:rsidP="007B6802">
      <w:pPr>
        <w:spacing w:line="480" w:lineRule="auto"/>
        <w:rPr>
          <w:bCs/>
          <w:color w:val="000000" w:themeColor="text1"/>
        </w:rPr>
      </w:pPr>
      <w:r w:rsidRPr="00105463">
        <w:rPr>
          <w:i/>
        </w:rPr>
        <w:t>Canadian Charter of Rights and Freedoms</w:t>
      </w:r>
      <w:r w:rsidRPr="00105463">
        <w:t xml:space="preserve">, Part I of the </w:t>
      </w:r>
      <w:r w:rsidRPr="00105463">
        <w:rPr>
          <w:i/>
        </w:rPr>
        <w:t>Constitution Act</w:t>
      </w:r>
      <w:r w:rsidRPr="00105463">
        <w:t>, 1982, being Schedule</w:t>
      </w:r>
      <w:r w:rsidR="00DA43FA">
        <w:t xml:space="preserve"> </w:t>
      </w:r>
      <w:r w:rsidR="00691E7D">
        <w:tab/>
      </w:r>
      <w:r w:rsidRPr="00105463">
        <w:t xml:space="preserve">B to the </w:t>
      </w:r>
      <w:r w:rsidRPr="00105463">
        <w:rPr>
          <w:i/>
        </w:rPr>
        <w:t>Canada Act</w:t>
      </w:r>
      <w:r w:rsidRPr="00105463">
        <w:t xml:space="preserve"> 1982 (UK), 1982, c 11</w:t>
      </w:r>
      <w:r w:rsidR="00691E7D">
        <w:t>.</w:t>
      </w:r>
    </w:p>
    <w:p w14:paraId="37FC3E28" w14:textId="079259EF" w:rsidR="00166FF1" w:rsidRPr="00462D72" w:rsidRDefault="00166FF1" w:rsidP="000E0CD4">
      <w:pPr>
        <w:spacing w:line="480" w:lineRule="auto"/>
        <w:ind w:left="851" w:hanging="851"/>
        <w:rPr>
          <w:bCs/>
          <w:color w:val="000000" w:themeColor="text1"/>
        </w:rPr>
      </w:pPr>
      <w:r>
        <w:rPr>
          <w:bCs/>
          <w:color w:val="000000" w:themeColor="text1"/>
        </w:rPr>
        <w:t xml:space="preserve">Canada Privy Council Office (2019). </w:t>
      </w:r>
      <w:r w:rsidR="00462D72" w:rsidRPr="007B6802">
        <w:rPr>
          <w:bCs/>
          <w:i/>
          <w:iCs/>
          <w:color w:val="000000" w:themeColor="text1"/>
        </w:rPr>
        <w:t xml:space="preserve">Reclaiming power and place: </w:t>
      </w:r>
      <w:r w:rsidR="009536E8">
        <w:rPr>
          <w:bCs/>
          <w:i/>
          <w:iCs/>
          <w:color w:val="000000" w:themeColor="text1"/>
        </w:rPr>
        <w:t>F</w:t>
      </w:r>
      <w:r w:rsidR="00462D72" w:rsidRPr="007B6802">
        <w:rPr>
          <w:bCs/>
          <w:i/>
          <w:iCs/>
          <w:color w:val="000000" w:themeColor="text1"/>
        </w:rPr>
        <w:t>inal report of the National Inquiry into Missing and Murdered Indigenous Women and Girls</w:t>
      </w:r>
      <w:r w:rsidR="00462D72">
        <w:rPr>
          <w:bCs/>
          <w:i/>
          <w:iCs/>
          <w:color w:val="000000" w:themeColor="text1"/>
        </w:rPr>
        <w:t>.</w:t>
      </w:r>
      <w:r w:rsidR="00B51ACD">
        <w:rPr>
          <w:bCs/>
          <w:color w:val="000000" w:themeColor="text1"/>
        </w:rPr>
        <w:t xml:space="preserve"> </w:t>
      </w:r>
    </w:p>
    <w:p w14:paraId="62E960FE" w14:textId="77777777" w:rsidR="001F12C8" w:rsidRPr="00105463" w:rsidRDefault="001F12C8" w:rsidP="007B6802">
      <w:pPr>
        <w:spacing w:line="480" w:lineRule="auto"/>
        <w:ind w:left="851" w:hanging="851"/>
        <w:rPr>
          <w:color w:val="000000" w:themeColor="text1"/>
        </w:rPr>
      </w:pPr>
      <w:r w:rsidRPr="00105463">
        <w:rPr>
          <w:bCs/>
          <w:color w:val="000000" w:themeColor="text1"/>
        </w:rPr>
        <w:t>Cook, A. N. </w:t>
      </w:r>
      <w:r w:rsidRPr="00105463">
        <w:rPr>
          <w:color w:val="000000" w:themeColor="text1"/>
        </w:rPr>
        <w:t xml:space="preserve">&amp; Hart, S. D. (2017). Violence </w:t>
      </w:r>
      <w:r w:rsidR="00E72DDA">
        <w:rPr>
          <w:color w:val="000000" w:themeColor="text1"/>
        </w:rPr>
        <w:t>r</w:t>
      </w:r>
      <w:r w:rsidRPr="00105463">
        <w:rPr>
          <w:color w:val="000000" w:themeColor="text1"/>
        </w:rPr>
        <w:t xml:space="preserve">isk </w:t>
      </w:r>
      <w:r w:rsidR="00E72DDA">
        <w:rPr>
          <w:color w:val="000000" w:themeColor="text1"/>
        </w:rPr>
        <w:t>a</w:t>
      </w:r>
      <w:r w:rsidRPr="00105463">
        <w:rPr>
          <w:color w:val="000000" w:themeColor="text1"/>
        </w:rPr>
        <w:t xml:space="preserve">ssessment </w:t>
      </w:r>
      <w:r w:rsidR="00E72DDA">
        <w:rPr>
          <w:color w:val="000000" w:themeColor="text1"/>
        </w:rPr>
        <w:t>a</w:t>
      </w:r>
      <w:r w:rsidRPr="00105463">
        <w:rPr>
          <w:color w:val="000000" w:themeColor="text1"/>
        </w:rPr>
        <w:t xml:space="preserve">cross </w:t>
      </w:r>
      <w:r w:rsidR="00E72DDA">
        <w:rPr>
          <w:color w:val="000000" w:themeColor="text1"/>
        </w:rPr>
        <w:t>n</w:t>
      </w:r>
      <w:r w:rsidRPr="00105463">
        <w:rPr>
          <w:color w:val="000000" w:themeColor="text1"/>
        </w:rPr>
        <w:t xml:space="preserve">ations and </w:t>
      </w:r>
      <w:r w:rsidR="00E72DDA">
        <w:rPr>
          <w:color w:val="000000" w:themeColor="text1"/>
        </w:rPr>
        <w:t>a</w:t>
      </w:r>
      <w:r w:rsidRPr="00105463">
        <w:rPr>
          <w:color w:val="000000" w:themeColor="text1"/>
        </w:rPr>
        <w:t xml:space="preserve">cross </w:t>
      </w:r>
      <w:r w:rsidR="00E72DDA">
        <w:rPr>
          <w:color w:val="000000" w:themeColor="text1"/>
        </w:rPr>
        <w:t>c</w:t>
      </w:r>
      <w:r w:rsidRPr="00105463">
        <w:rPr>
          <w:color w:val="000000" w:themeColor="text1"/>
        </w:rPr>
        <w:t xml:space="preserve">ultures: Legal, </w:t>
      </w:r>
      <w:r w:rsidR="00E72DDA">
        <w:rPr>
          <w:color w:val="000000" w:themeColor="text1"/>
        </w:rPr>
        <w:t>c</w:t>
      </w:r>
      <w:r w:rsidRPr="00105463">
        <w:rPr>
          <w:color w:val="000000" w:themeColor="text1"/>
        </w:rPr>
        <w:t xml:space="preserve">linical, and </w:t>
      </w:r>
      <w:r w:rsidR="00E72DDA">
        <w:rPr>
          <w:color w:val="000000" w:themeColor="text1"/>
        </w:rPr>
        <w:t>s</w:t>
      </w:r>
      <w:r w:rsidRPr="00105463">
        <w:rPr>
          <w:color w:val="000000" w:themeColor="text1"/>
        </w:rPr>
        <w:t xml:space="preserve">cientific </w:t>
      </w:r>
      <w:r w:rsidR="00E72DDA">
        <w:rPr>
          <w:color w:val="000000" w:themeColor="text1"/>
        </w:rPr>
        <w:t>c</w:t>
      </w:r>
      <w:r w:rsidRPr="00105463">
        <w:rPr>
          <w:color w:val="000000" w:themeColor="text1"/>
        </w:rPr>
        <w:t xml:space="preserve">onsiderations. In R. </w:t>
      </w:r>
      <w:proofErr w:type="spellStart"/>
      <w:r w:rsidRPr="00105463">
        <w:rPr>
          <w:color w:val="000000" w:themeColor="text1"/>
        </w:rPr>
        <w:t>Roesch</w:t>
      </w:r>
      <w:proofErr w:type="spellEnd"/>
      <w:r w:rsidRPr="00105463">
        <w:rPr>
          <w:color w:val="000000" w:themeColor="text1"/>
        </w:rPr>
        <w:t xml:space="preserve"> and A. N. Cook</w:t>
      </w:r>
      <w:r w:rsidR="00755025">
        <w:rPr>
          <w:color w:val="000000" w:themeColor="text1"/>
        </w:rPr>
        <w:t xml:space="preserve"> (Eds.)</w:t>
      </w:r>
      <w:r w:rsidRPr="00105463">
        <w:rPr>
          <w:color w:val="000000" w:themeColor="text1"/>
        </w:rPr>
        <w:t>, </w:t>
      </w:r>
      <w:r w:rsidRPr="007B6802">
        <w:rPr>
          <w:i/>
          <w:color w:val="000000" w:themeColor="text1"/>
        </w:rPr>
        <w:t>Handbook of Forensic Mental Health Services.</w:t>
      </w:r>
      <w:r w:rsidRPr="00105463">
        <w:rPr>
          <w:iCs/>
          <w:color w:val="000000" w:themeColor="text1"/>
        </w:rPr>
        <w:t> </w:t>
      </w:r>
      <w:r w:rsidRPr="00105463">
        <w:rPr>
          <w:color w:val="000000" w:themeColor="text1"/>
        </w:rPr>
        <w:t>New York, NY: R</w:t>
      </w:r>
      <w:r w:rsidR="003276FD">
        <w:rPr>
          <w:color w:val="000000" w:themeColor="text1"/>
        </w:rPr>
        <w:t>o</w:t>
      </w:r>
      <w:r w:rsidRPr="00105463">
        <w:rPr>
          <w:color w:val="000000" w:themeColor="text1"/>
        </w:rPr>
        <w:t>utledge.</w:t>
      </w:r>
    </w:p>
    <w:p w14:paraId="2E3ACFA9" w14:textId="77777777" w:rsidR="001F12C8" w:rsidRDefault="001F12C8" w:rsidP="00EA3C36">
      <w:pPr>
        <w:spacing w:line="480" w:lineRule="auto"/>
        <w:outlineLvl w:val="0"/>
        <w:rPr>
          <w:color w:val="000000" w:themeColor="text1"/>
        </w:rPr>
      </w:pPr>
      <w:r w:rsidRPr="00105463">
        <w:rPr>
          <w:i/>
          <w:color w:val="000000" w:themeColor="text1"/>
        </w:rPr>
        <w:t>Corrections and Conditional Release Act</w:t>
      </w:r>
      <w:r w:rsidRPr="00105463">
        <w:rPr>
          <w:color w:val="000000" w:themeColor="text1"/>
        </w:rPr>
        <w:t>, S.C. 1992, c. 20</w:t>
      </w:r>
    </w:p>
    <w:p w14:paraId="213D42A4" w14:textId="77777777" w:rsidR="00EE4684" w:rsidRPr="005817E7" w:rsidRDefault="005B364C" w:rsidP="00EA3C36">
      <w:pPr>
        <w:spacing w:line="480" w:lineRule="auto"/>
        <w:outlineLvl w:val="0"/>
        <w:rPr>
          <w:color w:val="000000" w:themeColor="text1"/>
          <w:lang w:val="fr-FR"/>
        </w:rPr>
      </w:pPr>
      <w:r w:rsidRPr="00495D36">
        <w:rPr>
          <w:i/>
          <w:iCs/>
          <w:color w:val="000000" w:themeColor="text1"/>
          <w:lang w:val="fr-FR"/>
        </w:rPr>
        <w:t>Criminal Code</w:t>
      </w:r>
      <w:r w:rsidRPr="00495D36">
        <w:rPr>
          <w:color w:val="000000" w:themeColor="text1"/>
          <w:lang w:val="fr-FR"/>
        </w:rPr>
        <w:t xml:space="preserve">, RSC 1985, c. C </w:t>
      </w:r>
      <w:r>
        <w:rPr>
          <w:color w:val="000000" w:themeColor="text1"/>
          <w:lang w:val="fr-FR"/>
        </w:rPr>
        <w:t>–</w:t>
      </w:r>
      <w:r w:rsidRPr="00495D36">
        <w:rPr>
          <w:color w:val="000000" w:themeColor="text1"/>
          <w:lang w:val="fr-FR"/>
        </w:rPr>
        <w:t xml:space="preserve"> 46</w:t>
      </w:r>
      <w:r>
        <w:rPr>
          <w:color w:val="000000" w:themeColor="text1"/>
          <w:lang w:val="fr-FR"/>
        </w:rPr>
        <w:t>, s.</w:t>
      </w:r>
      <w:r w:rsidR="00495D36">
        <w:rPr>
          <w:color w:val="000000" w:themeColor="text1"/>
          <w:lang w:val="fr-FR"/>
        </w:rPr>
        <w:t>752.</w:t>
      </w:r>
    </w:p>
    <w:p w14:paraId="4632428D" w14:textId="77777777" w:rsidR="0010132D" w:rsidRDefault="002F5A2D" w:rsidP="0010132D">
      <w:pPr>
        <w:spacing w:line="480" w:lineRule="auto"/>
        <w:rPr>
          <w:color w:val="000000" w:themeColor="text1"/>
        </w:rPr>
      </w:pPr>
      <w:r w:rsidRPr="001520D3">
        <w:rPr>
          <w:color w:val="000000" w:themeColor="text1"/>
          <w:lang w:val="en-CA"/>
        </w:rPr>
        <w:t xml:space="preserve">Culture. </w:t>
      </w:r>
      <w:r w:rsidRPr="00105463">
        <w:rPr>
          <w:color w:val="000000" w:themeColor="text1"/>
        </w:rPr>
        <w:t>(</w:t>
      </w:r>
      <w:r w:rsidR="009676BA">
        <w:rPr>
          <w:color w:val="000000" w:themeColor="text1"/>
        </w:rPr>
        <w:t>n.d.</w:t>
      </w:r>
      <w:r w:rsidRPr="00105463">
        <w:rPr>
          <w:color w:val="000000" w:themeColor="text1"/>
        </w:rPr>
        <w:t xml:space="preserve">). In </w:t>
      </w:r>
      <w:r w:rsidRPr="000E0CD4">
        <w:rPr>
          <w:i/>
          <w:iCs/>
          <w:color w:val="000000" w:themeColor="text1"/>
        </w:rPr>
        <w:t xml:space="preserve">Oxford English </w:t>
      </w:r>
      <w:r w:rsidR="00243137" w:rsidRPr="000E0CD4">
        <w:rPr>
          <w:i/>
          <w:iCs/>
          <w:color w:val="000000" w:themeColor="text1"/>
        </w:rPr>
        <w:t>D</w:t>
      </w:r>
      <w:r w:rsidRPr="000E0CD4">
        <w:rPr>
          <w:i/>
          <w:iCs/>
          <w:color w:val="000000" w:themeColor="text1"/>
        </w:rPr>
        <w:t xml:space="preserve">ictionary </w:t>
      </w:r>
      <w:r w:rsidR="00243137" w:rsidRPr="000E0CD4">
        <w:rPr>
          <w:i/>
          <w:iCs/>
          <w:color w:val="000000" w:themeColor="text1"/>
        </w:rPr>
        <w:t>O</w:t>
      </w:r>
      <w:r w:rsidRPr="000E0CD4">
        <w:rPr>
          <w:i/>
          <w:iCs/>
          <w:color w:val="000000" w:themeColor="text1"/>
        </w:rPr>
        <w:t>nline</w:t>
      </w:r>
      <w:r w:rsidR="002D3767">
        <w:rPr>
          <w:i/>
          <w:iCs/>
          <w:color w:val="000000" w:themeColor="text1"/>
        </w:rPr>
        <w:t>.</w:t>
      </w:r>
      <w:r w:rsidRPr="00105463">
        <w:rPr>
          <w:color w:val="000000" w:themeColor="text1"/>
        </w:rPr>
        <w:t xml:space="preserve"> Retrieved from </w:t>
      </w:r>
    </w:p>
    <w:p w14:paraId="1130052D" w14:textId="77777777" w:rsidR="002F5A2D" w:rsidRDefault="0010132D" w:rsidP="0010132D">
      <w:pPr>
        <w:spacing w:line="480" w:lineRule="auto"/>
        <w:ind w:firstLine="720"/>
        <w:rPr>
          <w:color w:val="000000" w:themeColor="text1"/>
        </w:rPr>
      </w:pPr>
      <w:r w:rsidRPr="0010132D">
        <w:t>https://en.oxforddictionaries.com/definition/culture</w:t>
      </w:r>
      <w:r w:rsidR="00C745B1">
        <w:t>.</w:t>
      </w:r>
      <w:r w:rsidR="00EE4684">
        <w:tab/>
      </w:r>
    </w:p>
    <w:p w14:paraId="7A433CAD" w14:textId="77777777" w:rsidR="0052770B" w:rsidRDefault="008A6234" w:rsidP="0052770B">
      <w:pPr>
        <w:pStyle w:val="NoSpacing"/>
        <w:spacing w:line="480" w:lineRule="auto"/>
        <w:rPr>
          <w:rFonts w:ascii="Times New Roman" w:hAnsi="Times New Roman" w:cs="Times New Roman"/>
          <w:sz w:val="24"/>
          <w:szCs w:val="24"/>
        </w:rPr>
      </w:pPr>
      <w:r w:rsidRPr="000E0CD4">
        <w:rPr>
          <w:rFonts w:ascii="Times New Roman" w:hAnsi="Times New Roman" w:cs="Times New Roman"/>
          <w:sz w:val="24"/>
          <w:szCs w:val="24"/>
        </w:rPr>
        <w:t xml:space="preserve">Douglas, K. S., &amp; </w:t>
      </w:r>
      <w:proofErr w:type="spellStart"/>
      <w:r w:rsidRPr="000E0CD4">
        <w:rPr>
          <w:rFonts w:ascii="Times New Roman" w:hAnsi="Times New Roman" w:cs="Times New Roman"/>
          <w:sz w:val="24"/>
          <w:szCs w:val="24"/>
        </w:rPr>
        <w:t>Belfrage</w:t>
      </w:r>
      <w:proofErr w:type="spellEnd"/>
      <w:r w:rsidRPr="000E0CD4">
        <w:rPr>
          <w:rFonts w:ascii="Times New Roman" w:hAnsi="Times New Roman" w:cs="Times New Roman"/>
          <w:sz w:val="24"/>
          <w:szCs w:val="24"/>
        </w:rPr>
        <w:t xml:space="preserve">, H. (2015). The structured professional judgment approach to </w:t>
      </w:r>
    </w:p>
    <w:p w14:paraId="007BB4EF" w14:textId="77777777" w:rsidR="008A6234" w:rsidRPr="009D3530" w:rsidRDefault="008A6234" w:rsidP="000E0CD4">
      <w:pPr>
        <w:pStyle w:val="NoSpacing"/>
        <w:spacing w:line="480" w:lineRule="auto"/>
        <w:ind w:left="720"/>
      </w:pPr>
      <w:r w:rsidRPr="000E0CD4">
        <w:rPr>
          <w:rFonts w:ascii="Times New Roman" w:hAnsi="Times New Roman" w:cs="Times New Roman"/>
          <w:sz w:val="24"/>
          <w:szCs w:val="24"/>
        </w:rPr>
        <w:lastRenderedPageBreak/>
        <w:t xml:space="preserve">violence risk assessment and management: Why it is useful, how to use it, and its empirical support. In C. A. </w:t>
      </w:r>
      <w:proofErr w:type="spellStart"/>
      <w:r w:rsidRPr="000E0CD4">
        <w:rPr>
          <w:rFonts w:ascii="Times New Roman" w:hAnsi="Times New Roman" w:cs="Times New Roman"/>
          <w:sz w:val="24"/>
          <w:szCs w:val="24"/>
        </w:rPr>
        <w:t>Pietz</w:t>
      </w:r>
      <w:proofErr w:type="spellEnd"/>
      <w:r w:rsidRPr="000E0CD4">
        <w:rPr>
          <w:rFonts w:ascii="Times New Roman" w:hAnsi="Times New Roman" w:cs="Times New Roman"/>
          <w:sz w:val="24"/>
          <w:szCs w:val="24"/>
        </w:rPr>
        <w:t xml:space="preserve"> &amp; C. A. Mattson (Eds.), </w:t>
      </w:r>
      <w:r w:rsidRPr="000E0CD4">
        <w:rPr>
          <w:rFonts w:ascii="Times New Roman" w:hAnsi="Times New Roman" w:cs="Times New Roman"/>
          <w:i/>
          <w:iCs/>
          <w:sz w:val="24"/>
          <w:szCs w:val="24"/>
        </w:rPr>
        <w:t>Violent offenders: Understanding and assessment.</w:t>
      </w:r>
      <w:r w:rsidRPr="000E0CD4">
        <w:rPr>
          <w:rFonts w:ascii="Times New Roman" w:hAnsi="Times New Roman" w:cs="Times New Roman"/>
          <w:sz w:val="24"/>
          <w:szCs w:val="24"/>
        </w:rPr>
        <w:t> (pp. 360–383). Oxford University Press.</w:t>
      </w:r>
    </w:p>
    <w:p w14:paraId="24D8E082" w14:textId="77777777" w:rsidR="00F33956" w:rsidRDefault="00F33956" w:rsidP="00F33956">
      <w:pPr>
        <w:spacing w:line="480" w:lineRule="auto"/>
        <w:rPr>
          <w:color w:val="000000" w:themeColor="text1"/>
          <w:lang w:val="en-CA"/>
        </w:rPr>
      </w:pPr>
      <w:r w:rsidRPr="00F33956">
        <w:rPr>
          <w:color w:val="000000" w:themeColor="text1"/>
          <w:lang w:val="en-CA"/>
        </w:rPr>
        <w:t xml:space="preserve">Douglas, K. S., Cox, D. N., &amp; Webster, C. D. (1999). Violence risk assessment: Science and </w:t>
      </w:r>
    </w:p>
    <w:p w14:paraId="2F29B119" w14:textId="70111A83" w:rsidR="00F33956" w:rsidRPr="001520D3" w:rsidRDefault="00F33956" w:rsidP="00F33956">
      <w:pPr>
        <w:spacing w:line="480" w:lineRule="auto"/>
        <w:ind w:left="720"/>
        <w:rPr>
          <w:rStyle w:val="Hyperlink"/>
          <w:lang w:val="de-DE"/>
        </w:rPr>
      </w:pPr>
      <w:r w:rsidRPr="00F33956">
        <w:rPr>
          <w:color w:val="000000" w:themeColor="text1"/>
          <w:lang w:val="en-CA"/>
        </w:rPr>
        <w:t>practice. </w:t>
      </w:r>
      <w:r w:rsidRPr="00F33956">
        <w:rPr>
          <w:i/>
          <w:iCs/>
          <w:color w:val="000000" w:themeColor="text1"/>
          <w:lang w:val="en-CA"/>
        </w:rPr>
        <w:t>Legal and Criminological Psychology</w:t>
      </w:r>
      <w:r w:rsidRPr="00F33956">
        <w:rPr>
          <w:color w:val="000000" w:themeColor="text1"/>
          <w:lang w:val="en-CA"/>
        </w:rPr>
        <w:t>, </w:t>
      </w:r>
      <w:r w:rsidRPr="00F33956">
        <w:rPr>
          <w:i/>
          <w:iCs/>
          <w:color w:val="000000" w:themeColor="text1"/>
          <w:lang w:val="en-CA"/>
        </w:rPr>
        <w:t>4</w:t>
      </w:r>
      <w:r w:rsidRPr="00F33956">
        <w:rPr>
          <w:color w:val="000000" w:themeColor="text1"/>
          <w:lang w:val="en-CA"/>
        </w:rPr>
        <w:t xml:space="preserve">(Part 2), 149–184. </w:t>
      </w:r>
      <w:r w:rsidR="00C745B1" w:rsidRPr="00C745B1">
        <w:t>https://doi-org.proxy.lib.sfu.ca/10.1348/135532599167824</w:t>
      </w:r>
    </w:p>
    <w:p w14:paraId="6D7BD133" w14:textId="77777777" w:rsidR="00617FEE" w:rsidRPr="00105463" w:rsidRDefault="00617FEE" w:rsidP="00D247D6">
      <w:pPr>
        <w:spacing w:line="480" w:lineRule="auto"/>
        <w:rPr>
          <w:rFonts w:eastAsia="Times New Roman"/>
          <w:color w:val="000000" w:themeColor="text1"/>
        </w:rPr>
      </w:pPr>
      <w:r w:rsidRPr="00105463">
        <w:rPr>
          <w:rFonts w:eastAsia="Times New Roman"/>
          <w:i/>
          <w:color w:val="000000" w:themeColor="text1"/>
        </w:rPr>
        <w:t>Ewert v. Canada,</w:t>
      </w:r>
      <w:r w:rsidRPr="00105463">
        <w:rPr>
          <w:rFonts w:eastAsia="Times New Roman"/>
          <w:color w:val="000000" w:themeColor="text1"/>
        </w:rPr>
        <w:t xml:space="preserve"> [2015] FC 1093</w:t>
      </w:r>
    </w:p>
    <w:p w14:paraId="4215942A" w14:textId="77777777" w:rsidR="00E00F0A" w:rsidRPr="00105463" w:rsidRDefault="00E00F0A" w:rsidP="00B535B2">
      <w:pPr>
        <w:pStyle w:val="NormalWeb"/>
        <w:spacing w:before="0" w:beforeAutospacing="0" w:after="0" w:afterAutospacing="0" w:line="480" w:lineRule="auto"/>
        <w:rPr>
          <w:color w:val="000000" w:themeColor="text1"/>
        </w:rPr>
      </w:pPr>
      <w:r w:rsidRPr="00105463">
        <w:rPr>
          <w:i/>
          <w:color w:val="000000" w:themeColor="text1"/>
        </w:rPr>
        <w:t>Ewert v. Canada</w:t>
      </w:r>
      <w:r w:rsidRPr="00105463">
        <w:rPr>
          <w:color w:val="000000" w:themeColor="text1"/>
        </w:rPr>
        <w:t xml:space="preserve">, [2018] SCC 30 </w:t>
      </w:r>
    </w:p>
    <w:p w14:paraId="50E1F070" w14:textId="77777777" w:rsidR="0029395A" w:rsidRPr="00105463" w:rsidRDefault="0029395A" w:rsidP="0029395A">
      <w:pPr>
        <w:spacing w:line="480" w:lineRule="auto"/>
        <w:rPr>
          <w:rFonts w:eastAsia="Times New Roman"/>
          <w:color w:val="000000" w:themeColor="text1"/>
        </w:rPr>
      </w:pPr>
      <w:r w:rsidRPr="00105463">
        <w:rPr>
          <w:rFonts w:eastAsia="Times New Roman"/>
          <w:color w:val="000000" w:themeColor="text1"/>
        </w:rPr>
        <w:t>Fleiss, J. L. (1986). </w:t>
      </w:r>
      <w:r w:rsidRPr="00105463">
        <w:rPr>
          <w:rFonts w:eastAsia="Times New Roman"/>
          <w:i/>
          <w:color w:val="000000" w:themeColor="text1"/>
        </w:rPr>
        <w:t>The design and analysis of clinical experiments.</w:t>
      </w:r>
      <w:r w:rsidRPr="00105463">
        <w:rPr>
          <w:rFonts w:eastAsia="Times New Roman"/>
          <w:color w:val="000000" w:themeColor="text1"/>
        </w:rPr>
        <w:t xml:space="preserve"> New York: John Wiley &amp; </w:t>
      </w:r>
    </w:p>
    <w:p w14:paraId="06D1E915" w14:textId="77777777" w:rsidR="0029395A" w:rsidRDefault="0029395A" w:rsidP="0029395A">
      <w:pPr>
        <w:spacing w:line="480" w:lineRule="auto"/>
        <w:ind w:firstLine="720"/>
        <w:rPr>
          <w:rFonts w:eastAsia="Times New Roman"/>
          <w:color w:val="000000" w:themeColor="text1"/>
        </w:rPr>
      </w:pPr>
      <w:r w:rsidRPr="00105463">
        <w:rPr>
          <w:rFonts w:eastAsia="Times New Roman"/>
          <w:color w:val="000000" w:themeColor="text1"/>
        </w:rPr>
        <w:t>Sons.</w:t>
      </w:r>
    </w:p>
    <w:p w14:paraId="3DE78FCA" w14:textId="77777777" w:rsidR="00675E74" w:rsidRPr="000E0CD4" w:rsidRDefault="00675E74" w:rsidP="000E0CD4">
      <w:pPr>
        <w:pStyle w:val="NoSpacing"/>
        <w:spacing w:line="480" w:lineRule="auto"/>
      </w:pPr>
      <w:r w:rsidRPr="001520D3">
        <w:rPr>
          <w:rFonts w:ascii="Times New Roman" w:hAnsi="Times New Roman"/>
          <w:sz w:val="24"/>
        </w:rPr>
        <w:t xml:space="preserve">Gutierrez, L., </w:t>
      </w:r>
      <w:proofErr w:type="spellStart"/>
      <w:r w:rsidRPr="001520D3">
        <w:rPr>
          <w:rFonts w:ascii="Times New Roman" w:hAnsi="Times New Roman"/>
          <w:sz w:val="24"/>
        </w:rPr>
        <w:t>Helmus</w:t>
      </w:r>
      <w:proofErr w:type="spellEnd"/>
      <w:r w:rsidRPr="001520D3">
        <w:rPr>
          <w:rFonts w:ascii="Times New Roman" w:hAnsi="Times New Roman"/>
          <w:sz w:val="24"/>
        </w:rPr>
        <w:t xml:space="preserve">, L. M., &amp; Hanson, R. K. (2016). </w:t>
      </w:r>
      <w:r w:rsidRPr="000E0CD4">
        <w:rPr>
          <w:rFonts w:ascii="Times New Roman" w:hAnsi="Times New Roman" w:cs="Times New Roman"/>
          <w:sz w:val="24"/>
          <w:szCs w:val="24"/>
        </w:rPr>
        <w:t xml:space="preserve">What we know and don’t know about risk </w:t>
      </w:r>
      <w:r>
        <w:rPr>
          <w:rFonts w:ascii="Times New Roman" w:hAnsi="Times New Roman" w:cs="Times New Roman"/>
          <w:sz w:val="24"/>
          <w:szCs w:val="24"/>
        </w:rPr>
        <w:tab/>
      </w:r>
      <w:r w:rsidRPr="000E0CD4">
        <w:rPr>
          <w:rFonts w:ascii="Times New Roman" w:hAnsi="Times New Roman" w:cs="Times New Roman"/>
          <w:sz w:val="24"/>
          <w:szCs w:val="24"/>
        </w:rPr>
        <w:t xml:space="preserve">assessment with offenders of indigenous heritage. </w:t>
      </w:r>
      <w:r w:rsidRPr="000E0CD4">
        <w:rPr>
          <w:rFonts w:ascii="Times New Roman" w:hAnsi="Times New Roman" w:cs="Times New Roman"/>
          <w:i/>
          <w:iCs/>
          <w:sz w:val="24"/>
          <w:szCs w:val="24"/>
        </w:rPr>
        <w:t xml:space="preserve">Journal of Threat Assessment and </w:t>
      </w:r>
      <w:r w:rsidRPr="000E0CD4">
        <w:rPr>
          <w:rFonts w:ascii="Times New Roman" w:hAnsi="Times New Roman" w:cs="Times New Roman"/>
          <w:i/>
          <w:iCs/>
          <w:sz w:val="24"/>
          <w:szCs w:val="24"/>
        </w:rPr>
        <w:tab/>
        <w:t>Management, 3(</w:t>
      </w:r>
      <w:r w:rsidRPr="000E0CD4">
        <w:rPr>
          <w:rFonts w:ascii="Times New Roman" w:hAnsi="Times New Roman" w:cs="Times New Roman"/>
          <w:sz w:val="24"/>
          <w:szCs w:val="24"/>
        </w:rPr>
        <w:t>2), 97–106. https://doi-org.proxy.lib.sfu.ca/10.1037/tam0000064</w:t>
      </w:r>
    </w:p>
    <w:p w14:paraId="778404F5" w14:textId="77777777" w:rsidR="003E6619" w:rsidRPr="00105463" w:rsidRDefault="00617FEE" w:rsidP="003E6619">
      <w:pPr>
        <w:spacing w:line="480" w:lineRule="auto"/>
        <w:ind w:left="709" w:hanging="709"/>
        <w:rPr>
          <w:rFonts w:eastAsia="Times New Roman"/>
          <w:color w:val="000000" w:themeColor="text1"/>
        </w:rPr>
      </w:pPr>
      <w:r w:rsidRPr="00105463">
        <w:rPr>
          <w:rFonts w:eastAsia="Times New Roman"/>
          <w:color w:val="000000" w:themeColor="text1"/>
        </w:rPr>
        <w:t>Haag</w:t>
      </w:r>
      <w:r w:rsidR="003E6619" w:rsidRPr="00105463">
        <w:rPr>
          <w:rFonts w:eastAsia="Times New Roman"/>
          <w:color w:val="000000" w:themeColor="text1"/>
        </w:rPr>
        <w:t>, A. (Ed.)</w:t>
      </w:r>
      <w:r w:rsidRPr="00105463">
        <w:rPr>
          <w:rFonts w:eastAsia="Times New Roman"/>
          <w:color w:val="000000" w:themeColor="text1"/>
        </w:rPr>
        <w:t xml:space="preserve"> (2016)</w:t>
      </w:r>
      <w:r w:rsidR="003E6619" w:rsidRPr="00105463">
        <w:rPr>
          <w:rFonts w:eastAsia="Times New Roman"/>
          <w:color w:val="000000" w:themeColor="text1"/>
        </w:rPr>
        <w:t xml:space="preserve">. Ewert v. Canada: International implications for cultural consideration for threat assessment [Special issue]. </w:t>
      </w:r>
      <w:r w:rsidR="003E6619" w:rsidRPr="00105463">
        <w:rPr>
          <w:rFonts w:eastAsia="Times New Roman"/>
          <w:i/>
          <w:color w:val="000000" w:themeColor="text1"/>
        </w:rPr>
        <w:t>Journal of Threat Assessment and Management, 3</w:t>
      </w:r>
      <w:r w:rsidR="003E6619" w:rsidRPr="00105463">
        <w:rPr>
          <w:rFonts w:eastAsia="Times New Roman"/>
          <w:color w:val="000000" w:themeColor="text1"/>
        </w:rPr>
        <w:t xml:space="preserve">(2). </w:t>
      </w:r>
    </w:p>
    <w:p w14:paraId="1EBF1D46" w14:textId="77777777" w:rsidR="00617FEE" w:rsidRPr="00105463" w:rsidRDefault="00617FEE" w:rsidP="00617FEE">
      <w:pPr>
        <w:spacing w:line="480" w:lineRule="auto"/>
        <w:rPr>
          <w:rFonts w:eastAsia="Times New Roman"/>
          <w:color w:val="000000" w:themeColor="text1"/>
        </w:rPr>
      </w:pPr>
      <w:r w:rsidRPr="00105463">
        <w:rPr>
          <w:rFonts w:eastAsia="Times New Roman"/>
          <w:color w:val="000000" w:themeColor="text1"/>
        </w:rPr>
        <w:t xml:space="preserve">Haag, A. M., Boyes, A., Cheng, J., MacNeil, A., &amp; </w:t>
      </w:r>
      <w:proofErr w:type="spellStart"/>
      <w:r w:rsidRPr="00105463">
        <w:rPr>
          <w:rFonts w:eastAsia="Times New Roman"/>
          <w:color w:val="000000" w:themeColor="text1"/>
        </w:rPr>
        <w:t>Wirove</w:t>
      </w:r>
      <w:proofErr w:type="spellEnd"/>
      <w:r w:rsidRPr="00105463">
        <w:rPr>
          <w:rFonts w:eastAsia="Times New Roman"/>
          <w:color w:val="000000" w:themeColor="text1"/>
        </w:rPr>
        <w:t xml:space="preserve">, R. (2016). An introduction to the </w:t>
      </w:r>
    </w:p>
    <w:p w14:paraId="24D2BA0F" w14:textId="77777777" w:rsidR="00617FEE" w:rsidRPr="00105463" w:rsidRDefault="00617FEE" w:rsidP="00617FEE">
      <w:pPr>
        <w:spacing w:line="480" w:lineRule="auto"/>
        <w:ind w:left="720"/>
        <w:rPr>
          <w:rFonts w:eastAsia="Times New Roman"/>
          <w:color w:val="000000" w:themeColor="text1"/>
        </w:rPr>
      </w:pPr>
      <w:r w:rsidRPr="00105463">
        <w:rPr>
          <w:rFonts w:eastAsia="Times New Roman"/>
          <w:color w:val="000000" w:themeColor="text1"/>
        </w:rPr>
        <w:t>issues of cross-cultural assessment inspired by Ewert v. Canada. </w:t>
      </w:r>
      <w:r w:rsidRPr="00105463">
        <w:rPr>
          <w:rFonts w:eastAsia="Times New Roman"/>
          <w:i/>
          <w:iCs/>
          <w:color w:val="000000" w:themeColor="text1"/>
        </w:rPr>
        <w:t>Journal of Threat Assessment and Management</w:t>
      </w:r>
      <w:r w:rsidRPr="00105463">
        <w:rPr>
          <w:rFonts w:eastAsia="Times New Roman"/>
          <w:color w:val="000000" w:themeColor="text1"/>
        </w:rPr>
        <w:t>, </w:t>
      </w:r>
      <w:r w:rsidRPr="00105463">
        <w:rPr>
          <w:rFonts w:eastAsia="Times New Roman"/>
          <w:i/>
          <w:iCs/>
          <w:color w:val="000000" w:themeColor="text1"/>
        </w:rPr>
        <w:t>3</w:t>
      </w:r>
      <w:r w:rsidRPr="00105463">
        <w:rPr>
          <w:rFonts w:eastAsia="Times New Roman"/>
          <w:color w:val="000000" w:themeColor="text1"/>
        </w:rPr>
        <w:t>(2), 65-75.</w:t>
      </w:r>
      <w:r w:rsidR="00C745B1">
        <w:rPr>
          <w:rFonts w:eastAsia="Times New Roman"/>
          <w:color w:val="000000" w:themeColor="text1"/>
        </w:rPr>
        <w:t xml:space="preserve"> </w:t>
      </w:r>
      <w:r w:rsidR="0022584F">
        <w:rPr>
          <w:rFonts w:eastAsia="Times New Roman"/>
          <w:color w:val="000000" w:themeColor="text1"/>
        </w:rPr>
        <w:t>DOI</w:t>
      </w:r>
      <w:r w:rsidRPr="00105463">
        <w:rPr>
          <w:rFonts w:eastAsia="Times New Roman"/>
          <w:color w:val="000000" w:themeColor="text1"/>
        </w:rPr>
        <w:t>:10.1037/tam0000067</w:t>
      </w:r>
    </w:p>
    <w:p w14:paraId="43388AB2" w14:textId="77777777" w:rsidR="00617FEE" w:rsidRPr="00105463" w:rsidRDefault="00617FEE" w:rsidP="00617FEE">
      <w:pPr>
        <w:spacing w:line="480" w:lineRule="auto"/>
        <w:rPr>
          <w:rFonts w:eastAsia="Times New Roman"/>
          <w:i/>
          <w:iCs/>
          <w:color w:val="000000" w:themeColor="text1"/>
        </w:rPr>
      </w:pPr>
      <w:r w:rsidRPr="00105463">
        <w:rPr>
          <w:rFonts w:eastAsia="Times New Roman"/>
          <w:color w:val="000000" w:themeColor="text1"/>
        </w:rPr>
        <w:t>Hart, S. D. (2016). Culture and violence risk assessment: The case of Ewert v. Canada. </w:t>
      </w:r>
      <w:r w:rsidRPr="00105463">
        <w:rPr>
          <w:rFonts w:eastAsia="Times New Roman"/>
          <w:i/>
          <w:iCs/>
          <w:color w:val="000000" w:themeColor="text1"/>
        </w:rPr>
        <w:t xml:space="preserve">Journal </w:t>
      </w:r>
    </w:p>
    <w:p w14:paraId="6B2D9FCF" w14:textId="77777777" w:rsidR="00617FEE" w:rsidRDefault="00617FEE" w:rsidP="001B5191">
      <w:pPr>
        <w:spacing w:line="480" w:lineRule="auto"/>
        <w:ind w:firstLine="720"/>
        <w:rPr>
          <w:rFonts w:eastAsia="Times New Roman"/>
          <w:color w:val="000000" w:themeColor="text1"/>
        </w:rPr>
      </w:pPr>
      <w:r w:rsidRPr="00105463">
        <w:rPr>
          <w:rFonts w:eastAsia="Times New Roman"/>
          <w:i/>
          <w:iCs/>
          <w:color w:val="000000" w:themeColor="text1"/>
        </w:rPr>
        <w:t>of Threat Assessment and Management</w:t>
      </w:r>
      <w:r w:rsidRPr="00105463">
        <w:rPr>
          <w:rFonts w:eastAsia="Times New Roman"/>
          <w:color w:val="000000" w:themeColor="text1"/>
        </w:rPr>
        <w:t>, </w:t>
      </w:r>
      <w:r w:rsidRPr="00105463">
        <w:rPr>
          <w:rFonts w:eastAsia="Times New Roman"/>
          <w:i/>
          <w:iCs/>
          <w:color w:val="000000" w:themeColor="text1"/>
        </w:rPr>
        <w:t>3</w:t>
      </w:r>
      <w:r w:rsidRPr="00105463">
        <w:rPr>
          <w:rFonts w:eastAsia="Times New Roman"/>
          <w:color w:val="000000" w:themeColor="text1"/>
        </w:rPr>
        <w:t xml:space="preserve">(2), 76-96. </w:t>
      </w:r>
      <w:r w:rsidR="00CC3FEA">
        <w:rPr>
          <w:rFonts w:eastAsia="Times New Roman"/>
          <w:color w:val="000000" w:themeColor="text1"/>
        </w:rPr>
        <w:t>DOI</w:t>
      </w:r>
      <w:r w:rsidRPr="00105463">
        <w:rPr>
          <w:rFonts w:eastAsia="Times New Roman"/>
          <w:color w:val="000000" w:themeColor="text1"/>
        </w:rPr>
        <w:t>:10.1037/tam0000068</w:t>
      </w:r>
    </w:p>
    <w:p w14:paraId="5058BD89" w14:textId="77777777" w:rsidR="009A2006" w:rsidRDefault="001B5191" w:rsidP="000E0CD4">
      <w:pPr>
        <w:spacing w:line="480" w:lineRule="auto"/>
        <w:rPr>
          <w:color w:val="000000"/>
        </w:rPr>
      </w:pPr>
      <w:proofErr w:type="spellStart"/>
      <w:r w:rsidRPr="002D7895">
        <w:rPr>
          <w:color w:val="000000"/>
        </w:rPr>
        <w:t>Heilbrun</w:t>
      </w:r>
      <w:proofErr w:type="spellEnd"/>
      <w:r w:rsidRPr="002D7895">
        <w:rPr>
          <w:color w:val="000000"/>
        </w:rPr>
        <w:t xml:space="preserve">, K. (2009). Evaluation for risk of violence in adults. New York, NY: Oxford University </w:t>
      </w:r>
    </w:p>
    <w:p w14:paraId="776C1BFD" w14:textId="77777777" w:rsidR="001B5191" w:rsidRPr="002D7895" w:rsidRDefault="001B5191" w:rsidP="009A2006">
      <w:pPr>
        <w:spacing w:line="480" w:lineRule="auto"/>
        <w:ind w:firstLine="720"/>
        <w:rPr>
          <w:rFonts w:eastAsia="Times New Roman"/>
          <w:color w:val="000000" w:themeColor="text1"/>
        </w:rPr>
      </w:pPr>
      <w:r w:rsidRPr="002D7895">
        <w:rPr>
          <w:color w:val="000000"/>
        </w:rPr>
        <w:t>Press.</w:t>
      </w:r>
    </w:p>
    <w:p w14:paraId="097AB658" w14:textId="77777777" w:rsidR="00617FEE" w:rsidRPr="00105463" w:rsidRDefault="00617FEE" w:rsidP="001B5191">
      <w:pPr>
        <w:spacing w:line="480" w:lineRule="auto"/>
        <w:rPr>
          <w:i/>
          <w:color w:val="000000" w:themeColor="text1"/>
        </w:rPr>
      </w:pPr>
      <w:r w:rsidRPr="00CB2849">
        <w:rPr>
          <w:color w:val="000000" w:themeColor="text1"/>
        </w:rPr>
        <w:t>Hi</w:t>
      </w:r>
      <w:r w:rsidRPr="00105463">
        <w:rPr>
          <w:color w:val="000000" w:themeColor="text1"/>
        </w:rPr>
        <w:t xml:space="preserve">cks, J. W. (2004). Ethnicity, race, and forensic psychiatry: Are we color-blind? </w:t>
      </w:r>
      <w:r w:rsidRPr="00105463">
        <w:rPr>
          <w:i/>
          <w:color w:val="000000" w:themeColor="text1"/>
        </w:rPr>
        <w:t xml:space="preserve">Journal of the </w:t>
      </w:r>
    </w:p>
    <w:p w14:paraId="43B20424" w14:textId="1273A46C" w:rsidR="00617FEE" w:rsidRPr="00105463" w:rsidRDefault="00617FEE" w:rsidP="00F33956">
      <w:pPr>
        <w:spacing w:line="480" w:lineRule="auto"/>
        <w:ind w:left="720"/>
        <w:rPr>
          <w:color w:val="000000" w:themeColor="text1"/>
        </w:rPr>
      </w:pPr>
      <w:r w:rsidRPr="00105463">
        <w:rPr>
          <w:i/>
          <w:color w:val="000000" w:themeColor="text1"/>
        </w:rPr>
        <w:lastRenderedPageBreak/>
        <w:t>American Academy of Psychiatry and the Law, 32,</w:t>
      </w:r>
      <w:r w:rsidRPr="00105463">
        <w:rPr>
          <w:color w:val="000000" w:themeColor="text1"/>
        </w:rPr>
        <w:t xml:space="preserve"> 21–33.</w:t>
      </w:r>
    </w:p>
    <w:p w14:paraId="1F55BF6F" w14:textId="797780F9" w:rsidR="00617FEE" w:rsidRDefault="00617FEE" w:rsidP="00617FEE">
      <w:pPr>
        <w:spacing w:line="480" w:lineRule="auto"/>
        <w:ind w:left="720" w:hanging="720"/>
        <w:rPr>
          <w:iCs/>
          <w:color w:val="000000" w:themeColor="text1"/>
        </w:rPr>
      </w:pPr>
      <w:r w:rsidRPr="00105463">
        <w:rPr>
          <w:iCs/>
          <w:color w:val="000000" w:themeColor="text1"/>
        </w:rPr>
        <w:t xml:space="preserve">Hsieh, H., &amp; Shannon, S. E. (2005). Three approaches to qualitative content analysis. </w:t>
      </w:r>
      <w:r w:rsidRPr="00105463">
        <w:rPr>
          <w:i/>
          <w:iCs/>
          <w:color w:val="000000" w:themeColor="text1"/>
        </w:rPr>
        <w:t>Qualitative Health Research</w:t>
      </w:r>
      <w:r w:rsidRPr="00105463">
        <w:rPr>
          <w:iCs/>
          <w:color w:val="000000" w:themeColor="text1"/>
        </w:rPr>
        <w:t xml:space="preserve">, </w:t>
      </w:r>
      <w:r w:rsidRPr="00105463">
        <w:rPr>
          <w:i/>
          <w:iCs/>
          <w:color w:val="000000" w:themeColor="text1"/>
        </w:rPr>
        <w:t>15</w:t>
      </w:r>
      <w:r w:rsidRPr="00105463">
        <w:rPr>
          <w:iCs/>
          <w:color w:val="000000" w:themeColor="text1"/>
        </w:rPr>
        <w:t xml:space="preserve">(9), 1277-1288. </w:t>
      </w:r>
      <w:r w:rsidR="009D7AAF">
        <w:rPr>
          <w:iCs/>
          <w:color w:val="000000" w:themeColor="text1"/>
        </w:rPr>
        <w:t>DOI</w:t>
      </w:r>
      <w:r w:rsidRPr="00105463">
        <w:rPr>
          <w:iCs/>
          <w:color w:val="000000" w:themeColor="text1"/>
        </w:rPr>
        <w:t>:10.1177/1049732305276687</w:t>
      </w:r>
    </w:p>
    <w:p w14:paraId="379DBD72" w14:textId="0ABDCADF" w:rsidR="00F6033E" w:rsidRPr="00105463" w:rsidRDefault="00F6033E" w:rsidP="00617FEE">
      <w:pPr>
        <w:spacing w:line="480" w:lineRule="auto"/>
        <w:ind w:left="720" w:hanging="720"/>
        <w:rPr>
          <w:iCs/>
          <w:color w:val="000000" w:themeColor="text1"/>
        </w:rPr>
      </w:pPr>
      <w:r w:rsidRPr="00F6033E">
        <w:rPr>
          <w:iCs/>
          <w:color w:val="000000" w:themeColor="text1"/>
        </w:rPr>
        <w:t xml:space="preserve">Jackson, N. (2015). The substantive application of </w:t>
      </w:r>
      <w:proofErr w:type="spellStart"/>
      <w:r w:rsidR="004D0155">
        <w:rPr>
          <w:iCs/>
          <w:color w:val="000000" w:themeColor="text1"/>
        </w:rPr>
        <w:t>G</w:t>
      </w:r>
      <w:r w:rsidRPr="00F6033E">
        <w:rPr>
          <w:iCs/>
          <w:color w:val="000000" w:themeColor="text1"/>
        </w:rPr>
        <w:t>ladue</w:t>
      </w:r>
      <w:proofErr w:type="spellEnd"/>
      <w:r w:rsidRPr="00F6033E">
        <w:rPr>
          <w:iCs/>
          <w:color w:val="000000" w:themeColor="text1"/>
        </w:rPr>
        <w:t xml:space="preserve"> in </w:t>
      </w:r>
      <w:r w:rsidR="004D0155">
        <w:rPr>
          <w:iCs/>
          <w:color w:val="000000" w:themeColor="text1"/>
        </w:rPr>
        <w:t>D</w:t>
      </w:r>
      <w:r w:rsidRPr="00F6033E">
        <w:rPr>
          <w:iCs/>
          <w:color w:val="000000" w:themeColor="text1"/>
        </w:rPr>
        <w:t xml:space="preserve">angerous </w:t>
      </w:r>
      <w:r w:rsidR="004D0155">
        <w:rPr>
          <w:iCs/>
          <w:color w:val="000000" w:themeColor="text1"/>
        </w:rPr>
        <w:t>O</w:t>
      </w:r>
      <w:r w:rsidRPr="00F6033E">
        <w:rPr>
          <w:iCs/>
          <w:color w:val="000000" w:themeColor="text1"/>
        </w:rPr>
        <w:t>ffender proceedings: Reassessing risk and rehabilitation for aboriginal offenders.</w:t>
      </w:r>
      <w:r w:rsidRPr="00F6033E">
        <w:rPr>
          <w:i/>
          <w:iCs/>
          <w:color w:val="000000" w:themeColor="text1"/>
        </w:rPr>
        <w:t> Canadian Criminal Law Review, 20</w:t>
      </w:r>
      <w:r w:rsidRPr="00F6033E">
        <w:rPr>
          <w:iCs/>
          <w:color w:val="000000" w:themeColor="text1"/>
        </w:rPr>
        <w:t>(1), 77-91.</w:t>
      </w:r>
      <w:r w:rsidR="00321CF3">
        <w:rPr>
          <w:iCs/>
          <w:color w:val="000000" w:themeColor="text1"/>
        </w:rPr>
        <w:t xml:space="preserve"> </w:t>
      </w:r>
    </w:p>
    <w:p w14:paraId="39799A21" w14:textId="77777777" w:rsidR="00617FEE" w:rsidRPr="007B6802" w:rsidRDefault="00617FEE" w:rsidP="00617FEE">
      <w:pPr>
        <w:spacing w:line="480" w:lineRule="auto"/>
        <w:rPr>
          <w:i/>
          <w:iCs/>
          <w:color w:val="000000" w:themeColor="text1"/>
        </w:rPr>
      </w:pPr>
      <w:proofErr w:type="spellStart"/>
      <w:r w:rsidRPr="001520D3">
        <w:rPr>
          <w:color w:val="000000" w:themeColor="text1"/>
          <w:lang w:val="nl-NL"/>
        </w:rPr>
        <w:t>Knapp</w:t>
      </w:r>
      <w:proofErr w:type="spellEnd"/>
      <w:r w:rsidRPr="001520D3">
        <w:rPr>
          <w:color w:val="000000" w:themeColor="text1"/>
          <w:lang w:val="nl-NL"/>
        </w:rPr>
        <w:t xml:space="preserve">, S. J., &amp; </w:t>
      </w:r>
      <w:proofErr w:type="spellStart"/>
      <w:r w:rsidRPr="001520D3">
        <w:rPr>
          <w:color w:val="000000" w:themeColor="text1"/>
          <w:lang w:val="nl-NL"/>
        </w:rPr>
        <w:t>VandeCreek</w:t>
      </w:r>
      <w:proofErr w:type="spellEnd"/>
      <w:r w:rsidRPr="001520D3">
        <w:rPr>
          <w:color w:val="000000" w:themeColor="text1"/>
          <w:lang w:val="nl-NL"/>
        </w:rPr>
        <w:t xml:space="preserve">, L. D. (2006). </w:t>
      </w:r>
      <w:r w:rsidRPr="007B6802">
        <w:rPr>
          <w:i/>
          <w:iCs/>
          <w:color w:val="000000" w:themeColor="text1"/>
        </w:rPr>
        <w:t>Practical Ethics for Psychologists: A Positive</w:t>
      </w:r>
    </w:p>
    <w:p w14:paraId="091AA40E" w14:textId="77777777" w:rsidR="006065E6" w:rsidRDefault="00617FEE" w:rsidP="00EA3C36">
      <w:pPr>
        <w:spacing w:line="480" w:lineRule="auto"/>
        <w:ind w:firstLine="720"/>
        <w:outlineLvl w:val="0"/>
        <w:rPr>
          <w:color w:val="000000" w:themeColor="text1"/>
        </w:rPr>
      </w:pPr>
      <w:r w:rsidRPr="007B6802">
        <w:rPr>
          <w:i/>
          <w:iCs/>
          <w:color w:val="000000" w:themeColor="text1"/>
        </w:rPr>
        <w:t>Approach.</w:t>
      </w:r>
      <w:r w:rsidRPr="00105463">
        <w:rPr>
          <w:color w:val="000000" w:themeColor="text1"/>
        </w:rPr>
        <w:t xml:space="preserve"> American Psychological Association: Washington, DC</w:t>
      </w:r>
      <w:r w:rsidR="00E502F8">
        <w:rPr>
          <w:color w:val="000000" w:themeColor="text1"/>
        </w:rPr>
        <w:t>.</w:t>
      </w:r>
    </w:p>
    <w:p w14:paraId="5E146C2D" w14:textId="3F3C6201" w:rsidR="00D5584A" w:rsidRPr="00E827FE" w:rsidRDefault="00D5584A" w:rsidP="00D5584A">
      <w:pPr>
        <w:spacing w:line="480" w:lineRule="auto"/>
        <w:ind w:left="567" w:hanging="567"/>
        <w:rPr>
          <w:rFonts w:eastAsia="Times New Roman"/>
          <w:color w:val="000000" w:themeColor="text1"/>
          <w:shd w:val="clear" w:color="auto" w:fill="FFFFFF"/>
        </w:rPr>
      </w:pPr>
      <w:r w:rsidRPr="001520D3">
        <w:rPr>
          <w:color w:val="000000" w:themeColor="text1"/>
          <w:shd w:val="clear" w:color="auto" w:fill="FFFFFF"/>
          <w:lang w:val="it-IT"/>
        </w:rPr>
        <w:t xml:space="preserve">Kwartner, P. P., Lyons, P. M., &amp; Boccaccini, M. T. (2006). </w:t>
      </w:r>
      <w:r w:rsidRPr="00E827FE">
        <w:rPr>
          <w:rFonts w:eastAsia="Times New Roman"/>
          <w:color w:val="000000" w:themeColor="text1"/>
          <w:shd w:val="clear" w:color="auto" w:fill="FFFFFF"/>
        </w:rPr>
        <w:t>Judges' risk communication preferences in risk for future violence cases. </w:t>
      </w:r>
      <w:r w:rsidRPr="00E827FE">
        <w:rPr>
          <w:rFonts w:eastAsia="Times New Roman"/>
          <w:i/>
          <w:iCs/>
          <w:color w:val="000000" w:themeColor="text1"/>
          <w:shd w:val="clear" w:color="auto" w:fill="FFFFFF"/>
        </w:rPr>
        <w:t>International Journal of Forensic Mental Health</w:t>
      </w:r>
      <w:r w:rsidRPr="00E827FE">
        <w:rPr>
          <w:rFonts w:eastAsia="Times New Roman"/>
          <w:color w:val="000000" w:themeColor="text1"/>
          <w:shd w:val="clear" w:color="auto" w:fill="FFFFFF"/>
        </w:rPr>
        <w:t>, </w:t>
      </w:r>
      <w:r w:rsidRPr="00E827FE">
        <w:rPr>
          <w:rFonts w:eastAsia="Times New Roman"/>
          <w:i/>
          <w:iCs/>
          <w:color w:val="000000" w:themeColor="text1"/>
          <w:shd w:val="clear" w:color="auto" w:fill="FFFFFF"/>
        </w:rPr>
        <w:t>5</w:t>
      </w:r>
      <w:r w:rsidRPr="00E827FE">
        <w:rPr>
          <w:rFonts w:eastAsia="Times New Roman"/>
          <w:color w:val="000000" w:themeColor="text1"/>
          <w:shd w:val="clear" w:color="auto" w:fill="FFFFFF"/>
        </w:rPr>
        <w:t xml:space="preserve">(2), 185-194. </w:t>
      </w:r>
      <w:r w:rsidR="009D7AAF">
        <w:rPr>
          <w:rFonts w:eastAsia="Times New Roman"/>
          <w:color w:val="000000" w:themeColor="text1"/>
          <w:shd w:val="clear" w:color="auto" w:fill="FFFFFF"/>
        </w:rPr>
        <w:t>DOI</w:t>
      </w:r>
      <w:r w:rsidRPr="00E827FE">
        <w:rPr>
          <w:rFonts w:eastAsia="Times New Roman"/>
          <w:color w:val="000000" w:themeColor="text1"/>
          <w:shd w:val="clear" w:color="auto" w:fill="FFFFFF"/>
        </w:rPr>
        <w:t>: 10.1080/14999013.2006.10471242</w:t>
      </w:r>
    </w:p>
    <w:p w14:paraId="5086D1F0" w14:textId="77777777" w:rsidR="00E44838" w:rsidRPr="00105463" w:rsidRDefault="00E44838" w:rsidP="00E44838">
      <w:pPr>
        <w:spacing w:line="480" w:lineRule="auto"/>
        <w:rPr>
          <w:color w:val="000000" w:themeColor="text1"/>
        </w:rPr>
      </w:pPr>
      <w:proofErr w:type="spellStart"/>
      <w:r w:rsidRPr="00105463">
        <w:rPr>
          <w:color w:val="000000" w:themeColor="text1"/>
        </w:rPr>
        <w:t>Monchalin</w:t>
      </w:r>
      <w:proofErr w:type="spellEnd"/>
      <w:r w:rsidRPr="00105463">
        <w:rPr>
          <w:color w:val="000000" w:themeColor="text1"/>
        </w:rPr>
        <w:t>, L. (2010). Canadian Aboriginal peoples</w:t>
      </w:r>
      <w:r w:rsidR="00536ABA">
        <w:rPr>
          <w:color w:val="000000" w:themeColor="text1"/>
        </w:rPr>
        <w:t>’</w:t>
      </w:r>
      <w:r w:rsidRPr="00105463">
        <w:rPr>
          <w:color w:val="000000" w:themeColor="text1"/>
        </w:rPr>
        <w:t xml:space="preserve"> victimization, offending and its prevention: </w:t>
      </w:r>
    </w:p>
    <w:p w14:paraId="5F30CAFD" w14:textId="77777777" w:rsidR="00E44838" w:rsidRDefault="00E44838" w:rsidP="00105463">
      <w:pPr>
        <w:spacing w:line="480" w:lineRule="auto"/>
        <w:ind w:left="720"/>
        <w:rPr>
          <w:color w:val="000000" w:themeColor="text1"/>
        </w:rPr>
      </w:pPr>
      <w:r w:rsidRPr="00105463">
        <w:rPr>
          <w:color w:val="000000" w:themeColor="text1"/>
        </w:rPr>
        <w:t>Gathering the evidence. </w:t>
      </w:r>
      <w:r w:rsidRPr="00105463">
        <w:rPr>
          <w:i/>
          <w:iCs/>
          <w:color w:val="000000" w:themeColor="text1"/>
        </w:rPr>
        <w:t>Crime Prevention and Community Safety</w:t>
      </w:r>
      <w:r w:rsidRPr="00105463">
        <w:rPr>
          <w:color w:val="000000" w:themeColor="text1"/>
        </w:rPr>
        <w:t>, </w:t>
      </w:r>
      <w:r w:rsidRPr="00105463">
        <w:rPr>
          <w:i/>
          <w:iCs/>
          <w:color w:val="000000" w:themeColor="text1"/>
        </w:rPr>
        <w:t>12</w:t>
      </w:r>
      <w:r w:rsidRPr="00105463">
        <w:rPr>
          <w:color w:val="000000" w:themeColor="text1"/>
        </w:rPr>
        <w:t xml:space="preserve">(2), 119–132. </w:t>
      </w:r>
      <w:hyperlink r:id="rId8" w:history="1">
        <w:r w:rsidR="005A7EB8" w:rsidRPr="00D9160A">
          <w:rPr>
            <w:rStyle w:val="Hyperlink"/>
          </w:rPr>
          <w:t>https://doi-org.proxy.lib.sfu.ca/10.1057/cpcs.2009.23</w:t>
        </w:r>
      </w:hyperlink>
    </w:p>
    <w:p w14:paraId="6DE82DD7" w14:textId="77777777" w:rsidR="005A7EB8" w:rsidRPr="00295FCC" w:rsidRDefault="005A7EB8" w:rsidP="000E0CD4">
      <w:pPr>
        <w:pStyle w:val="NoSpacing"/>
        <w:spacing w:line="480" w:lineRule="auto"/>
        <w:ind w:left="720" w:hanging="720"/>
      </w:pPr>
      <w:r w:rsidRPr="000E0CD4">
        <w:rPr>
          <w:rFonts w:ascii="Times New Roman" w:hAnsi="Times New Roman" w:cs="Times New Roman"/>
          <w:sz w:val="24"/>
          <w:szCs w:val="24"/>
        </w:rPr>
        <w:t xml:space="preserve">Nicholls, T. L., Petersen, K. L., &amp; Pritchard, M. M. (2016). Comparing preferences for actuarial versus structured professional judgment violence risk assessment measures across five continents: To what extent is practice keeping pace with science? In J. P. Singh, S. </w:t>
      </w:r>
      <w:proofErr w:type="spellStart"/>
      <w:r w:rsidRPr="000E0CD4">
        <w:rPr>
          <w:rFonts w:ascii="Times New Roman" w:hAnsi="Times New Roman" w:cs="Times New Roman"/>
          <w:sz w:val="24"/>
          <w:szCs w:val="24"/>
        </w:rPr>
        <w:t>Bjørkly</w:t>
      </w:r>
      <w:proofErr w:type="spellEnd"/>
      <w:r w:rsidRPr="000E0CD4">
        <w:rPr>
          <w:rFonts w:ascii="Times New Roman" w:hAnsi="Times New Roman" w:cs="Times New Roman"/>
          <w:sz w:val="24"/>
          <w:szCs w:val="24"/>
        </w:rPr>
        <w:t>, &amp; S. Fazel (Eds.), </w:t>
      </w:r>
      <w:r w:rsidRPr="000E0CD4">
        <w:rPr>
          <w:rFonts w:ascii="Times New Roman" w:hAnsi="Times New Roman" w:cs="Times New Roman"/>
          <w:i/>
          <w:iCs/>
          <w:sz w:val="24"/>
          <w:szCs w:val="24"/>
        </w:rPr>
        <w:t>International perspectives on violence risk assessment.</w:t>
      </w:r>
      <w:r w:rsidRPr="000E0CD4">
        <w:rPr>
          <w:rFonts w:ascii="Times New Roman" w:hAnsi="Times New Roman" w:cs="Times New Roman"/>
          <w:sz w:val="24"/>
          <w:szCs w:val="24"/>
        </w:rPr>
        <w:t> (pp. 127–149). Oxford University Press. https://doi-org.proxy.lib.sfu.ca/10.1093/acprof:oso/9780199386291.003.0008</w:t>
      </w:r>
    </w:p>
    <w:p w14:paraId="7F337A73" w14:textId="77777777" w:rsidR="00617FEE" w:rsidRPr="00105463" w:rsidRDefault="00617FEE" w:rsidP="00617FEE">
      <w:pPr>
        <w:spacing w:line="480" w:lineRule="auto"/>
        <w:rPr>
          <w:color w:val="000000" w:themeColor="text1"/>
        </w:rPr>
      </w:pPr>
      <w:proofErr w:type="spellStart"/>
      <w:r w:rsidRPr="00105463">
        <w:rPr>
          <w:color w:val="000000" w:themeColor="text1"/>
        </w:rPr>
        <w:t>Olver</w:t>
      </w:r>
      <w:proofErr w:type="spellEnd"/>
      <w:r w:rsidRPr="00105463">
        <w:rPr>
          <w:color w:val="000000" w:themeColor="text1"/>
        </w:rPr>
        <w:t xml:space="preserve">, M. E. (2016). Some considerations on the use of actuarial and related forensic measures </w:t>
      </w:r>
    </w:p>
    <w:p w14:paraId="74ED9CF6" w14:textId="5E982C76" w:rsidR="00895363" w:rsidRDefault="00617FEE" w:rsidP="00617FEE">
      <w:pPr>
        <w:spacing w:line="480" w:lineRule="auto"/>
        <w:ind w:left="720"/>
        <w:rPr>
          <w:color w:val="000000" w:themeColor="text1"/>
        </w:rPr>
      </w:pPr>
      <w:r w:rsidRPr="00105463">
        <w:rPr>
          <w:color w:val="000000" w:themeColor="text1"/>
        </w:rPr>
        <w:t>with diverse correctional populations. </w:t>
      </w:r>
      <w:r w:rsidRPr="00105463">
        <w:rPr>
          <w:i/>
          <w:iCs/>
          <w:color w:val="000000" w:themeColor="text1"/>
        </w:rPr>
        <w:t>Journal of Threat Assessment and Management</w:t>
      </w:r>
      <w:r w:rsidRPr="00105463">
        <w:rPr>
          <w:color w:val="000000" w:themeColor="text1"/>
        </w:rPr>
        <w:t>, </w:t>
      </w:r>
      <w:r w:rsidRPr="00105463">
        <w:rPr>
          <w:i/>
          <w:iCs/>
          <w:color w:val="000000" w:themeColor="text1"/>
        </w:rPr>
        <w:t>3</w:t>
      </w:r>
      <w:r w:rsidRPr="00105463">
        <w:rPr>
          <w:color w:val="000000" w:themeColor="text1"/>
        </w:rPr>
        <w:t xml:space="preserve">(2), 107-121. </w:t>
      </w:r>
      <w:r w:rsidR="009D7AAF">
        <w:rPr>
          <w:color w:val="000000" w:themeColor="text1"/>
        </w:rPr>
        <w:t>DOI</w:t>
      </w:r>
      <w:r w:rsidRPr="00105463">
        <w:rPr>
          <w:color w:val="000000" w:themeColor="text1"/>
        </w:rPr>
        <w:t>:10.1037/tam0000065</w:t>
      </w:r>
    </w:p>
    <w:p w14:paraId="5AAB8E10" w14:textId="77777777" w:rsidR="00895363" w:rsidRPr="000F5596" w:rsidRDefault="00895363" w:rsidP="000E0CD4">
      <w:pPr>
        <w:pStyle w:val="NoSpacing"/>
        <w:spacing w:line="480" w:lineRule="auto"/>
        <w:rPr>
          <w:lang w:val="fr-FR"/>
        </w:rPr>
      </w:pPr>
      <w:proofErr w:type="spellStart"/>
      <w:r w:rsidRPr="00895363">
        <w:rPr>
          <w:rFonts w:ascii="Times New Roman" w:hAnsi="Times New Roman" w:cs="Times New Roman"/>
          <w:sz w:val="24"/>
          <w:szCs w:val="24"/>
          <w:lang w:val="en-US"/>
        </w:rPr>
        <w:lastRenderedPageBreak/>
        <w:t>Olver</w:t>
      </w:r>
      <w:proofErr w:type="spellEnd"/>
      <w:r w:rsidRPr="00895363">
        <w:rPr>
          <w:rFonts w:ascii="Times New Roman" w:hAnsi="Times New Roman" w:cs="Times New Roman"/>
          <w:sz w:val="24"/>
          <w:szCs w:val="24"/>
          <w:lang w:val="en-US"/>
        </w:rPr>
        <w:t xml:space="preserve">, M. E., Neumann, C. S., Sewall, L. A., Lewis, K., Hare, R. D., &amp; Wong, S. C. P. (2018). A </w:t>
      </w:r>
      <w:r>
        <w:rPr>
          <w:rFonts w:ascii="Times New Roman" w:hAnsi="Times New Roman" w:cs="Times New Roman"/>
          <w:sz w:val="24"/>
          <w:szCs w:val="24"/>
          <w:lang w:val="en-US"/>
        </w:rPr>
        <w:tab/>
      </w:r>
      <w:r w:rsidRPr="00895363">
        <w:rPr>
          <w:rFonts w:ascii="Times New Roman" w:hAnsi="Times New Roman" w:cs="Times New Roman"/>
          <w:sz w:val="24"/>
          <w:szCs w:val="24"/>
          <w:lang w:val="en-US"/>
        </w:rPr>
        <w:t xml:space="preserve">comprehensive examination of the psychometric properties of the Hare Psychopathy </w:t>
      </w:r>
      <w:r>
        <w:rPr>
          <w:rFonts w:ascii="Times New Roman" w:hAnsi="Times New Roman" w:cs="Times New Roman"/>
          <w:sz w:val="24"/>
          <w:szCs w:val="24"/>
          <w:lang w:val="en-US"/>
        </w:rPr>
        <w:tab/>
      </w:r>
      <w:r w:rsidRPr="00895363">
        <w:rPr>
          <w:rFonts w:ascii="Times New Roman" w:hAnsi="Times New Roman" w:cs="Times New Roman"/>
          <w:sz w:val="24"/>
          <w:szCs w:val="24"/>
          <w:lang w:val="en-US"/>
        </w:rPr>
        <w:t xml:space="preserve">Checklist-Revised in a Canadian multisite sample of indigenous and non-indigenous </w:t>
      </w:r>
      <w:r>
        <w:rPr>
          <w:rFonts w:ascii="Times New Roman" w:hAnsi="Times New Roman" w:cs="Times New Roman"/>
          <w:sz w:val="24"/>
          <w:szCs w:val="24"/>
          <w:lang w:val="en-US"/>
        </w:rPr>
        <w:tab/>
      </w:r>
      <w:r w:rsidRPr="00895363">
        <w:rPr>
          <w:rFonts w:ascii="Times New Roman" w:hAnsi="Times New Roman" w:cs="Times New Roman"/>
          <w:sz w:val="24"/>
          <w:szCs w:val="24"/>
          <w:lang w:val="en-US"/>
        </w:rPr>
        <w:t>offenders. </w:t>
      </w:r>
      <w:proofErr w:type="spellStart"/>
      <w:r w:rsidRPr="000F5596">
        <w:rPr>
          <w:rFonts w:ascii="Times New Roman" w:hAnsi="Times New Roman" w:cs="Times New Roman"/>
          <w:i/>
          <w:iCs/>
          <w:sz w:val="24"/>
          <w:szCs w:val="24"/>
          <w:lang w:val="fr-FR"/>
        </w:rPr>
        <w:t>Psychological</w:t>
      </w:r>
      <w:proofErr w:type="spellEnd"/>
      <w:r w:rsidRPr="000F5596">
        <w:rPr>
          <w:rFonts w:ascii="Times New Roman" w:hAnsi="Times New Roman" w:cs="Times New Roman"/>
          <w:i/>
          <w:iCs/>
          <w:sz w:val="24"/>
          <w:szCs w:val="24"/>
          <w:lang w:val="fr-FR"/>
        </w:rPr>
        <w:t xml:space="preserve"> </w:t>
      </w:r>
      <w:proofErr w:type="spellStart"/>
      <w:r w:rsidRPr="000F5596">
        <w:rPr>
          <w:rFonts w:ascii="Times New Roman" w:hAnsi="Times New Roman" w:cs="Times New Roman"/>
          <w:i/>
          <w:iCs/>
          <w:sz w:val="24"/>
          <w:szCs w:val="24"/>
          <w:lang w:val="fr-FR"/>
        </w:rPr>
        <w:t>Assessment</w:t>
      </w:r>
      <w:proofErr w:type="spellEnd"/>
      <w:r w:rsidRPr="000F5596">
        <w:rPr>
          <w:rFonts w:ascii="Times New Roman" w:hAnsi="Times New Roman" w:cs="Times New Roman"/>
          <w:sz w:val="24"/>
          <w:szCs w:val="24"/>
          <w:lang w:val="fr-FR"/>
        </w:rPr>
        <w:t>, </w:t>
      </w:r>
      <w:r w:rsidRPr="000F5596">
        <w:rPr>
          <w:rFonts w:ascii="Times New Roman" w:hAnsi="Times New Roman" w:cs="Times New Roman"/>
          <w:i/>
          <w:iCs/>
          <w:sz w:val="24"/>
          <w:szCs w:val="24"/>
          <w:lang w:val="fr-FR"/>
        </w:rPr>
        <w:t>30</w:t>
      </w:r>
      <w:r w:rsidRPr="000F5596">
        <w:rPr>
          <w:rFonts w:ascii="Times New Roman" w:hAnsi="Times New Roman" w:cs="Times New Roman"/>
          <w:sz w:val="24"/>
          <w:szCs w:val="24"/>
          <w:lang w:val="fr-FR"/>
        </w:rPr>
        <w:t xml:space="preserve">(6), 779–792. </w:t>
      </w:r>
      <w:hyperlink r:id="rId9" w:history="1">
        <w:r w:rsidRPr="0088340C">
          <w:rPr>
            <w:rStyle w:val="Hyperlink"/>
            <w:rFonts w:ascii="Times New Roman" w:hAnsi="Times New Roman"/>
            <w:color w:val="auto"/>
            <w:sz w:val="24"/>
            <w:lang w:val="fr-FR"/>
          </w:rPr>
          <w:t>https://doi-</w:t>
        </w:r>
      </w:hyperlink>
      <w:r w:rsidRPr="000F5596">
        <w:rPr>
          <w:rFonts w:ascii="Times New Roman" w:hAnsi="Times New Roman" w:cs="Times New Roman"/>
          <w:sz w:val="24"/>
          <w:szCs w:val="24"/>
          <w:lang w:val="fr-FR"/>
        </w:rPr>
        <w:tab/>
        <w:t>org.proxy.lib.sfu.ca/10.1037/pas0000533.supp</w:t>
      </w:r>
    </w:p>
    <w:p w14:paraId="0275F008" w14:textId="77777777" w:rsidR="00617FEE" w:rsidRPr="00105463" w:rsidRDefault="00617FEE" w:rsidP="00617FEE">
      <w:pPr>
        <w:spacing w:line="480" w:lineRule="auto"/>
        <w:rPr>
          <w:color w:val="000000" w:themeColor="text1"/>
        </w:rPr>
      </w:pPr>
      <w:proofErr w:type="spellStart"/>
      <w:r w:rsidRPr="00105463">
        <w:rPr>
          <w:color w:val="000000" w:themeColor="text1"/>
        </w:rPr>
        <w:t>Olver</w:t>
      </w:r>
      <w:proofErr w:type="spellEnd"/>
      <w:r w:rsidRPr="00105463">
        <w:rPr>
          <w:color w:val="000000" w:themeColor="text1"/>
        </w:rPr>
        <w:t xml:space="preserve">, M. E., Neumann, C. S., Wong, S. P., &amp; Hare, R. D. (2013). The structural and predictive </w:t>
      </w:r>
    </w:p>
    <w:p w14:paraId="01860BD2" w14:textId="0EEE933F" w:rsidR="00895363" w:rsidRDefault="00617FEE" w:rsidP="00617FEE">
      <w:pPr>
        <w:spacing w:line="480" w:lineRule="auto"/>
        <w:ind w:left="720"/>
        <w:rPr>
          <w:color w:val="000000" w:themeColor="text1"/>
        </w:rPr>
      </w:pPr>
      <w:r w:rsidRPr="00105463">
        <w:rPr>
          <w:color w:val="000000" w:themeColor="text1"/>
        </w:rPr>
        <w:t>properties of the Psychopathy Checklist–Revised in Canadian Aboriginal and non-Aboriginal offenders. </w:t>
      </w:r>
      <w:r w:rsidRPr="00105463">
        <w:rPr>
          <w:i/>
          <w:iCs/>
          <w:color w:val="000000" w:themeColor="text1"/>
        </w:rPr>
        <w:t>Psychological Assessment</w:t>
      </w:r>
      <w:r w:rsidRPr="00105463">
        <w:rPr>
          <w:color w:val="000000" w:themeColor="text1"/>
        </w:rPr>
        <w:t>, </w:t>
      </w:r>
      <w:r w:rsidRPr="00105463">
        <w:rPr>
          <w:i/>
          <w:iCs/>
          <w:color w:val="000000" w:themeColor="text1"/>
        </w:rPr>
        <w:t>25</w:t>
      </w:r>
      <w:r w:rsidRPr="00105463">
        <w:rPr>
          <w:color w:val="000000" w:themeColor="text1"/>
        </w:rPr>
        <w:t xml:space="preserve">(1), 167-179. </w:t>
      </w:r>
      <w:r w:rsidR="009D7AAF">
        <w:rPr>
          <w:color w:val="000000" w:themeColor="text1"/>
        </w:rPr>
        <w:t>DOI</w:t>
      </w:r>
      <w:r w:rsidRPr="00105463">
        <w:rPr>
          <w:color w:val="000000" w:themeColor="text1"/>
        </w:rPr>
        <w:t>:10.1037/a0029840</w:t>
      </w:r>
    </w:p>
    <w:p w14:paraId="0E803184" w14:textId="77777777" w:rsidR="00895363" w:rsidRPr="00711F9F" w:rsidRDefault="00CC0616" w:rsidP="000E0CD4">
      <w:pPr>
        <w:pStyle w:val="NoSpacing"/>
        <w:spacing w:line="480" w:lineRule="auto"/>
      </w:pPr>
      <w:proofErr w:type="spellStart"/>
      <w:r w:rsidRPr="00CC0616">
        <w:rPr>
          <w:rFonts w:ascii="Times New Roman" w:hAnsi="Times New Roman" w:cs="Times New Roman"/>
          <w:sz w:val="24"/>
          <w:szCs w:val="24"/>
          <w:lang w:val="en-US"/>
        </w:rPr>
        <w:t>Olver</w:t>
      </w:r>
      <w:proofErr w:type="spellEnd"/>
      <w:r w:rsidRPr="00CC0616">
        <w:rPr>
          <w:rFonts w:ascii="Times New Roman" w:hAnsi="Times New Roman" w:cs="Times New Roman"/>
          <w:sz w:val="24"/>
          <w:szCs w:val="24"/>
          <w:lang w:val="en-US"/>
        </w:rPr>
        <w:t xml:space="preserve">, M. E., Sowden, J. N., Kingston, D. A., </w:t>
      </w:r>
      <w:proofErr w:type="spellStart"/>
      <w:r w:rsidRPr="00CC0616">
        <w:rPr>
          <w:rFonts w:ascii="Times New Roman" w:hAnsi="Times New Roman" w:cs="Times New Roman"/>
          <w:sz w:val="24"/>
          <w:szCs w:val="24"/>
          <w:lang w:val="en-US"/>
        </w:rPr>
        <w:t>Nicholaichuk</w:t>
      </w:r>
      <w:proofErr w:type="spellEnd"/>
      <w:r w:rsidRPr="00CC0616">
        <w:rPr>
          <w:rFonts w:ascii="Times New Roman" w:hAnsi="Times New Roman" w:cs="Times New Roman"/>
          <w:sz w:val="24"/>
          <w:szCs w:val="24"/>
          <w:lang w:val="en-US"/>
        </w:rPr>
        <w:t xml:space="preserve">, T. P., Gordon, A., </w:t>
      </w:r>
      <w:proofErr w:type="spellStart"/>
      <w:r w:rsidRPr="00CC0616">
        <w:rPr>
          <w:rFonts w:ascii="Times New Roman" w:hAnsi="Times New Roman" w:cs="Times New Roman"/>
          <w:sz w:val="24"/>
          <w:szCs w:val="24"/>
          <w:lang w:val="en-US"/>
        </w:rPr>
        <w:t>Beggs</w:t>
      </w:r>
      <w:proofErr w:type="spellEnd"/>
      <w:r w:rsidRPr="00CC0616">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CC0616">
        <w:rPr>
          <w:rFonts w:ascii="Times New Roman" w:hAnsi="Times New Roman" w:cs="Times New Roman"/>
          <w:sz w:val="24"/>
          <w:szCs w:val="24"/>
          <w:lang w:val="en-US"/>
        </w:rPr>
        <w:t xml:space="preserve">Christofferson, S. M., &amp; Wong, S. C. P. (2018). Predictive accuracy of violence risk </w:t>
      </w:r>
      <w:r>
        <w:rPr>
          <w:rFonts w:ascii="Times New Roman" w:hAnsi="Times New Roman" w:cs="Times New Roman"/>
          <w:sz w:val="24"/>
          <w:szCs w:val="24"/>
          <w:lang w:val="en-US"/>
        </w:rPr>
        <w:tab/>
      </w:r>
      <w:r w:rsidRPr="00CC0616">
        <w:rPr>
          <w:rFonts w:ascii="Times New Roman" w:hAnsi="Times New Roman" w:cs="Times New Roman"/>
          <w:sz w:val="24"/>
          <w:szCs w:val="24"/>
          <w:lang w:val="en-US"/>
        </w:rPr>
        <w:t xml:space="preserve">scale–sexual offender version risk and change scores in treated Canadian Aboriginal and </w:t>
      </w:r>
      <w:r>
        <w:rPr>
          <w:rFonts w:ascii="Times New Roman" w:hAnsi="Times New Roman" w:cs="Times New Roman"/>
          <w:sz w:val="24"/>
          <w:szCs w:val="24"/>
          <w:lang w:val="en-US"/>
        </w:rPr>
        <w:tab/>
      </w:r>
      <w:r w:rsidRPr="00CC0616">
        <w:rPr>
          <w:rFonts w:ascii="Times New Roman" w:hAnsi="Times New Roman" w:cs="Times New Roman"/>
          <w:sz w:val="24"/>
          <w:szCs w:val="24"/>
          <w:lang w:val="en-US"/>
        </w:rPr>
        <w:t>non-Aboriginal sexual offenders. </w:t>
      </w:r>
      <w:r w:rsidRPr="00CC0616">
        <w:rPr>
          <w:rFonts w:ascii="Times New Roman" w:hAnsi="Times New Roman" w:cs="Times New Roman"/>
          <w:i/>
          <w:iCs/>
          <w:sz w:val="24"/>
          <w:szCs w:val="24"/>
          <w:lang w:val="en-US"/>
        </w:rPr>
        <w:t xml:space="preserve">Sexual Abuse: Journal of Research and </w:t>
      </w:r>
      <w:r>
        <w:rPr>
          <w:rFonts w:ascii="Times New Roman" w:hAnsi="Times New Roman" w:cs="Times New Roman"/>
          <w:i/>
          <w:iCs/>
          <w:sz w:val="24"/>
          <w:szCs w:val="24"/>
          <w:lang w:val="en-US"/>
        </w:rPr>
        <w:tab/>
      </w:r>
      <w:r w:rsidRPr="00CC0616">
        <w:rPr>
          <w:rFonts w:ascii="Times New Roman" w:hAnsi="Times New Roman" w:cs="Times New Roman"/>
          <w:i/>
          <w:iCs/>
          <w:sz w:val="24"/>
          <w:szCs w:val="24"/>
          <w:lang w:val="en-US"/>
        </w:rPr>
        <w:t>Treatment</w:t>
      </w:r>
      <w:r w:rsidRPr="00CC0616">
        <w:rPr>
          <w:rFonts w:ascii="Times New Roman" w:hAnsi="Times New Roman" w:cs="Times New Roman"/>
          <w:sz w:val="24"/>
          <w:szCs w:val="24"/>
          <w:lang w:val="en-US"/>
        </w:rPr>
        <w:t>, </w:t>
      </w:r>
      <w:r w:rsidRPr="00CC0616">
        <w:rPr>
          <w:rFonts w:ascii="Times New Roman" w:hAnsi="Times New Roman" w:cs="Times New Roman"/>
          <w:i/>
          <w:iCs/>
          <w:sz w:val="24"/>
          <w:szCs w:val="24"/>
          <w:lang w:val="en-US"/>
        </w:rPr>
        <w:t>30</w:t>
      </w:r>
      <w:r w:rsidRPr="00CC0616">
        <w:rPr>
          <w:rFonts w:ascii="Times New Roman" w:hAnsi="Times New Roman" w:cs="Times New Roman"/>
          <w:sz w:val="24"/>
          <w:szCs w:val="24"/>
          <w:lang w:val="en-US"/>
        </w:rPr>
        <w:t>(3), 254–275. https://doi-org.proxy.lib.sfu.ca/10.1177/1079063216649594</w:t>
      </w:r>
    </w:p>
    <w:p w14:paraId="66F83E3B" w14:textId="77777777" w:rsidR="00617FEE" w:rsidRPr="007B6802" w:rsidRDefault="00617FEE" w:rsidP="00617FEE">
      <w:pPr>
        <w:spacing w:line="480" w:lineRule="auto"/>
        <w:rPr>
          <w:i/>
          <w:iCs/>
          <w:color w:val="000000" w:themeColor="text1"/>
        </w:rPr>
      </w:pPr>
      <w:r w:rsidRPr="00105463">
        <w:rPr>
          <w:color w:val="000000" w:themeColor="text1"/>
        </w:rPr>
        <w:t>Public Safety Canada. (201</w:t>
      </w:r>
      <w:r w:rsidR="00AF1C86">
        <w:rPr>
          <w:color w:val="000000" w:themeColor="text1"/>
        </w:rPr>
        <w:t>9</w:t>
      </w:r>
      <w:r w:rsidRPr="00105463">
        <w:rPr>
          <w:color w:val="000000" w:themeColor="text1"/>
        </w:rPr>
        <w:t xml:space="preserve">, </w:t>
      </w:r>
      <w:r w:rsidR="00AF1C86">
        <w:rPr>
          <w:color w:val="000000" w:themeColor="text1"/>
        </w:rPr>
        <w:t>August 19</w:t>
      </w:r>
      <w:r w:rsidRPr="00105463">
        <w:rPr>
          <w:color w:val="000000" w:themeColor="text1"/>
        </w:rPr>
        <w:t xml:space="preserve">). </w:t>
      </w:r>
      <w:r w:rsidR="00AF1C86" w:rsidRPr="000E0CD4">
        <w:rPr>
          <w:i/>
          <w:iCs/>
          <w:color w:val="000000" w:themeColor="text1"/>
        </w:rPr>
        <w:t>2018</w:t>
      </w:r>
      <w:r w:rsidR="00AF1C86">
        <w:rPr>
          <w:color w:val="000000" w:themeColor="text1"/>
        </w:rPr>
        <w:t xml:space="preserve"> </w:t>
      </w:r>
      <w:r w:rsidRPr="007B6802">
        <w:rPr>
          <w:i/>
          <w:iCs/>
          <w:color w:val="000000" w:themeColor="text1"/>
        </w:rPr>
        <w:t xml:space="preserve">Corrections and Conditional Release Statistical </w:t>
      </w:r>
    </w:p>
    <w:p w14:paraId="5C784DBB" w14:textId="447B9EC7" w:rsidR="00617FEE" w:rsidRPr="00105463" w:rsidRDefault="00617FEE" w:rsidP="00617FEE">
      <w:pPr>
        <w:spacing w:line="480" w:lineRule="auto"/>
        <w:ind w:left="720"/>
        <w:rPr>
          <w:rStyle w:val="Hyperlink"/>
          <w:color w:val="000000" w:themeColor="text1"/>
        </w:rPr>
      </w:pPr>
      <w:r w:rsidRPr="007B6802">
        <w:rPr>
          <w:i/>
          <w:iCs/>
          <w:color w:val="000000" w:themeColor="text1"/>
        </w:rPr>
        <w:t xml:space="preserve">Overview. </w:t>
      </w:r>
    </w:p>
    <w:p w14:paraId="0E4AEB5C" w14:textId="37798EED" w:rsidR="00617FEE" w:rsidRPr="00105463" w:rsidRDefault="00617FEE" w:rsidP="00105463">
      <w:pPr>
        <w:spacing w:line="480" w:lineRule="auto"/>
        <w:ind w:left="567" w:hanging="567"/>
        <w:rPr>
          <w:rFonts w:eastAsia="Times New Roman"/>
          <w:color w:val="000000" w:themeColor="text1"/>
          <w:lang w:val="en-CA" w:eastAsia="en-CA"/>
        </w:rPr>
      </w:pPr>
      <w:r w:rsidRPr="00105463">
        <w:rPr>
          <w:rFonts w:eastAsia="Times New Roman"/>
          <w:color w:val="000000" w:themeColor="text1"/>
          <w:lang w:val="en-CA" w:eastAsia="en-CA"/>
        </w:rPr>
        <w:t xml:space="preserve">Public Safety Canada. (2018, January 24). </w:t>
      </w:r>
      <w:r w:rsidRPr="007B6802">
        <w:rPr>
          <w:rFonts w:eastAsia="Times New Roman"/>
          <w:i/>
          <w:iCs/>
          <w:color w:val="000000" w:themeColor="text1"/>
          <w:lang w:val="en-CA" w:eastAsia="en-CA"/>
        </w:rPr>
        <w:t>The Investigation, Prosecution and Correctional Management of High-Risk Offenders: A National Guide.</w:t>
      </w:r>
      <w:r w:rsidRPr="00105463">
        <w:rPr>
          <w:rFonts w:eastAsia="Times New Roman"/>
          <w:color w:val="000000" w:themeColor="text1"/>
          <w:lang w:val="en-CA" w:eastAsia="en-CA"/>
        </w:rPr>
        <w:t xml:space="preserve"> </w:t>
      </w:r>
    </w:p>
    <w:p w14:paraId="6B33D587" w14:textId="77777777" w:rsidR="000607BA" w:rsidRDefault="000607BA" w:rsidP="003B7124">
      <w:pPr>
        <w:spacing w:line="480" w:lineRule="auto"/>
        <w:rPr>
          <w:color w:val="000000" w:themeColor="text1"/>
        </w:rPr>
      </w:pPr>
      <w:r w:rsidRPr="000607BA">
        <w:rPr>
          <w:color w:val="000000" w:themeColor="text1"/>
        </w:rPr>
        <w:t xml:space="preserve">Riggs Romaine, C. L., &amp; Kavanaugh, A. (2018). Risks, benefits, and complexities: Reporting </w:t>
      </w:r>
    </w:p>
    <w:p w14:paraId="3E938338" w14:textId="77777777" w:rsidR="000607BA" w:rsidRPr="000607BA" w:rsidRDefault="000607BA" w:rsidP="003B7124">
      <w:pPr>
        <w:spacing w:line="480" w:lineRule="auto"/>
        <w:rPr>
          <w:color w:val="000000" w:themeColor="text1"/>
        </w:rPr>
      </w:pPr>
      <w:r>
        <w:rPr>
          <w:color w:val="000000" w:themeColor="text1"/>
        </w:rPr>
        <w:tab/>
      </w:r>
      <w:r w:rsidRPr="000607BA">
        <w:rPr>
          <w:color w:val="000000" w:themeColor="text1"/>
        </w:rPr>
        <w:t>race &amp; ethnicity in forensic mental health reports. </w:t>
      </w:r>
      <w:r w:rsidRPr="000607BA">
        <w:rPr>
          <w:i/>
          <w:iCs/>
          <w:color w:val="000000" w:themeColor="text1"/>
        </w:rPr>
        <w:t xml:space="preserve">The International Journal of Forensic </w:t>
      </w:r>
      <w:r>
        <w:rPr>
          <w:i/>
          <w:iCs/>
          <w:color w:val="000000" w:themeColor="text1"/>
        </w:rPr>
        <w:tab/>
      </w:r>
      <w:r w:rsidRPr="000607BA">
        <w:rPr>
          <w:i/>
          <w:iCs/>
          <w:color w:val="000000" w:themeColor="text1"/>
        </w:rPr>
        <w:t>Mental Health</w:t>
      </w:r>
      <w:r w:rsidRPr="000607BA">
        <w:rPr>
          <w:color w:val="000000" w:themeColor="text1"/>
        </w:rPr>
        <w:t>. https://doi-org.proxy.lib.sfu.ca/10.1080/14999013.2018.1531094</w:t>
      </w:r>
    </w:p>
    <w:p w14:paraId="3C1DD9D4" w14:textId="77777777" w:rsidR="003B7124" w:rsidRDefault="00617FEE" w:rsidP="00EA3C36">
      <w:pPr>
        <w:spacing w:line="480" w:lineRule="auto"/>
        <w:outlineLvl w:val="0"/>
        <w:rPr>
          <w:color w:val="000000" w:themeColor="text1"/>
        </w:rPr>
      </w:pPr>
      <w:r w:rsidRPr="00105463">
        <w:rPr>
          <w:i/>
          <w:color w:val="000000" w:themeColor="text1"/>
        </w:rPr>
        <w:t>R </w:t>
      </w:r>
      <w:r w:rsidRPr="00105463">
        <w:rPr>
          <w:i/>
          <w:iCs/>
          <w:color w:val="000000" w:themeColor="text1"/>
        </w:rPr>
        <w:t>v</w:t>
      </w:r>
      <w:r w:rsidRPr="00105463">
        <w:rPr>
          <w:i/>
          <w:color w:val="000000" w:themeColor="text1"/>
        </w:rPr>
        <w:t xml:space="preserve"> </w:t>
      </w:r>
      <w:proofErr w:type="spellStart"/>
      <w:r w:rsidRPr="00105463">
        <w:rPr>
          <w:i/>
          <w:color w:val="000000" w:themeColor="text1"/>
        </w:rPr>
        <w:t>Gladue</w:t>
      </w:r>
      <w:proofErr w:type="spellEnd"/>
      <w:r w:rsidRPr="00105463">
        <w:rPr>
          <w:i/>
          <w:color w:val="000000" w:themeColor="text1"/>
        </w:rPr>
        <w:t>,</w:t>
      </w:r>
      <w:r w:rsidRPr="00105463">
        <w:rPr>
          <w:color w:val="000000" w:themeColor="text1"/>
        </w:rPr>
        <w:t xml:space="preserve"> [1999] 1 S.C.R. 688</w:t>
      </w:r>
    </w:p>
    <w:p w14:paraId="603A75BA" w14:textId="10127857" w:rsidR="004D0155" w:rsidRPr="00D03362" w:rsidRDefault="004D0155" w:rsidP="00D03362">
      <w:pPr>
        <w:spacing w:line="480" w:lineRule="auto"/>
      </w:pPr>
      <w:r w:rsidRPr="00D03362">
        <w:rPr>
          <w:i/>
        </w:rPr>
        <w:t xml:space="preserve">R v </w:t>
      </w:r>
      <w:proofErr w:type="spellStart"/>
      <w:r w:rsidRPr="00D03362">
        <w:rPr>
          <w:i/>
        </w:rPr>
        <w:t>Ipeelee</w:t>
      </w:r>
      <w:proofErr w:type="spellEnd"/>
      <w:r w:rsidRPr="004D0155">
        <w:t>, [</w:t>
      </w:r>
      <w:r w:rsidRPr="00D03362">
        <w:t>2012</w:t>
      </w:r>
      <w:r>
        <w:t>]</w:t>
      </w:r>
      <w:r w:rsidRPr="00D03362">
        <w:t xml:space="preserve"> S</w:t>
      </w:r>
      <w:r w:rsidR="00A36ADF">
        <w:t>.</w:t>
      </w:r>
      <w:r w:rsidRPr="00D03362">
        <w:t>C</w:t>
      </w:r>
      <w:r w:rsidR="00A36ADF">
        <w:t>.</w:t>
      </w:r>
      <w:r w:rsidRPr="00D03362">
        <w:t>C</w:t>
      </w:r>
      <w:r w:rsidR="00A36ADF">
        <w:t>.</w:t>
      </w:r>
      <w:r w:rsidRPr="00D03362">
        <w:t xml:space="preserve"> 13</w:t>
      </w:r>
    </w:p>
    <w:p w14:paraId="3DC346FF" w14:textId="77777777" w:rsidR="00F33956" w:rsidRDefault="00F33956" w:rsidP="004D0155">
      <w:pPr>
        <w:spacing w:line="480" w:lineRule="auto"/>
        <w:outlineLvl w:val="0"/>
        <w:rPr>
          <w:color w:val="000000" w:themeColor="text1"/>
        </w:rPr>
      </w:pPr>
      <w:r w:rsidRPr="00F33956">
        <w:rPr>
          <w:i/>
          <w:color w:val="000000" w:themeColor="text1"/>
        </w:rPr>
        <w:t>R v Pike</w:t>
      </w:r>
      <w:r>
        <w:rPr>
          <w:color w:val="000000" w:themeColor="text1"/>
        </w:rPr>
        <w:t>, [2010] B.C.C.A. 401</w:t>
      </w:r>
    </w:p>
    <w:p w14:paraId="07878A18" w14:textId="77777777" w:rsidR="00F850CB" w:rsidRDefault="00F850CB" w:rsidP="004D0155">
      <w:pPr>
        <w:spacing w:line="480" w:lineRule="auto"/>
        <w:outlineLvl w:val="0"/>
        <w:rPr>
          <w:color w:val="000000" w:themeColor="text1"/>
        </w:rPr>
      </w:pPr>
      <w:r w:rsidRPr="00F850CB">
        <w:rPr>
          <w:color w:val="000000" w:themeColor="text1"/>
        </w:rPr>
        <w:lastRenderedPageBreak/>
        <w:t xml:space="preserve">Shepherd, S. M. (2016). Violence risk instruments may be culturally unsafe for use with </w:t>
      </w:r>
    </w:p>
    <w:p w14:paraId="75C96BF2" w14:textId="2F9F6E2F" w:rsidR="00F850CB" w:rsidRPr="002C28A5" w:rsidRDefault="00F850CB" w:rsidP="00F850CB">
      <w:pPr>
        <w:spacing w:line="480" w:lineRule="auto"/>
        <w:ind w:left="720"/>
        <w:outlineLvl w:val="0"/>
        <w:rPr>
          <w:color w:val="000000" w:themeColor="text1"/>
          <w:lang w:val="fr-FR"/>
        </w:rPr>
      </w:pPr>
      <w:proofErr w:type="spellStart"/>
      <w:r w:rsidRPr="000F5596">
        <w:rPr>
          <w:color w:val="000000" w:themeColor="text1"/>
          <w:lang w:val="fr-FR"/>
        </w:rPr>
        <w:t>indigenous</w:t>
      </w:r>
      <w:proofErr w:type="spellEnd"/>
      <w:r w:rsidRPr="000F5596">
        <w:rPr>
          <w:color w:val="000000" w:themeColor="text1"/>
          <w:lang w:val="fr-FR"/>
        </w:rPr>
        <w:t xml:space="preserve"> patients. </w:t>
      </w:r>
      <w:proofErr w:type="spellStart"/>
      <w:r w:rsidRPr="002C28A5">
        <w:rPr>
          <w:i/>
          <w:iCs/>
          <w:color w:val="000000" w:themeColor="text1"/>
          <w:lang w:val="fr-FR"/>
        </w:rPr>
        <w:t>Australasian</w:t>
      </w:r>
      <w:proofErr w:type="spellEnd"/>
      <w:r w:rsidRPr="002C28A5">
        <w:rPr>
          <w:i/>
          <w:iCs/>
          <w:color w:val="000000" w:themeColor="text1"/>
          <w:lang w:val="fr-FR"/>
        </w:rPr>
        <w:t xml:space="preserve"> </w:t>
      </w:r>
      <w:proofErr w:type="spellStart"/>
      <w:r w:rsidRPr="002C28A5">
        <w:rPr>
          <w:i/>
          <w:iCs/>
          <w:color w:val="000000" w:themeColor="text1"/>
          <w:lang w:val="fr-FR"/>
        </w:rPr>
        <w:t>Psychiatry</w:t>
      </w:r>
      <w:proofErr w:type="spellEnd"/>
      <w:r w:rsidRPr="002C28A5">
        <w:rPr>
          <w:color w:val="000000" w:themeColor="text1"/>
          <w:lang w:val="fr-FR"/>
        </w:rPr>
        <w:t>, </w:t>
      </w:r>
      <w:r w:rsidRPr="002C28A5">
        <w:rPr>
          <w:i/>
          <w:iCs/>
          <w:color w:val="000000" w:themeColor="text1"/>
          <w:lang w:val="fr-FR"/>
        </w:rPr>
        <w:t>24</w:t>
      </w:r>
      <w:r w:rsidRPr="002C28A5">
        <w:rPr>
          <w:color w:val="000000" w:themeColor="text1"/>
          <w:lang w:val="fr-FR"/>
        </w:rPr>
        <w:t xml:space="preserve">(6), 565–567. </w:t>
      </w:r>
      <w:r w:rsidR="00880B89" w:rsidRPr="002C28A5">
        <w:rPr>
          <w:color w:val="000000" w:themeColor="text1"/>
          <w:lang w:val="fr-FR"/>
        </w:rPr>
        <w:t>https://doi-org.proxy.lib.sfu.ca/10.1177/1039856216665287</w:t>
      </w:r>
    </w:p>
    <w:p w14:paraId="4B3F09B7" w14:textId="77777777" w:rsidR="002660E3" w:rsidRDefault="002660E3" w:rsidP="002660E3">
      <w:pPr>
        <w:spacing w:line="480" w:lineRule="auto"/>
        <w:outlineLvl w:val="0"/>
        <w:rPr>
          <w:color w:val="000000" w:themeColor="text1"/>
        </w:rPr>
      </w:pPr>
      <w:r w:rsidRPr="002660E3">
        <w:rPr>
          <w:color w:val="000000" w:themeColor="text1"/>
        </w:rPr>
        <w:t xml:space="preserve">Shepherd, S. M., &amp; Anthony, T. (2018). Popping the cultural bubble of violence risk assessment </w:t>
      </w:r>
    </w:p>
    <w:p w14:paraId="4C649369" w14:textId="77777777" w:rsidR="002660E3" w:rsidRPr="0088340C" w:rsidRDefault="002660E3" w:rsidP="002660E3">
      <w:pPr>
        <w:spacing w:line="480" w:lineRule="auto"/>
        <w:ind w:left="720"/>
        <w:outlineLvl w:val="0"/>
        <w:rPr>
          <w:color w:val="000000" w:themeColor="text1"/>
          <w:lang w:val="de-DE"/>
        </w:rPr>
      </w:pPr>
      <w:r w:rsidRPr="002660E3">
        <w:rPr>
          <w:color w:val="000000" w:themeColor="text1"/>
        </w:rPr>
        <w:t>tools. </w:t>
      </w:r>
      <w:r w:rsidRPr="002660E3">
        <w:rPr>
          <w:i/>
          <w:iCs/>
          <w:color w:val="000000" w:themeColor="text1"/>
        </w:rPr>
        <w:t>Journal of Forensic Psychiatry &amp; Psychology</w:t>
      </w:r>
      <w:r w:rsidRPr="002660E3">
        <w:rPr>
          <w:color w:val="000000" w:themeColor="text1"/>
        </w:rPr>
        <w:t>, </w:t>
      </w:r>
      <w:r w:rsidRPr="002660E3">
        <w:rPr>
          <w:i/>
          <w:iCs/>
          <w:color w:val="000000" w:themeColor="text1"/>
        </w:rPr>
        <w:t>29</w:t>
      </w:r>
      <w:r w:rsidRPr="002660E3">
        <w:rPr>
          <w:color w:val="000000" w:themeColor="text1"/>
        </w:rPr>
        <w:t xml:space="preserve">(2), 211–220. </w:t>
      </w:r>
      <w:hyperlink r:id="rId10" w:history="1">
        <w:r w:rsidRPr="0088340C">
          <w:rPr>
            <w:rStyle w:val="Hyperlink"/>
            <w:lang w:val="de-DE"/>
          </w:rPr>
          <w:t>https://doi-</w:t>
        </w:r>
      </w:hyperlink>
      <w:r w:rsidRPr="0088340C">
        <w:rPr>
          <w:color w:val="000000" w:themeColor="text1"/>
          <w:lang w:val="de-DE"/>
        </w:rPr>
        <w:t>org.proxy.lib.sfu.ca/10.1080/14789949.2017.1354055</w:t>
      </w:r>
    </w:p>
    <w:p w14:paraId="49780C7E" w14:textId="77777777" w:rsidR="00EA60BE" w:rsidRDefault="00EA60BE" w:rsidP="00EA60BE">
      <w:pPr>
        <w:spacing w:line="480" w:lineRule="auto"/>
        <w:outlineLvl w:val="0"/>
        <w:rPr>
          <w:color w:val="000000" w:themeColor="text1"/>
        </w:rPr>
      </w:pPr>
      <w:r w:rsidRPr="0088340C">
        <w:rPr>
          <w:color w:val="000000" w:themeColor="text1"/>
          <w:lang w:val="de-DE"/>
        </w:rPr>
        <w:t xml:space="preserve">Shepherd, S. M., &amp; Lewis-Fernandez, R. (2016). </w:t>
      </w:r>
      <w:r w:rsidRPr="00EA60BE">
        <w:rPr>
          <w:color w:val="000000" w:themeColor="text1"/>
        </w:rPr>
        <w:t xml:space="preserve">Forensic risk assessment and cultural diversity: </w:t>
      </w:r>
    </w:p>
    <w:p w14:paraId="1D842673" w14:textId="77777777" w:rsidR="00EA60BE" w:rsidRDefault="00EA60BE" w:rsidP="000E0CD4">
      <w:pPr>
        <w:spacing w:line="480" w:lineRule="auto"/>
        <w:ind w:left="720"/>
        <w:outlineLvl w:val="0"/>
        <w:rPr>
          <w:color w:val="000000" w:themeColor="text1"/>
        </w:rPr>
      </w:pPr>
      <w:r w:rsidRPr="00EA60BE">
        <w:rPr>
          <w:color w:val="000000" w:themeColor="text1"/>
        </w:rPr>
        <w:t>Contemporary challenges and future directions. </w:t>
      </w:r>
      <w:r w:rsidRPr="00EA60BE">
        <w:rPr>
          <w:i/>
          <w:iCs/>
          <w:color w:val="000000" w:themeColor="text1"/>
        </w:rPr>
        <w:t>Psychology, Public Policy, and Law</w:t>
      </w:r>
      <w:r w:rsidRPr="00EA60BE">
        <w:rPr>
          <w:color w:val="000000" w:themeColor="text1"/>
        </w:rPr>
        <w:t>, </w:t>
      </w:r>
      <w:r w:rsidRPr="00EA60BE">
        <w:rPr>
          <w:i/>
          <w:iCs/>
          <w:color w:val="000000" w:themeColor="text1"/>
        </w:rPr>
        <w:t>22</w:t>
      </w:r>
      <w:r w:rsidRPr="00EA60BE">
        <w:rPr>
          <w:color w:val="000000" w:themeColor="text1"/>
        </w:rPr>
        <w:t>(4), 427–438. https://doi-org.proxy.lib.sfu.ca/10.1037/law0000102</w:t>
      </w:r>
    </w:p>
    <w:p w14:paraId="71C3DA19" w14:textId="0D8E6CBD" w:rsidR="00CB255F" w:rsidRDefault="00AB3C2F" w:rsidP="00F850CB">
      <w:pPr>
        <w:spacing w:line="480" w:lineRule="auto"/>
        <w:outlineLvl w:val="0"/>
        <w:rPr>
          <w:rStyle w:val="Hyperlink"/>
        </w:rPr>
      </w:pPr>
      <w:r>
        <w:rPr>
          <w:color w:val="000000" w:themeColor="text1"/>
        </w:rPr>
        <w:t>Statistics Canada. (</w:t>
      </w:r>
      <w:r w:rsidR="00421D46">
        <w:rPr>
          <w:color w:val="000000" w:themeColor="text1"/>
        </w:rPr>
        <w:t xml:space="preserve">2017, October 25). </w:t>
      </w:r>
      <w:r w:rsidR="00421D46" w:rsidRPr="000E0CD4">
        <w:rPr>
          <w:i/>
          <w:iCs/>
          <w:color w:val="000000" w:themeColor="text1"/>
        </w:rPr>
        <w:t xml:space="preserve">Aboriginal peoples in Canada: Key results from the 2016 </w:t>
      </w:r>
      <w:r w:rsidR="00004C21">
        <w:rPr>
          <w:i/>
          <w:iCs/>
          <w:color w:val="000000" w:themeColor="text1"/>
        </w:rPr>
        <w:tab/>
      </w:r>
      <w:r w:rsidR="00421D46" w:rsidRPr="000E0CD4">
        <w:rPr>
          <w:i/>
          <w:iCs/>
          <w:color w:val="000000" w:themeColor="text1"/>
        </w:rPr>
        <w:t>Census.</w:t>
      </w:r>
      <w:r w:rsidR="00421D46">
        <w:rPr>
          <w:i/>
          <w:iCs/>
          <w:color w:val="000000" w:themeColor="text1"/>
        </w:rPr>
        <w:t xml:space="preserve"> </w:t>
      </w:r>
    </w:p>
    <w:p w14:paraId="0192E680" w14:textId="77777777" w:rsidR="002D7895" w:rsidRDefault="002D7895" w:rsidP="002D7895">
      <w:pPr>
        <w:spacing w:line="480" w:lineRule="auto"/>
        <w:outlineLvl w:val="0"/>
        <w:rPr>
          <w:i/>
          <w:iCs/>
          <w:color w:val="000000" w:themeColor="text1"/>
        </w:rPr>
      </w:pPr>
      <w:r>
        <w:rPr>
          <w:color w:val="000000" w:themeColor="text1"/>
        </w:rPr>
        <w:t xml:space="preserve">Statistics Canada. (2019). </w:t>
      </w:r>
      <w:r w:rsidRPr="0065696D">
        <w:rPr>
          <w:i/>
          <w:iCs/>
          <w:color w:val="000000" w:themeColor="text1"/>
        </w:rPr>
        <w:t xml:space="preserve">Ethnic Origin (279), Single and Multiple Ethnic Origin Responses (3), </w:t>
      </w:r>
    </w:p>
    <w:p w14:paraId="7BA161E3" w14:textId="6E3E0C74" w:rsidR="002D7895" w:rsidRPr="00421D46" w:rsidRDefault="002D7895" w:rsidP="002D7895">
      <w:pPr>
        <w:spacing w:line="480" w:lineRule="auto"/>
        <w:ind w:left="720"/>
        <w:outlineLvl w:val="0"/>
        <w:rPr>
          <w:rFonts w:ascii="Helvetica" w:eastAsia="Times New Roman" w:hAnsi="Helvetica"/>
          <w:color w:val="333333"/>
          <w:sz w:val="20"/>
          <w:szCs w:val="20"/>
          <w:lang w:val="en-CA" w:eastAsia="en-CA"/>
        </w:rPr>
      </w:pPr>
      <w:r w:rsidRPr="0065696D">
        <w:rPr>
          <w:i/>
          <w:iCs/>
          <w:color w:val="000000" w:themeColor="text1"/>
        </w:rPr>
        <w:t>Generation Status (4), Age (12) and Sex (3) for the Population in Private Households of Canada, Provinces and Territories, Census Metropolitan Areas and Census Agglomerations, 2016 Census - 25% Sample Data</w:t>
      </w:r>
      <w:r>
        <w:rPr>
          <w:i/>
          <w:iCs/>
          <w:color w:val="000000" w:themeColor="text1"/>
        </w:rPr>
        <w:t xml:space="preserve">. </w:t>
      </w:r>
    </w:p>
    <w:p w14:paraId="793533CE" w14:textId="77777777" w:rsidR="00617FEE" w:rsidRPr="00105463" w:rsidRDefault="00617FEE">
      <w:pPr>
        <w:spacing w:line="480" w:lineRule="auto"/>
        <w:rPr>
          <w:rFonts w:eastAsia="Times New Roman"/>
          <w:color w:val="000000" w:themeColor="text1"/>
          <w:lang w:eastAsia="en-CA"/>
        </w:rPr>
      </w:pPr>
      <w:proofErr w:type="spellStart"/>
      <w:r w:rsidRPr="00105463">
        <w:rPr>
          <w:rFonts w:eastAsia="Times New Roman"/>
          <w:color w:val="000000" w:themeColor="text1"/>
          <w:lang w:eastAsia="en-CA"/>
        </w:rPr>
        <w:t>Storey</w:t>
      </w:r>
      <w:proofErr w:type="spellEnd"/>
      <w:r w:rsidRPr="00105463">
        <w:rPr>
          <w:rFonts w:eastAsia="Times New Roman"/>
          <w:color w:val="000000" w:themeColor="text1"/>
          <w:lang w:eastAsia="en-CA"/>
        </w:rPr>
        <w:t xml:space="preserve">, J. E., Campbell, V. J., &amp; Hart, S. D. (2013). Expert evidence about violence risk </w:t>
      </w:r>
    </w:p>
    <w:p w14:paraId="09115243" w14:textId="5D70B31A" w:rsidR="00A36ADF" w:rsidRDefault="00617FEE" w:rsidP="00617FEE">
      <w:pPr>
        <w:spacing w:line="480" w:lineRule="auto"/>
        <w:ind w:left="720"/>
        <w:rPr>
          <w:rFonts w:eastAsia="Times New Roman"/>
          <w:color w:val="000000" w:themeColor="text1"/>
          <w:lang w:eastAsia="en-CA"/>
        </w:rPr>
      </w:pPr>
      <w:r w:rsidRPr="00105463">
        <w:rPr>
          <w:rFonts w:eastAsia="Times New Roman"/>
          <w:color w:val="000000" w:themeColor="text1"/>
          <w:lang w:eastAsia="en-CA"/>
        </w:rPr>
        <w:t>assessment: A study of Canadian legal decisions. </w:t>
      </w:r>
      <w:r w:rsidRPr="00105463">
        <w:rPr>
          <w:rFonts w:eastAsia="Times New Roman"/>
          <w:i/>
          <w:iCs/>
          <w:color w:val="000000" w:themeColor="text1"/>
          <w:lang w:eastAsia="en-CA"/>
        </w:rPr>
        <w:t>The International Journal of Forensic Mental Health</w:t>
      </w:r>
      <w:r w:rsidRPr="00105463">
        <w:rPr>
          <w:rFonts w:eastAsia="Times New Roman"/>
          <w:color w:val="000000" w:themeColor="text1"/>
          <w:lang w:eastAsia="en-CA"/>
        </w:rPr>
        <w:t>, </w:t>
      </w:r>
      <w:r w:rsidRPr="00105463">
        <w:rPr>
          <w:rFonts w:eastAsia="Times New Roman"/>
          <w:i/>
          <w:iCs/>
          <w:color w:val="000000" w:themeColor="text1"/>
          <w:lang w:eastAsia="en-CA"/>
        </w:rPr>
        <w:t>12</w:t>
      </w:r>
      <w:r w:rsidRPr="00105463">
        <w:rPr>
          <w:rFonts w:eastAsia="Times New Roman"/>
          <w:color w:val="000000" w:themeColor="text1"/>
          <w:lang w:eastAsia="en-CA"/>
        </w:rPr>
        <w:t xml:space="preserve">(4), 287-296. </w:t>
      </w:r>
      <w:r w:rsidR="009D7AAF">
        <w:rPr>
          <w:rFonts w:eastAsia="Times New Roman"/>
          <w:color w:val="000000" w:themeColor="text1"/>
          <w:lang w:eastAsia="en-CA"/>
        </w:rPr>
        <w:t>DOI</w:t>
      </w:r>
      <w:r w:rsidRPr="00105463">
        <w:rPr>
          <w:rFonts w:eastAsia="Times New Roman"/>
          <w:color w:val="000000" w:themeColor="text1"/>
          <w:lang w:eastAsia="en-CA"/>
        </w:rPr>
        <w:t>:10.1080/14999013.2013.867383</w:t>
      </w:r>
    </w:p>
    <w:p w14:paraId="788D8185" w14:textId="77777777" w:rsidR="00A36ADF" w:rsidRPr="00105463" w:rsidRDefault="00A36ADF" w:rsidP="00A36ADF">
      <w:pPr>
        <w:spacing w:line="480" w:lineRule="auto"/>
        <w:rPr>
          <w:lang w:eastAsia="en-CA"/>
        </w:rPr>
      </w:pPr>
      <w:r w:rsidRPr="00A36ADF">
        <w:rPr>
          <w:lang w:eastAsia="en-CA"/>
        </w:rPr>
        <w:t xml:space="preserve">Thompson, J. (2016). Reconsidering the burden of proof in dangerous offender law: Canadian </w:t>
      </w:r>
      <w:r>
        <w:rPr>
          <w:lang w:eastAsia="en-CA"/>
        </w:rPr>
        <w:tab/>
      </w:r>
      <w:r w:rsidRPr="00A36ADF">
        <w:rPr>
          <w:lang w:eastAsia="en-CA"/>
        </w:rPr>
        <w:t>jurisprudence, risk assessment and aboriginal offenders. </w:t>
      </w:r>
      <w:r w:rsidRPr="00A36ADF">
        <w:rPr>
          <w:i/>
          <w:iCs/>
          <w:lang w:eastAsia="en-CA"/>
        </w:rPr>
        <w:t xml:space="preserve">Saskatchewan Law Review, </w:t>
      </w:r>
      <w:r>
        <w:rPr>
          <w:i/>
          <w:iCs/>
          <w:lang w:eastAsia="en-CA"/>
        </w:rPr>
        <w:tab/>
      </w:r>
      <w:r w:rsidRPr="00A36ADF">
        <w:rPr>
          <w:i/>
          <w:iCs/>
          <w:lang w:eastAsia="en-CA"/>
        </w:rPr>
        <w:t>79(1),</w:t>
      </w:r>
      <w:r w:rsidRPr="00A36ADF">
        <w:rPr>
          <w:lang w:eastAsia="en-CA"/>
        </w:rPr>
        <w:t> 49-78.</w:t>
      </w:r>
    </w:p>
    <w:p w14:paraId="67AEB975" w14:textId="77777777" w:rsidR="00617FEE" w:rsidRPr="00105463" w:rsidRDefault="00617FEE" w:rsidP="00617FEE">
      <w:pPr>
        <w:spacing w:line="480" w:lineRule="auto"/>
        <w:rPr>
          <w:rFonts w:eastAsia="Times New Roman"/>
          <w:i/>
          <w:iCs/>
          <w:color w:val="000000" w:themeColor="text1"/>
          <w:lang w:eastAsia="en-CA"/>
        </w:rPr>
      </w:pPr>
      <w:proofErr w:type="spellStart"/>
      <w:r w:rsidRPr="00105463">
        <w:rPr>
          <w:rFonts w:eastAsia="Times New Roman"/>
          <w:color w:val="000000" w:themeColor="text1"/>
          <w:lang w:eastAsia="en-CA"/>
        </w:rPr>
        <w:t>Trevethan</w:t>
      </w:r>
      <w:proofErr w:type="spellEnd"/>
      <w:r w:rsidRPr="00105463">
        <w:rPr>
          <w:rFonts w:eastAsia="Times New Roman"/>
          <w:color w:val="000000" w:themeColor="text1"/>
          <w:lang w:eastAsia="en-CA"/>
        </w:rPr>
        <w:t>, S., Crutcher, N., &amp; Moore, J.-P. (2002). </w:t>
      </w:r>
      <w:r w:rsidRPr="00105463">
        <w:rPr>
          <w:rFonts w:eastAsia="Times New Roman"/>
          <w:i/>
          <w:iCs/>
          <w:color w:val="000000" w:themeColor="text1"/>
          <w:lang w:eastAsia="en-CA"/>
        </w:rPr>
        <w:t xml:space="preserve">A Profile of Federal Offenders Designated as </w:t>
      </w:r>
    </w:p>
    <w:p w14:paraId="350DBE4E" w14:textId="77777777" w:rsidR="00A36ADF" w:rsidRPr="00105463" w:rsidRDefault="00617FEE" w:rsidP="00617FEE">
      <w:pPr>
        <w:spacing w:line="480" w:lineRule="auto"/>
        <w:ind w:left="720"/>
        <w:rPr>
          <w:rFonts w:eastAsia="Times New Roman"/>
          <w:color w:val="000000" w:themeColor="text1"/>
          <w:lang w:eastAsia="en-CA"/>
        </w:rPr>
      </w:pPr>
      <w:r w:rsidRPr="00105463">
        <w:rPr>
          <w:rFonts w:eastAsia="Times New Roman"/>
          <w:i/>
          <w:iCs/>
          <w:color w:val="000000" w:themeColor="text1"/>
          <w:lang w:eastAsia="en-CA"/>
        </w:rPr>
        <w:lastRenderedPageBreak/>
        <w:t>Dangerous Offenders or Serving Long-Term Supervision Orders</w:t>
      </w:r>
      <w:r w:rsidRPr="00105463">
        <w:rPr>
          <w:rFonts w:eastAsia="Times New Roman"/>
          <w:color w:val="000000" w:themeColor="text1"/>
          <w:lang w:eastAsia="en-CA"/>
        </w:rPr>
        <w:t>. Research Report No. R-125. Ottawa: Correctional Service of Canada.</w:t>
      </w:r>
    </w:p>
    <w:p w14:paraId="6B4A9964" w14:textId="77777777" w:rsidR="00617FEE" w:rsidRPr="007B6802" w:rsidRDefault="00617FEE" w:rsidP="00617FEE">
      <w:pPr>
        <w:spacing w:line="480" w:lineRule="auto"/>
        <w:rPr>
          <w:i/>
          <w:iCs/>
          <w:color w:val="000000" w:themeColor="text1"/>
          <w:shd w:val="clear" w:color="auto" w:fill="FFFFFF"/>
        </w:rPr>
      </w:pPr>
      <w:r w:rsidRPr="00105463">
        <w:rPr>
          <w:color w:val="000000" w:themeColor="text1"/>
          <w:shd w:val="clear" w:color="auto" w:fill="FFFFFF"/>
        </w:rPr>
        <w:t>Trudeau, J. P. (2017, June 21).</w:t>
      </w:r>
      <w:r w:rsidRPr="007B6802">
        <w:rPr>
          <w:i/>
          <w:iCs/>
          <w:color w:val="000000" w:themeColor="text1"/>
          <w:shd w:val="clear" w:color="auto" w:fill="FFFFFF"/>
        </w:rPr>
        <w:t xml:space="preserve"> Statement by the Prime Minister of Canada on National </w:t>
      </w:r>
    </w:p>
    <w:p w14:paraId="27EB701D" w14:textId="77777777" w:rsidR="00617FEE" w:rsidRDefault="00617FEE" w:rsidP="00617FEE">
      <w:pPr>
        <w:spacing w:line="480" w:lineRule="auto"/>
        <w:ind w:left="720"/>
        <w:rPr>
          <w:color w:val="000000" w:themeColor="text1"/>
          <w:shd w:val="clear" w:color="auto" w:fill="FFFFFF"/>
        </w:rPr>
      </w:pPr>
      <w:r w:rsidRPr="007B6802">
        <w:rPr>
          <w:i/>
          <w:iCs/>
          <w:color w:val="000000" w:themeColor="text1"/>
          <w:shd w:val="clear" w:color="auto" w:fill="FFFFFF"/>
        </w:rPr>
        <w:t xml:space="preserve">Aboriginal Day. </w:t>
      </w:r>
      <w:r w:rsidRPr="00105463">
        <w:rPr>
          <w:color w:val="000000" w:themeColor="text1"/>
          <w:shd w:val="clear" w:color="auto" w:fill="FFFFFF"/>
        </w:rPr>
        <w:t>Speech presented at National Aboriginal Day in Ontario, Canada, Ottawa.</w:t>
      </w:r>
    </w:p>
    <w:p w14:paraId="0E38D9D6" w14:textId="77777777" w:rsidR="001744B9" w:rsidRDefault="001744B9" w:rsidP="001744B9">
      <w:pPr>
        <w:pStyle w:val="NoSpacing"/>
        <w:spacing w:line="480" w:lineRule="auto"/>
        <w:rPr>
          <w:rFonts w:ascii="Times New Roman" w:hAnsi="Times New Roman" w:cs="Times New Roman"/>
          <w:sz w:val="24"/>
          <w:szCs w:val="24"/>
          <w:shd w:val="clear" w:color="auto" w:fill="FFFFFF"/>
          <w:lang w:val="en-US"/>
        </w:rPr>
      </w:pPr>
      <w:r w:rsidRPr="0088340C">
        <w:rPr>
          <w:rFonts w:ascii="Times New Roman" w:hAnsi="Times New Roman"/>
          <w:sz w:val="24"/>
          <w:shd w:val="clear" w:color="auto" w:fill="FFFFFF"/>
          <w:lang w:val="fr-FR"/>
        </w:rPr>
        <w:t xml:space="preserve">Wilson, H. A., &amp; Gutierrez, L. (2014). </w:t>
      </w:r>
      <w:r w:rsidRPr="000E0CD4">
        <w:rPr>
          <w:rFonts w:ascii="Times New Roman" w:hAnsi="Times New Roman" w:cs="Times New Roman"/>
          <w:sz w:val="24"/>
          <w:szCs w:val="24"/>
          <w:shd w:val="clear" w:color="auto" w:fill="FFFFFF"/>
          <w:lang w:val="en-US"/>
        </w:rPr>
        <w:t xml:space="preserve">Does one size fit all?: A meta-analysis examining the </w:t>
      </w:r>
    </w:p>
    <w:p w14:paraId="36099D4A" w14:textId="77777777" w:rsidR="001744B9" w:rsidRPr="00074AC0" w:rsidRDefault="001744B9" w:rsidP="000E0CD4">
      <w:pPr>
        <w:pStyle w:val="NoSpacing"/>
        <w:spacing w:line="480" w:lineRule="auto"/>
        <w:ind w:left="720"/>
        <w:rPr>
          <w:shd w:val="clear" w:color="auto" w:fill="FFFFFF"/>
        </w:rPr>
      </w:pPr>
      <w:r w:rsidRPr="001744B9">
        <w:rPr>
          <w:rFonts w:ascii="Times New Roman" w:hAnsi="Times New Roman" w:cs="Times New Roman"/>
          <w:sz w:val="24"/>
          <w:szCs w:val="24"/>
          <w:shd w:val="clear" w:color="auto" w:fill="FFFFFF"/>
          <w:lang w:val="en-US"/>
        </w:rPr>
        <w:t>predictive ability of the Level of Service Inventory (LSI) with Aboriginal offenders. </w:t>
      </w:r>
      <w:r w:rsidRPr="001744B9">
        <w:rPr>
          <w:rFonts w:ascii="Times New Roman" w:hAnsi="Times New Roman" w:cs="Times New Roman"/>
          <w:i/>
          <w:iCs/>
          <w:sz w:val="24"/>
          <w:szCs w:val="24"/>
          <w:shd w:val="clear" w:color="auto" w:fill="FFFFFF"/>
          <w:lang w:val="en-US"/>
        </w:rPr>
        <w:t>Criminal Justice and Behavior</w:t>
      </w:r>
      <w:r w:rsidRPr="001744B9">
        <w:rPr>
          <w:rFonts w:ascii="Times New Roman" w:hAnsi="Times New Roman" w:cs="Times New Roman"/>
          <w:sz w:val="24"/>
          <w:szCs w:val="24"/>
          <w:shd w:val="clear" w:color="auto" w:fill="FFFFFF"/>
          <w:lang w:val="en-US"/>
        </w:rPr>
        <w:t>, </w:t>
      </w:r>
      <w:r w:rsidRPr="001744B9">
        <w:rPr>
          <w:rFonts w:ascii="Times New Roman" w:hAnsi="Times New Roman" w:cs="Times New Roman"/>
          <w:i/>
          <w:iCs/>
          <w:sz w:val="24"/>
          <w:szCs w:val="24"/>
          <w:shd w:val="clear" w:color="auto" w:fill="FFFFFF"/>
          <w:lang w:val="en-US"/>
        </w:rPr>
        <w:t>41</w:t>
      </w:r>
      <w:r w:rsidRPr="001744B9">
        <w:rPr>
          <w:rFonts w:ascii="Times New Roman" w:hAnsi="Times New Roman" w:cs="Times New Roman"/>
          <w:sz w:val="24"/>
          <w:szCs w:val="24"/>
          <w:shd w:val="clear" w:color="auto" w:fill="FFFFFF"/>
          <w:lang w:val="en-US"/>
        </w:rPr>
        <w:t>(2), 196–219. https://doi-org.proxy.lib.sfu.ca/10.1177/0093854813500958</w:t>
      </w:r>
    </w:p>
    <w:p w14:paraId="29E402B7" w14:textId="77777777" w:rsidR="0026241B" w:rsidRDefault="00CB0E95" w:rsidP="000773EC">
      <w:pPr>
        <w:spacing w:after="160" w:line="259" w:lineRule="auto"/>
      </w:pPr>
      <w:r>
        <w:br w:type="page"/>
      </w:r>
    </w:p>
    <w:p w14:paraId="2B48F05D" w14:textId="77777777" w:rsidR="00A36ADF" w:rsidRPr="00FA74C8" w:rsidRDefault="00A36ADF" w:rsidP="000773EC">
      <w:pPr>
        <w:spacing w:after="160" w:line="259" w:lineRule="auto"/>
        <w:rPr>
          <w:i/>
        </w:rPr>
      </w:pPr>
    </w:p>
    <w:p w14:paraId="2839D702" w14:textId="77777777" w:rsidR="00CB0E95" w:rsidRDefault="00CB0E95" w:rsidP="00CB0E95">
      <w:pPr>
        <w:spacing w:line="480" w:lineRule="auto"/>
        <w:ind w:firstLine="720"/>
      </w:pPr>
      <w:r w:rsidRPr="00FA74C8">
        <w:rPr>
          <w:noProof/>
        </w:rPr>
        <w:drawing>
          <wp:inline distT="0" distB="0" distL="0" distR="0" wp14:anchorId="21B4352A" wp14:editId="02260E91">
            <wp:extent cx="5347335" cy="3559908"/>
            <wp:effectExtent l="0" t="0" r="0" b="2159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DFA3C8B" w14:textId="77777777" w:rsidR="00D112AF" w:rsidRPr="005E7C0C" w:rsidRDefault="00370EC9" w:rsidP="00EA3C36">
      <w:pPr>
        <w:spacing w:line="480" w:lineRule="auto"/>
        <w:outlineLvl w:val="0"/>
      </w:pPr>
      <w:r>
        <w:t xml:space="preserve">Figure 1. </w:t>
      </w:r>
      <w:r w:rsidR="00454C97">
        <w:rPr>
          <w:i/>
          <w:iCs/>
        </w:rPr>
        <w:t>Depth</w:t>
      </w:r>
      <w:r w:rsidRPr="007C45BC">
        <w:rPr>
          <w:i/>
          <w:iCs/>
        </w:rPr>
        <w:t xml:space="preserve"> of</w:t>
      </w:r>
      <w:r>
        <w:rPr>
          <w:i/>
        </w:rPr>
        <w:t xml:space="preserve"> Consideration </w:t>
      </w:r>
      <w:r w:rsidR="00D515A7">
        <w:rPr>
          <w:i/>
        </w:rPr>
        <w:t>given to</w:t>
      </w:r>
      <w:r>
        <w:rPr>
          <w:i/>
        </w:rPr>
        <w:t xml:space="preserve"> Culture in Cases Analyzed</w:t>
      </w:r>
    </w:p>
    <w:p w14:paraId="13F19204" w14:textId="77777777" w:rsidR="001127AD" w:rsidRDefault="001127AD">
      <w:r>
        <w:br w:type="page"/>
      </w:r>
    </w:p>
    <w:p w14:paraId="650DDDAC" w14:textId="34B2D0E7" w:rsidR="00F4349D" w:rsidRDefault="0088340C" w:rsidP="0088340C">
      <w:pPr>
        <w:spacing w:line="480" w:lineRule="auto"/>
        <w:outlineLvl w:val="0"/>
      </w:pPr>
      <w:r>
        <w:lastRenderedPageBreak/>
        <w:t>Table 1</w:t>
      </w:r>
    </w:p>
    <w:p w14:paraId="5FFDEA25" w14:textId="77777777" w:rsidR="00F4349D" w:rsidRDefault="00F4349D" w:rsidP="00EA3C36">
      <w:pPr>
        <w:spacing w:line="480" w:lineRule="auto"/>
        <w:outlineLvl w:val="0"/>
        <w:rPr>
          <w:i/>
        </w:rPr>
      </w:pPr>
      <w:r>
        <w:rPr>
          <w:i/>
        </w:rPr>
        <w:t>Sample Characteristics for Indigenous and Non-Indigenous Offenders</w:t>
      </w:r>
    </w:p>
    <w:tbl>
      <w:tblPr>
        <w:tblStyle w:val="TableGrid"/>
        <w:tblW w:w="9826" w:type="dxa"/>
        <w:tblInd w:w="-431" w:type="dxa"/>
        <w:tblBorders>
          <w:left w:val="none" w:sz="0" w:space="0" w:color="auto"/>
          <w:right w:val="none" w:sz="0" w:space="0" w:color="auto"/>
        </w:tblBorders>
        <w:tblLook w:val="04A0" w:firstRow="1" w:lastRow="0" w:firstColumn="1" w:lastColumn="0" w:noHBand="0" w:noVBand="1"/>
      </w:tblPr>
      <w:tblGrid>
        <w:gridCol w:w="5388"/>
        <w:gridCol w:w="1984"/>
        <w:gridCol w:w="2454"/>
      </w:tblGrid>
      <w:tr w:rsidR="00F4349D" w14:paraId="1F7E304D" w14:textId="77777777" w:rsidTr="00892591">
        <w:trPr>
          <w:trHeight w:val="775"/>
        </w:trPr>
        <w:tc>
          <w:tcPr>
            <w:tcW w:w="5388" w:type="dxa"/>
            <w:tcBorders>
              <w:bottom w:val="single" w:sz="4" w:space="0" w:color="auto"/>
              <w:right w:val="nil"/>
            </w:tcBorders>
          </w:tcPr>
          <w:p w14:paraId="2B0C8567" w14:textId="77777777" w:rsidR="00F4349D" w:rsidRDefault="00F4349D" w:rsidP="00892591">
            <w:pPr>
              <w:jc w:val="center"/>
            </w:pPr>
          </w:p>
          <w:p w14:paraId="1A6692D7" w14:textId="77777777" w:rsidR="00F4349D" w:rsidRDefault="00F4349D" w:rsidP="00892591">
            <w:pPr>
              <w:tabs>
                <w:tab w:val="left" w:pos="720"/>
              </w:tabs>
            </w:pPr>
            <w:r>
              <w:tab/>
            </w:r>
          </w:p>
        </w:tc>
        <w:tc>
          <w:tcPr>
            <w:tcW w:w="1984" w:type="dxa"/>
            <w:tcBorders>
              <w:left w:val="nil"/>
              <w:bottom w:val="single" w:sz="4" w:space="0" w:color="auto"/>
              <w:right w:val="nil"/>
            </w:tcBorders>
            <w:hideMark/>
          </w:tcPr>
          <w:p w14:paraId="6C1C1473" w14:textId="77777777" w:rsidR="00F4349D" w:rsidRDefault="00F4349D" w:rsidP="00892591">
            <w:pPr>
              <w:jc w:val="center"/>
            </w:pPr>
            <w:r>
              <w:t>Indigenous % (</w:t>
            </w:r>
            <w:r w:rsidRPr="00CC3B11">
              <w:rPr>
                <w:i/>
                <w:iCs/>
              </w:rPr>
              <w:t>n</w:t>
            </w:r>
            <w:r>
              <w:t>)</w:t>
            </w:r>
          </w:p>
          <w:p w14:paraId="0C497186" w14:textId="77777777" w:rsidR="00F4349D" w:rsidRDefault="00F4349D" w:rsidP="00892591">
            <w:pPr>
              <w:jc w:val="center"/>
            </w:pPr>
            <w:r>
              <w:t>(</w:t>
            </w:r>
            <w:r w:rsidRPr="00CC3B11">
              <w:rPr>
                <w:i/>
                <w:iCs/>
              </w:rPr>
              <w:t>n</w:t>
            </w:r>
            <w:r>
              <w:t xml:space="preserve"> = 84)</w:t>
            </w:r>
          </w:p>
        </w:tc>
        <w:tc>
          <w:tcPr>
            <w:tcW w:w="2454" w:type="dxa"/>
            <w:tcBorders>
              <w:left w:val="nil"/>
              <w:bottom w:val="single" w:sz="4" w:space="0" w:color="auto"/>
            </w:tcBorders>
            <w:hideMark/>
          </w:tcPr>
          <w:p w14:paraId="7894CAF6" w14:textId="77777777" w:rsidR="00F4349D" w:rsidRDefault="00F4349D" w:rsidP="00892591">
            <w:pPr>
              <w:jc w:val="center"/>
            </w:pPr>
            <w:r>
              <w:t>Non-Indigenous % (</w:t>
            </w:r>
            <w:r w:rsidRPr="00CC3B11">
              <w:rPr>
                <w:i/>
                <w:iCs/>
              </w:rPr>
              <w:t>n</w:t>
            </w:r>
            <w:r>
              <w:t>)</w:t>
            </w:r>
          </w:p>
          <w:p w14:paraId="7F3B42CA" w14:textId="77777777" w:rsidR="00F4349D" w:rsidRDefault="00F4349D" w:rsidP="00892591">
            <w:pPr>
              <w:jc w:val="center"/>
            </w:pPr>
            <w:r>
              <w:t>(</w:t>
            </w:r>
            <w:r w:rsidRPr="00CC3B11">
              <w:rPr>
                <w:i/>
                <w:iCs/>
              </w:rPr>
              <w:t>n</w:t>
            </w:r>
            <w:r>
              <w:t xml:space="preserve"> = 130)</w:t>
            </w:r>
          </w:p>
        </w:tc>
      </w:tr>
      <w:tr w:rsidR="00F4349D" w14:paraId="1148BA20" w14:textId="77777777" w:rsidTr="00892591">
        <w:trPr>
          <w:trHeight w:val="1146"/>
        </w:trPr>
        <w:tc>
          <w:tcPr>
            <w:tcW w:w="5388" w:type="dxa"/>
            <w:tcBorders>
              <w:bottom w:val="nil"/>
              <w:right w:val="nil"/>
            </w:tcBorders>
            <w:hideMark/>
          </w:tcPr>
          <w:p w14:paraId="470FC99F" w14:textId="77777777" w:rsidR="00F4349D" w:rsidRDefault="00F4349D" w:rsidP="00892591">
            <w:pPr>
              <w:jc w:val="both"/>
            </w:pPr>
            <w:r>
              <w:t>Type of application</w:t>
            </w:r>
          </w:p>
          <w:p w14:paraId="43B6B5D3" w14:textId="77777777" w:rsidR="00F4349D" w:rsidRDefault="00F4349D" w:rsidP="00892591">
            <w:pPr>
              <w:jc w:val="both"/>
            </w:pPr>
            <w:r>
              <w:t xml:space="preserve">     Dangerous offender</w:t>
            </w:r>
          </w:p>
          <w:p w14:paraId="536A2A0E" w14:textId="77777777" w:rsidR="002D7895" w:rsidRDefault="002D7895" w:rsidP="00892591">
            <w:pPr>
              <w:jc w:val="both"/>
            </w:pPr>
            <w:r>
              <w:t xml:space="preserve">     DO/LTO combined</w:t>
            </w:r>
            <w:r w:rsidR="00F4349D">
              <w:t xml:space="preserve">     </w:t>
            </w:r>
          </w:p>
          <w:p w14:paraId="2ADC4317" w14:textId="77777777" w:rsidR="00F4349D" w:rsidRDefault="002D7895" w:rsidP="00892591">
            <w:pPr>
              <w:jc w:val="both"/>
            </w:pPr>
            <w:r>
              <w:t xml:space="preserve">     </w:t>
            </w:r>
            <w:r w:rsidR="00F4349D">
              <w:t>Long-term offende</w:t>
            </w:r>
            <w:r>
              <w:t>r</w:t>
            </w:r>
          </w:p>
        </w:tc>
        <w:tc>
          <w:tcPr>
            <w:tcW w:w="1984" w:type="dxa"/>
            <w:tcBorders>
              <w:left w:val="nil"/>
              <w:bottom w:val="nil"/>
              <w:right w:val="nil"/>
            </w:tcBorders>
          </w:tcPr>
          <w:p w14:paraId="5F068153" w14:textId="77777777" w:rsidR="00F4349D" w:rsidRDefault="00F4349D" w:rsidP="00892591">
            <w:pPr>
              <w:jc w:val="right"/>
            </w:pPr>
          </w:p>
          <w:p w14:paraId="179C414B" w14:textId="77777777" w:rsidR="00F4349D" w:rsidRDefault="00F4349D" w:rsidP="00892591">
            <w:pPr>
              <w:jc w:val="right"/>
            </w:pPr>
            <w:r>
              <w:t>65.5% (55)</w:t>
            </w:r>
          </w:p>
          <w:p w14:paraId="6081A28D" w14:textId="77777777" w:rsidR="002D7895" w:rsidRDefault="002D7895" w:rsidP="00892591">
            <w:pPr>
              <w:jc w:val="right"/>
            </w:pPr>
            <w:r>
              <w:t>19.0% (16)</w:t>
            </w:r>
          </w:p>
          <w:p w14:paraId="6845DFED" w14:textId="77777777" w:rsidR="00F4349D" w:rsidRDefault="00F4349D" w:rsidP="002D7895">
            <w:pPr>
              <w:jc w:val="right"/>
            </w:pPr>
            <w:r>
              <w:t>15.5% (13)</w:t>
            </w:r>
          </w:p>
        </w:tc>
        <w:tc>
          <w:tcPr>
            <w:tcW w:w="2454" w:type="dxa"/>
            <w:tcBorders>
              <w:left w:val="nil"/>
              <w:bottom w:val="nil"/>
            </w:tcBorders>
          </w:tcPr>
          <w:p w14:paraId="5BAC65BB" w14:textId="77777777" w:rsidR="00F4349D" w:rsidRDefault="00F4349D" w:rsidP="00892591">
            <w:pPr>
              <w:jc w:val="right"/>
            </w:pPr>
          </w:p>
          <w:p w14:paraId="7FC7A094" w14:textId="77777777" w:rsidR="00F4349D" w:rsidRDefault="00F4349D" w:rsidP="00892591">
            <w:pPr>
              <w:jc w:val="right"/>
            </w:pPr>
            <w:r>
              <w:t>72.3% (94)</w:t>
            </w:r>
          </w:p>
          <w:p w14:paraId="28685251" w14:textId="77777777" w:rsidR="002D7895" w:rsidRDefault="002D7895" w:rsidP="00892591">
            <w:pPr>
              <w:jc w:val="right"/>
            </w:pPr>
            <w:r>
              <w:t>20.8% (27)</w:t>
            </w:r>
          </w:p>
          <w:p w14:paraId="452AAD57" w14:textId="77777777" w:rsidR="00F4349D" w:rsidRDefault="00F4349D" w:rsidP="002D7895">
            <w:pPr>
              <w:jc w:val="right"/>
            </w:pPr>
            <w:r>
              <w:t>6.9% (9)</w:t>
            </w:r>
          </w:p>
        </w:tc>
      </w:tr>
      <w:tr w:rsidR="00F4349D" w14:paraId="2455BCBC" w14:textId="77777777" w:rsidTr="00892591">
        <w:trPr>
          <w:trHeight w:val="1168"/>
        </w:trPr>
        <w:tc>
          <w:tcPr>
            <w:tcW w:w="5388" w:type="dxa"/>
            <w:tcBorders>
              <w:top w:val="nil"/>
              <w:bottom w:val="nil"/>
              <w:right w:val="nil"/>
            </w:tcBorders>
            <w:hideMark/>
          </w:tcPr>
          <w:p w14:paraId="2E191719" w14:textId="77777777" w:rsidR="00F4349D" w:rsidRDefault="00F4349D" w:rsidP="00892591">
            <w:pPr>
              <w:jc w:val="both"/>
            </w:pPr>
            <w:r>
              <w:t>Outcome of case</w:t>
            </w:r>
          </w:p>
          <w:p w14:paraId="1397D9C6" w14:textId="77777777" w:rsidR="00F4349D" w:rsidRDefault="00F4349D" w:rsidP="00892591">
            <w:pPr>
              <w:jc w:val="both"/>
            </w:pPr>
            <w:r>
              <w:t xml:space="preserve">     Dangerous offender</w:t>
            </w:r>
          </w:p>
          <w:p w14:paraId="438A438B" w14:textId="77777777" w:rsidR="00F4349D" w:rsidRDefault="00F4349D" w:rsidP="00892591">
            <w:pPr>
              <w:jc w:val="both"/>
            </w:pPr>
            <w:r>
              <w:t xml:space="preserve">     Long-term offender</w:t>
            </w:r>
          </w:p>
          <w:p w14:paraId="2A4DF155" w14:textId="77777777" w:rsidR="00F4349D" w:rsidRDefault="00F4349D" w:rsidP="00892591">
            <w:pPr>
              <w:jc w:val="both"/>
            </w:pPr>
            <w:r>
              <w:t xml:space="preserve">     Regular sentence</w:t>
            </w:r>
          </w:p>
        </w:tc>
        <w:tc>
          <w:tcPr>
            <w:tcW w:w="1984" w:type="dxa"/>
            <w:tcBorders>
              <w:top w:val="nil"/>
              <w:left w:val="nil"/>
              <w:bottom w:val="nil"/>
              <w:right w:val="nil"/>
            </w:tcBorders>
          </w:tcPr>
          <w:p w14:paraId="0B300873" w14:textId="77777777" w:rsidR="00F4349D" w:rsidRDefault="00F4349D" w:rsidP="00892591">
            <w:pPr>
              <w:jc w:val="right"/>
            </w:pPr>
          </w:p>
          <w:p w14:paraId="4CC0CA97" w14:textId="77777777" w:rsidR="00F4349D" w:rsidRDefault="00F4349D" w:rsidP="00892591">
            <w:pPr>
              <w:jc w:val="right"/>
            </w:pPr>
            <w:r>
              <w:t>72.6% (61)</w:t>
            </w:r>
          </w:p>
          <w:p w14:paraId="1B28E025" w14:textId="77777777" w:rsidR="00F4349D" w:rsidRDefault="00F4349D" w:rsidP="00892591">
            <w:pPr>
              <w:jc w:val="right"/>
            </w:pPr>
            <w:r>
              <w:t>25.0% (21)</w:t>
            </w:r>
          </w:p>
          <w:p w14:paraId="0A2BA464" w14:textId="77777777" w:rsidR="00F4349D" w:rsidRDefault="00F4349D" w:rsidP="00892591">
            <w:pPr>
              <w:jc w:val="right"/>
            </w:pPr>
            <w:r>
              <w:t>2.4% (2)</w:t>
            </w:r>
          </w:p>
        </w:tc>
        <w:tc>
          <w:tcPr>
            <w:tcW w:w="2454" w:type="dxa"/>
            <w:tcBorders>
              <w:top w:val="nil"/>
              <w:left w:val="nil"/>
              <w:bottom w:val="nil"/>
            </w:tcBorders>
          </w:tcPr>
          <w:p w14:paraId="474E459A" w14:textId="77777777" w:rsidR="00F4349D" w:rsidRDefault="00F4349D" w:rsidP="00892591">
            <w:pPr>
              <w:jc w:val="right"/>
            </w:pPr>
          </w:p>
          <w:p w14:paraId="20D10468" w14:textId="77777777" w:rsidR="00F4349D" w:rsidRDefault="00F4349D" w:rsidP="00892591">
            <w:pPr>
              <w:jc w:val="right"/>
            </w:pPr>
            <w:r>
              <w:t>68.5% (89)</w:t>
            </w:r>
          </w:p>
          <w:p w14:paraId="0DA2CCFF" w14:textId="77777777" w:rsidR="00F4349D" w:rsidRDefault="00F4349D" w:rsidP="00892591">
            <w:pPr>
              <w:jc w:val="right"/>
            </w:pPr>
            <w:r>
              <w:t>26.2% (34)</w:t>
            </w:r>
          </w:p>
          <w:p w14:paraId="399F037E" w14:textId="77777777" w:rsidR="00F4349D" w:rsidRDefault="00F4349D" w:rsidP="00892591">
            <w:pPr>
              <w:jc w:val="right"/>
            </w:pPr>
            <w:r>
              <w:t>4.6% (6)</w:t>
            </w:r>
          </w:p>
        </w:tc>
      </w:tr>
      <w:tr w:rsidR="00F4349D" w14:paraId="0C9DA21C" w14:textId="77777777" w:rsidTr="00892591">
        <w:trPr>
          <w:trHeight w:val="1146"/>
        </w:trPr>
        <w:tc>
          <w:tcPr>
            <w:tcW w:w="5388" w:type="dxa"/>
            <w:tcBorders>
              <w:top w:val="nil"/>
              <w:bottom w:val="nil"/>
              <w:right w:val="nil"/>
            </w:tcBorders>
            <w:hideMark/>
          </w:tcPr>
          <w:p w14:paraId="08364879" w14:textId="77777777" w:rsidR="00F4349D" w:rsidRDefault="00F4349D" w:rsidP="00892591">
            <w:pPr>
              <w:jc w:val="both"/>
            </w:pPr>
            <w:r>
              <w:t>Evaluator</w:t>
            </w:r>
            <w:r w:rsidR="0081014B">
              <w:t>s’</w:t>
            </w:r>
            <w:r>
              <w:t xml:space="preserve"> opinion of risk</w:t>
            </w:r>
          </w:p>
          <w:p w14:paraId="25870B12" w14:textId="77777777" w:rsidR="00F4349D" w:rsidRDefault="00F4349D" w:rsidP="00892591">
            <w:pPr>
              <w:jc w:val="both"/>
            </w:pPr>
            <w:r>
              <w:t xml:space="preserve">     Low risk</w:t>
            </w:r>
          </w:p>
          <w:p w14:paraId="48C08575" w14:textId="77777777" w:rsidR="00F4349D" w:rsidRDefault="00F4349D" w:rsidP="00892591">
            <w:pPr>
              <w:jc w:val="both"/>
            </w:pPr>
            <w:r>
              <w:t xml:space="preserve">     Moderate risk</w:t>
            </w:r>
          </w:p>
          <w:p w14:paraId="1CCCC421" w14:textId="77777777" w:rsidR="00F4349D" w:rsidRDefault="00F4349D" w:rsidP="00892591">
            <w:pPr>
              <w:jc w:val="both"/>
            </w:pPr>
            <w:r>
              <w:t xml:space="preserve">     Moderate to high risk</w:t>
            </w:r>
          </w:p>
          <w:p w14:paraId="768CEBAB" w14:textId="77777777" w:rsidR="00F4349D" w:rsidRDefault="00F4349D" w:rsidP="00892591">
            <w:pPr>
              <w:jc w:val="both"/>
            </w:pPr>
            <w:r>
              <w:t xml:space="preserve">     High risk</w:t>
            </w:r>
          </w:p>
          <w:p w14:paraId="1739FC7B" w14:textId="77777777" w:rsidR="00F4349D" w:rsidRDefault="00F4349D" w:rsidP="00892591">
            <w:pPr>
              <w:jc w:val="both"/>
            </w:pPr>
            <w:r>
              <w:t xml:space="preserve">     Disagreement</w:t>
            </w:r>
          </w:p>
        </w:tc>
        <w:tc>
          <w:tcPr>
            <w:tcW w:w="1984" w:type="dxa"/>
            <w:tcBorders>
              <w:top w:val="nil"/>
              <w:left w:val="nil"/>
              <w:bottom w:val="nil"/>
              <w:right w:val="nil"/>
            </w:tcBorders>
          </w:tcPr>
          <w:p w14:paraId="2697A9D1" w14:textId="77777777" w:rsidR="00F4349D" w:rsidRDefault="00F4349D" w:rsidP="00892591">
            <w:pPr>
              <w:jc w:val="right"/>
            </w:pPr>
          </w:p>
          <w:p w14:paraId="235A7412" w14:textId="77777777" w:rsidR="00F4349D" w:rsidRDefault="00F4349D" w:rsidP="00892591">
            <w:pPr>
              <w:jc w:val="right"/>
            </w:pPr>
            <w:r>
              <w:t>0% (0)</w:t>
            </w:r>
          </w:p>
          <w:p w14:paraId="60239268" w14:textId="77777777" w:rsidR="00F4349D" w:rsidRDefault="00F4349D" w:rsidP="00892591">
            <w:pPr>
              <w:jc w:val="right"/>
            </w:pPr>
            <w:r>
              <w:t>0% (0)</w:t>
            </w:r>
          </w:p>
          <w:p w14:paraId="4FB47EA4" w14:textId="77777777" w:rsidR="00F4349D" w:rsidRDefault="00F4349D" w:rsidP="00892591">
            <w:pPr>
              <w:jc w:val="right"/>
            </w:pPr>
            <w:r>
              <w:t>8.3% (7)</w:t>
            </w:r>
          </w:p>
          <w:p w14:paraId="5A6B31C4" w14:textId="77777777" w:rsidR="00F4349D" w:rsidRDefault="00F4349D" w:rsidP="00892591">
            <w:pPr>
              <w:jc w:val="right"/>
            </w:pPr>
            <w:r>
              <w:t>85.7% (72)</w:t>
            </w:r>
          </w:p>
          <w:p w14:paraId="5D612463" w14:textId="77777777" w:rsidR="00F4349D" w:rsidRDefault="00F4349D" w:rsidP="00892591">
            <w:pPr>
              <w:jc w:val="right"/>
            </w:pPr>
            <w:r>
              <w:t>4.8% (4)</w:t>
            </w:r>
          </w:p>
        </w:tc>
        <w:tc>
          <w:tcPr>
            <w:tcW w:w="2454" w:type="dxa"/>
            <w:tcBorders>
              <w:top w:val="nil"/>
              <w:left w:val="nil"/>
              <w:bottom w:val="nil"/>
            </w:tcBorders>
          </w:tcPr>
          <w:p w14:paraId="72BDD14A" w14:textId="77777777" w:rsidR="00F4349D" w:rsidRDefault="00F4349D" w:rsidP="00892591">
            <w:pPr>
              <w:jc w:val="right"/>
            </w:pPr>
          </w:p>
          <w:p w14:paraId="7712F03A" w14:textId="77777777" w:rsidR="00F4349D" w:rsidRDefault="00F4349D" w:rsidP="00892591">
            <w:pPr>
              <w:jc w:val="right"/>
            </w:pPr>
            <w:r>
              <w:t>0% (0)</w:t>
            </w:r>
          </w:p>
          <w:p w14:paraId="2C96D416" w14:textId="77777777" w:rsidR="00F4349D" w:rsidRDefault="00F4349D" w:rsidP="00892591">
            <w:pPr>
              <w:jc w:val="right"/>
            </w:pPr>
            <w:r>
              <w:t>8.5% (11)</w:t>
            </w:r>
          </w:p>
          <w:p w14:paraId="315322F0" w14:textId="77777777" w:rsidR="00F4349D" w:rsidRDefault="00F4349D" w:rsidP="00892591">
            <w:pPr>
              <w:jc w:val="right"/>
            </w:pPr>
            <w:r>
              <w:t>18.5% (24)</w:t>
            </w:r>
          </w:p>
          <w:p w14:paraId="5D702DF2" w14:textId="77777777" w:rsidR="00F4349D" w:rsidRDefault="00F4349D" w:rsidP="00892591">
            <w:pPr>
              <w:jc w:val="right"/>
            </w:pPr>
            <w:r>
              <w:t>62.3% (81)</w:t>
            </w:r>
          </w:p>
          <w:p w14:paraId="339F982C" w14:textId="77777777" w:rsidR="00F4349D" w:rsidRDefault="00F4349D" w:rsidP="00892591">
            <w:pPr>
              <w:jc w:val="right"/>
            </w:pPr>
            <w:r>
              <w:t>10.8% (14)</w:t>
            </w:r>
          </w:p>
        </w:tc>
      </w:tr>
      <w:tr w:rsidR="00F4349D" w14:paraId="1D8931F5" w14:textId="77777777" w:rsidTr="00892591">
        <w:trPr>
          <w:trHeight w:val="409"/>
        </w:trPr>
        <w:tc>
          <w:tcPr>
            <w:tcW w:w="5388" w:type="dxa"/>
            <w:tcBorders>
              <w:top w:val="nil"/>
              <w:bottom w:val="nil"/>
              <w:right w:val="nil"/>
            </w:tcBorders>
            <w:hideMark/>
          </w:tcPr>
          <w:p w14:paraId="1660C2A6" w14:textId="77777777" w:rsidR="00F4349D" w:rsidRPr="00122288" w:rsidRDefault="00F4349D" w:rsidP="00892591">
            <w:pPr>
              <w:pStyle w:val="NoSpacing"/>
              <w:rPr>
                <w:rFonts w:ascii="Times New Roman" w:hAnsi="Times New Roman" w:cs="Times New Roman"/>
                <w:sz w:val="24"/>
                <w:szCs w:val="24"/>
              </w:rPr>
            </w:pPr>
            <w:r w:rsidRPr="00122288">
              <w:rPr>
                <w:rFonts w:ascii="Times New Roman" w:hAnsi="Times New Roman" w:cs="Times New Roman"/>
                <w:sz w:val="24"/>
                <w:szCs w:val="24"/>
              </w:rPr>
              <w:t>Number of evaluators</w:t>
            </w:r>
          </w:p>
        </w:tc>
        <w:tc>
          <w:tcPr>
            <w:tcW w:w="1984" w:type="dxa"/>
            <w:tcBorders>
              <w:top w:val="nil"/>
              <w:left w:val="nil"/>
              <w:bottom w:val="nil"/>
              <w:right w:val="nil"/>
            </w:tcBorders>
          </w:tcPr>
          <w:p w14:paraId="19180FCE" w14:textId="77777777" w:rsidR="00F4349D" w:rsidRPr="00122288" w:rsidRDefault="0087302E" w:rsidP="00892591">
            <w:pPr>
              <w:pStyle w:val="NoSpacing"/>
              <w:jc w:val="right"/>
              <w:rPr>
                <w:rFonts w:ascii="Times New Roman" w:hAnsi="Times New Roman" w:cs="Times New Roman"/>
                <w:sz w:val="24"/>
                <w:szCs w:val="24"/>
              </w:rPr>
            </w:pPr>
            <w:r>
              <w:rPr>
                <w:rFonts w:ascii="Times New Roman" w:hAnsi="Times New Roman" w:cs="Times New Roman"/>
                <w:sz w:val="24"/>
                <w:szCs w:val="24"/>
              </w:rPr>
              <w:t>1.45</w:t>
            </w:r>
          </w:p>
        </w:tc>
        <w:tc>
          <w:tcPr>
            <w:tcW w:w="2454" w:type="dxa"/>
            <w:tcBorders>
              <w:top w:val="nil"/>
              <w:left w:val="nil"/>
              <w:bottom w:val="nil"/>
            </w:tcBorders>
          </w:tcPr>
          <w:p w14:paraId="4B231FD6" w14:textId="77777777" w:rsidR="00F4349D" w:rsidRPr="00122288" w:rsidRDefault="002B53B1" w:rsidP="00892591">
            <w:pPr>
              <w:pStyle w:val="NoSpacing"/>
              <w:jc w:val="right"/>
              <w:rPr>
                <w:rFonts w:ascii="Times New Roman" w:hAnsi="Times New Roman" w:cs="Times New Roman"/>
                <w:sz w:val="24"/>
                <w:szCs w:val="24"/>
              </w:rPr>
            </w:pPr>
            <w:r>
              <w:rPr>
                <w:rFonts w:ascii="Times New Roman" w:hAnsi="Times New Roman" w:cs="Times New Roman"/>
                <w:sz w:val="24"/>
                <w:szCs w:val="24"/>
              </w:rPr>
              <w:t>1.82</w:t>
            </w:r>
          </w:p>
        </w:tc>
      </w:tr>
      <w:tr w:rsidR="00F4349D" w14:paraId="6D9BA99B" w14:textId="77777777" w:rsidTr="00892591">
        <w:trPr>
          <w:trHeight w:val="1146"/>
        </w:trPr>
        <w:tc>
          <w:tcPr>
            <w:tcW w:w="5388" w:type="dxa"/>
            <w:tcBorders>
              <w:top w:val="nil"/>
              <w:bottom w:val="nil"/>
              <w:right w:val="nil"/>
            </w:tcBorders>
          </w:tcPr>
          <w:p w14:paraId="334E35FB" w14:textId="77777777" w:rsidR="00F4349D" w:rsidRDefault="00F4349D" w:rsidP="00892591">
            <w:r>
              <w:t>Judicial agreement with evaluators</w:t>
            </w:r>
          </w:p>
          <w:p w14:paraId="5A79BDF1" w14:textId="77777777" w:rsidR="00F4349D" w:rsidRDefault="00F4349D" w:rsidP="00892591">
            <w:r>
              <w:t xml:space="preserve">     Agreed with both</w:t>
            </w:r>
          </w:p>
          <w:p w14:paraId="0B78A5A3" w14:textId="77777777" w:rsidR="00F4349D" w:rsidRDefault="00F4349D" w:rsidP="00892591">
            <w:r>
              <w:t xml:space="preserve">     Agreed with one</w:t>
            </w:r>
          </w:p>
          <w:p w14:paraId="2E7724F3" w14:textId="77777777" w:rsidR="00F4349D" w:rsidRDefault="00F4349D" w:rsidP="00892591">
            <w:r>
              <w:t xml:space="preserve">     Agreed with neither</w:t>
            </w:r>
          </w:p>
          <w:p w14:paraId="2BD143BD" w14:textId="77777777" w:rsidR="00F4349D" w:rsidRDefault="00F4349D" w:rsidP="00892591">
            <w:r>
              <w:t xml:space="preserve">     Agreement not mentioned</w:t>
            </w:r>
          </w:p>
        </w:tc>
        <w:tc>
          <w:tcPr>
            <w:tcW w:w="1984" w:type="dxa"/>
            <w:tcBorders>
              <w:top w:val="nil"/>
              <w:left w:val="nil"/>
              <w:bottom w:val="nil"/>
              <w:right w:val="nil"/>
            </w:tcBorders>
          </w:tcPr>
          <w:p w14:paraId="16206BC0" w14:textId="77777777" w:rsidR="00F4349D" w:rsidRDefault="00F4349D" w:rsidP="00892591">
            <w:pPr>
              <w:jc w:val="right"/>
            </w:pPr>
          </w:p>
          <w:p w14:paraId="74D2602A" w14:textId="77777777" w:rsidR="00F4349D" w:rsidRDefault="00F4349D" w:rsidP="00892591">
            <w:pPr>
              <w:jc w:val="right"/>
            </w:pPr>
            <w:r>
              <w:t>70.2% (59)</w:t>
            </w:r>
          </w:p>
          <w:p w14:paraId="45C02D09" w14:textId="77777777" w:rsidR="00F4349D" w:rsidRDefault="00F4349D" w:rsidP="00892591">
            <w:pPr>
              <w:jc w:val="right"/>
            </w:pPr>
            <w:r>
              <w:t>13.1% (11)</w:t>
            </w:r>
          </w:p>
          <w:p w14:paraId="788C7CD2" w14:textId="77777777" w:rsidR="00F4349D" w:rsidRDefault="00F4349D" w:rsidP="00892591">
            <w:pPr>
              <w:jc w:val="right"/>
            </w:pPr>
            <w:r>
              <w:t>1.2% (1)</w:t>
            </w:r>
          </w:p>
          <w:p w14:paraId="409D7A3A" w14:textId="77777777" w:rsidR="00F4349D" w:rsidRDefault="00F4349D" w:rsidP="00892591">
            <w:pPr>
              <w:jc w:val="right"/>
            </w:pPr>
            <w:r>
              <w:t>15.5% (13)</w:t>
            </w:r>
          </w:p>
        </w:tc>
        <w:tc>
          <w:tcPr>
            <w:tcW w:w="2454" w:type="dxa"/>
            <w:tcBorders>
              <w:top w:val="nil"/>
              <w:left w:val="nil"/>
              <w:bottom w:val="nil"/>
            </w:tcBorders>
          </w:tcPr>
          <w:p w14:paraId="7466D94F" w14:textId="77777777" w:rsidR="00F4349D" w:rsidRDefault="00F4349D" w:rsidP="00892591">
            <w:pPr>
              <w:jc w:val="right"/>
            </w:pPr>
          </w:p>
          <w:p w14:paraId="28ABAE87" w14:textId="77777777" w:rsidR="00F4349D" w:rsidRDefault="00F4349D" w:rsidP="00892591">
            <w:pPr>
              <w:jc w:val="right"/>
            </w:pPr>
            <w:r>
              <w:t>70.0% (91)</w:t>
            </w:r>
          </w:p>
          <w:p w14:paraId="5D532A36" w14:textId="77777777" w:rsidR="00F4349D" w:rsidRDefault="00F4349D" w:rsidP="00892591">
            <w:pPr>
              <w:jc w:val="right"/>
            </w:pPr>
            <w:r>
              <w:t>20% (26)</w:t>
            </w:r>
          </w:p>
          <w:p w14:paraId="5A874A28" w14:textId="77777777" w:rsidR="00F4349D" w:rsidRDefault="00F4349D" w:rsidP="00892591">
            <w:pPr>
              <w:jc w:val="right"/>
            </w:pPr>
            <w:r>
              <w:t>0.8% (1)</w:t>
            </w:r>
          </w:p>
          <w:p w14:paraId="1334D9FE" w14:textId="77777777" w:rsidR="00F4349D" w:rsidRDefault="00F4349D" w:rsidP="00892591">
            <w:pPr>
              <w:jc w:val="right"/>
            </w:pPr>
            <w:r>
              <w:t>9.2% (12)</w:t>
            </w:r>
          </w:p>
        </w:tc>
      </w:tr>
      <w:tr w:rsidR="00F4349D" w14:paraId="08C81B8C" w14:textId="77777777" w:rsidTr="00892591">
        <w:trPr>
          <w:trHeight w:val="1146"/>
        </w:trPr>
        <w:tc>
          <w:tcPr>
            <w:tcW w:w="5388" w:type="dxa"/>
            <w:tcBorders>
              <w:top w:val="nil"/>
              <w:bottom w:val="nil"/>
              <w:right w:val="nil"/>
            </w:tcBorders>
          </w:tcPr>
          <w:p w14:paraId="07C69254" w14:textId="77777777" w:rsidR="00F4349D" w:rsidRDefault="00F4349D" w:rsidP="00892591">
            <w:r>
              <w:t>Method of assessment</w:t>
            </w:r>
          </w:p>
          <w:p w14:paraId="67E84D19" w14:textId="77777777" w:rsidR="002D7895" w:rsidRDefault="002D7895" w:rsidP="00892591">
            <w:r>
              <w:t xml:space="preserve">     Actuarial and structured professional judgment</w:t>
            </w:r>
            <w:r w:rsidR="00F4349D">
              <w:t xml:space="preserve">     </w:t>
            </w:r>
          </w:p>
          <w:p w14:paraId="55E294D8" w14:textId="77777777" w:rsidR="00F4349D" w:rsidRDefault="002D7895" w:rsidP="00892591">
            <w:r>
              <w:t xml:space="preserve">     </w:t>
            </w:r>
            <w:r w:rsidR="00F4349D">
              <w:t xml:space="preserve">Structured professional </w:t>
            </w:r>
            <w:r w:rsidR="00F33956">
              <w:t>judgment</w:t>
            </w:r>
          </w:p>
          <w:p w14:paraId="7074F75C" w14:textId="77777777" w:rsidR="00F4349D" w:rsidRDefault="00F4349D" w:rsidP="00892591">
            <w:r>
              <w:t xml:space="preserve">     Actuarial tool</w:t>
            </w:r>
          </w:p>
          <w:p w14:paraId="52427CE8" w14:textId="77777777" w:rsidR="00F4349D" w:rsidRDefault="00F4349D" w:rsidP="00892591">
            <w:r>
              <w:t xml:space="preserve">     Structured professional </w:t>
            </w:r>
            <w:r w:rsidR="00F33956">
              <w:t>judgment</w:t>
            </w:r>
            <w:r>
              <w:t xml:space="preserve"> and other   </w:t>
            </w:r>
          </w:p>
          <w:p w14:paraId="5BBEAD1E" w14:textId="77777777" w:rsidR="00F4349D" w:rsidRDefault="00F4349D" w:rsidP="00892591">
            <w:r>
              <w:t xml:space="preserve">     Actuarial, structured, and unstructured </w:t>
            </w:r>
            <w:r w:rsidR="00F33956">
              <w:t>judgment</w:t>
            </w:r>
          </w:p>
          <w:p w14:paraId="3D0433C3" w14:textId="77777777" w:rsidR="002D7895" w:rsidRDefault="002D7895" w:rsidP="00892591">
            <w:r>
              <w:t xml:space="preserve">     Unknown</w:t>
            </w:r>
          </w:p>
        </w:tc>
        <w:tc>
          <w:tcPr>
            <w:tcW w:w="1984" w:type="dxa"/>
            <w:tcBorders>
              <w:top w:val="nil"/>
              <w:left w:val="nil"/>
              <w:bottom w:val="nil"/>
              <w:right w:val="nil"/>
            </w:tcBorders>
          </w:tcPr>
          <w:p w14:paraId="65428DD7" w14:textId="77777777" w:rsidR="00F4349D" w:rsidRDefault="00F4349D" w:rsidP="00892591">
            <w:pPr>
              <w:jc w:val="right"/>
            </w:pPr>
          </w:p>
          <w:p w14:paraId="45484E51" w14:textId="77777777" w:rsidR="002D7895" w:rsidRDefault="002D7895" w:rsidP="002D7895">
            <w:pPr>
              <w:jc w:val="right"/>
            </w:pPr>
            <w:r>
              <w:t>48.8% (41)</w:t>
            </w:r>
          </w:p>
          <w:p w14:paraId="01F151C5" w14:textId="77777777" w:rsidR="00F4349D" w:rsidRDefault="00F4349D" w:rsidP="00892591">
            <w:pPr>
              <w:jc w:val="right"/>
            </w:pPr>
            <w:r>
              <w:t>16.7% (14)</w:t>
            </w:r>
          </w:p>
          <w:p w14:paraId="21DAABF7" w14:textId="77777777" w:rsidR="00F4349D" w:rsidRDefault="00F4349D" w:rsidP="00892591">
            <w:pPr>
              <w:jc w:val="right"/>
            </w:pPr>
            <w:r>
              <w:t>14.3% (12)</w:t>
            </w:r>
          </w:p>
          <w:p w14:paraId="5D03DB74" w14:textId="77777777" w:rsidR="00F4349D" w:rsidRDefault="00F4349D" w:rsidP="00892591">
            <w:pPr>
              <w:jc w:val="right"/>
            </w:pPr>
            <w:r>
              <w:t>2.4% (2)</w:t>
            </w:r>
          </w:p>
          <w:p w14:paraId="7806CEDF" w14:textId="77777777" w:rsidR="00F4349D" w:rsidRDefault="00F4349D" w:rsidP="002D7895">
            <w:pPr>
              <w:jc w:val="right"/>
            </w:pPr>
            <w:r>
              <w:t>1.2% (1)</w:t>
            </w:r>
          </w:p>
          <w:p w14:paraId="383B4A22" w14:textId="77777777" w:rsidR="002D7895" w:rsidRDefault="002D7895" w:rsidP="002D7895">
            <w:pPr>
              <w:jc w:val="right"/>
            </w:pPr>
            <w:r>
              <w:t>16.7% (14)</w:t>
            </w:r>
          </w:p>
        </w:tc>
        <w:tc>
          <w:tcPr>
            <w:tcW w:w="2454" w:type="dxa"/>
            <w:tcBorders>
              <w:top w:val="nil"/>
              <w:left w:val="nil"/>
              <w:bottom w:val="nil"/>
            </w:tcBorders>
          </w:tcPr>
          <w:p w14:paraId="5597BD69" w14:textId="77777777" w:rsidR="00F4349D" w:rsidRDefault="00F4349D" w:rsidP="00892591">
            <w:pPr>
              <w:jc w:val="right"/>
            </w:pPr>
          </w:p>
          <w:p w14:paraId="394A54CA" w14:textId="77777777" w:rsidR="002D7895" w:rsidRDefault="002D7895" w:rsidP="002D7895">
            <w:pPr>
              <w:jc w:val="right"/>
            </w:pPr>
            <w:r>
              <w:t>42.3% (55)</w:t>
            </w:r>
          </w:p>
          <w:p w14:paraId="73A39595" w14:textId="77777777" w:rsidR="00F4349D" w:rsidRDefault="00F4349D" w:rsidP="00892591">
            <w:pPr>
              <w:jc w:val="right"/>
            </w:pPr>
            <w:r>
              <w:t>3.8% (5)</w:t>
            </w:r>
          </w:p>
          <w:p w14:paraId="65AE6AEA" w14:textId="77777777" w:rsidR="00F4349D" w:rsidRDefault="00F4349D" w:rsidP="00892591">
            <w:pPr>
              <w:jc w:val="right"/>
            </w:pPr>
            <w:r>
              <w:t>35.4% (46)</w:t>
            </w:r>
          </w:p>
          <w:p w14:paraId="6F488186" w14:textId="77777777" w:rsidR="00F4349D" w:rsidRDefault="00F4349D" w:rsidP="00892591">
            <w:pPr>
              <w:jc w:val="right"/>
            </w:pPr>
            <w:r>
              <w:t>0% (0)</w:t>
            </w:r>
          </w:p>
          <w:p w14:paraId="4B9DEECF" w14:textId="77777777" w:rsidR="00F4349D" w:rsidRDefault="00F4349D" w:rsidP="00892591">
            <w:pPr>
              <w:jc w:val="right"/>
            </w:pPr>
            <w:r>
              <w:t>0.8% (1)</w:t>
            </w:r>
          </w:p>
          <w:p w14:paraId="04DF623B" w14:textId="77777777" w:rsidR="002D7895" w:rsidRDefault="002D7895" w:rsidP="002D7895">
            <w:pPr>
              <w:jc w:val="right"/>
            </w:pPr>
            <w:r>
              <w:t>17.7% (23)</w:t>
            </w:r>
          </w:p>
        </w:tc>
      </w:tr>
      <w:tr w:rsidR="00F4349D" w14:paraId="772DE724" w14:textId="77777777" w:rsidTr="00016BDB">
        <w:trPr>
          <w:trHeight w:val="1146"/>
        </w:trPr>
        <w:tc>
          <w:tcPr>
            <w:tcW w:w="5388" w:type="dxa"/>
            <w:tcBorders>
              <w:top w:val="nil"/>
              <w:right w:val="nil"/>
            </w:tcBorders>
          </w:tcPr>
          <w:p w14:paraId="7FD5807B" w14:textId="77777777" w:rsidR="00F4349D" w:rsidRDefault="00F4349D" w:rsidP="00892591">
            <w:pPr>
              <w:jc w:val="both"/>
            </w:pPr>
            <w:r>
              <w:t xml:space="preserve">Location of case </w:t>
            </w:r>
          </w:p>
          <w:p w14:paraId="3CAED87C" w14:textId="77777777" w:rsidR="00CE086F" w:rsidRDefault="00CE086F" w:rsidP="00892591">
            <w:pPr>
              <w:jc w:val="both"/>
            </w:pPr>
            <w:r>
              <w:t xml:space="preserve">     Ontario</w:t>
            </w:r>
            <w:r w:rsidR="00D809FA">
              <w:t xml:space="preserve">     </w:t>
            </w:r>
          </w:p>
          <w:p w14:paraId="1AB3D2CF" w14:textId="77777777" w:rsidR="00D809FA" w:rsidRDefault="00CE086F" w:rsidP="00892591">
            <w:pPr>
              <w:jc w:val="both"/>
            </w:pPr>
            <w:r>
              <w:t xml:space="preserve">     </w:t>
            </w:r>
            <w:r w:rsidR="00D809FA">
              <w:t>Saskatchewan</w:t>
            </w:r>
          </w:p>
          <w:p w14:paraId="7FAB06CB" w14:textId="77777777" w:rsidR="00F4349D" w:rsidRDefault="00D809FA" w:rsidP="00892591">
            <w:pPr>
              <w:jc w:val="both"/>
            </w:pPr>
            <w:r>
              <w:t xml:space="preserve">     </w:t>
            </w:r>
            <w:r w:rsidR="00F4349D">
              <w:t>British Columbia</w:t>
            </w:r>
          </w:p>
          <w:p w14:paraId="5F309168" w14:textId="77777777" w:rsidR="00016BDB" w:rsidRPr="00E51ABA" w:rsidRDefault="00016BDB" w:rsidP="00892591">
            <w:pPr>
              <w:jc w:val="both"/>
            </w:pPr>
            <w:r>
              <w:t xml:space="preserve">     </w:t>
            </w:r>
            <w:r w:rsidRPr="00E51ABA">
              <w:t>Alberta</w:t>
            </w:r>
            <w:r w:rsidR="00F4349D" w:rsidRPr="00E51ABA">
              <w:t xml:space="preserve">     </w:t>
            </w:r>
          </w:p>
          <w:p w14:paraId="65471FC4" w14:textId="77777777" w:rsidR="00F4349D" w:rsidRPr="00E51ABA" w:rsidRDefault="00016BDB" w:rsidP="00892591">
            <w:pPr>
              <w:jc w:val="both"/>
            </w:pPr>
            <w:r w:rsidRPr="00E51ABA">
              <w:t xml:space="preserve">     </w:t>
            </w:r>
            <w:r w:rsidR="00F4349D" w:rsidRPr="00E51ABA">
              <w:t>Manitoba</w:t>
            </w:r>
          </w:p>
          <w:p w14:paraId="749A8C00" w14:textId="77777777" w:rsidR="00F4349D" w:rsidRPr="00E51ABA" w:rsidRDefault="00F4349D" w:rsidP="00892591">
            <w:pPr>
              <w:jc w:val="both"/>
            </w:pPr>
            <w:r w:rsidRPr="00E51ABA">
              <w:t xml:space="preserve">     Yukon</w:t>
            </w:r>
          </w:p>
          <w:p w14:paraId="67F9C81F" w14:textId="77777777" w:rsidR="00016BDB" w:rsidRPr="00E51ABA" w:rsidRDefault="00016BDB" w:rsidP="00892591">
            <w:pPr>
              <w:jc w:val="both"/>
            </w:pPr>
            <w:r w:rsidRPr="00E51ABA">
              <w:t xml:space="preserve">     Northwest Territories</w:t>
            </w:r>
          </w:p>
          <w:p w14:paraId="747F2B4B" w14:textId="77777777" w:rsidR="00F4349D" w:rsidRPr="00E51ABA" w:rsidRDefault="00F4349D" w:rsidP="00892591">
            <w:pPr>
              <w:jc w:val="both"/>
            </w:pPr>
            <w:r w:rsidRPr="00E51ABA">
              <w:t xml:space="preserve">     Quebec</w:t>
            </w:r>
          </w:p>
          <w:p w14:paraId="4DACDAE0" w14:textId="77777777" w:rsidR="00F4349D" w:rsidRPr="00E51ABA" w:rsidRDefault="00F4349D" w:rsidP="00892591">
            <w:pPr>
              <w:jc w:val="both"/>
            </w:pPr>
            <w:r w:rsidRPr="00E51ABA">
              <w:t xml:space="preserve">     Nova Scotia</w:t>
            </w:r>
          </w:p>
          <w:p w14:paraId="7B559C50" w14:textId="77777777" w:rsidR="00F4349D" w:rsidRPr="00E51ABA" w:rsidRDefault="00F4349D" w:rsidP="00892591">
            <w:pPr>
              <w:jc w:val="both"/>
            </w:pPr>
          </w:p>
        </w:tc>
        <w:tc>
          <w:tcPr>
            <w:tcW w:w="1984" w:type="dxa"/>
            <w:tcBorders>
              <w:top w:val="nil"/>
              <w:left w:val="nil"/>
              <w:right w:val="nil"/>
            </w:tcBorders>
          </w:tcPr>
          <w:p w14:paraId="1E5A9A35" w14:textId="77777777" w:rsidR="00F4349D" w:rsidRPr="00E51ABA" w:rsidRDefault="00F4349D" w:rsidP="00892591">
            <w:pPr>
              <w:jc w:val="right"/>
            </w:pPr>
          </w:p>
          <w:p w14:paraId="14DAA186" w14:textId="77777777" w:rsidR="00CE086F" w:rsidRDefault="00CE086F" w:rsidP="00CE086F">
            <w:pPr>
              <w:jc w:val="right"/>
            </w:pPr>
            <w:r>
              <w:t>15.5% (13)</w:t>
            </w:r>
          </w:p>
          <w:p w14:paraId="227342FC" w14:textId="77777777" w:rsidR="00D809FA" w:rsidRDefault="00D809FA" w:rsidP="00D809FA">
            <w:pPr>
              <w:jc w:val="right"/>
            </w:pPr>
            <w:r>
              <w:t>39.3% (33)</w:t>
            </w:r>
          </w:p>
          <w:p w14:paraId="3ADD84F4" w14:textId="77777777" w:rsidR="00F4349D" w:rsidRDefault="00F4349D" w:rsidP="00892591">
            <w:pPr>
              <w:jc w:val="right"/>
            </w:pPr>
            <w:r>
              <w:t>13.1% (11)</w:t>
            </w:r>
          </w:p>
          <w:p w14:paraId="5F426273" w14:textId="77777777" w:rsidR="00016BDB" w:rsidRDefault="00016BDB" w:rsidP="00016BDB">
            <w:pPr>
              <w:jc w:val="right"/>
            </w:pPr>
            <w:r>
              <w:t>11.9% (10)</w:t>
            </w:r>
          </w:p>
          <w:p w14:paraId="10C7BF81" w14:textId="77777777" w:rsidR="00F4349D" w:rsidRDefault="00F4349D" w:rsidP="00892591">
            <w:pPr>
              <w:jc w:val="right"/>
            </w:pPr>
            <w:r>
              <w:t>9.5% (8)</w:t>
            </w:r>
          </w:p>
          <w:p w14:paraId="5A0A76A7" w14:textId="77777777" w:rsidR="00F4349D" w:rsidRDefault="00F4349D" w:rsidP="00892591">
            <w:pPr>
              <w:jc w:val="right"/>
            </w:pPr>
            <w:r>
              <w:t>6.0% (5)</w:t>
            </w:r>
          </w:p>
          <w:p w14:paraId="5E76C6BF" w14:textId="77777777" w:rsidR="00016BDB" w:rsidRDefault="00016BDB" w:rsidP="00892591">
            <w:pPr>
              <w:jc w:val="right"/>
            </w:pPr>
            <w:r>
              <w:t>2.4% (2)</w:t>
            </w:r>
          </w:p>
          <w:p w14:paraId="0DB384AD" w14:textId="77777777" w:rsidR="00F4349D" w:rsidRDefault="00F4349D" w:rsidP="00892591">
            <w:pPr>
              <w:jc w:val="right"/>
            </w:pPr>
            <w:r>
              <w:t>1.2% (1)</w:t>
            </w:r>
          </w:p>
          <w:p w14:paraId="3AF59AEB" w14:textId="77777777" w:rsidR="00F4349D" w:rsidRDefault="00F4349D" w:rsidP="00892591">
            <w:pPr>
              <w:jc w:val="right"/>
            </w:pPr>
            <w:r>
              <w:t>1.2% (1)</w:t>
            </w:r>
          </w:p>
          <w:p w14:paraId="7B44FA71" w14:textId="77777777" w:rsidR="00F4349D" w:rsidRDefault="00F4349D" w:rsidP="00892591">
            <w:pPr>
              <w:jc w:val="right"/>
            </w:pPr>
          </w:p>
        </w:tc>
        <w:tc>
          <w:tcPr>
            <w:tcW w:w="2454" w:type="dxa"/>
            <w:tcBorders>
              <w:top w:val="nil"/>
              <w:left w:val="nil"/>
            </w:tcBorders>
          </w:tcPr>
          <w:p w14:paraId="2048AF6C" w14:textId="77777777" w:rsidR="00F4349D" w:rsidRDefault="00F4349D" w:rsidP="00892591">
            <w:pPr>
              <w:jc w:val="right"/>
            </w:pPr>
          </w:p>
          <w:p w14:paraId="1F7E8B24" w14:textId="77777777" w:rsidR="00CE086F" w:rsidRDefault="00CE086F" w:rsidP="00CE086F">
            <w:pPr>
              <w:jc w:val="right"/>
            </w:pPr>
            <w:r>
              <w:t>50.0% (65)</w:t>
            </w:r>
          </w:p>
          <w:p w14:paraId="54ACB3CD" w14:textId="77777777" w:rsidR="00D809FA" w:rsidRDefault="00D809FA" w:rsidP="00D809FA">
            <w:pPr>
              <w:jc w:val="right"/>
            </w:pPr>
            <w:r>
              <w:t>10.8% (14)</w:t>
            </w:r>
          </w:p>
          <w:p w14:paraId="007AA382" w14:textId="77777777" w:rsidR="00F4349D" w:rsidRDefault="00F4349D" w:rsidP="00892591">
            <w:pPr>
              <w:jc w:val="right"/>
            </w:pPr>
            <w:r>
              <w:t>20.0% (26)</w:t>
            </w:r>
          </w:p>
          <w:p w14:paraId="7BDF5225" w14:textId="77777777" w:rsidR="00016BDB" w:rsidRDefault="00016BDB" w:rsidP="00016BDB">
            <w:pPr>
              <w:jc w:val="right"/>
            </w:pPr>
            <w:r>
              <w:t>6.9% (9)</w:t>
            </w:r>
          </w:p>
          <w:p w14:paraId="415F3DD1" w14:textId="77777777" w:rsidR="00F4349D" w:rsidRDefault="00F4349D" w:rsidP="00892591">
            <w:pPr>
              <w:jc w:val="right"/>
            </w:pPr>
            <w:r>
              <w:t>4.6% (6)</w:t>
            </w:r>
          </w:p>
          <w:p w14:paraId="7DD36159" w14:textId="77777777" w:rsidR="00F4349D" w:rsidRDefault="00F4349D" w:rsidP="00892591">
            <w:pPr>
              <w:jc w:val="right"/>
            </w:pPr>
            <w:r>
              <w:t>0% (0)</w:t>
            </w:r>
          </w:p>
          <w:p w14:paraId="314A9F26" w14:textId="77777777" w:rsidR="00016BDB" w:rsidRDefault="00016BDB" w:rsidP="00892591">
            <w:pPr>
              <w:jc w:val="right"/>
            </w:pPr>
            <w:r>
              <w:t>0% (0)</w:t>
            </w:r>
          </w:p>
          <w:p w14:paraId="16C84C8C" w14:textId="77777777" w:rsidR="00F4349D" w:rsidRDefault="00F4349D" w:rsidP="00892591">
            <w:pPr>
              <w:jc w:val="right"/>
            </w:pPr>
            <w:r>
              <w:t>1.5% (2)</w:t>
            </w:r>
          </w:p>
          <w:p w14:paraId="1D2D653D" w14:textId="77777777" w:rsidR="00F4349D" w:rsidRDefault="00F4349D" w:rsidP="00892591">
            <w:pPr>
              <w:jc w:val="right"/>
            </w:pPr>
            <w:r>
              <w:t>6.2% (8)</w:t>
            </w:r>
          </w:p>
          <w:p w14:paraId="7191887C" w14:textId="77777777" w:rsidR="00F4349D" w:rsidRDefault="00F4349D" w:rsidP="00892591">
            <w:pPr>
              <w:jc w:val="right"/>
            </w:pPr>
          </w:p>
        </w:tc>
      </w:tr>
    </w:tbl>
    <w:p w14:paraId="37095813" w14:textId="77777777" w:rsidR="003C4C63" w:rsidRDefault="003C4C63">
      <w:pPr>
        <w:spacing w:after="160" w:line="259" w:lineRule="auto"/>
        <w:rPr>
          <w:b/>
        </w:rPr>
      </w:pPr>
    </w:p>
    <w:p w14:paraId="7C849E73" w14:textId="4B04FAF2" w:rsidR="00480E84" w:rsidRPr="000773EC" w:rsidRDefault="001127AD" w:rsidP="00EA3C36">
      <w:pPr>
        <w:spacing w:line="480" w:lineRule="auto"/>
        <w:outlineLvl w:val="0"/>
      </w:pPr>
      <w:r w:rsidRPr="000773EC">
        <w:lastRenderedPageBreak/>
        <w:t xml:space="preserve">Table </w:t>
      </w:r>
      <w:r w:rsidR="009C3F6D">
        <w:t>2</w:t>
      </w:r>
      <w:r w:rsidR="00D2706A" w:rsidRPr="000773EC">
        <w:t xml:space="preserve"> </w:t>
      </w:r>
    </w:p>
    <w:p w14:paraId="06BFA1E9" w14:textId="77777777" w:rsidR="00D2706A" w:rsidRPr="000773EC" w:rsidRDefault="00C155E4" w:rsidP="00EA3C36">
      <w:pPr>
        <w:spacing w:line="480" w:lineRule="auto"/>
        <w:outlineLvl w:val="0"/>
      </w:pPr>
      <w:r>
        <w:rPr>
          <w:i/>
        </w:rPr>
        <w:t xml:space="preserve">Percent and Frequency of </w:t>
      </w:r>
      <w:r w:rsidR="001127AD" w:rsidRPr="000773EC">
        <w:rPr>
          <w:i/>
        </w:rPr>
        <w:t>T</w:t>
      </w:r>
      <w:r w:rsidR="00D2706A" w:rsidRPr="000773EC">
        <w:rPr>
          <w:i/>
        </w:rPr>
        <w:t xml:space="preserve">hemes </w:t>
      </w:r>
      <w:r w:rsidR="00480E84" w:rsidRPr="00480E84">
        <w:rPr>
          <w:i/>
        </w:rPr>
        <w:t xml:space="preserve">Identified Related </w:t>
      </w:r>
      <w:r w:rsidR="00480E84">
        <w:rPr>
          <w:i/>
        </w:rPr>
        <w:t>t</w:t>
      </w:r>
      <w:r w:rsidR="00480E84" w:rsidRPr="00480E84">
        <w:rPr>
          <w:i/>
        </w:rPr>
        <w:t>o Indigenous Culture</w:t>
      </w:r>
    </w:p>
    <w:tbl>
      <w:tblPr>
        <w:tblStyle w:val="TableGrid"/>
        <w:tblW w:w="8544" w:type="dxa"/>
        <w:tblLook w:val="0420" w:firstRow="1" w:lastRow="0" w:firstColumn="0" w:lastColumn="0" w:noHBand="0" w:noVBand="1"/>
      </w:tblPr>
      <w:tblGrid>
        <w:gridCol w:w="5892"/>
        <w:gridCol w:w="1326"/>
        <w:gridCol w:w="1326"/>
      </w:tblGrid>
      <w:tr w:rsidR="000C3F6E" w:rsidRPr="00480E84" w14:paraId="01CB5E45" w14:textId="77777777" w:rsidTr="000C3F6E">
        <w:trPr>
          <w:trHeight w:val="128"/>
        </w:trPr>
        <w:tc>
          <w:tcPr>
            <w:tcW w:w="5892" w:type="dxa"/>
            <w:tcBorders>
              <w:top w:val="single" w:sz="4" w:space="0" w:color="auto"/>
              <w:left w:val="nil"/>
              <w:bottom w:val="single" w:sz="4" w:space="0" w:color="auto"/>
              <w:right w:val="nil"/>
            </w:tcBorders>
            <w:hideMark/>
          </w:tcPr>
          <w:p w14:paraId="00B30C24" w14:textId="77777777" w:rsidR="000C3F6E" w:rsidRPr="000773EC" w:rsidRDefault="000C3F6E" w:rsidP="001127AD">
            <w:pPr>
              <w:contextualSpacing/>
            </w:pPr>
            <w:r w:rsidRPr="000773EC">
              <w:rPr>
                <w:bCs/>
              </w:rPr>
              <w:t>Theme</w:t>
            </w:r>
          </w:p>
        </w:tc>
        <w:tc>
          <w:tcPr>
            <w:tcW w:w="1326" w:type="dxa"/>
            <w:tcBorders>
              <w:top w:val="single" w:sz="4" w:space="0" w:color="auto"/>
              <w:left w:val="nil"/>
              <w:bottom w:val="single" w:sz="4" w:space="0" w:color="auto"/>
              <w:right w:val="nil"/>
            </w:tcBorders>
            <w:hideMark/>
          </w:tcPr>
          <w:p w14:paraId="6FE55FCC" w14:textId="77777777" w:rsidR="000C3F6E" w:rsidRPr="000773EC" w:rsidRDefault="000C3F6E" w:rsidP="001127AD">
            <w:pPr>
              <w:contextualSpacing/>
            </w:pPr>
            <w:r w:rsidRPr="000773EC">
              <w:rPr>
                <w:bCs/>
                <w:iCs/>
              </w:rPr>
              <w:t>%</w:t>
            </w:r>
          </w:p>
        </w:tc>
        <w:tc>
          <w:tcPr>
            <w:tcW w:w="1326" w:type="dxa"/>
            <w:tcBorders>
              <w:top w:val="single" w:sz="4" w:space="0" w:color="auto"/>
              <w:left w:val="nil"/>
              <w:bottom w:val="single" w:sz="4" w:space="0" w:color="auto"/>
              <w:right w:val="nil"/>
            </w:tcBorders>
          </w:tcPr>
          <w:p w14:paraId="4D990115" w14:textId="77777777" w:rsidR="000C3F6E" w:rsidRPr="000C3F6E" w:rsidRDefault="00C155E4" w:rsidP="001127AD">
            <w:pPr>
              <w:contextualSpacing/>
              <w:rPr>
                <w:bCs/>
                <w:iCs/>
              </w:rPr>
            </w:pPr>
            <w:r w:rsidRPr="001A5E4C">
              <w:rPr>
                <w:bCs/>
                <w:i/>
                <w:iCs/>
              </w:rPr>
              <w:t>n</w:t>
            </w:r>
          </w:p>
        </w:tc>
      </w:tr>
      <w:tr w:rsidR="000C3F6E" w:rsidRPr="00D2706A" w14:paraId="1715BDD2" w14:textId="77777777" w:rsidTr="000C3F6E">
        <w:trPr>
          <w:trHeight w:val="404"/>
        </w:trPr>
        <w:tc>
          <w:tcPr>
            <w:tcW w:w="5892" w:type="dxa"/>
            <w:tcBorders>
              <w:left w:val="nil"/>
              <w:bottom w:val="nil"/>
              <w:right w:val="nil"/>
            </w:tcBorders>
            <w:hideMark/>
          </w:tcPr>
          <w:p w14:paraId="71EC3629" w14:textId="77777777" w:rsidR="000C3F6E" w:rsidRPr="00D2706A" w:rsidRDefault="000C3F6E" w:rsidP="001127AD">
            <w:pPr>
              <w:contextualSpacing/>
            </w:pPr>
            <w:r w:rsidRPr="00D2706A">
              <w:t>Demographic Ethnicity</w:t>
            </w:r>
          </w:p>
        </w:tc>
        <w:tc>
          <w:tcPr>
            <w:tcW w:w="1326" w:type="dxa"/>
            <w:tcBorders>
              <w:top w:val="single" w:sz="4" w:space="0" w:color="auto"/>
              <w:left w:val="nil"/>
              <w:bottom w:val="nil"/>
              <w:right w:val="nil"/>
            </w:tcBorders>
            <w:hideMark/>
          </w:tcPr>
          <w:p w14:paraId="0DE6AC79" w14:textId="77777777" w:rsidR="000C3F6E" w:rsidRPr="00D2706A" w:rsidRDefault="000C3F6E" w:rsidP="001127AD">
            <w:pPr>
              <w:contextualSpacing/>
            </w:pPr>
            <w:r w:rsidRPr="00D2706A">
              <w:rPr>
                <w:bCs/>
              </w:rPr>
              <w:t>71%</w:t>
            </w:r>
          </w:p>
        </w:tc>
        <w:tc>
          <w:tcPr>
            <w:tcW w:w="1326" w:type="dxa"/>
            <w:tcBorders>
              <w:top w:val="single" w:sz="4" w:space="0" w:color="auto"/>
              <w:left w:val="nil"/>
              <w:bottom w:val="nil"/>
              <w:right w:val="nil"/>
            </w:tcBorders>
          </w:tcPr>
          <w:p w14:paraId="657365D0" w14:textId="77777777" w:rsidR="000C3F6E" w:rsidRPr="00D2706A" w:rsidRDefault="00A464EC" w:rsidP="001127AD">
            <w:pPr>
              <w:contextualSpacing/>
              <w:rPr>
                <w:bCs/>
              </w:rPr>
            </w:pPr>
            <w:r>
              <w:rPr>
                <w:bCs/>
              </w:rPr>
              <w:t>61</w:t>
            </w:r>
          </w:p>
        </w:tc>
      </w:tr>
      <w:tr w:rsidR="000C3F6E" w:rsidRPr="00D2706A" w14:paraId="6E04F351" w14:textId="77777777" w:rsidTr="000C3F6E">
        <w:trPr>
          <w:trHeight w:val="404"/>
        </w:trPr>
        <w:tc>
          <w:tcPr>
            <w:tcW w:w="5892" w:type="dxa"/>
            <w:tcBorders>
              <w:top w:val="nil"/>
              <w:left w:val="nil"/>
              <w:bottom w:val="nil"/>
              <w:right w:val="nil"/>
            </w:tcBorders>
            <w:hideMark/>
          </w:tcPr>
          <w:p w14:paraId="381FF24A" w14:textId="77777777" w:rsidR="000C3F6E" w:rsidRPr="00D2706A" w:rsidRDefault="000C3F6E" w:rsidP="001127AD">
            <w:pPr>
              <w:contextualSpacing/>
            </w:pPr>
            <w:proofErr w:type="spellStart"/>
            <w:r w:rsidRPr="00D2706A">
              <w:t>Gladue</w:t>
            </w:r>
            <w:proofErr w:type="spellEnd"/>
            <w:r w:rsidRPr="00D2706A">
              <w:t xml:space="preserve"> Sentencing Principles</w:t>
            </w:r>
          </w:p>
        </w:tc>
        <w:tc>
          <w:tcPr>
            <w:tcW w:w="1326" w:type="dxa"/>
            <w:tcBorders>
              <w:top w:val="nil"/>
              <w:left w:val="nil"/>
              <w:bottom w:val="nil"/>
              <w:right w:val="nil"/>
            </w:tcBorders>
            <w:hideMark/>
          </w:tcPr>
          <w:p w14:paraId="3C9EC1EC" w14:textId="77777777" w:rsidR="000C3F6E" w:rsidRPr="00D2706A" w:rsidRDefault="000C3F6E" w:rsidP="001127AD">
            <w:pPr>
              <w:contextualSpacing/>
            </w:pPr>
            <w:r w:rsidRPr="00D2706A">
              <w:rPr>
                <w:bCs/>
              </w:rPr>
              <w:t>6</w:t>
            </w:r>
            <w:r w:rsidR="007B6802">
              <w:rPr>
                <w:bCs/>
              </w:rPr>
              <w:t>9</w:t>
            </w:r>
            <w:r w:rsidRPr="00D2706A">
              <w:rPr>
                <w:bCs/>
              </w:rPr>
              <w:t>%</w:t>
            </w:r>
          </w:p>
        </w:tc>
        <w:tc>
          <w:tcPr>
            <w:tcW w:w="1326" w:type="dxa"/>
            <w:tcBorders>
              <w:top w:val="nil"/>
              <w:left w:val="nil"/>
              <w:bottom w:val="nil"/>
              <w:right w:val="nil"/>
            </w:tcBorders>
          </w:tcPr>
          <w:p w14:paraId="318247B0" w14:textId="77777777" w:rsidR="000C3F6E" w:rsidRPr="00D2706A" w:rsidRDefault="00A464EC" w:rsidP="001127AD">
            <w:pPr>
              <w:contextualSpacing/>
              <w:rPr>
                <w:bCs/>
              </w:rPr>
            </w:pPr>
            <w:r>
              <w:rPr>
                <w:bCs/>
              </w:rPr>
              <w:t>5</w:t>
            </w:r>
            <w:r w:rsidR="007B6802">
              <w:rPr>
                <w:bCs/>
              </w:rPr>
              <w:t>8</w:t>
            </w:r>
          </w:p>
        </w:tc>
      </w:tr>
      <w:tr w:rsidR="000C3F6E" w:rsidRPr="00D2706A" w14:paraId="019BAB15" w14:textId="77777777" w:rsidTr="000C3F6E">
        <w:trPr>
          <w:trHeight w:val="404"/>
        </w:trPr>
        <w:tc>
          <w:tcPr>
            <w:tcW w:w="5892" w:type="dxa"/>
            <w:tcBorders>
              <w:top w:val="nil"/>
              <w:left w:val="nil"/>
              <w:bottom w:val="nil"/>
              <w:right w:val="nil"/>
            </w:tcBorders>
            <w:hideMark/>
          </w:tcPr>
          <w:p w14:paraId="4EF75619" w14:textId="77777777" w:rsidR="000C3F6E" w:rsidRPr="00D2706A" w:rsidRDefault="000C3F6E" w:rsidP="001127AD">
            <w:pPr>
              <w:contextualSpacing/>
            </w:pPr>
            <w:r w:rsidRPr="00D2706A">
              <w:t>Indigenous Specific Programming</w:t>
            </w:r>
          </w:p>
        </w:tc>
        <w:tc>
          <w:tcPr>
            <w:tcW w:w="1326" w:type="dxa"/>
            <w:tcBorders>
              <w:top w:val="nil"/>
              <w:left w:val="nil"/>
              <w:bottom w:val="nil"/>
              <w:right w:val="nil"/>
            </w:tcBorders>
            <w:hideMark/>
          </w:tcPr>
          <w:p w14:paraId="01AED7AD" w14:textId="77777777" w:rsidR="000C3F6E" w:rsidRPr="00D2706A" w:rsidRDefault="000C3F6E" w:rsidP="001127AD">
            <w:pPr>
              <w:contextualSpacing/>
            </w:pPr>
            <w:r w:rsidRPr="00D2706A">
              <w:rPr>
                <w:bCs/>
              </w:rPr>
              <w:t>55%</w:t>
            </w:r>
          </w:p>
        </w:tc>
        <w:tc>
          <w:tcPr>
            <w:tcW w:w="1326" w:type="dxa"/>
            <w:tcBorders>
              <w:top w:val="nil"/>
              <w:left w:val="nil"/>
              <w:bottom w:val="nil"/>
              <w:right w:val="nil"/>
            </w:tcBorders>
          </w:tcPr>
          <w:p w14:paraId="2B94AC1D" w14:textId="77777777" w:rsidR="000C3F6E" w:rsidRPr="00D2706A" w:rsidRDefault="00A464EC" w:rsidP="001127AD">
            <w:pPr>
              <w:contextualSpacing/>
              <w:rPr>
                <w:bCs/>
              </w:rPr>
            </w:pPr>
            <w:r>
              <w:rPr>
                <w:bCs/>
              </w:rPr>
              <w:t>47</w:t>
            </w:r>
          </w:p>
        </w:tc>
      </w:tr>
      <w:tr w:rsidR="000C3F6E" w:rsidRPr="00D2706A" w14:paraId="622D414C" w14:textId="77777777" w:rsidTr="000C3F6E">
        <w:trPr>
          <w:trHeight w:val="404"/>
        </w:trPr>
        <w:tc>
          <w:tcPr>
            <w:tcW w:w="5892" w:type="dxa"/>
            <w:tcBorders>
              <w:top w:val="nil"/>
              <w:left w:val="nil"/>
              <w:bottom w:val="nil"/>
              <w:right w:val="nil"/>
            </w:tcBorders>
            <w:hideMark/>
          </w:tcPr>
          <w:p w14:paraId="4BFF073D" w14:textId="77777777" w:rsidR="000C3F6E" w:rsidRPr="00D2706A" w:rsidRDefault="000C3F6E" w:rsidP="001127AD">
            <w:pPr>
              <w:contextualSpacing/>
            </w:pPr>
            <w:r w:rsidRPr="00D2706A">
              <w:t>Indigenous Risk Factors</w:t>
            </w:r>
          </w:p>
        </w:tc>
        <w:tc>
          <w:tcPr>
            <w:tcW w:w="1326" w:type="dxa"/>
            <w:tcBorders>
              <w:top w:val="nil"/>
              <w:left w:val="nil"/>
              <w:bottom w:val="nil"/>
              <w:right w:val="nil"/>
            </w:tcBorders>
            <w:hideMark/>
          </w:tcPr>
          <w:p w14:paraId="11C59B5C" w14:textId="77777777" w:rsidR="000C3F6E" w:rsidRPr="00D2706A" w:rsidRDefault="000C3F6E" w:rsidP="001127AD">
            <w:pPr>
              <w:contextualSpacing/>
            </w:pPr>
            <w:r w:rsidRPr="00D2706A">
              <w:rPr>
                <w:bCs/>
              </w:rPr>
              <w:t>47%</w:t>
            </w:r>
          </w:p>
        </w:tc>
        <w:tc>
          <w:tcPr>
            <w:tcW w:w="1326" w:type="dxa"/>
            <w:tcBorders>
              <w:top w:val="nil"/>
              <w:left w:val="nil"/>
              <w:bottom w:val="nil"/>
              <w:right w:val="nil"/>
            </w:tcBorders>
          </w:tcPr>
          <w:p w14:paraId="64E5E273" w14:textId="77777777" w:rsidR="000C3F6E" w:rsidRPr="00D2706A" w:rsidRDefault="00960AD1" w:rsidP="001127AD">
            <w:pPr>
              <w:contextualSpacing/>
              <w:rPr>
                <w:bCs/>
              </w:rPr>
            </w:pPr>
            <w:r>
              <w:rPr>
                <w:bCs/>
              </w:rPr>
              <w:t>40</w:t>
            </w:r>
          </w:p>
        </w:tc>
      </w:tr>
      <w:tr w:rsidR="000C3F6E" w:rsidRPr="00D2706A" w14:paraId="246A2BA5" w14:textId="77777777" w:rsidTr="000C3F6E">
        <w:trPr>
          <w:trHeight w:val="404"/>
        </w:trPr>
        <w:tc>
          <w:tcPr>
            <w:tcW w:w="5892" w:type="dxa"/>
            <w:tcBorders>
              <w:top w:val="nil"/>
              <w:left w:val="nil"/>
              <w:bottom w:val="nil"/>
              <w:right w:val="nil"/>
            </w:tcBorders>
            <w:hideMark/>
          </w:tcPr>
          <w:p w14:paraId="7D2EF38C" w14:textId="77777777" w:rsidR="000C3F6E" w:rsidRPr="00D2706A" w:rsidRDefault="000C3F6E" w:rsidP="00480E84">
            <w:pPr>
              <w:ind w:left="360"/>
              <w:contextualSpacing/>
            </w:pPr>
            <w:r w:rsidRPr="00D2706A">
              <w:t>General Mention</w:t>
            </w:r>
          </w:p>
        </w:tc>
        <w:tc>
          <w:tcPr>
            <w:tcW w:w="1326" w:type="dxa"/>
            <w:tcBorders>
              <w:top w:val="nil"/>
              <w:left w:val="nil"/>
              <w:bottom w:val="nil"/>
              <w:right w:val="nil"/>
            </w:tcBorders>
            <w:hideMark/>
          </w:tcPr>
          <w:p w14:paraId="0D423421" w14:textId="77777777" w:rsidR="000C3F6E" w:rsidRPr="00D2706A" w:rsidRDefault="000C3F6E" w:rsidP="001127AD">
            <w:pPr>
              <w:contextualSpacing/>
            </w:pPr>
            <w:r w:rsidRPr="00D2706A">
              <w:rPr>
                <w:bCs/>
              </w:rPr>
              <w:t>29%</w:t>
            </w:r>
          </w:p>
        </w:tc>
        <w:tc>
          <w:tcPr>
            <w:tcW w:w="1326" w:type="dxa"/>
            <w:tcBorders>
              <w:top w:val="nil"/>
              <w:left w:val="nil"/>
              <w:bottom w:val="nil"/>
              <w:right w:val="nil"/>
            </w:tcBorders>
          </w:tcPr>
          <w:p w14:paraId="3FD6899D" w14:textId="77777777" w:rsidR="000C3F6E" w:rsidRPr="00D2706A" w:rsidRDefault="00960AD1" w:rsidP="001127AD">
            <w:pPr>
              <w:contextualSpacing/>
              <w:rPr>
                <w:bCs/>
              </w:rPr>
            </w:pPr>
            <w:r>
              <w:rPr>
                <w:bCs/>
              </w:rPr>
              <w:t>25</w:t>
            </w:r>
          </w:p>
        </w:tc>
      </w:tr>
      <w:tr w:rsidR="000C3F6E" w:rsidRPr="00D2706A" w14:paraId="3A9B21FC" w14:textId="77777777" w:rsidTr="000C3F6E">
        <w:trPr>
          <w:trHeight w:val="404"/>
        </w:trPr>
        <w:tc>
          <w:tcPr>
            <w:tcW w:w="5892" w:type="dxa"/>
            <w:tcBorders>
              <w:top w:val="nil"/>
              <w:left w:val="nil"/>
              <w:bottom w:val="nil"/>
              <w:right w:val="nil"/>
            </w:tcBorders>
            <w:hideMark/>
          </w:tcPr>
          <w:p w14:paraId="18192A17" w14:textId="77777777" w:rsidR="000C3F6E" w:rsidRPr="00D2706A" w:rsidRDefault="000C3F6E" w:rsidP="00480E84">
            <w:pPr>
              <w:ind w:left="360"/>
              <w:contextualSpacing/>
            </w:pPr>
            <w:r w:rsidRPr="00D2706A">
              <w:t>Specific Mention</w:t>
            </w:r>
          </w:p>
        </w:tc>
        <w:tc>
          <w:tcPr>
            <w:tcW w:w="1326" w:type="dxa"/>
            <w:tcBorders>
              <w:top w:val="nil"/>
              <w:left w:val="nil"/>
              <w:bottom w:val="nil"/>
              <w:right w:val="nil"/>
            </w:tcBorders>
            <w:hideMark/>
          </w:tcPr>
          <w:p w14:paraId="18708355" w14:textId="77777777" w:rsidR="000C3F6E" w:rsidRPr="00D2706A" w:rsidRDefault="000C3F6E" w:rsidP="001127AD">
            <w:pPr>
              <w:contextualSpacing/>
            </w:pPr>
            <w:r w:rsidRPr="00D2706A">
              <w:rPr>
                <w:bCs/>
              </w:rPr>
              <w:t>18%</w:t>
            </w:r>
          </w:p>
        </w:tc>
        <w:tc>
          <w:tcPr>
            <w:tcW w:w="1326" w:type="dxa"/>
            <w:tcBorders>
              <w:top w:val="nil"/>
              <w:left w:val="nil"/>
              <w:bottom w:val="nil"/>
              <w:right w:val="nil"/>
            </w:tcBorders>
          </w:tcPr>
          <w:p w14:paraId="2F6B1897" w14:textId="77777777" w:rsidR="000C3F6E" w:rsidRPr="00D2706A" w:rsidRDefault="00960AD1" w:rsidP="001127AD">
            <w:pPr>
              <w:contextualSpacing/>
              <w:rPr>
                <w:bCs/>
              </w:rPr>
            </w:pPr>
            <w:r>
              <w:rPr>
                <w:bCs/>
              </w:rPr>
              <w:t>15</w:t>
            </w:r>
          </w:p>
        </w:tc>
      </w:tr>
      <w:tr w:rsidR="00F33956" w:rsidRPr="00D2706A" w14:paraId="0398747A" w14:textId="77777777" w:rsidTr="000C3F6E">
        <w:trPr>
          <w:trHeight w:val="404"/>
        </w:trPr>
        <w:tc>
          <w:tcPr>
            <w:tcW w:w="5892" w:type="dxa"/>
            <w:tcBorders>
              <w:top w:val="nil"/>
              <w:left w:val="nil"/>
              <w:bottom w:val="nil"/>
              <w:right w:val="nil"/>
            </w:tcBorders>
          </w:tcPr>
          <w:p w14:paraId="6C73A52C" w14:textId="77777777" w:rsidR="00F33956" w:rsidRPr="00960AD1" w:rsidRDefault="00F33956" w:rsidP="00960AD1">
            <w:pPr>
              <w:contextualSpacing/>
            </w:pPr>
            <w:r>
              <w:t>Offender Experience of Indigenous Culture</w:t>
            </w:r>
          </w:p>
        </w:tc>
        <w:tc>
          <w:tcPr>
            <w:tcW w:w="1326" w:type="dxa"/>
            <w:tcBorders>
              <w:top w:val="nil"/>
              <w:left w:val="nil"/>
              <w:bottom w:val="nil"/>
              <w:right w:val="nil"/>
            </w:tcBorders>
          </w:tcPr>
          <w:p w14:paraId="2B948704" w14:textId="77777777" w:rsidR="00F33956" w:rsidRDefault="00F33956" w:rsidP="001127AD">
            <w:pPr>
              <w:contextualSpacing/>
              <w:rPr>
                <w:bCs/>
              </w:rPr>
            </w:pPr>
            <w:r>
              <w:rPr>
                <w:bCs/>
              </w:rPr>
              <w:t>21%</w:t>
            </w:r>
          </w:p>
        </w:tc>
        <w:tc>
          <w:tcPr>
            <w:tcW w:w="1326" w:type="dxa"/>
            <w:tcBorders>
              <w:top w:val="nil"/>
              <w:left w:val="nil"/>
              <w:bottom w:val="nil"/>
              <w:right w:val="nil"/>
            </w:tcBorders>
          </w:tcPr>
          <w:p w14:paraId="7C0C6C02" w14:textId="77777777" w:rsidR="00F33956" w:rsidRDefault="00F33956" w:rsidP="001127AD">
            <w:pPr>
              <w:contextualSpacing/>
              <w:rPr>
                <w:bCs/>
              </w:rPr>
            </w:pPr>
            <w:r>
              <w:rPr>
                <w:bCs/>
              </w:rPr>
              <w:t>18</w:t>
            </w:r>
          </w:p>
        </w:tc>
      </w:tr>
      <w:tr w:rsidR="00960AD1" w:rsidRPr="00D2706A" w14:paraId="48C6CFBF" w14:textId="77777777" w:rsidTr="00F33956">
        <w:trPr>
          <w:trHeight w:val="404"/>
        </w:trPr>
        <w:tc>
          <w:tcPr>
            <w:tcW w:w="5892" w:type="dxa"/>
            <w:tcBorders>
              <w:top w:val="nil"/>
              <w:left w:val="nil"/>
              <w:bottom w:val="nil"/>
              <w:right w:val="nil"/>
            </w:tcBorders>
          </w:tcPr>
          <w:p w14:paraId="0AB92798" w14:textId="77777777" w:rsidR="00960AD1" w:rsidRPr="00960AD1" w:rsidRDefault="00960AD1" w:rsidP="00960AD1">
            <w:pPr>
              <w:contextualSpacing/>
            </w:pPr>
            <w:r w:rsidRPr="00960AD1">
              <w:t>VRA Applicability to Indigenous offenders</w:t>
            </w:r>
          </w:p>
        </w:tc>
        <w:tc>
          <w:tcPr>
            <w:tcW w:w="1326" w:type="dxa"/>
            <w:tcBorders>
              <w:top w:val="nil"/>
              <w:left w:val="nil"/>
              <w:bottom w:val="nil"/>
              <w:right w:val="nil"/>
            </w:tcBorders>
          </w:tcPr>
          <w:p w14:paraId="7C309954" w14:textId="77777777" w:rsidR="00960AD1" w:rsidRPr="00D2706A" w:rsidRDefault="00960AD1" w:rsidP="001127AD">
            <w:pPr>
              <w:contextualSpacing/>
              <w:rPr>
                <w:bCs/>
              </w:rPr>
            </w:pPr>
            <w:r>
              <w:rPr>
                <w:bCs/>
              </w:rPr>
              <w:t>14%</w:t>
            </w:r>
          </w:p>
        </w:tc>
        <w:tc>
          <w:tcPr>
            <w:tcW w:w="1326" w:type="dxa"/>
            <w:tcBorders>
              <w:top w:val="nil"/>
              <w:left w:val="nil"/>
              <w:bottom w:val="nil"/>
              <w:right w:val="nil"/>
            </w:tcBorders>
          </w:tcPr>
          <w:p w14:paraId="6F7724AC" w14:textId="77777777" w:rsidR="00960AD1" w:rsidRDefault="00960AD1" w:rsidP="001127AD">
            <w:pPr>
              <w:contextualSpacing/>
              <w:rPr>
                <w:bCs/>
              </w:rPr>
            </w:pPr>
            <w:r>
              <w:rPr>
                <w:bCs/>
              </w:rPr>
              <w:t>12</w:t>
            </w:r>
          </w:p>
        </w:tc>
      </w:tr>
      <w:tr w:rsidR="000C3F6E" w:rsidRPr="00D2706A" w14:paraId="763B24C9" w14:textId="77777777" w:rsidTr="00F33956">
        <w:trPr>
          <w:trHeight w:val="404"/>
        </w:trPr>
        <w:tc>
          <w:tcPr>
            <w:tcW w:w="5892" w:type="dxa"/>
            <w:tcBorders>
              <w:top w:val="nil"/>
              <w:left w:val="nil"/>
              <w:bottom w:val="single" w:sz="4" w:space="0" w:color="auto"/>
              <w:right w:val="nil"/>
            </w:tcBorders>
          </w:tcPr>
          <w:p w14:paraId="0E1CB692" w14:textId="77777777" w:rsidR="000C3F6E" w:rsidRPr="00D2706A" w:rsidRDefault="000C3F6E" w:rsidP="001127AD">
            <w:pPr>
              <w:contextualSpacing/>
            </w:pPr>
            <w:r>
              <w:t>DO/LTO Sentencing of Indigenous Peoples</w:t>
            </w:r>
          </w:p>
        </w:tc>
        <w:tc>
          <w:tcPr>
            <w:tcW w:w="1326" w:type="dxa"/>
            <w:tcBorders>
              <w:top w:val="nil"/>
              <w:left w:val="nil"/>
              <w:bottom w:val="single" w:sz="4" w:space="0" w:color="auto"/>
              <w:right w:val="nil"/>
            </w:tcBorders>
          </w:tcPr>
          <w:p w14:paraId="7E94ACE4" w14:textId="77777777" w:rsidR="000C3F6E" w:rsidRPr="00D2706A" w:rsidRDefault="000C3F6E" w:rsidP="001127AD">
            <w:pPr>
              <w:contextualSpacing/>
              <w:rPr>
                <w:bCs/>
              </w:rPr>
            </w:pPr>
            <w:r>
              <w:rPr>
                <w:bCs/>
              </w:rPr>
              <w:t>12%</w:t>
            </w:r>
          </w:p>
        </w:tc>
        <w:tc>
          <w:tcPr>
            <w:tcW w:w="1326" w:type="dxa"/>
            <w:tcBorders>
              <w:top w:val="nil"/>
              <w:left w:val="nil"/>
              <w:bottom w:val="single" w:sz="4" w:space="0" w:color="auto"/>
              <w:right w:val="nil"/>
            </w:tcBorders>
          </w:tcPr>
          <w:p w14:paraId="28B9AD53" w14:textId="77777777" w:rsidR="000C3F6E" w:rsidRDefault="00960AD1" w:rsidP="001127AD">
            <w:pPr>
              <w:contextualSpacing/>
              <w:rPr>
                <w:bCs/>
              </w:rPr>
            </w:pPr>
            <w:r>
              <w:rPr>
                <w:bCs/>
              </w:rPr>
              <w:t>10</w:t>
            </w:r>
          </w:p>
        </w:tc>
      </w:tr>
    </w:tbl>
    <w:p w14:paraId="55FF38D7" w14:textId="77777777" w:rsidR="00D2706A" w:rsidRPr="000773EC" w:rsidRDefault="00480E84" w:rsidP="00EA3C36">
      <w:pPr>
        <w:spacing w:line="480" w:lineRule="auto"/>
        <w:outlineLvl w:val="0"/>
      </w:pPr>
      <w:r w:rsidRPr="001A5E4C">
        <w:rPr>
          <w:i/>
        </w:rPr>
        <w:t>N</w:t>
      </w:r>
      <w:r w:rsidRPr="000773EC">
        <w:t xml:space="preserve"> = </w:t>
      </w:r>
      <w:r w:rsidR="00960AD1">
        <w:t>8</w:t>
      </w:r>
      <w:r w:rsidR="00F33956">
        <w:t>4</w:t>
      </w:r>
    </w:p>
    <w:p w14:paraId="3B3479D4" w14:textId="77777777" w:rsidR="008523C0" w:rsidRDefault="008523C0" w:rsidP="005C19D7"/>
    <w:p w14:paraId="67329F2B" w14:textId="77777777" w:rsidR="00B50E79" w:rsidRDefault="00B50E79" w:rsidP="008523C0">
      <w:r>
        <w:t xml:space="preserve"> </w:t>
      </w:r>
    </w:p>
    <w:p w14:paraId="1C1116B4" w14:textId="77777777" w:rsidR="00244862" w:rsidRDefault="00244862" w:rsidP="008523C0"/>
    <w:p w14:paraId="56A0C850" w14:textId="77777777" w:rsidR="00244862" w:rsidRDefault="00244862" w:rsidP="008523C0"/>
    <w:p w14:paraId="7131857E" w14:textId="77777777" w:rsidR="00244862" w:rsidRDefault="00244862" w:rsidP="008523C0"/>
    <w:p w14:paraId="13DB2A36" w14:textId="77777777" w:rsidR="00244862" w:rsidRDefault="00244862" w:rsidP="008523C0"/>
    <w:p w14:paraId="59EF21C6" w14:textId="77777777" w:rsidR="00244862" w:rsidRDefault="00244862" w:rsidP="008523C0"/>
    <w:p w14:paraId="45EF7FB2" w14:textId="77777777" w:rsidR="00244862" w:rsidRDefault="00244862" w:rsidP="008523C0"/>
    <w:p w14:paraId="1002B68B" w14:textId="77777777" w:rsidR="00244862" w:rsidRDefault="00244862" w:rsidP="008523C0"/>
    <w:p w14:paraId="5321B508" w14:textId="77777777" w:rsidR="00244862" w:rsidRDefault="00244862" w:rsidP="008523C0"/>
    <w:p w14:paraId="4F2AD922" w14:textId="77777777" w:rsidR="00244862" w:rsidRDefault="00244862" w:rsidP="008523C0"/>
    <w:p w14:paraId="39D8D667" w14:textId="77777777" w:rsidR="00244862" w:rsidRDefault="00244862" w:rsidP="008523C0"/>
    <w:p w14:paraId="4EA5FA38" w14:textId="77777777" w:rsidR="00244862" w:rsidRDefault="00244862" w:rsidP="008523C0"/>
    <w:p w14:paraId="507D1727" w14:textId="77777777" w:rsidR="00244862" w:rsidRDefault="00244862" w:rsidP="008523C0"/>
    <w:p w14:paraId="69EE00B7" w14:textId="77777777" w:rsidR="00244862" w:rsidRDefault="00244862" w:rsidP="008523C0"/>
    <w:p w14:paraId="6A9E6C9B" w14:textId="77777777" w:rsidR="00244862" w:rsidRDefault="00244862" w:rsidP="008523C0"/>
    <w:p w14:paraId="5AB96760" w14:textId="77777777" w:rsidR="00244862" w:rsidRDefault="00244862" w:rsidP="008523C0"/>
    <w:p w14:paraId="15BFAB63" w14:textId="77777777" w:rsidR="00244862" w:rsidRDefault="00244862" w:rsidP="008523C0"/>
    <w:p w14:paraId="751EC2D0" w14:textId="77777777" w:rsidR="00244862" w:rsidRDefault="00244862" w:rsidP="008523C0"/>
    <w:p w14:paraId="38249B33" w14:textId="77777777" w:rsidR="00244862" w:rsidRDefault="00244862" w:rsidP="008523C0"/>
    <w:p w14:paraId="6F62D442" w14:textId="77777777" w:rsidR="00244862" w:rsidRDefault="00244862" w:rsidP="008523C0"/>
    <w:p w14:paraId="3D75D4EC" w14:textId="77777777" w:rsidR="00244862" w:rsidRDefault="00244862" w:rsidP="008523C0"/>
    <w:p w14:paraId="6C763FC4" w14:textId="77777777" w:rsidR="00244862" w:rsidRDefault="00244862" w:rsidP="008523C0"/>
    <w:p w14:paraId="0F7940D6" w14:textId="77777777" w:rsidR="00244862" w:rsidRDefault="00244862" w:rsidP="008523C0"/>
    <w:p w14:paraId="39B90452" w14:textId="77777777" w:rsidR="00244862" w:rsidRDefault="00244862" w:rsidP="008523C0"/>
    <w:p w14:paraId="09E78892" w14:textId="77777777" w:rsidR="00244862" w:rsidRDefault="00244862" w:rsidP="008523C0"/>
    <w:p w14:paraId="126F0728" w14:textId="191BE544" w:rsidR="00244862" w:rsidRDefault="00244862" w:rsidP="00244862">
      <w:pPr>
        <w:spacing w:line="480" w:lineRule="auto"/>
        <w:outlineLvl w:val="0"/>
      </w:pPr>
      <w:r>
        <w:lastRenderedPageBreak/>
        <w:t xml:space="preserve">Table </w:t>
      </w:r>
      <w:r w:rsidR="009C3F6D">
        <w:t>3</w:t>
      </w:r>
    </w:p>
    <w:p w14:paraId="48725343" w14:textId="77777777" w:rsidR="00244862" w:rsidRDefault="00244862" w:rsidP="00244862">
      <w:pPr>
        <w:spacing w:line="480" w:lineRule="auto"/>
        <w:outlineLvl w:val="0"/>
        <w:rPr>
          <w:i/>
        </w:rPr>
      </w:pPr>
      <w:r>
        <w:rPr>
          <w:i/>
        </w:rPr>
        <w:t>Frequency of Use of VRA Tools with Indigenous and Non-Indigenous Defendants</w:t>
      </w:r>
    </w:p>
    <w:tbl>
      <w:tblPr>
        <w:tblStyle w:val="TableGrid"/>
        <w:tblW w:w="10207" w:type="dxa"/>
        <w:tblInd w:w="-431" w:type="dxa"/>
        <w:tblLook w:val="04A0" w:firstRow="1" w:lastRow="0" w:firstColumn="1" w:lastColumn="0" w:noHBand="0" w:noVBand="1"/>
      </w:tblPr>
      <w:tblGrid>
        <w:gridCol w:w="4395"/>
        <w:gridCol w:w="1985"/>
        <w:gridCol w:w="2410"/>
        <w:gridCol w:w="1417"/>
      </w:tblGrid>
      <w:tr w:rsidR="00244862" w14:paraId="74526ABB" w14:textId="77777777" w:rsidTr="003E6DB4">
        <w:trPr>
          <w:trHeight w:val="587"/>
        </w:trPr>
        <w:tc>
          <w:tcPr>
            <w:tcW w:w="4395" w:type="dxa"/>
            <w:tcBorders>
              <w:top w:val="single" w:sz="4" w:space="0" w:color="auto"/>
              <w:left w:val="nil"/>
              <w:bottom w:val="single" w:sz="4" w:space="0" w:color="auto"/>
              <w:right w:val="nil"/>
            </w:tcBorders>
          </w:tcPr>
          <w:p w14:paraId="64F100FD" w14:textId="77777777" w:rsidR="00244862" w:rsidRDefault="00053EE3" w:rsidP="00053EE3">
            <w:r>
              <w:t>VRA Tool</w:t>
            </w:r>
          </w:p>
        </w:tc>
        <w:tc>
          <w:tcPr>
            <w:tcW w:w="1985" w:type="dxa"/>
            <w:tcBorders>
              <w:top w:val="single" w:sz="4" w:space="0" w:color="auto"/>
              <w:left w:val="nil"/>
              <w:bottom w:val="single" w:sz="4" w:space="0" w:color="auto"/>
              <w:right w:val="nil"/>
            </w:tcBorders>
            <w:hideMark/>
          </w:tcPr>
          <w:p w14:paraId="0CBFC6F9" w14:textId="77777777" w:rsidR="00244862" w:rsidRDefault="00244862" w:rsidP="006D6415">
            <w:pPr>
              <w:jc w:val="center"/>
            </w:pPr>
            <w:r>
              <w:t>Indigenous % (</w:t>
            </w:r>
            <w:r w:rsidRPr="00CC3B11">
              <w:rPr>
                <w:i/>
                <w:iCs/>
              </w:rPr>
              <w:t>n</w:t>
            </w:r>
            <w:r>
              <w:t>)</w:t>
            </w:r>
          </w:p>
          <w:p w14:paraId="344108DD" w14:textId="77777777" w:rsidR="00244862" w:rsidRDefault="00244862" w:rsidP="006D6415">
            <w:pPr>
              <w:jc w:val="center"/>
            </w:pPr>
            <w:r>
              <w:t>(</w:t>
            </w:r>
            <w:r w:rsidRPr="00CC3B11">
              <w:rPr>
                <w:i/>
                <w:iCs/>
              </w:rPr>
              <w:t>n</w:t>
            </w:r>
            <w:r>
              <w:t xml:space="preserve"> = 84)</w:t>
            </w:r>
          </w:p>
        </w:tc>
        <w:tc>
          <w:tcPr>
            <w:tcW w:w="2410" w:type="dxa"/>
            <w:tcBorders>
              <w:top w:val="single" w:sz="4" w:space="0" w:color="auto"/>
              <w:left w:val="nil"/>
              <w:bottom w:val="single" w:sz="4" w:space="0" w:color="auto"/>
              <w:right w:val="nil"/>
            </w:tcBorders>
            <w:hideMark/>
          </w:tcPr>
          <w:p w14:paraId="3DFDC7EC" w14:textId="77777777" w:rsidR="00244862" w:rsidRDefault="00244862" w:rsidP="006D6415">
            <w:pPr>
              <w:jc w:val="center"/>
            </w:pPr>
            <w:r>
              <w:t>Non-Indigenous % (</w:t>
            </w:r>
            <w:r w:rsidRPr="00CC3B11">
              <w:rPr>
                <w:i/>
                <w:iCs/>
              </w:rPr>
              <w:t>n</w:t>
            </w:r>
            <w:r>
              <w:t>)</w:t>
            </w:r>
          </w:p>
          <w:p w14:paraId="4BEB8712" w14:textId="77777777" w:rsidR="00244862" w:rsidRDefault="00244862" w:rsidP="006D6415">
            <w:pPr>
              <w:jc w:val="center"/>
            </w:pPr>
            <w:r>
              <w:t>(</w:t>
            </w:r>
            <w:r w:rsidRPr="00CC3B11">
              <w:rPr>
                <w:i/>
                <w:iCs/>
              </w:rPr>
              <w:t>n</w:t>
            </w:r>
            <w:r>
              <w:t xml:space="preserve"> = 130)</w:t>
            </w:r>
          </w:p>
        </w:tc>
        <w:tc>
          <w:tcPr>
            <w:tcW w:w="1417" w:type="dxa"/>
            <w:tcBorders>
              <w:top w:val="single" w:sz="4" w:space="0" w:color="auto"/>
              <w:left w:val="nil"/>
              <w:bottom w:val="single" w:sz="4" w:space="0" w:color="auto"/>
              <w:right w:val="nil"/>
            </w:tcBorders>
          </w:tcPr>
          <w:p w14:paraId="25A98B51" w14:textId="77777777" w:rsidR="00244862" w:rsidRPr="00053EE3" w:rsidRDefault="00053EE3" w:rsidP="00053EE3">
            <w:pPr>
              <w:jc w:val="center"/>
              <w:rPr>
                <w:vertAlign w:val="superscript"/>
              </w:rPr>
            </w:pPr>
            <w:r>
              <w:t>χ</w:t>
            </w:r>
            <w:r>
              <w:rPr>
                <w:vertAlign w:val="superscript"/>
              </w:rPr>
              <w:t>2</w:t>
            </w:r>
          </w:p>
        </w:tc>
      </w:tr>
      <w:tr w:rsidR="00E83583" w14:paraId="4B34C6BE" w14:textId="77777777" w:rsidTr="003E6DB4">
        <w:trPr>
          <w:trHeight w:val="269"/>
        </w:trPr>
        <w:tc>
          <w:tcPr>
            <w:tcW w:w="4395" w:type="dxa"/>
            <w:tcBorders>
              <w:top w:val="single" w:sz="4" w:space="0" w:color="auto"/>
              <w:left w:val="nil"/>
              <w:bottom w:val="nil"/>
              <w:right w:val="nil"/>
            </w:tcBorders>
          </w:tcPr>
          <w:p w14:paraId="18D56CA4" w14:textId="77777777" w:rsidR="00E83583" w:rsidRDefault="00E83583" w:rsidP="00EF4CF5">
            <w:pPr>
              <w:pStyle w:val="NoSpacing"/>
              <w:rPr>
                <w:rFonts w:ascii="Times New Roman" w:hAnsi="Times New Roman" w:cs="Times New Roman"/>
                <w:sz w:val="24"/>
                <w:szCs w:val="24"/>
              </w:rPr>
            </w:pPr>
          </w:p>
          <w:p w14:paraId="4EB587D9" w14:textId="77777777" w:rsidR="00E02CE5" w:rsidRPr="00E02CE5" w:rsidRDefault="00E02CE5" w:rsidP="00EF4CF5">
            <w:pPr>
              <w:pStyle w:val="NoSpacing"/>
              <w:rPr>
                <w:rFonts w:ascii="Times New Roman" w:hAnsi="Times New Roman" w:cs="Times New Roman"/>
                <w:i/>
                <w:iCs/>
                <w:sz w:val="24"/>
                <w:szCs w:val="24"/>
              </w:rPr>
            </w:pPr>
            <w:r w:rsidRPr="00E02CE5">
              <w:rPr>
                <w:rFonts w:ascii="Times New Roman" w:hAnsi="Times New Roman" w:cs="Times New Roman"/>
                <w:i/>
                <w:iCs/>
                <w:sz w:val="24"/>
                <w:szCs w:val="24"/>
              </w:rPr>
              <w:t>Actuarial VRA Tools</w:t>
            </w:r>
          </w:p>
        </w:tc>
        <w:tc>
          <w:tcPr>
            <w:tcW w:w="1985" w:type="dxa"/>
            <w:tcBorders>
              <w:top w:val="single" w:sz="4" w:space="0" w:color="auto"/>
              <w:left w:val="nil"/>
              <w:bottom w:val="nil"/>
              <w:right w:val="nil"/>
            </w:tcBorders>
          </w:tcPr>
          <w:p w14:paraId="2529797C" w14:textId="77777777" w:rsidR="00E83583" w:rsidRDefault="00E83583" w:rsidP="00113F5A">
            <w:pPr>
              <w:pStyle w:val="NoSpacing"/>
              <w:jc w:val="center"/>
              <w:rPr>
                <w:rFonts w:ascii="Times New Roman" w:hAnsi="Times New Roman" w:cs="Times New Roman"/>
                <w:sz w:val="24"/>
                <w:szCs w:val="24"/>
              </w:rPr>
            </w:pPr>
          </w:p>
        </w:tc>
        <w:tc>
          <w:tcPr>
            <w:tcW w:w="2410" w:type="dxa"/>
            <w:tcBorders>
              <w:top w:val="single" w:sz="4" w:space="0" w:color="auto"/>
              <w:left w:val="nil"/>
              <w:bottom w:val="nil"/>
              <w:right w:val="nil"/>
            </w:tcBorders>
          </w:tcPr>
          <w:p w14:paraId="432641DE" w14:textId="77777777" w:rsidR="00E83583" w:rsidRDefault="00E83583" w:rsidP="00113F5A">
            <w:pPr>
              <w:pStyle w:val="NoSpacing"/>
              <w:jc w:val="center"/>
              <w:rPr>
                <w:rFonts w:ascii="Times New Roman" w:hAnsi="Times New Roman" w:cs="Times New Roman"/>
                <w:sz w:val="24"/>
                <w:szCs w:val="24"/>
              </w:rPr>
            </w:pPr>
          </w:p>
        </w:tc>
        <w:tc>
          <w:tcPr>
            <w:tcW w:w="1417" w:type="dxa"/>
            <w:tcBorders>
              <w:top w:val="single" w:sz="4" w:space="0" w:color="auto"/>
              <w:left w:val="nil"/>
              <w:bottom w:val="nil"/>
              <w:right w:val="nil"/>
            </w:tcBorders>
          </w:tcPr>
          <w:p w14:paraId="2DB9C7DA" w14:textId="77777777" w:rsidR="00E83583" w:rsidRDefault="00E83583" w:rsidP="00113F5A">
            <w:pPr>
              <w:jc w:val="center"/>
            </w:pPr>
          </w:p>
        </w:tc>
      </w:tr>
      <w:tr w:rsidR="00354643" w14:paraId="639CC0F0" w14:textId="77777777" w:rsidTr="003E6DB4">
        <w:trPr>
          <w:trHeight w:val="269"/>
        </w:trPr>
        <w:tc>
          <w:tcPr>
            <w:tcW w:w="4395" w:type="dxa"/>
            <w:tcBorders>
              <w:top w:val="nil"/>
              <w:left w:val="nil"/>
              <w:bottom w:val="nil"/>
              <w:right w:val="nil"/>
            </w:tcBorders>
          </w:tcPr>
          <w:p w14:paraId="42B94AFA" w14:textId="77777777" w:rsidR="00354643" w:rsidRPr="00EF4CF5" w:rsidRDefault="00354643" w:rsidP="00016BDB">
            <w:pPr>
              <w:pStyle w:val="NoSpacing"/>
              <w:ind w:left="608"/>
              <w:rPr>
                <w:rFonts w:ascii="Times New Roman" w:hAnsi="Times New Roman" w:cs="Times New Roman"/>
                <w:sz w:val="24"/>
                <w:szCs w:val="24"/>
              </w:rPr>
            </w:pPr>
            <w:r>
              <w:rPr>
                <w:rFonts w:ascii="Times New Roman" w:hAnsi="Times New Roman" w:cs="Times New Roman"/>
                <w:sz w:val="24"/>
                <w:szCs w:val="24"/>
              </w:rPr>
              <w:t>Psychopathy Checklist-Revised (PCL-R)</w:t>
            </w:r>
          </w:p>
        </w:tc>
        <w:tc>
          <w:tcPr>
            <w:tcW w:w="1985" w:type="dxa"/>
            <w:tcBorders>
              <w:top w:val="nil"/>
              <w:left w:val="nil"/>
              <w:bottom w:val="nil"/>
              <w:right w:val="nil"/>
            </w:tcBorders>
          </w:tcPr>
          <w:p w14:paraId="597E3E7F" w14:textId="77777777" w:rsidR="00354643" w:rsidRDefault="00354643" w:rsidP="00354643">
            <w:pPr>
              <w:pStyle w:val="NoSpacing"/>
              <w:jc w:val="center"/>
              <w:rPr>
                <w:rFonts w:ascii="Times New Roman" w:hAnsi="Times New Roman" w:cs="Times New Roman"/>
                <w:sz w:val="24"/>
                <w:szCs w:val="24"/>
              </w:rPr>
            </w:pPr>
            <w:r>
              <w:rPr>
                <w:rFonts w:ascii="Times New Roman" w:hAnsi="Times New Roman" w:cs="Times New Roman"/>
                <w:sz w:val="24"/>
                <w:szCs w:val="24"/>
              </w:rPr>
              <w:t>38.1 (32)</w:t>
            </w:r>
          </w:p>
        </w:tc>
        <w:tc>
          <w:tcPr>
            <w:tcW w:w="2410" w:type="dxa"/>
            <w:tcBorders>
              <w:top w:val="nil"/>
              <w:left w:val="nil"/>
              <w:bottom w:val="nil"/>
              <w:right w:val="nil"/>
            </w:tcBorders>
          </w:tcPr>
          <w:p w14:paraId="5B307AA2" w14:textId="77777777" w:rsidR="00354643" w:rsidRDefault="00354643" w:rsidP="00354643">
            <w:pPr>
              <w:pStyle w:val="NoSpacing"/>
              <w:jc w:val="center"/>
              <w:rPr>
                <w:rFonts w:ascii="Times New Roman" w:hAnsi="Times New Roman" w:cs="Times New Roman"/>
                <w:sz w:val="24"/>
                <w:szCs w:val="24"/>
              </w:rPr>
            </w:pPr>
            <w:r>
              <w:rPr>
                <w:rFonts w:ascii="Times New Roman" w:hAnsi="Times New Roman" w:cs="Times New Roman"/>
                <w:sz w:val="24"/>
                <w:szCs w:val="24"/>
              </w:rPr>
              <w:t>68.5 (89)</w:t>
            </w:r>
          </w:p>
        </w:tc>
        <w:tc>
          <w:tcPr>
            <w:tcW w:w="1417" w:type="dxa"/>
            <w:tcBorders>
              <w:top w:val="nil"/>
              <w:left w:val="nil"/>
              <w:bottom w:val="nil"/>
              <w:right w:val="nil"/>
            </w:tcBorders>
          </w:tcPr>
          <w:p w14:paraId="6DDD734A" w14:textId="77777777" w:rsidR="00354643" w:rsidRDefault="00354643" w:rsidP="00354643">
            <w:pPr>
              <w:jc w:val="center"/>
            </w:pPr>
            <w:r>
              <w:t xml:space="preserve">  21.07**</w:t>
            </w:r>
          </w:p>
        </w:tc>
      </w:tr>
      <w:tr w:rsidR="00354643" w14:paraId="5B829B60" w14:textId="77777777" w:rsidTr="003E6DB4">
        <w:trPr>
          <w:trHeight w:val="269"/>
        </w:trPr>
        <w:tc>
          <w:tcPr>
            <w:tcW w:w="4395" w:type="dxa"/>
            <w:tcBorders>
              <w:top w:val="nil"/>
              <w:left w:val="nil"/>
              <w:bottom w:val="nil"/>
              <w:right w:val="nil"/>
            </w:tcBorders>
            <w:hideMark/>
          </w:tcPr>
          <w:p w14:paraId="0FA29620" w14:textId="77777777" w:rsidR="00354643" w:rsidRPr="00EF4CF5" w:rsidRDefault="00354643" w:rsidP="00016BDB">
            <w:pPr>
              <w:pStyle w:val="NoSpacing"/>
              <w:ind w:left="608"/>
              <w:rPr>
                <w:rFonts w:ascii="Times New Roman" w:hAnsi="Times New Roman" w:cs="Times New Roman"/>
                <w:sz w:val="24"/>
                <w:szCs w:val="24"/>
              </w:rPr>
            </w:pPr>
            <w:r w:rsidRPr="00EF4CF5">
              <w:rPr>
                <w:rFonts w:ascii="Times New Roman" w:hAnsi="Times New Roman" w:cs="Times New Roman"/>
                <w:sz w:val="24"/>
                <w:szCs w:val="24"/>
              </w:rPr>
              <w:t>Violence Risk Appraisal Guide</w:t>
            </w:r>
            <w:r>
              <w:rPr>
                <w:rFonts w:ascii="Times New Roman" w:hAnsi="Times New Roman" w:cs="Times New Roman"/>
                <w:sz w:val="24"/>
                <w:szCs w:val="24"/>
              </w:rPr>
              <w:t xml:space="preserve"> (VRAG)</w:t>
            </w:r>
          </w:p>
        </w:tc>
        <w:tc>
          <w:tcPr>
            <w:tcW w:w="1985" w:type="dxa"/>
            <w:tcBorders>
              <w:top w:val="nil"/>
              <w:left w:val="nil"/>
              <w:bottom w:val="nil"/>
              <w:right w:val="nil"/>
            </w:tcBorders>
          </w:tcPr>
          <w:p w14:paraId="6B66026B" w14:textId="77777777" w:rsidR="00354643" w:rsidRPr="00EF4CF5" w:rsidRDefault="00354643" w:rsidP="00354643">
            <w:pPr>
              <w:pStyle w:val="NoSpacing"/>
              <w:jc w:val="center"/>
              <w:rPr>
                <w:rFonts w:ascii="Times New Roman" w:hAnsi="Times New Roman" w:cs="Times New Roman"/>
                <w:sz w:val="24"/>
                <w:szCs w:val="24"/>
              </w:rPr>
            </w:pPr>
            <w:r>
              <w:rPr>
                <w:rFonts w:ascii="Times New Roman" w:hAnsi="Times New Roman" w:cs="Times New Roman"/>
                <w:sz w:val="24"/>
                <w:szCs w:val="24"/>
              </w:rPr>
              <w:t>34.5 (29)</w:t>
            </w:r>
          </w:p>
        </w:tc>
        <w:tc>
          <w:tcPr>
            <w:tcW w:w="2410" w:type="dxa"/>
            <w:tcBorders>
              <w:top w:val="nil"/>
              <w:left w:val="nil"/>
              <w:bottom w:val="nil"/>
              <w:right w:val="nil"/>
            </w:tcBorders>
          </w:tcPr>
          <w:p w14:paraId="4377B6EF" w14:textId="77777777" w:rsidR="00354643" w:rsidRPr="00EF4CF5" w:rsidRDefault="00354643" w:rsidP="00354643">
            <w:pPr>
              <w:pStyle w:val="NoSpacing"/>
              <w:jc w:val="center"/>
              <w:rPr>
                <w:rFonts w:ascii="Times New Roman" w:hAnsi="Times New Roman" w:cs="Times New Roman"/>
                <w:sz w:val="24"/>
                <w:szCs w:val="24"/>
              </w:rPr>
            </w:pPr>
            <w:r>
              <w:rPr>
                <w:rFonts w:ascii="Times New Roman" w:hAnsi="Times New Roman" w:cs="Times New Roman"/>
                <w:sz w:val="24"/>
                <w:szCs w:val="24"/>
              </w:rPr>
              <w:t>50.0 (65)</w:t>
            </w:r>
          </w:p>
        </w:tc>
        <w:tc>
          <w:tcPr>
            <w:tcW w:w="1417" w:type="dxa"/>
            <w:tcBorders>
              <w:top w:val="nil"/>
              <w:left w:val="nil"/>
              <w:bottom w:val="nil"/>
              <w:right w:val="nil"/>
            </w:tcBorders>
          </w:tcPr>
          <w:p w14:paraId="62B1D699" w14:textId="77777777" w:rsidR="00354643" w:rsidRPr="00EF4CF5" w:rsidRDefault="00354643" w:rsidP="00354643">
            <w:pPr>
              <w:jc w:val="center"/>
            </w:pPr>
            <w:r>
              <w:t>4.85*</w:t>
            </w:r>
          </w:p>
        </w:tc>
      </w:tr>
      <w:tr w:rsidR="00354643" w14:paraId="679F5D93" w14:textId="77777777" w:rsidTr="003E6DB4">
        <w:trPr>
          <w:trHeight w:val="273"/>
        </w:trPr>
        <w:tc>
          <w:tcPr>
            <w:tcW w:w="4395" w:type="dxa"/>
            <w:tcBorders>
              <w:top w:val="nil"/>
              <w:left w:val="nil"/>
              <w:bottom w:val="nil"/>
              <w:right w:val="nil"/>
            </w:tcBorders>
          </w:tcPr>
          <w:p w14:paraId="3C8F8C04" w14:textId="77777777" w:rsidR="00354643" w:rsidRDefault="00354643" w:rsidP="00016BDB">
            <w:pPr>
              <w:ind w:left="608"/>
            </w:pPr>
            <w:r>
              <w:t>Static-99/Static-99R</w:t>
            </w:r>
          </w:p>
        </w:tc>
        <w:tc>
          <w:tcPr>
            <w:tcW w:w="1985" w:type="dxa"/>
            <w:tcBorders>
              <w:top w:val="nil"/>
              <w:left w:val="nil"/>
              <w:bottom w:val="nil"/>
              <w:right w:val="nil"/>
            </w:tcBorders>
          </w:tcPr>
          <w:p w14:paraId="69FB3CA2" w14:textId="77777777" w:rsidR="00354643" w:rsidRPr="00A94C97" w:rsidRDefault="00354643" w:rsidP="00354643">
            <w:pPr>
              <w:pStyle w:val="NoSpacing"/>
              <w:jc w:val="center"/>
              <w:rPr>
                <w:rFonts w:ascii="Times New Roman" w:hAnsi="Times New Roman" w:cs="Times New Roman"/>
                <w:sz w:val="24"/>
                <w:szCs w:val="24"/>
              </w:rPr>
            </w:pPr>
            <w:r w:rsidRPr="00A94C97">
              <w:rPr>
                <w:rFonts w:ascii="Times New Roman" w:hAnsi="Times New Roman" w:cs="Times New Roman"/>
                <w:sz w:val="24"/>
                <w:szCs w:val="24"/>
              </w:rPr>
              <w:t>34.5 (29)</w:t>
            </w:r>
          </w:p>
        </w:tc>
        <w:tc>
          <w:tcPr>
            <w:tcW w:w="2410" w:type="dxa"/>
            <w:tcBorders>
              <w:top w:val="nil"/>
              <w:left w:val="nil"/>
              <w:bottom w:val="nil"/>
              <w:right w:val="nil"/>
            </w:tcBorders>
          </w:tcPr>
          <w:p w14:paraId="6652021E" w14:textId="77777777" w:rsidR="00354643" w:rsidRPr="00A94C97" w:rsidRDefault="00354643" w:rsidP="00354643">
            <w:pPr>
              <w:pStyle w:val="NoSpacing"/>
              <w:jc w:val="center"/>
              <w:rPr>
                <w:rFonts w:ascii="Times New Roman" w:hAnsi="Times New Roman" w:cs="Times New Roman"/>
                <w:sz w:val="24"/>
                <w:szCs w:val="24"/>
              </w:rPr>
            </w:pPr>
            <w:r w:rsidRPr="00A94C97">
              <w:rPr>
                <w:rFonts w:ascii="Times New Roman" w:hAnsi="Times New Roman" w:cs="Times New Roman"/>
                <w:sz w:val="24"/>
                <w:szCs w:val="24"/>
              </w:rPr>
              <w:t>46.2 (60)</w:t>
            </w:r>
          </w:p>
        </w:tc>
        <w:tc>
          <w:tcPr>
            <w:tcW w:w="1417" w:type="dxa"/>
            <w:tcBorders>
              <w:top w:val="nil"/>
              <w:left w:val="nil"/>
              <w:bottom w:val="nil"/>
              <w:right w:val="nil"/>
            </w:tcBorders>
          </w:tcPr>
          <w:p w14:paraId="73282EFC" w14:textId="77777777" w:rsidR="00354643" w:rsidRPr="00A94C97" w:rsidRDefault="00354643" w:rsidP="00354643">
            <w:pPr>
              <w:jc w:val="center"/>
            </w:pPr>
            <w:r w:rsidRPr="00A94C97">
              <w:t>.14</w:t>
            </w:r>
          </w:p>
        </w:tc>
      </w:tr>
      <w:tr w:rsidR="00354643" w14:paraId="1A573E4E" w14:textId="77777777" w:rsidTr="003E6DB4">
        <w:trPr>
          <w:trHeight w:val="273"/>
        </w:trPr>
        <w:tc>
          <w:tcPr>
            <w:tcW w:w="4395" w:type="dxa"/>
            <w:tcBorders>
              <w:top w:val="nil"/>
              <w:left w:val="nil"/>
              <w:bottom w:val="nil"/>
              <w:right w:val="nil"/>
            </w:tcBorders>
            <w:hideMark/>
          </w:tcPr>
          <w:p w14:paraId="67D5BD1F" w14:textId="77777777" w:rsidR="00354643" w:rsidRPr="00EF4CF5" w:rsidRDefault="00354643" w:rsidP="00016BDB">
            <w:pPr>
              <w:pStyle w:val="NoSpacing"/>
              <w:ind w:left="608"/>
              <w:rPr>
                <w:rFonts w:ascii="Times New Roman" w:hAnsi="Times New Roman" w:cs="Times New Roman"/>
                <w:sz w:val="24"/>
                <w:szCs w:val="24"/>
              </w:rPr>
            </w:pPr>
            <w:r>
              <w:rPr>
                <w:rFonts w:ascii="Times New Roman" w:hAnsi="Times New Roman" w:cs="Times New Roman"/>
                <w:sz w:val="24"/>
                <w:szCs w:val="24"/>
              </w:rPr>
              <w:t>Sex Offender Risk Appraisal Guide (SORAG)</w:t>
            </w:r>
          </w:p>
        </w:tc>
        <w:tc>
          <w:tcPr>
            <w:tcW w:w="1985" w:type="dxa"/>
            <w:tcBorders>
              <w:top w:val="nil"/>
              <w:left w:val="nil"/>
              <w:bottom w:val="nil"/>
              <w:right w:val="nil"/>
            </w:tcBorders>
          </w:tcPr>
          <w:p w14:paraId="0DC53D9C" w14:textId="77777777" w:rsidR="00354643" w:rsidRPr="00EF4CF5" w:rsidRDefault="00354643" w:rsidP="00354643">
            <w:pPr>
              <w:pStyle w:val="NoSpacing"/>
              <w:jc w:val="center"/>
              <w:rPr>
                <w:rFonts w:ascii="Times New Roman" w:hAnsi="Times New Roman" w:cs="Times New Roman"/>
                <w:sz w:val="24"/>
                <w:szCs w:val="24"/>
              </w:rPr>
            </w:pPr>
            <w:r>
              <w:rPr>
                <w:rFonts w:ascii="Times New Roman" w:hAnsi="Times New Roman" w:cs="Times New Roman"/>
                <w:sz w:val="24"/>
                <w:szCs w:val="24"/>
              </w:rPr>
              <w:t>21.4 (18)</w:t>
            </w:r>
          </w:p>
        </w:tc>
        <w:tc>
          <w:tcPr>
            <w:tcW w:w="2410" w:type="dxa"/>
            <w:tcBorders>
              <w:top w:val="nil"/>
              <w:left w:val="nil"/>
              <w:bottom w:val="nil"/>
              <w:right w:val="nil"/>
            </w:tcBorders>
          </w:tcPr>
          <w:p w14:paraId="62D93A00" w14:textId="77777777" w:rsidR="00354643" w:rsidRPr="00EF4CF5" w:rsidRDefault="00354643" w:rsidP="00354643">
            <w:pPr>
              <w:pStyle w:val="NoSpacing"/>
              <w:jc w:val="center"/>
              <w:rPr>
                <w:rFonts w:ascii="Times New Roman" w:hAnsi="Times New Roman" w:cs="Times New Roman"/>
                <w:sz w:val="24"/>
                <w:szCs w:val="24"/>
              </w:rPr>
            </w:pPr>
            <w:r>
              <w:rPr>
                <w:rFonts w:ascii="Times New Roman" w:hAnsi="Times New Roman" w:cs="Times New Roman"/>
                <w:sz w:val="24"/>
                <w:szCs w:val="24"/>
              </w:rPr>
              <w:t>35.4 (46)</w:t>
            </w:r>
          </w:p>
        </w:tc>
        <w:tc>
          <w:tcPr>
            <w:tcW w:w="1417" w:type="dxa"/>
            <w:tcBorders>
              <w:top w:val="nil"/>
              <w:left w:val="nil"/>
              <w:bottom w:val="nil"/>
              <w:right w:val="nil"/>
            </w:tcBorders>
          </w:tcPr>
          <w:p w14:paraId="4292F1E9" w14:textId="77777777" w:rsidR="00354643" w:rsidRPr="00EF4CF5" w:rsidRDefault="00354643" w:rsidP="00354643">
            <w:pPr>
              <w:jc w:val="center"/>
            </w:pPr>
            <w:r>
              <w:t xml:space="preserve"> 4.89*</w:t>
            </w:r>
          </w:p>
        </w:tc>
      </w:tr>
      <w:tr w:rsidR="00354643" w14:paraId="580E8CC0" w14:textId="77777777" w:rsidTr="003E6DB4">
        <w:trPr>
          <w:trHeight w:val="273"/>
        </w:trPr>
        <w:tc>
          <w:tcPr>
            <w:tcW w:w="4395" w:type="dxa"/>
            <w:tcBorders>
              <w:top w:val="nil"/>
              <w:left w:val="nil"/>
              <w:bottom w:val="nil"/>
              <w:right w:val="nil"/>
            </w:tcBorders>
          </w:tcPr>
          <w:p w14:paraId="1FFDF4D4" w14:textId="77777777" w:rsidR="00354643" w:rsidRDefault="00354643" w:rsidP="00016BDB">
            <w:pPr>
              <w:ind w:left="608"/>
              <w:jc w:val="both"/>
            </w:pPr>
            <w:r>
              <w:t>Violence Risk Scale (VRS)</w:t>
            </w:r>
          </w:p>
        </w:tc>
        <w:tc>
          <w:tcPr>
            <w:tcW w:w="1985" w:type="dxa"/>
            <w:tcBorders>
              <w:top w:val="nil"/>
              <w:left w:val="nil"/>
              <w:bottom w:val="nil"/>
              <w:right w:val="nil"/>
            </w:tcBorders>
          </w:tcPr>
          <w:p w14:paraId="6CA62F39" w14:textId="77777777" w:rsidR="00354643" w:rsidRPr="00354643" w:rsidRDefault="00354643" w:rsidP="00354643">
            <w:pPr>
              <w:pStyle w:val="NoSpacing"/>
              <w:jc w:val="center"/>
              <w:rPr>
                <w:rFonts w:ascii="Times New Roman" w:hAnsi="Times New Roman" w:cs="Times New Roman"/>
                <w:sz w:val="24"/>
                <w:szCs w:val="24"/>
              </w:rPr>
            </w:pPr>
            <w:r w:rsidRPr="00354643">
              <w:rPr>
                <w:rFonts w:ascii="Times New Roman" w:hAnsi="Times New Roman" w:cs="Times New Roman"/>
                <w:sz w:val="24"/>
                <w:szCs w:val="24"/>
              </w:rPr>
              <w:t>5.9 (5)</w:t>
            </w:r>
          </w:p>
        </w:tc>
        <w:tc>
          <w:tcPr>
            <w:tcW w:w="2410" w:type="dxa"/>
            <w:tcBorders>
              <w:top w:val="nil"/>
              <w:left w:val="nil"/>
              <w:bottom w:val="nil"/>
              <w:right w:val="nil"/>
            </w:tcBorders>
          </w:tcPr>
          <w:p w14:paraId="3E6E7F1D" w14:textId="77777777" w:rsidR="00354643" w:rsidRPr="00354643" w:rsidRDefault="00354643" w:rsidP="00354643">
            <w:pPr>
              <w:pStyle w:val="NoSpacing"/>
              <w:jc w:val="center"/>
              <w:rPr>
                <w:rFonts w:ascii="Times New Roman" w:hAnsi="Times New Roman" w:cs="Times New Roman"/>
                <w:sz w:val="24"/>
                <w:szCs w:val="24"/>
              </w:rPr>
            </w:pPr>
            <w:r w:rsidRPr="00354643">
              <w:rPr>
                <w:rFonts w:ascii="Times New Roman" w:hAnsi="Times New Roman" w:cs="Times New Roman"/>
                <w:sz w:val="24"/>
                <w:szCs w:val="24"/>
              </w:rPr>
              <w:t>2.3 (3)</w:t>
            </w:r>
          </w:p>
        </w:tc>
        <w:tc>
          <w:tcPr>
            <w:tcW w:w="1417" w:type="dxa"/>
            <w:tcBorders>
              <w:top w:val="nil"/>
              <w:left w:val="nil"/>
              <w:bottom w:val="nil"/>
              <w:right w:val="nil"/>
            </w:tcBorders>
          </w:tcPr>
          <w:p w14:paraId="300F5A78" w14:textId="77777777" w:rsidR="00354643" w:rsidRDefault="00354643" w:rsidP="00354643">
            <w:pPr>
              <w:jc w:val="center"/>
            </w:pPr>
            <w:r>
              <w:t>2.00</w:t>
            </w:r>
          </w:p>
        </w:tc>
      </w:tr>
      <w:tr w:rsidR="00CC3A33" w14:paraId="5F1648FE" w14:textId="77777777" w:rsidTr="003E6DB4">
        <w:trPr>
          <w:trHeight w:val="273"/>
        </w:trPr>
        <w:tc>
          <w:tcPr>
            <w:tcW w:w="4395" w:type="dxa"/>
            <w:tcBorders>
              <w:top w:val="nil"/>
              <w:left w:val="nil"/>
              <w:bottom w:val="nil"/>
              <w:right w:val="nil"/>
            </w:tcBorders>
          </w:tcPr>
          <w:p w14:paraId="413A95D0" w14:textId="77777777" w:rsidR="00CC3A33" w:rsidRDefault="00CC3A33" w:rsidP="00016BDB">
            <w:pPr>
              <w:ind w:left="608"/>
            </w:pPr>
            <w:r>
              <w:t>Level of Service/Case Management Inventory (LS/CMI)</w:t>
            </w:r>
          </w:p>
        </w:tc>
        <w:tc>
          <w:tcPr>
            <w:tcW w:w="1985" w:type="dxa"/>
            <w:tcBorders>
              <w:top w:val="nil"/>
              <w:left w:val="nil"/>
              <w:bottom w:val="nil"/>
              <w:right w:val="nil"/>
            </w:tcBorders>
          </w:tcPr>
          <w:p w14:paraId="7F923442" w14:textId="77777777" w:rsidR="00CC3A33" w:rsidRPr="00CC3A33" w:rsidRDefault="00CC3A33" w:rsidP="00CC3A33">
            <w:pPr>
              <w:pStyle w:val="NoSpacing"/>
              <w:jc w:val="center"/>
              <w:rPr>
                <w:rFonts w:ascii="Times New Roman" w:hAnsi="Times New Roman" w:cs="Times New Roman"/>
                <w:sz w:val="24"/>
                <w:szCs w:val="24"/>
              </w:rPr>
            </w:pPr>
            <w:r w:rsidRPr="00CC3A33">
              <w:rPr>
                <w:rFonts w:ascii="Times New Roman" w:hAnsi="Times New Roman" w:cs="Times New Roman"/>
                <w:sz w:val="24"/>
                <w:szCs w:val="24"/>
              </w:rPr>
              <w:t>4.8 (4)</w:t>
            </w:r>
          </w:p>
        </w:tc>
        <w:tc>
          <w:tcPr>
            <w:tcW w:w="2410" w:type="dxa"/>
            <w:tcBorders>
              <w:top w:val="nil"/>
              <w:left w:val="nil"/>
              <w:bottom w:val="nil"/>
              <w:right w:val="nil"/>
            </w:tcBorders>
          </w:tcPr>
          <w:p w14:paraId="26EBD72B" w14:textId="77777777" w:rsidR="00CC3A33" w:rsidRPr="00CC3A33" w:rsidRDefault="00CC3A33" w:rsidP="00CC3A33">
            <w:pPr>
              <w:pStyle w:val="NoSpacing"/>
              <w:jc w:val="center"/>
              <w:rPr>
                <w:rFonts w:ascii="Times New Roman" w:hAnsi="Times New Roman" w:cs="Times New Roman"/>
                <w:sz w:val="24"/>
                <w:szCs w:val="24"/>
              </w:rPr>
            </w:pPr>
            <w:r w:rsidRPr="00CC3A33">
              <w:rPr>
                <w:rFonts w:ascii="Times New Roman" w:hAnsi="Times New Roman" w:cs="Times New Roman"/>
                <w:sz w:val="24"/>
                <w:szCs w:val="24"/>
              </w:rPr>
              <w:t>1.5 (2)</w:t>
            </w:r>
          </w:p>
        </w:tc>
        <w:tc>
          <w:tcPr>
            <w:tcW w:w="1417" w:type="dxa"/>
            <w:tcBorders>
              <w:top w:val="nil"/>
              <w:left w:val="nil"/>
              <w:bottom w:val="nil"/>
              <w:right w:val="nil"/>
            </w:tcBorders>
          </w:tcPr>
          <w:p w14:paraId="40AA4498" w14:textId="77777777" w:rsidR="00CC3A33" w:rsidRDefault="00CC3A33" w:rsidP="00CC3A33">
            <w:pPr>
              <w:jc w:val="center"/>
            </w:pPr>
            <w:r>
              <w:t>2.09</w:t>
            </w:r>
          </w:p>
        </w:tc>
      </w:tr>
      <w:tr w:rsidR="00CC3A33" w14:paraId="56DBADD7" w14:textId="77777777" w:rsidTr="003E6DB4">
        <w:trPr>
          <w:trHeight w:val="273"/>
        </w:trPr>
        <w:tc>
          <w:tcPr>
            <w:tcW w:w="4395" w:type="dxa"/>
            <w:tcBorders>
              <w:top w:val="nil"/>
              <w:left w:val="nil"/>
              <w:bottom w:val="nil"/>
              <w:right w:val="nil"/>
            </w:tcBorders>
          </w:tcPr>
          <w:p w14:paraId="74FB26F1" w14:textId="77777777" w:rsidR="00CC3A33" w:rsidRDefault="00CC3A33" w:rsidP="00016BDB">
            <w:pPr>
              <w:ind w:left="608"/>
              <w:jc w:val="both"/>
            </w:pPr>
            <w:r>
              <w:t xml:space="preserve">Level of Service Inventory-Revised </w:t>
            </w:r>
          </w:p>
          <w:p w14:paraId="6211D041" w14:textId="77777777" w:rsidR="00CC3A33" w:rsidRDefault="00CC3A33" w:rsidP="00016BDB">
            <w:pPr>
              <w:ind w:left="608"/>
              <w:jc w:val="both"/>
            </w:pPr>
            <w:r>
              <w:t>(LSI-R)</w:t>
            </w:r>
          </w:p>
        </w:tc>
        <w:tc>
          <w:tcPr>
            <w:tcW w:w="1985" w:type="dxa"/>
            <w:tcBorders>
              <w:top w:val="nil"/>
              <w:left w:val="nil"/>
              <w:bottom w:val="nil"/>
              <w:right w:val="nil"/>
            </w:tcBorders>
          </w:tcPr>
          <w:p w14:paraId="606F2C3F" w14:textId="77777777" w:rsidR="00CC3A33" w:rsidRPr="00CC3A33" w:rsidRDefault="00CC3A33" w:rsidP="00CC3A33">
            <w:pPr>
              <w:pStyle w:val="NoSpacing"/>
              <w:jc w:val="center"/>
              <w:rPr>
                <w:rFonts w:ascii="Times New Roman" w:hAnsi="Times New Roman" w:cs="Times New Roman"/>
                <w:sz w:val="24"/>
                <w:szCs w:val="24"/>
              </w:rPr>
            </w:pPr>
            <w:r w:rsidRPr="00CC3A33">
              <w:rPr>
                <w:rFonts w:ascii="Times New Roman" w:hAnsi="Times New Roman" w:cs="Times New Roman"/>
                <w:sz w:val="24"/>
                <w:szCs w:val="24"/>
              </w:rPr>
              <w:t>2.3 (2)</w:t>
            </w:r>
          </w:p>
        </w:tc>
        <w:tc>
          <w:tcPr>
            <w:tcW w:w="2410" w:type="dxa"/>
            <w:tcBorders>
              <w:top w:val="nil"/>
              <w:left w:val="nil"/>
              <w:bottom w:val="nil"/>
              <w:right w:val="nil"/>
            </w:tcBorders>
          </w:tcPr>
          <w:p w14:paraId="2401568A" w14:textId="77777777" w:rsidR="00CC3A33" w:rsidRPr="00CC3A33" w:rsidRDefault="00CC3A33" w:rsidP="00CC3A33">
            <w:pPr>
              <w:pStyle w:val="NoSpacing"/>
              <w:jc w:val="center"/>
              <w:rPr>
                <w:rFonts w:ascii="Times New Roman" w:hAnsi="Times New Roman" w:cs="Times New Roman"/>
                <w:sz w:val="24"/>
                <w:szCs w:val="24"/>
              </w:rPr>
            </w:pPr>
            <w:r w:rsidRPr="00CC3A33">
              <w:rPr>
                <w:rFonts w:ascii="Times New Roman" w:hAnsi="Times New Roman" w:cs="Times New Roman"/>
                <w:sz w:val="24"/>
                <w:szCs w:val="24"/>
              </w:rPr>
              <w:t>2.3 (3)</w:t>
            </w:r>
          </w:p>
        </w:tc>
        <w:tc>
          <w:tcPr>
            <w:tcW w:w="1417" w:type="dxa"/>
            <w:tcBorders>
              <w:top w:val="nil"/>
              <w:left w:val="nil"/>
              <w:bottom w:val="nil"/>
              <w:right w:val="nil"/>
            </w:tcBorders>
          </w:tcPr>
          <w:p w14:paraId="6261A3F4" w14:textId="77777777" w:rsidR="00CC3A33" w:rsidRDefault="00CC3A33" w:rsidP="00CC3A33">
            <w:pPr>
              <w:jc w:val="center"/>
            </w:pPr>
            <w:r>
              <w:t>.00</w:t>
            </w:r>
          </w:p>
        </w:tc>
      </w:tr>
      <w:tr w:rsidR="00CC3A33" w14:paraId="57C096BE" w14:textId="77777777" w:rsidTr="003E6DB4">
        <w:trPr>
          <w:trHeight w:val="273"/>
        </w:trPr>
        <w:tc>
          <w:tcPr>
            <w:tcW w:w="4395" w:type="dxa"/>
            <w:tcBorders>
              <w:top w:val="nil"/>
              <w:left w:val="nil"/>
              <w:bottom w:val="nil"/>
              <w:right w:val="nil"/>
            </w:tcBorders>
          </w:tcPr>
          <w:p w14:paraId="44A90804" w14:textId="77777777" w:rsidR="00CC3A33" w:rsidRDefault="00CC3A33" w:rsidP="00016BDB">
            <w:pPr>
              <w:ind w:left="608"/>
              <w:jc w:val="both"/>
            </w:pPr>
            <w:r>
              <w:t>Stable2007</w:t>
            </w:r>
          </w:p>
          <w:p w14:paraId="23A56569" w14:textId="77777777" w:rsidR="00CC3A33" w:rsidRDefault="00CC3A33" w:rsidP="00016BDB">
            <w:pPr>
              <w:pStyle w:val="NoSpacing"/>
              <w:ind w:left="608"/>
              <w:rPr>
                <w:rFonts w:ascii="Times New Roman" w:hAnsi="Times New Roman" w:cs="Times New Roman"/>
                <w:sz w:val="24"/>
                <w:szCs w:val="24"/>
              </w:rPr>
            </w:pPr>
          </w:p>
        </w:tc>
        <w:tc>
          <w:tcPr>
            <w:tcW w:w="1985" w:type="dxa"/>
            <w:tcBorders>
              <w:top w:val="nil"/>
              <w:left w:val="nil"/>
              <w:bottom w:val="nil"/>
              <w:right w:val="nil"/>
            </w:tcBorders>
          </w:tcPr>
          <w:p w14:paraId="1B302C76" w14:textId="77777777" w:rsidR="00CC3A33" w:rsidRPr="00CD0827" w:rsidRDefault="00CC3A33" w:rsidP="00CC3A33">
            <w:pPr>
              <w:pStyle w:val="NoSpacing"/>
              <w:jc w:val="center"/>
              <w:rPr>
                <w:rFonts w:ascii="Times New Roman" w:hAnsi="Times New Roman" w:cs="Times New Roman"/>
                <w:sz w:val="24"/>
                <w:szCs w:val="24"/>
              </w:rPr>
            </w:pPr>
            <w:r w:rsidRPr="00CD0827">
              <w:rPr>
                <w:rFonts w:ascii="Times New Roman" w:hAnsi="Times New Roman" w:cs="Times New Roman"/>
                <w:sz w:val="24"/>
                <w:szCs w:val="24"/>
              </w:rPr>
              <w:t>1.2 (1)</w:t>
            </w:r>
          </w:p>
        </w:tc>
        <w:tc>
          <w:tcPr>
            <w:tcW w:w="2410" w:type="dxa"/>
            <w:tcBorders>
              <w:top w:val="nil"/>
              <w:left w:val="nil"/>
              <w:bottom w:val="nil"/>
              <w:right w:val="nil"/>
            </w:tcBorders>
          </w:tcPr>
          <w:p w14:paraId="22267101" w14:textId="77777777" w:rsidR="00CC3A33" w:rsidRPr="00CD0827" w:rsidRDefault="00CC3A33" w:rsidP="00CC3A33">
            <w:pPr>
              <w:pStyle w:val="NoSpacing"/>
              <w:jc w:val="center"/>
              <w:rPr>
                <w:rFonts w:ascii="Times New Roman" w:hAnsi="Times New Roman" w:cs="Times New Roman"/>
                <w:sz w:val="24"/>
                <w:szCs w:val="24"/>
              </w:rPr>
            </w:pPr>
            <w:r w:rsidRPr="00CD0827">
              <w:rPr>
                <w:rFonts w:ascii="Times New Roman" w:hAnsi="Times New Roman" w:cs="Times New Roman"/>
                <w:sz w:val="24"/>
                <w:szCs w:val="24"/>
              </w:rPr>
              <w:t>0.0 (0)</w:t>
            </w:r>
          </w:p>
        </w:tc>
        <w:tc>
          <w:tcPr>
            <w:tcW w:w="1417" w:type="dxa"/>
            <w:tcBorders>
              <w:top w:val="nil"/>
              <w:left w:val="nil"/>
              <w:bottom w:val="nil"/>
              <w:right w:val="nil"/>
            </w:tcBorders>
          </w:tcPr>
          <w:p w14:paraId="37C9E770" w14:textId="77777777" w:rsidR="00CC3A33" w:rsidRDefault="00CC3A33" w:rsidP="00CC3A33">
            <w:pPr>
              <w:jc w:val="center"/>
            </w:pPr>
            <w:r>
              <w:t>1.61</w:t>
            </w:r>
          </w:p>
        </w:tc>
      </w:tr>
      <w:tr w:rsidR="00CC3A33" w14:paraId="6EB9DD6D" w14:textId="77777777" w:rsidTr="003E6DB4">
        <w:trPr>
          <w:trHeight w:val="273"/>
        </w:trPr>
        <w:tc>
          <w:tcPr>
            <w:tcW w:w="4395" w:type="dxa"/>
            <w:tcBorders>
              <w:top w:val="nil"/>
              <w:left w:val="nil"/>
              <w:bottom w:val="nil"/>
              <w:right w:val="nil"/>
            </w:tcBorders>
          </w:tcPr>
          <w:p w14:paraId="1263D5D0" w14:textId="77777777" w:rsidR="00CC3A33" w:rsidRDefault="00CC3A33" w:rsidP="00CC3A33">
            <w:pPr>
              <w:pStyle w:val="NoSpacing"/>
              <w:rPr>
                <w:rFonts w:ascii="Times New Roman" w:hAnsi="Times New Roman" w:cs="Times New Roman"/>
                <w:sz w:val="24"/>
                <w:szCs w:val="24"/>
              </w:rPr>
            </w:pPr>
          </w:p>
          <w:p w14:paraId="1B0E376D" w14:textId="230E62BF" w:rsidR="00CC3A33" w:rsidRPr="00372748" w:rsidRDefault="00CC3A33" w:rsidP="00CC3A33">
            <w:pPr>
              <w:pStyle w:val="NoSpacing"/>
              <w:rPr>
                <w:rFonts w:ascii="Times New Roman" w:hAnsi="Times New Roman" w:cs="Times New Roman"/>
                <w:i/>
                <w:iCs/>
                <w:sz w:val="24"/>
                <w:szCs w:val="24"/>
              </w:rPr>
            </w:pPr>
            <w:r w:rsidRPr="00372748">
              <w:rPr>
                <w:rFonts w:ascii="Times New Roman" w:hAnsi="Times New Roman" w:cs="Times New Roman"/>
                <w:i/>
                <w:iCs/>
                <w:sz w:val="24"/>
                <w:szCs w:val="24"/>
              </w:rPr>
              <w:t>Structured Professional Judgment VRA Tools</w:t>
            </w:r>
          </w:p>
        </w:tc>
        <w:tc>
          <w:tcPr>
            <w:tcW w:w="1985" w:type="dxa"/>
            <w:tcBorders>
              <w:top w:val="nil"/>
              <w:left w:val="nil"/>
              <w:bottom w:val="nil"/>
              <w:right w:val="nil"/>
            </w:tcBorders>
          </w:tcPr>
          <w:p w14:paraId="0B71002E" w14:textId="77777777" w:rsidR="00CC3A33" w:rsidRDefault="00CC3A33" w:rsidP="00CC3A33">
            <w:pPr>
              <w:pStyle w:val="NoSpacing"/>
              <w:jc w:val="center"/>
              <w:rPr>
                <w:rFonts w:ascii="Times New Roman" w:hAnsi="Times New Roman" w:cs="Times New Roman"/>
                <w:sz w:val="24"/>
                <w:szCs w:val="24"/>
              </w:rPr>
            </w:pPr>
          </w:p>
        </w:tc>
        <w:tc>
          <w:tcPr>
            <w:tcW w:w="2410" w:type="dxa"/>
            <w:tcBorders>
              <w:top w:val="nil"/>
              <w:left w:val="nil"/>
              <w:bottom w:val="nil"/>
              <w:right w:val="nil"/>
            </w:tcBorders>
          </w:tcPr>
          <w:p w14:paraId="0920A54E" w14:textId="77777777" w:rsidR="00CC3A33" w:rsidRDefault="00CC3A33" w:rsidP="00CC3A33">
            <w:pPr>
              <w:pStyle w:val="NoSpacing"/>
              <w:jc w:val="center"/>
              <w:rPr>
                <w:rFonts w:ascii="Times New Roman" w:hAnsi="Times New Roman" w:cs="Times New Roman"/>
                <w:sz w:val="24"/>
                <w:szCs w:val="24"/>
              </w:rPr>
            </w:pPr>
          </w:p>
        </w:tc>
        <w:tc>
          <w:tcPr>
            <w:tcW w:w="1417" w:type="dxa"/>
            <w:tcBorders>
              <w:top w:val="nil"/>
              <w:left w:val="nil"/>
              <w:bottom w:val="nil"/>
              <w:right w:val="nil"/>
            </w:tcBorders>
          </w:tcPr>
          <w:p w14:paraId="4472447A" w14:textId="77777777" w:rsidR="00CC3A33" w:rsidRDefault="00CC3A33" w:rsidP="00CC3A33">
            <w:pPr>
              <w:jc w:val="center"/>
            </w:pPr>
          </w:p>
        </w:tc>
      </w:tr>
      <w:tr w:rsidR="008C582E" w14:paraId="31DD68FB" w14:textId="77777777" w:rsidTr="003E6DB4">
        <w:trPr>
          <w:trHeight w:val="277"/>
        </w:trPr>
        <w:tc>
          <w:tcPr>
            <w:tcW w:w="4395" w:type="dxa"/>
            <w:tcBorders>
              <w:top w:val="nil"/>
              <w:left w:val="nil"/>
              <w:bottom w:val="nil"/>
              <w:right w:val="nil"/>
            </w:tcBorders>
          </w:tcPr>
          <w:p w14:paraId="6B708805" w14:textId="77777777" w:rsidR="008C582E" w:rsidRDefault="008C582E" w:rsidP="008C582E">
            <w:pPr>
              <w:ind w:left="608"/>
            </w:pPr>
            <w:r>
              <w:t>Historical, Clinical and Risk Management – 20 (V2) (HCR-20)</w:t>
            </w:r>
          </w:p>
        </w:tc>
        <w:tc>
          <w:tcPr>
            <w:tcW w:w="1985" w:type="dxa"/>
            <w:tcBorders>
              <w:top w:val="nil"/>
              <w:left w:val="nil"/>
              <w:bottom w:val="nil"/>
              <w:right w:val="nil"/>
            </w:tcBorders>
          </w:tcPr>
          <w:p w14:paraId="571F1789" w14:textId="77777777" w:rsidR="008C582E" w:rsidRDefault="008C582E" w:rsidP="008C582E">
            <w:pPr>
              <w:jc w:val="center"/>
            </w:pPr>
            <w:r>
              <w:t>42.9 (36)</w:t>
            </w:r>
          </w:p>
        </w:tc>
        <w:tc>
          <w:tcPr>
            <w:tcW w:w="2410" w:type="dxa"/>
            <w:tcBorders>
              <w:top w:val="nil"/>
              <w:left w:val="nil"/>
              <w:bottom w:val="nil"/>
              <w:right w:val="nil"/>
            </w:tcBorders>
          </w:tcPr>
          <w:p w14:paraId="5ED6B603" w14:textId="77777777" w:rsidR="008C582E" w:rsidRDefault="008C582E" w:rsidP="008C582E">
            <w:pPr>
              <w:jc w:val="center"/>
            </w:pPr>
            <w:r>
              <w:t>27.7 (36)</w:t>
            </w:r>
          </w:p>
        </w:tc>
        <w:tc>
          <w:tcPr>
            <w:tcW w:w="1417" w:type="dxa"/>
            <w:tcBorders>
              <w:top w:val="nil"/>
              <w:left w:val="nil"/>
              <w:bottom w:val="nil"/>
              <w:right w:val="nil"/>
            </w:tcBorders>
          </w:tcPr>
          <w:p w14:paraId="6E1189B9" w14:textId="77777777" w:rsidR="008C582E" w:rsidRDefault="008C582E" w:rsidP="008C582E">
            <w:pPr>
              <w:jc w:val="center"/>
            </w:pPr>
            <w:r>
              <w:t xml:space="preserve">  6.70**</w:t>
            </w:r>
          </w:p>
        </w:tc>
      </w:tr>
      <w:tr w:rsidR="008C582E" w14:paraId="68FF3056" w14:textId="77777777" w:rsidTr="003E6DB4">
        <w:trPr>
          <w:trHeight w:val="277"/>
        </w:trPr>
        <w:tc>
          <w:tcPr>
            <w:tcW w:w="4395" w:type="dxa"/>
            <w:tcBorders>
              <w:top w:val="nil"/>
              <w:left w:val="nil"/>
              <w:bottom w:val="nil"/>
              <w:right w:val="nil"/>
            </w:tcBorders>
          </w:tcPr>
          <w:p w14:paraId="161138E2" w14:textId="77777777" w:rsidR="008C582E" w:rsidRDefault="008C582E" w:rsidP="008C582E">
            <w:pPr>
              <w:ind w:left="608"/>
            </w:pPr>
            <w:r>
              <w:t>Sexual Violence Risk-20 (SVR-20)</w:t>
            </w:r>
          </w:p>
        </w:tc>
        <w:tc>
          <w:tcPr>
            <w:tcW w:w="1985" w:type="dxa"/>
            <w:tcBorders>
              <w:top w:val="nil"/>
              <w:left w:val="nil"/>
              <w:bottom w:val="nil"/>
              <w:right w:val="nil"/>
            </w:tcBorders>
          </w:tcPr>
          <w:p w14:paraId="2DBFE575" w14:textId="77777777" w:rsidR="008C582E" w:rsidRDefault="008C582E" w:rsidP="008C582E">
            <w:pPr>
              <w:jc w:val="center"/>
            </w:pPr>
            <w:r>
              <w:t>14.3 (12)</w:t>
            </w:r>
          </w:p>
        </w:tc>
        <w:tc>
          <w:tcPr>
            <w:tcW w:w="2410" w:type="dxa"/>
            <w:tcBorders>
              <w:top w:val="nil"/>
              <w:left w:val="nil"/>
              <w:bottom w:val="nil"/>
              <w:right w:val="nil"/>
            </w:tcBorders>
          </w:tcPr>
          <w:p w14:paraId="35D28B8D" w14:textId="77777777" w:rsidR="008C582E" w:rsidRDefault="008C582E" w:rsidP="008C582E">
            <w:pPr>
              <w:jc w:val="center"/>
            </w:pPr>
            <w:r>
              <w:t>10.8 (14)</w:t>
            </w:r>
          </w:p>
        </w:tc>
        <w:tc>
          <w:tcPr>
            <w:tcW w:w="1417" w:type="dxa"/>
            <w:tcBorders>
              <w:top w:val="nil"/>
              <w:left w:val="nil"/>
              <w:bottom w:val="nil"/>
              <w:right w:val="nil"/>
            </w:tcBorders>
          </w:tcPr>
          <w:p w14:paraId="69407617" w14:textId="77777777" w:rsidR="008C582E" w:rsidRDefault="008C582E" w:rsidP="008C582E">
            <w:pPr>
              <w:jc w:val="center"/>
            </w:pPr>
            <w:r>
              <w:t>.76</w:t>
            </w:r>
          </w:p>
        </w:tc>
      </w:tr>
      <w:tr w:rsidR="008C582E" w14:paraId="0555EB5E" w14:textId="77777777" w:rsidTr="003E6DB4">
        <w:trPr>
          <w:trHeight w:val="277"/>
        </w:trPr>
        <w:tc>
          <w:tcPr>
            <w:tcW w:w="4395" w:type="dxa"/>
            <w:tcBorders>
              <w:top w:val="nil"/>
              <w:left w:val="nil"/>
              <w:bottom w:val="nil"/>
              <w:right w:val="nil"/>
            </w:tcBorders>
            <w:hideMark/>
          </w:tcPr>
          <w:p w14:paraId="20EE473C" w14:textId="77777777" w:rsidR="008C582E" w:rsidRDefault="008C582E" w:rsidP="008C582E">
            <w:pPr>
              <w:ind w:left="608"/>
            </w:pPr>
            <w:r>
              <w:t>Spousal Assault Risk Assessment Guide (SARA)</w:t>
            </w:r>
          </w:p>
        </w:tc>
        <w:tc>
          <w:tcPr>
            <w:tcW w:w="1985" w:type="dxa"/>
            <w:tcBorders>
              <w:top w:val="nil"/>
              <w:left w:val="nil"/>
              <w:bottom w:val="nil"/>
              <w:right w:val="nil"/>
            </w:tcBorders>
          </w:tcPr>
          <w:p w14:paraId="702F832A" w14:textId="77777777" w:rsidR="008C582E" w:rsidRDefault="008C582E" w:rsidP="008C582E">
            <w:pPr>
              <w:jc w:val="center"/>
            </w:pPr>
            <w:r>
              <w:t>8.3 (7)</w:t>
            </w:r>
          </w:p>
        </w:tc>
        <w:tc>
          <w:tcPr>
            <w:tcW w:w="2410" w:type="dxa"/>
            <w:tcBorders>
              <w:top w:val="nil"/>
              <w:left w:val="nil"/>
              <w:bottom w:val="nil"/>
              <w:right w:val="nil"/>
            </w:tcBorders>
          </w:tcPr>
          <w:p w14:paraId="69C7CF34" w14:textId="77777777" w:rsidR="008C582E" w:rsidRDefault="008C582E" w:rsidP="008C582E">
            <w:pPr>
              <w:jc w:val="center"/>
            </w:pPr>
            <w:r>
              <w:t>2.3 (3)</w:t>
            </w:r>
          </w:p>
        </w:tc>
        <w:tc>
          <w:tcPr>
            <w:tcW w:w="1417" w:type="dxa"/>
            <w:tcBorders>
              <w:top w:val="nil"/>
              <w:left w:val="nil"/>
              <w:bottom w:val="nil"/>
              <w:right w:val="nil"/>
            </w:tcBorders>
          </w:tcPr>
          <w:p w14:paraId="3164DBED" w14:textId="77777777" w:rsidR="008C582E" w:rsidRDefault="008C582E" w:rsidP="008C582E">
            <w:pPr>
              <w:jc w:val="center"/>
            </w:pPr>
            <w:r>
              <w:t xml:space="preserve"> 4.38*</w:t>
            </w:r>
          </w:p>
        </w:tc>
      </w:tr>
      <w:tr w:rsidR="008C582E" w14:paraId="72A51227" w14:textId="77777777" w:rsidTr="003E6DB4">
        <w:trPr>
          <w:trHeight w:val="265"/>
        </w:trPr>
        <w:tc>
          <w:tcPr>
            <w:tcW w:w="4395" w:type="dxa"/>
            <w:tcBorders>
              <w:top w:val="nil"/>
              <w:left w:val="nil"/>
              <w:bottom w:val="nil"/>
              <w:right w:val="nil"/>
            </w:tcBorders>
          </w:tcPr>
          <w:p w14:paraId="4C332793" w14:textId="77777777" w:rsidR="008C582E" w:rsidRDefault="008C582E" w:rsidP="008C582E">
            <w:pPr>
              <w:ind w:left="608"/>
              <w:jc w:val="both"/>
            </w:pPr>
            <w:r>
              <w:t>Risk for Sexual Violence Protocol (RSVP)</w:t>
            </w:r>
          </w:p>
        </w:tc>
        <w:tc>
          <w:tcPr>
            <w:tcW w:w="1985" w:type="dxa"/>
            <w:tcBorders>
              <w:top w:val="nil"/>
              <w:left w:val="nil"/>
              <w:bottom w:val="nil"/>
              <w:right w:val="nil"/>
            </w:tcBorders>
          </w:tcPr>
          <w:p w14:paraId="6182159B" w14:textId="77777777" w:rsidR="008C582E" w:rsidRDefault="008C582E" w:rsidP="008C582E">
            <w:pPr>
              <w:jc w:val="center"/>
            </w:pPr>
            <w:r>
              <w:t>8.3 (7)</w:t>
            </w:r>
          </w:p>
        </w:tc>
        <w:tc>
          <w:tcPr>
            <w:tcW w:w="2410" w:type="dxa"/>
            <w:tcBorders>
              <w:top w:val="nil"/>
              <w:left w:val="nil"/>
              <w:bottom w:val="nil"/>
              <w:right w:val="nil"/>
            </w:tcBorders>
          </w:tcPr>
          <w:p w14:paraId="5683C807" w14:textId="77777777" w:rsidR="008C582E" w:rsidRDefault="008C582E" w:rsidP="008C582E">
            <w:pPr>
              <w:jc w:val="center"/>
            </w:pPr>
            <w:r>
              <w:t>1.5 (2)</w:t>
            </w:r>
          </w:p>
        </w:tc>
        <w:tc>
          <w:tcPr>
            <w:tcW w:w="1417" w:type="dxa"/>
            <w:tcBorders>
              <w:top w:val="nil"/>
              <w:left w:val="nil"/>
              <w:bottom w:val="nil"/>
              <w:right w:val="nil"/>
            </w:tcBorders>
          </w:tcPr>
          <w:p w14:paraId="189DA3E4" w14:textId="77777777" w:rsidR="008C582E" w:rsidRDefault="008C582E" w:rsidP="008C582E">
            <w:pPr>
              <w:jc w:val="center"/>
            </w:pPr>
            <w:r>
              <w:t xml:space="preserve">  6.18*</w:t>
            </w:r>
          </w:p>
        </w:tc>
      </w:tr>
      <w:tr w:rsidR="008C582E" w14:paraId="0F757793" w14:textId="77777777" w:rsidTr="003E6DB4">
        <w:trPr>
          <w:trHeight w:val="265"/>
        </w:trPr>
        <w:tc>
          <w:tcPr>
            <w:tcW w:w="4395" w:type="dxa"/>
            <w:tcBorders>
              <w:top w:val="nil"/>
              <w:left w:val="nil"/>
              <w:right w:val="nil"/>
            </w:tcBorders>
          </w:tcPr>
          <w:p w14:paraId="41B66871" w14:textId="77777777" w:rsidR="008C582E" w:rsidRDefault="008C582E" w:rsidP="008C582E">
            <w:pPr>
              <w:jc w:val="both"/>
              <w:rPr>
                <w:i/>
                <w:iCs/>
              </w:rPr>
            </w:pPr>
          </w:p>
          <w:p w14:paraId="0DD17DB6" w14:textId="79EF0C8E" w:rsidR="008C582E" w:rsidRPr="00372748" w:rsidRDefault="008C582E" w:rsidP="008C582E">
            <w:pPr>
              <w:jc w:val="both"/>
              <w:rPr>
                <w:i/>
                <w:iCs/>
              </w:rPr>
            </w:pPr>
            <w:r w:rsidRPr="00372748">
              <w:rPr>
                <w:i/>
                <w:iCs/>
              </w:rPr>
              <w:t>Unstructured Clinical Judgment</w:t>
            </w:r>
          </w:p>
          <w:p w14:paraId="38D06D9C" w14:textId="77777777" w:rsidR="008C582E" w:rsidRDefault="008C582E" w:rsidP="008C582E">
            <w:pPr>
              <w:jc w:val="both"/>
            </w:pPr>
          </w:p>
        </w:tc>
        <w:tc>
          <w:tcPr>
            <w:tcW w:w="1985" w:type="dxa"/>
            <w:tcBorders>
              <w:top w:val="nil"/>
              <w:left w:val="nil"/>
              <w:right w:val="nil"/>
            </w:tcBorders>
          </w:tcPr>
          <w:p w14:paraId="2F09BFE2" w14:textId="77777777" w:rsidR="008C582E" w:rsidRDefault="008C582E" w:rsidP="008C582E">
            <w:pPr>
              <w:jc w:val="center"/>
            </w:pPr>
          </w:p>
          <w:p w14:paraId="2412FC26" w14:textId="77777777" w:rsidR="008C582E" w:rsidRDefault="008C582E" w:rsidP="008C582E">
            <w:pPr>
              <w:jc w:val="center"/>
            </w:pPr>
            <w:r>
              <w:t>2.3 (2)</w:t>
            </w:r>
          </w:p>
        </w:tc>
        <w:tc>
          <w:tcPr>
            <w:tcW w:w="2410" w:type="dxa"/>
            <w:tcBorders>
              <w:top w:val="nil"/>
              <w:left w:val="nil"/>
              <w:right w:val="nil"/>
            </w:tcBorders>
          </w:tcPr>
          <w:p w14:paraId="075FF661" w14:textId="77777777" w:rsidR="008C582E" w:rsidRDefault="008C582E" w:rsidP="008C582E">
            <w:pPr>
              <w:jc w:val="center"/>
            </w:pPr>
          </w:p>
          <w:p w14:paraId="077BA00A" w14:textId="77777777" w:rsidR="008C582E" w:rsidRDefault="008C582E" w:rsidP="008C582E">
            <w:pPr>
              <w:jc w:val="center"/>
            </w:pPr>
            <w:r>
              <w:t>1.5 (2)</w:t>
            </w:r>
          </w:p>
        </w:tc>
        <w:tc>
          <w:tcPr>
            <w:tcW w:w="1417" w:type="dxa"/>
            <w:tcBorders>
              <w:top w:val="nil"/>
              <w:left w:val="nil"/>
              <w:right w:val="nil"/>
            </w:tcBorders>
          </w:tcPr>
          <w:p w14:paraId="2CB746F9" w14:textId="77777777" w:rsidR="008C582E" w:rsidRDefault="008C582E" w:rsidP="008C582E">
            <w:pPr>
              <w:jc w:val="center"/>
            </w:pPr>
          </w:p>
          <w:p w14:paraId="0E2A7FCC" w14:textId="77777777" w:rsidR="008C582E" w:rsidRDefault="008C582E" w:rsidP="008C582E">
            <w:pPr>
              <w:jc w:val="center"/>
            </w:pPr>
            <w:r>
              <w:t>.23</w:t>
            </w:r>
          </w:p>
        </w:tc>
      </w:tr>
    </w:tbl>
    <w:p w14:paraId="2878FA4D" w14:textId="77777777" w:rsidR="00244862" w:rsidRDefault="00E36816" w:rsidP="00E36816">
      <w:r>
        <w:t xml:space="preserve">* </w:t>
      </w:r>
      <w:r w:rsidR="008257DD">
        <w:rPr>
          <w:i/>
          <w:iCs/>
        </w:rPr>
        <w:t>p &lt;</w:t>
      </w:r>
      <w:r w:rsidR="008257DD">
        <w:t xml:space="preserve"> .05</w:t>
      </w:r>
    </w:p>
    <w:p w14:paraId="442722C8" w14:textId="77777777" w:rsidR="008257DD" w:rsidRPr="008257DD" w:rsidRDefault="008257DD" w:rsidP="00E36816">
      <w:r>
        <w:t xml:space="preserve">** </w:t>
      </w:r>
      <w:r>
        <w:rPr>
          <w:i/>
          <w:iCs/>
        </w:rPr>
        <w:t>p</w:t>
      </w:r>
      <w:r>
        <w:t xml:space="preserve"> &lt; .01</w:t>
      </w:r>
    </w:p>
    <w:p w14:paraId="2C6E1F16" w14:textId="77777777" w:rsidR="00E36816" w:rsidRDefault="00E36816" w:rsidP="008523C0"/>
    <w:p w14:paraId="17AB4CF6" w14:textId="77777777" w:rsidR="00CF3839" w:rsidRPr="008523C0" w:rsidRDefault="00CF3839" w:rsidP="008523C0"/>
    <w:sectPr w:rsidR="00CF3839" w:rsidRPr="008523C0" w:rsidSect="000607BA">
      <w:headerReference w:type="even" r:id="rId16"/>
      <w:headerReference w:type="default" r:id="rId17"/>
      <w:footerReference w:type="default" r:id="rId18"/>
      <w:headerReference w:type="first" r:id="rId19"/>
      <w:pgSz w:w="12240" w:h="15840"/>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AB0F0" w14:textId="77777777" w:rsidR="00CA1C5C" w:rsidRDefault="00CA1C5C" w:rsidP="000E3088">
      <w:r>
        <w:separator/>
      </w:r>
    </w:p>
  </w:endnote>
  <w:endnote w:type="continuationSeparator" w:id="0">
    <w:p w14:paraId="4C332390" w14:textId="77777777" w:rsidR="00CA1C5C" w:rsidRDefault="00CA1C5C" w:rsidP="000E3088">
      <w:r>
        <w:continuationSeparator/>
      </w:r>
    </w:p>
  </w:endnote>
  <w:endnote w:type="continuationNotice" w:id="1">
    <w:p w14:paraId="47CBB979" w14:textId="77777777" w:rsidR="00CA1C5C" w:rsidRDefault="00CA1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DF26D" w14:textId="77777777" w:rsidR="001A6167" w:rsidRDefault="001A6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897D4" w14:textId="77777777" w:rsidR="00CA1C5C" w:rsidRDefault="00CA1C5C" w:rsidP="000E3088">
      <w:r>
        <w:separator/>
      </w:r>
    </w:p>
  </w:footnote>
  <w:footnote w:type="continuationSeparator" w:id="0">
    <w:p w14:paraId="2D03C4B8" w14:textId="77777777" w:rsidR="00CA1C5C" w:rsidRDefault="00CA1C5C" w:rsidP="000E3088">
      <w:r>
        <w:continuationSeparator/>
      </w:r>
    </w:p>
  </w:footnote>
  <w:footnote w:type="continuationNotice" w:id="1">
    <w:p w14:paraId="5430EF20" w14:textId="77777777" w:rsidR="00CA1C5C" w:rsidRDefault="00CA1C5C"/>
  </w:footnote>
  <w:footnote w:id="2">
    <w:p w14:paraId="586D2F94" w14:textId="77777777" w:rsidR="00E305EC" w:rsidRPr="00CC2657" w:rsidRDefault="00E305EC" w:rsidP="007D01A2">
      <w:r>
        <w:rPr>
          <w:rStyle w:val="FootnoteReference"/>
        </w:rPr>
        <w:footnoteRef/>
      </w:r>
      <w:r>
        <w:t xml:space="preserve"> </w:t>
      </w:r>
      <w:r w:rsidRPr="00584278">
        <w:t>Throughout this paper, the term “Indigenous peoples” is used. Indigenous is a term that refers to different Aboriginal groups. The Government of Canada recognizes the term Indigenous as a broad term for any people descending from an ethnicity or culture that is indigenous to Canada. Indigenous peoples include First Nations, Inuit, and Métis peoples. The term “Aboriginal” (commonly used in government policies and documents) has also been used to refer to Indigenous peoples, however the term Aboriginal is being replaced in Canada with Indigenous in accordance with the UN Declaration of the Rights of Indigenous Peoples (Trudeau, 2017).</w:t>
      </w:r>
    </w:p>
    <w:p w14:paraId="6FC71D4D" w14:textId="77777777" w:rsidR="00E305EC" w:rsidRDefault="00E305EC">
      <w:pPr>
        <w:pStyle w:val="FootnoteText"/>
      </w:pPr>
    </w:p>
  </w:footnote>
  <w:footnote w:id="3">
    <w:p w14:paraId="44BBF953" w14:textId="77777777" w:rsidR="00E305EC" w:rsidRPr="009A60AE" w:rsidRDefault="00E305EC" w:rsidP="0024134F">
      <w:pPr>
        <w:pStyle w:val="FootnoteText"/>
        <w:rPr>
          <w:rFonts w:ascii="Times New Roman" w:hAnsi="Times New Roman" w:cs="Times New Roman"/>
        </w:rPr>
      </w:pPr>
      <w:r w:rsidRPr="009A60AE">
        <w:rPr>
          <w:rStyle w:val="FootnoteReference"/>
          <w:rFonts w:ascii="Times New Roman" w:hAnsi="Times New Roman" w:cs="Times New Roman"/>
        </w:rPr>
        <w:footnoteRef/>
      </w:r>
      <w:r w:rsidRPr="009A60AE">
        <w:rPr>
          <w:rFonts w:ascii="Times New Roman" w:hAnsi="Times New Roman" w:cs="Times New Roman"/>
        </w:rPr>
        <w:t xml:space="preserve"> Section 7 of the Canadian Charter of Rights and Freedoms (1982)</w:t>
      </w:r>
    </w:p>
  </w:footnote>
  <w:footnote w:id="4">
    <w:p w14:paraId="7A58C3C9" w14:textId="77777777" w:rsidR="00E305EC" w:rsidRDefault="00E305EC" w:rsidP="0024134F">
      <w:pPr>
        <w:pStyle w:val="FootnoteText"/>
      </w:pPr>
      <w:r w:rsidRPr="009A60AE">
        <w:rPr>
          <w:rStyle w:val="FootnoteReference"/>
          <w:rFonts w:ascii="Times New Roman" w:hAnsi="Times New Roman" w:cs="Times New Roman"/>
        </w:rPr>
        <w:footnoteRef/>
      </w:r>
      <w:r w:rsidRPr="009A60AE">
        <w:rPr>
          <w:rFonts w:ascii="Times New Roman" w:hAnsi="Times New Roman" w:cs="Times New Roman"/>
        </w:rPr>
        <w:t xml:space="preserve"> Section 15 of the Canadian Charter of Rights and Freedoms (1982)</w:t>
      </w:r>
    </w:p>
  </w:footnote>
  <w:footnote w:id="5">
    <w:p w14:paraId="3A5BDFAB" w14:textId="77777777" w:rsidR="00E305EC" w:rsidRPr="00C12E1F" w:rsidRDefault="00E305EC" w:rsidP="000158D8">
      <w:pPr>
        <w:pStyle w:val="p1"/>
        <w:rPr>
          <w:rFonts w:ascii="Times New Roman" w:hAnsi="Times New Roman"/>
          <w:color w:val="000000" w:themeColor="text1"/>
          <w:sz w:val="24"/>
          <w:szCs w:val="24"/>
        </w:rPr>
      </w:pPr>
      <w:r w:rsidRPr="00C12E1F">
        <w:rPr>
          <w:rStyle w:val="FootnoteReference"/>
          <w:rFonts w:ascii="Times New Roman" w:hAnsi="Times New Roman"/>
          <w:color w:val="000000" w:themeColor="text1"/>
          <w:sz w:val="24"/>
          <w:szCs w:val="24"/>
        </w:rPr>
        <w:footnoteRef/>
      </w:r>
      <w:r w:rsidRPr="00C12E1F">
        <w:rPr>
          <w:rFonts w:ascii="Times New Roman" w:hAnsi="Times New Roman"/>
          <w:color w:val="000000" w:themeColor="text1"/>
          <w:sz w:val="24"/>
          <w:szCs w:val="24"/>
        </w:rPr>
        <w:t xml:space="preserve"> 24 (1) The Service shall take all reasonable steps to ensure that any information about an offender that it uses is as accurate, up to date and complete as possible.</w:t>
      </w:r>
    </w:p>
    <w:p w14:paraId="71A08174" w14:textId="77777777" w:rsidR="00E305EC" w:rsidRDefault="00E305EC" w:rsidP="000158D8">
      <w:pPr>
        <w:pStyle w:val="FootnoteText"/>
      </w:pPr>
    </w:p>
  </w:footnote>
  <w:footnote w:id="6">
    <w:p w14:paraId="35933348" w14:textId="77777777" w:rsidR="00E305EC" w:rsidRPr="00B26CD1" w:rsidRDefault="00E305EC">
      <w:pPr>
        <w:pStyle w:val="FootnoteText"/>
        <w:rPr>
          <w:rFonts w:ascii="Times New Roman" w:hAnsi="Times New Roman" w:cs="Times New Roman"/>
        </w:rPr>
      </w:pPr>
      <w:r w:rsidRPr="00B26CD1">
        <w:rPr>
          <w:rStyle w:val="FootnoteReference"/>
          <w:rFonts w:ascii="Times New Roman" w:hAnsi="Times New Roman" w:cs="Times New Roman"/>
        </w:rPr>
        <w:footnoteRef/>
      </w:r>
      <w:r w:rsidRPr="00B26CD1">
        <w:rPr>
          <w:rFonts w:ascii="Times New Roman" w:hAnsi="Times New Roman" w:cs="Times New Roman"/>
        </w:rPr>
        <w:t xml:space="preserve"> </w:t>
      </w:r>
      <w:r w:rsidRPr="00AF5B5E">
        <w:rPr>
          <w:rFonts w:ascii="Times New Roman" w:hAnsi="Times New Roman" w:cs="Times New Roman"/>
          <w:lang w:val="en-US"/>
        </w:rPr>
        <w:t xml:space="preserve">These dates were chosen because previous research had already investigated judicial decision making for general offending (which would have included </w:t>
      </w:r>
      <w:r>
        <w:rPr>
          <w:rFonts w:ascii="Times New Roman" w:hAnsi="Times New Roman" w:cs="Times New Roman"/>
          <w:lang w:val="en-US"/>
        </w:rPr>
        <w:t>DO/LTO</w:t>
      </w:r>
      <w:r w:rsidRPr="00AF5B5E">
        <w:rPr>
          <w:rFonts w:ascii="Times New Roman" w:hAnsi="Times New Roman" w:cs="Times New Roman"/>
          <w:lang w:val="en-US"/>
        </w:rPr>
        <w:t xml:space="preserve"> cases) and VRA in Canadian courts between 1998 and 2009 (</w:t>
      </w:r>
      <w:proofErr w:type="spellStart"/>
      <w:r w:rsidRPr="00AF5B5E">
        <w:rPr>
          <w:rFonts w:ascii="Times New Roman" w:hAnsi="Times New Roman" w:cs="Times New Roman"/>
          <w:lang w:val="en-US"/>
        </w:rPr>
        <w:t>Storey</w:t>
      </w:r>
      <w:proofErr w:type="spellEnd"/>
      <w:r w:rsidRPr="00AF5B5E">
        <w:rPr>
          <w:rFonts w:ascii="Times New Roman" w:hAnsi="Times New Roman" w:cs="Times New Roman"/>
          <w:lang w:val="en-US"/>
        </w:rPr>
        <w:t xml:space="preserve"> et al., 2013) and for </w:t>
      </w:r>
      <w:r>
        <w:rPr>
          <w:rFonts w:ascii="Times New Roman" w:hAnsi="Times New Roman" w:cs="Times New Roman"/>
          <w:lang w:val="en-US"/>
        </w:rPr>
        <w:t>DO/LTO</w:t>
      </w:r>
      <w:r w:rsidRPr="00AF5B5E">
        <w:rPr>
          <w:rFonts w:ascii="Times New Roman" w:hAnsi="Times New Roman" w:cs="Times New Roman"/>
          <w:lang w:val="en-US"/>
        </w:rPr>
        <w:t xml:space="preserve"> cases between 2006 and 2008 (</w:t>
      </w:r>
      <w:proofErr w:type="spellStart"/>
      <w:r w:rsidRPr="00AF5B5E">
        <w:rPr>
          <w:rFonts w:ascii="Times New Roman" w:hAnsi="Times New Roman" w:cs="Times New Roman"/>
          <w:lang w:val="en-US"/>
        </w:rPr>
        <w:t>Blais</w:t>
      </w:r>
      <w:proofErr w:type="spellEnd"/>
      <w:r w:rsidRPr="00AF5B5E">
        <w:rPr>
          <w:rFonts w:ascii="Times New Roman" w:hAnsi="Times New Roman" w:cs="Times New Roman"/>
          <w:lang w:val="en-US"/>
        </w:rPr>
        <w:t>, 2015)</w:t>
      </w:r>
      <w:r>
        <w:rPr>
          <w:rFonts w:ascii="Times New Roman" w:hAnsi="Times New Roman" w:cs="Times New Roman"/>
          <w:lang w:val="en-US"/>
        </w:rPr>
        <w:t>.</w:t>
      </w:r>
    </w:p>
  </w:footnote>
  <w:footnote w:id="7">
    <w:p w14:paraId="6B23199C" w14:textId="77777777" w:rsidR="00E305EC" w:rsidRDefault="00E305EC">
      <w:pPr>
        <w:pStyle w:val="FootnoteText"/>
      </w:pPr>
      <w:r w:rsidRPr="00B26CD1">
        <w:rPr>
          <w:rStyle w:val="FootnoteReference"/>
          <w:rFonts w:ascii="Times New Roman" w:hAnsi="Times New Roman" w:cs="Times New Roman"/>
        </w:rPr>
        <w:footnoteRef/>
      </w:r>
      <w:r w:rsidRPr="00B26CD1">
        <w:rPr>
          <w:rFonts w:ascii="Times New Roman" w:hAnsi="Times New Roman" w:cs="Times New Roman"/>
        </w:rPr>
        <w:t xml:space="preserve"> </w:t>
      </w:r>
      <w:r>
        <w:rPr>
          <w:rFonts w:ascii="Times New Roman" w:hAnsi="Times New Roman" w:cs="Times New Roman"/>
        </w:rPr>
        <w:t>Since</w:t>
      </w:r>
      <w:r w:rsidRPr="00B26CD1">
        <w:rPr>
          <w:rFonts w:ascii="Times New Roman" w:hAnsi="Times New Roman" w:cs="Times New Roman"/>
        </w:rPr>
        <w:t xml:space="preserve"> Canada’s official languages </w:t>
      </w:r>
      <w:r>
        <w:rPr>
          <w:rFonts w:ascii="Times New Roman" w:hAnsi="Times New Roman" w:cs="Times New Roman"/>
        </w:rPr>
        <w:t>are</w:t>
      </w:r>
      <w:r w:rsidRPr="00B26CD1">
        <w:rPr>
          <w:rFonts w:ascii="Times New Roman" w:hAnsi="Times New Roman" w:cs="Times New Roman"/>
        </w:rPr>
        <w:t xml:space="preserve"> English and French </w:t>
      </w:r>
      <w:r>
        <w:rPr>
          <w:rFonts w:ascii="Times New Roman" w:hAnsi="Times New Roman" w:cs="Times New Roman"/>
        </w:rPr>
        <w:t xml:space="preserve">decisions can be published in either language. Coders </w:t>
      </w:r>
      <w:r w:rsidRPr="00B26CD1">
        <w:rPr>
          <w:rFonts w:ascii="Times New Roman" w:hAnsi="Times New Roman" w:cs="Times New Roman"/>
        </w:rPr>
        <w:t xml:space="preserve">did not have the language skills </w:t>
      </w:r>
      <w:r>
        <w:rPr>
          <w:rFonts w:ascii="Times New Roman" w:hAnsi="Times New Roman" w:cs="Times New Roman"/>
        </w:rPr>
        <w:t xml:space="preserve">needed </w:t>
      </w:r>
      <w:r w:rsidRPr="00B26CD1">
        <w:rPr>
          <w:rFonts w:ascii="Times New Roman" w:hAnsi="Times New Roman" w:cs="Times New Roman"/>
        </w:rPr>
        <w:t>to analyze decisions written in French.</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4CBA7" w14:textId="77777777" w:rsidR="00E305EC" w:rsidRDefault="00E305EC" w:rsidP="008C3B7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5588E0" w14:textId="77777777" w:rsidR="00E305EC" w:rsidRDefault="00E305EC" w:rsidP="00D3372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ED8F6" w14:textId="77777777" w:rsidR="00E305EC" w:rsidRDefault="00E305EC" w:rsidP="008C3B7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9964BE7" w14:textId="77777777" w:rsidR="00E305EC" w:rsidRDefault="00E305EC" w:rsidP="00D33726">
    <w:pPr>
      <w:pStyle w:val="Header"/>
      <w:ind w:right="360"/>
    </w:pPr>
    <w:r>
      <w:t xml:space="preserve">INDIGENOUS PEOPLES AND RISK </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D2A9C" w14:textId="77777777" w:rsidR="00E305EC" w:rsidRDefault="00E305EC" w:rsidP="008C3B7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D88D4C" w14:textId="77777777" w:rsidR="00E305EC" w:rsidRDefault="00E305EC" w:rsidP="00D33726">
    <w:pPr>
      <w:pStyle w:val="Header"/>
      <w:ind w:right="360"/>
    </w:pPr>
    <w:r>
      <w:t>Running Head: INDIGENOUS PEOPLES AND RISK</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FC0AE8"/>
    <w:multiLevelType w:val="multilevel"/>
    <w:tmpl w:val="3660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7B09F0"/>
    <w:multiLevelType w:val="hybridMultilevel"/>
    <w:tmpl w:val="E306177A"/>
    <w:lvl w:ilvl="0" w:tplc="09E6219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16B7098"/>
    <w:multiLevelType w:val="hybridMultilevel"/>
    <w:tmpl w:val="80128F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51C049E"/>
    <w:multiLevelType w:val="hybridMultilevel"/>
    <w:tmpl w:val="8BBA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AC44AA"/>
    <w:multiLevelType w:val="hybridMultilevel"/>
    <w:tmpl w:val="FD58D44A"/>
    <w:lvl w:ilvl="0" w:tplc="93769E1E">
      <w:start w:val="1"/>
      <w:numFmt w:val="bullet"/>
      <w:lvlText w:val="•"/>
      <w:lvlJc w:val="left"/>
      <w:pPr>
        <w:tabs>
          <w:tab w:val="num" w:pos="720"/>
        </w:tabs>
        <w:ind w:left="720" w:hanging="360"/>
      </w:pPr>
      <w:rPr>
        <w:rFonts w:ascii="Arial" w:hAnsi="Arial" w:hint="default"/>
      </w:rPr>
    </w:lvl>
    <w:lvl w:ilvl="1" w:tplc="56206B3A" w:tentative="1">
      <w:start w:val="1"/>
      <w:numFmt w:val="bullet"/>
      <w:lvlText w:val="•"/>
      <w:lvlJc w:val="left"/>
      <w:pPr>
        <w:tabs>
          <w:tab w:val="num" w:pos="1440"/>
        </w:tabs>
        <w:ind w:left="1440" w:hanging="360"/>
      </w:pPr>
      <w:rPr>
        <w:rFonts w:ascii="Arial" w:hAnsi="Arial" w:hint="default"/>
      </w:rPr>
    </w:lvl>
    <w:lvl w:ilvl="2" w:tplc="F07EA376" w:tentative="1">
      <w:start w:val="1"/>
      <w:numFmt w:val="bullet"/>
      <w:lvlText w:val="•"/>
      <w:lvlJc w:val="left"/>
      <w:pPr>
        <w:tabs>
          <w:tab w:val="num" w:pos="2160"/>
        </w:tabs>
        <w:ind w:left="2160" w:hanging="360"/>
      </w:pPr>
      <w:rPr>
        <w:rFonts w:ascii="Arial" w:hAnsi="Arial" w:hint="default"/>
      </w:rPr>
    </w:lvl>
    <w:lvl w:ilvl="3" w:tplc="5C1883E8" w:tentative="1">
      <w:start w:val="1"/>
      <w:numFmt w:val="bullet"/>
      <w:lvlText w:val="•"/>
      <w:lvlJc w:val="left"/>
      <w:pPr>
        <w:tabs>
          <w:tab w:val="num" w:pos="2880"/>
        </w:tabs>
        <w:ind w:left="2880" w:hanging="360"/>
      </w:pPr>
      <w:rPr>
        <w:rFonts w:ascii="Arial" w:hAnsi="Arial" w:hint="default"/>
      </w:rPr>
    </w:lvl>
    <w:lvl w:ilvl="4" w:tplc="0464CA0E" w:tentative="1">
      <w:start w:val="1"/>
      <w:numFmt w:val="bullet"/>
      <w:lvlText w:val="•"/>
      <w:lvlJc w:val="left"/>
      <w:pPr>
        <w:tabs>
          <w:tab w:val="num" w:pos="3600"/>
        </w:tabs>
        <w:ind w:left="3600" w:hanging="360"/>
      </w:pPr>
      <w:rPr>
        <w:rFonts w:ascii="Arial" w:hAnsi="Arial" w:hint="default"/>
      </w:rPr>
    </w:lvl>
    <w:lvl w:ilvl="5" w:tplc="3266F920" w:tentative="1">
      <w:start w:val="1"/>
      <w:numFmt w:val="bullet"/>
      <w:lvlText w:val="•"/>
      <w:lvlJc w:val="left"/>
      <w:pPr>
        <w:tabs>
          <w:tab w:val="num" w:pos="4320"/>
        </w:tabs>
        <w:ind w:left="4320" w:hanging="360"/>
      </w:pPr>
      <w:rPr>
        <w:rFonts w:ascii="Arial" w:hAnsi="Arial" w:hint="default"/>
      </w:rPr>
    </w:lvl>
    <w:lvl w:ilvl="6" w:tplc="F69EC3BE" w:tentative="1">
      <w:start w:val="1"/>
      <w:numFmt w:val="bullet"/>
      <w:lvlText w:val="•"/>
      <w:lvlJc w:val="left"/>
      <w:pPr>
        <w:tabs>
          <w:tab w:val="num" w:pos="5040"/>
        </w:tabs>
        <w:ind w:left="5040" w:hanging="360"/>
      </w:pPr>
      <w:rPr>
        <w:rFonts w:ascii="Arial" w:hAnsi="Arial" w:hint="default"/>
      </w:rPr>
    </w:lvl>
    <w:lvl w:ilvl="7" w:tplc="D3F4F764" w:tentative="1">
      <w:start w:val="1"/>
      <w:numFmt w:val="bullet"/>
      <w:lvlText w:val="•"/>
      <w:lvlJc w:val="left"/>
      <w:pPr>
        <w:tabs>
          <w:tab w:val="num" w:pos="5760"/>
        </w:tabs>
        <w:ind w:left="5760" w:hanging="360"/>
      </w:pPr>
      <w:rPr>
        <w:rFonts w:ascii="Arial" w:hAnsi="Arial" w:hint="default"/>
      </w:rPr>
    </w:lvl>
    <w:lvl w:ilvl="8" w:tplc="6C16EA5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7C72F4B"/>
    <w:multiLevelType w:val="hybridMultilevel"/>
    <w:tmpl w:val="391C52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3631D70"/>
    <w:multiLevelType w:val="hybridMultilevel"/>
    <w:tmpl w:val="0854BC0C"/>
    <w:lvl w:ilvl="0" w:tplc="C394B248">
      <w:start w:val="1"/>
      <w:numFmt w:val="bullet"/>
      <w:lvlText w:val="•"/>
      <w:lvlJc w:val="left"/>
      <w:pPr>
        <w:tabs>
          <w:tab w:val="num" w:pos="720"/>
        </w:tabs>
        <w:ind w:left="720" w:hanging="360"/>
      </w:pPr>
      <w:rPr>
        <w:rFonts w:ascii="Arial" w:hAnsi="Arial" w:hint="default"/>
      </w:rPr>
    </w:lvl>
    <w:lvl w:ilvl="1" w:tplc="02EC767C" w:tentative="1">
      <w:start w:val="1"/>
      <w:numFmt w:val="bullet"/>
      <w:lvlText w:val="•"/>
      <w:lvlJc w:val="left"/>
      <w:pPr>
        <w:tabs>
          <w:tab w:val="num" w:pos="1440"/>
        </w:tabs>
        <w:ind w:left="1440" w:hanging="360"/>
      </w:pPr>
      <w:rPr>
        <w:rFonts w:ascii="Arial" w:hAnsi="Arial" w:hint="default"/>
      </w:rPr>
    </w:lvl>
    <w:lvl w:ilvl="2" w:tplc="E2E05186" w:tentative="1">
      <w:start w:val="1"/>
      <w:numFmt w:val="bullet"/>
      <w:lvlText w:val="•"/>
      <w:lvlJc w:val="left"/>
      <w:pPr>
        <w:tabs>
          <w:tab w:val="num" w:pos="2160"/>
        </w:tabs>
        <w:ind w:left="2160" w:hanging="360"/>
      </w:pPr>
      <w:rPr>
        <w:rFonts w:ascii="Arial" w:hAnsi="Arial" w:hint="default"/>
      </w:rPr>
    </w:lvl>
    <w:lvl w:ilvl="3" w:tplc="FB7E92DA" w:tentative="1">
      <w:start w:val="1"/>
      <w:numFmt w:val="bullet"/>
      <w:lvlText w:val="•"/>
      <w:lvlJc w:val="left"/>
      <w:pPr>
        <w:tabs>
          <w:tab w:val="num" w:pos="2880"/>
        </w:tabs>
        <w:ind w:left="2880" w:hanging="360"/>
      </w:pPr>
      <w:rPr>
        <w:rFonts w:ascii="Arial" w:hAnsi="Arial" w:hint="default"/>
      </w:rPr>
    </w:lvl>
    <w:lvl w:ilvl="4" w:tplc="212C027A" w:tentative="1">
      <w:start w:val="1"/>
      <w:numFmt w:val="bullet"/>
      <w:lvlText w:val="•"/>
      <w:lvlJc w:val="left"/>
      <w:pPr>
        <w:tabs>
          <w:tab w:val="num" w:pos="3600"/>
        </w:tabs>
        <w:ind w:left="3600" w:hanging="360"/>
      </w:pPr>
      <w:rPr>
        <w:rFonts w:ascii="Arial" w:hAnsi="Arial" w:hint="default"/>
      </w:rPr>
    </w:lvl>
    <w:lvl w:ilvl="5" w:tplc="5758397C" w:tentative="1">
      <w:start w:val="1"/>
      <w:numFmt w:val="bullet"/>
      <w:lvlText w:val="•"/>
      <w:lvlJc w:val="left"/>
      <w:pPr>
        <w:tabs>
          <w:tab w:val="num" w:pos="4320"/>
        </w:tabs>
        <w:ind w:left="4320" w:hanging="360"/>
      </w:pPr>
      <w:rPr>
        <w:rFonts w:ascii="Arial" w:hAnsi="Arial" w:hint="default"/>
      </w:rPr>
    </w:lvl>
    <w:lvl w:ilvl="6" w:tplc="D4DC8F3A" w:tentative="1">
      <w:start w:val="1"/>
      <w:numFmt w:val="bullet"/>
      <w:lvlText w:val="•"/>
      <w:lvlJc w:val="left"/>
      <w:pPr>
        <w:tabs>
          <w:tab w:val="num" w:pos="5040"/>
        </w:tabs>
        <w:ind w:left="5040" w:hanging="360"/>
      </w:pPr>
      <w:rPr>
        <w:rFonts w:ascii="Arial" w:hAnsi="Arial" w:hint="default"/>
      </w:rPr>
    </w:lvl>
    <w:lvl w:ilvl="7" w:tplc="1C427AF6" w:tentative="1">
      <w:start w:val="1"/>
      <w:numFmt w:val="bullet"/>
      <w:lvlText w:val="•"/>
      <w:lvlJc w:val="left"/>
      <w:pPr>
        <w:tabs>
          <w:tab w:val="num" w:pos="5760"/>
        </w:tabs>
        <w:ind w:left="5760" w:hanging="360"/>
      </w:pPr>
      <w:rPr>
        <w:rFonts w:ascii="Arial" w:hAnsi="Arial" w:hint="default"/>
      </w:rPr>
    </w:lvl>
    <w:lvl w:ilvl="8" w:tplc="CD5259E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ECE2DCF"/>
    <w:multiLevelType w:val="hybridMultilevel"/>
    <w:tmpl w:val="3EDE50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2D072C2"/>
    <w:multiLevelType w:val="hybridMultilevel"/>
    <w:tmpl w:val="77068E2A"/>
    <w:lvl w:ilvl="0" w:tplc="64D0EF74">
      <w:start w:val="1"/>
      <w:numFmt w:val="bullet"/>
      <w:lvlText w:val="•"/>
      <w:lvlJc w:val="left"/>
      <w:pPr>
        <w:tabs>
          <w:tab w:val="num" w:pos="720"/>
        </w:tabs>
        <w:ind w:left="720" w:hanging="360"/>
      </w:pPr>
      <w:rPr>
        <w:rFonts w:ascii="Arial" w:hAnsi="Arial" w:hint="default"/>
      </w:rPr>
    </w:lvl>
    <w:lvl w:ilvl="1" w:tplc="D83063D8" w:tentative="1">
      <w:start w:val="1"/>
      <w:numFmt w:val="bullet"/>
      <w:lvlText w:val="•"/>
      <w:lvlJc w:val="left"/>
      <w:pPr>
        <w:tabs>
          <w:tab w:val="num" w:pos="1440"/>
        </w:tabs>
        <w:ind w:left="1440" w:hanging="360"/>
      </w:pPr>
      <w:rPr>
        <w:rFonts w:ascii="Arial" w:hAnsi="Arial" w:hint="default"/>
      </w:rPr>
    </w:lvl>
    <w:lvl w:ilvl="2" w:tplc="D8CE0B22" w:tentative="1">
      <w:start w:val="1"/>
      <w:numFmt w:val="bullet"/>
      <w:lvlText w:val="•"/>
      <w:lvlJc w:val="left"/>
      <w:pPr>
        <w:tabs>
          <w:tab w:val="num" w:pos="2160"/>
        </w:tabs>
        <w:ind w:left="2160" w:hanging="360"/>
      </w:pPr>
      <w:rPr>
        <w:rFonts w:ascii="Arial" w:hAnsi="Arial" w:hint="default"/>
      </w:rPr>
    </w:lvl>
    <w:lvl w:ilvl="3" w:tplc="7A4663B8" w:tentative="1">
      <w:start w:val="1"/>
      <w:numFmt w:val="bullet"/>
      <w:lvlText w:val="•"/>
      <w:lvlJc w:val="left"/>
      <w:pPr>
        <w:tabs>
          <w:tab w:val="num" w:pos="2880"/>
        </w:tabs>
        <w:ind w:left="2880" w:hanging="360"/>
      </w:pPr>
      <w:rPr>
        <w:rFonts w:ascii="Arial" w:hAnsi="Arial" w:hint="default"/>
      </w:rPr>
    </w:lvl>
    <w:lvl w:ilvl="4" w:tplc="09821B6A" w:tentative="1">
      <w:start w:val="1"/>
      <w:numFmt w:val="bullet"/>
      <w:lvlText w:val="•"/>
      <w:lvlJc w:val="left"/>
      <w:pPr>
        <w:tabs>
          <w:tab w:val="num" w:pos="3600"/>
        </w:tabs>
        <w:ind w:left="3600" w:hanging="360"/>
      </w:pPr>
      <w:rPr>
        <w:rFonts w:ascii="Arial" w:hAnsi="Arial" w:hint="default"/>
      </w:rPr>
    </w:lvl>
    <w:lvl w:ilvl="5" w:tplc="38AC708C" w:tentative="1">
      <w:start w:val="1"/>
      <w:numFmt w:val="bullet"/>
      <w:lvlText w:val="•"/>
      <w:lvlJc w:val="left"/>
      <w:pPr>
        <w:tabs>
          <w:tab w:val="num" w:pos="4320"/>
        </w:tabs>
        <w:ind w:left="4320" w:hanging="360"/>
      </w:pPr>
      <w:rPr>
        <w:rFonts w:ascii="Arial" w:hAnsi="Arial" w:hint="default"/>
      </w:rPr>
    </w:lvl>
    <w:lvl w:ilvl="6" w:tplc="3200B2C4" w:tentative="1">
      <w:start w:val="1"/>
      <w:numFmt w:val="bullet"/>
      <w:lvlText w:val="•"/>
      <w:lvlJc w:val="left"/>
      <w:pPr>
        <w:tabs>
          <w:tab w:val="num" w:pos="5040"/>
        </w:tabs>
        <w:ind w:left="5040" w:hanging="360"/>
      </w:pPr>
      <w:rPr>
        <w:rFonts w:ascii="Arial" w:hAnsi="Arial" w:hint="default"/>
      </w:rPr>
    </w:lvl>
    <w:lvl w:ilvl="7" w:tplc="79228AD6" w:tentative="1">
      <w:start w:val="1"/>
      <w:numFmt w:val="bullet"/>
      <w:lvlText w:val="•"/>
      <w:lvlJc w:val="left"/>
      <w:pPr>
        <w:tabs>
          <w:tab w:val="num" w:pos="5760"/>
        </w:tabs>
        <w:ind w:left="5760" w:hanging="360"/>
      </w:pPr>
      <w:rPr>
        <w:rFonts w:ascii="Arial" w:hAnsi="Arial" w:hint="default"/>
      </w:rPr>
    </w:lvl>
    <w:lvl w:ilvl="8" w:tplc="9EC0B86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42927A7"/>
    <w:multiLevelType w:val="hybridMultilevel"/>
    <w:tmpl w:val="4F3AC7F8"/>
    <w:lvl w:ilvl="0" w:tplc="4EBCE5A4">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9917E05"/>
    <w:multiLevelType w:val="hybridMultilevel"/>
    <w:tmpl w:val="F110AC6A"/>
    <w:lvl w:ilvl="0" w:tplc="4A6456EC">
      <w:start w:val="201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7"/>
  </w:num>
  <w:num w:numId="5">
    <w:abstractNumId w:val="0"/>
  </w:num>
  <w:num w:numId="6">
    <w:abstractNumId w:val="4"/>
  </w:num>
  <w:num w:numId="7">
    <w:abstractNumId w:val="3"/>
  </w:num>
  <w:num w:numId="8">
    <w:abstractNumId w:val="8"/>
  </w:num>
  <w:num w:numId="9">
    <w:abstractNumId w:val="6"/>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634"/>
    <w:rsid w:val="00004C21"/>
    <w:rsid w:val="00005351"/>
    <w:rsid w:val="00011C58"/>
    <w:rsid w:val="00011FC5"/>
    <w:rsid w:val="00013F39"/>
    <w:rsid w:val="000158D8"/>
    <w:rsid w:val="00016BDB"/>
    <w:rsid w:val="00016CFE"/>
    <w:rsid w:val="00017BDF"/>
    <w:rsid w:val="0002027E"/>
    <w:rsid w:val="000223DD"/>
    <w:rsid w:val="00023EE4"/>
    <w:rsid w:val="00024EBD"/>
    <w:rsid w:val="000262C0"/>
    <w:rsid w:val="0002690A"/>
    <w:rsid w:val="00026BFC"/>
    <w:rsid w:val="00031B0A"/>
    <w:rsid w:val="00031E17"/>
    <w:rsid w:val="00031F8E"/>
    <w:rsid w:val="00032130"/>
    <w:rsid w:val="0003310A"/>
    <w:rsid w:val="0003388D"/>
    <w:rsid w:val="000340E3"/>
    <w:rsid w:val="0003498D"/>
    <w:rsid w:val="000371D4"/>
    <w:rsid w:val="00037E11"/>
    <w:rsid w:val="00040936"/>
    <w:rsid w:val="00040F8B"/>
    <w:rsid w:val="00041139"/>
    <w:rsid w:val="0004163C"/>
    <w:rsid w:val="00041DC9"/>
    <w:rsid w:val="00042E00"/>
    <w:rsid w:val="00046C6C"/>
    <w:rsid w:val="0004710E"/>
    <w:rsid w:val="000471CA"/>
    <w:rsid w:val="00050B71"/>
    <w:rsid w:val="00051D2D"/>
    <w:rsid w:val="00051E12"/>
    <w:rsid w:val="00053EE3"/>
    <w:rsid w:val="000548F2"/>
    <w:rsid w:val="00054BF0"/>
    <w:rsid w:val="00055424"/>
    <w:rsid w:val="00055A3A"/>
    <w:rsid w:val="000607BA"/>
    <w:rsid w:val="00060A8A"/>
    <w:rsid w:val="00064FA7"/>
    <w:rsid w:val="00066611"/>
    <w:rsid w:val="0006786E"/>
    <w:rsid w:val="0007110A"/>
    <w:rsid w:val="00071828"/>
    <w:rsid w:val="00071E7D"/>
    <w:rsid w:val="00072363"/>
    <w:rsid w:val="000727AA"/>
    <w:rsid w:val="00072F2F"/>
    <w:rsid w:val="00074AC0"/>
    <w:rsid w:val="000773EC"/>
    <w:rsid w:val="00077DC9"/>
    <w:rsid w:val="00080570"/>
    <w:rsid w:val="0008573A"/>
    <w:rsid w:val="00085873"/>
    <w:rsid w:val="00086FAD"/>
    <w:rsid w:val="00091871"/>
    <w:rsid w:val="00092E7A"/>
    <w:rsid w:val="0009319B"/>
    <w:rsid w:val="00095FC0"/>
    <w:rsid w:val="00096001"/>
    <w:rsid w:val="000968F5"/>
    <w:rsid w:val="000977D9"/>
    <w:rsid w:val="000A2FDE"/>
    <w:rsid w:val="000A40D4"/>
    <w:rsid w:val="000A5134"/>
    <w:rsid w:val="000A5262"/>
    <w:rsid w:val="000A6214"/>
    <w:rsid w:val="000A71AF"/>
    <w:rsid w:val="000B1B81"/>
    <w:rsid w:val="000B1E42"/>
    <w:rsid w:val="000B39FE"/>
    <w:rsid w:val="000B3B29"/>
    <w:rsid w:val="000B4069"/>
    <w:rsid w:val="000B64EB"/>
    <w:rsid w:val="000B744A"/>
    <w:rsid w:val="000B786B"/>
    <w:rsid w:val="000B7B35"/>
    <w:rsid w:val="000B7BE0"/>
    <w:rsid w:val="000C05DC"/>
    <w:rsid w:val="000C0B82"/>
    <w:rsid w:val="000C0D39"/>
    <w:rsid w:val="000C12B6"/>
    <w:rsid w:val="000C21E1"/>
    <w:rsid w:val="000C2527"/>
    <w:rsid w:val="000C2CBB"/>
    <w:rsid w:val="000C3F6E"/>
    <w:rsid w:val="000C5B8B"/>
    <w:rsid w:val="000D1216"/>
    <w:rsid w:val="000D17CF"/>
    <w:rsid w:val="000D34F7"/>
    <w:rsid w:val="000D3605"/>
    <w:rsid w:val="000D3C6A"/>
    <w:rsid w:val="000D3CDF"/>
    <w:rsid w:val="000D4671"/>
    <w:rsid w:val="000D4EAB"/>
    <w:rsid w:val="000D686D"/>
    <w:rsid w:val="000D79FE"/>
    <w:rsid w:val="000D7FFC"/>
    <w:rsid w:val="000E0CD4"/>
    <w:rsid w:val="000E1B73"/>
    <w:rsid w:val="000E1CD6"/>
    <w:rsid w:val="000E2093"/>
    <w:rsid w:val="000E21A0"/>
    <w:rsid w:val="000E2F6E"/>
    <w:rsid w:val="000E3088"/>
    <w:rsid w:val="000E3703"/>
    <w:rsid w:val="000E3AF1"/>
    <w:rsid w:val="000E647E"/>
    <w:rsid w:val="000F1370"/>
    <w:rsid w:val="000F3705"/>
    <w:rsid w:val="000F548D"/>
    <w:rsid w:val="000F5596"/>
    <w:rsid w:val="000F76CB"/>
    <w:rsid w:val="0010050A"/>
    <w:rsid w:val="00100997"/>
    <w:rsid w:val="00100A6E"/>
    <w:rsid w:val="0010132D"/>
    <w:rsid w:val="00101636"/>
    <w:rsid w:val="001026A2"/>
    <w:rsid w:val="00102FAB"/>
    <w:rsid w:val="0010309A"/>
    <w:rsid w:val="0010491B"/>
    <w:rsid w:val="00104D70"/>
    <w:rsid w:val="00105463"/>
    <w:rsid w:val="00106F9A"/>
    <w:rsid w:val="00110937"/>
    <w:rsid w:val="00111656"/>
    <w:rsid w:val="001127AD"/>
    <w:rsid w:val="00112FE8"/>
    <w:rsid w:val="00113674"/>
    <w:rsid w:val="00113F5A"/>
    <w:rsid w:val="00114D14"/>
    <w:rsid w:val="00117926"/>
    <w:rsid w:val="001206BB"/>
    <w:rsid w:val="0012107C"/>
    <w:rsid w:val="001214B9"/>
    <w:rsid w:val="0012206F"/>
    <w:rsid w:val="0012335D"/>
    <w:rsid w:val="00124675"/>
    <w:rsid w:val="001252AA"/>
    <w:rsid w:val="00126C29"/>
    <w:rsid w:val="00130426"/>
    <w:rsid w:val="00132613"/>
    <w:rsid w:val="00133075"/>
    <w:rsid w:val="00133378"/>
    <w:rsid w:val="001360B6"/>
    <w:rsid w:val="0013623E"/>
    <w:rsid w:val="00137052"/>
    <w:rsid w:val="001400E4"/>
    <w:rsid w:val="001428D0"/>
    <w:rsid w:val="00142EA7"/>
    <w:rsid w:val="001438F5"/>
    <w:rsid w:val="001448A8"/>
    <w:rsid w:val="00146D07"/>
    <w:rsid w:val="00146ECE"/>
    <w:rsid w:val="00150CF0"/>
    <w:rsid w:val="00150FD9"/>
    <w:rsid w:val="00151287"/>
    <w:rsid w:val="001520D3"/>
    <w:rsid w:val="00152ED9"/>
    <w:rsid w:val="00153588"/>
    <w:rsid w:val="00154DAE"/>
    <w:rsid w:val="00155CDF"/>
    <w:rsid w:val="001569DB"/>
    <w:rsid w:val="00157B24"/>
    <w:rsid w:val="0016072E"/>
    <w:rsid w:val="001621EE"/>
    <w:rsid w:val="0016415E"/>
    <w:rsid w:val="00164244"/>
    <w:rsid w:val="00164857"/>
    <w:rsid w:val="00166EB8"/>
    <w:rsid w:val="00166FF1"/>
    <w:rsid w:val="0016732D"/>
    <w:rsid w:val="0016737D"/>
    <w:rsid w:val="001675B1"/>
    <w:rsid w:val="0017063D"/>
    <w:rsid w:val="00171B30"/>
    <w:rsid w:val="00171E29"/>
    <w:rsid w:val="00171FAF"/>
    <w:rsid w:val="00172762"/>
    <w:rsid w:val="0017281B"/>
    <w:rsid w:val="001729ED"/>
    <w:rsid w:val="001744B9"/>
    <w:rsid w:val="001747D1"/>
    <w:rsid w:val="00174DBB"/>
    <w:rsid w:val="00176A22"/>
    <w:rsid w:val="00177345"/>
    <w:rsid w:val="001776A5"/>
    <w:rsid w:val="00177785"/>
    <w:rsid w:val="001810ED"/>
    <w:rsid w:val="00182DAB"/>
    <w:rsid w:val="001843DF"/>
    <w:rsid w:val="0018458C"/>
    <w:rsid w:val="00185B84"/>
    <w:rsid w:val="00186EB9"/>
    <w:rsid w:val="00190497"/>
    <w:rsid w:val="00190A0A"/>
    <w:rsid w:val="00191934"/>
    <w:rsid w:val="001934E7"/>
    <w:rsid w:val="00193C3F"/>
    <w:rsid w:val="0019529E"/>
    <w:rsid w:val="001952D3"/>
    <w:rsid w:val="00195331"/>
    <w:rsid w:val="00197C79"/>
    <w:rsid w:val="001A09CA"/>
    <w:rsid w:val="001A1B06"/>
    <w:rsid w:val="001A2C4F"/>
    <w:rsid w:val="001A4C0C"/>
    <w:rsid w:val="001A5664"/>
    <w:rsid w:val="001A5E4C"/>
    <w:rsid w:val="001A6057"/>
    <w:rsid w:val="001A6167"/>
    <w:rsid w:val="001B0B36"/>
    <w:rsid w:val="001B1B04"/>
    <w:rsid w:val="001B5191"/>
    <w:rsid w:val="001B5710"/>
    <w:rsid w:val="001B5943"/>
    <w:rsid w:val="001B5E07"/>
    <w:rsid w:val="001C3054"/>
    <w:rsid w:val="001C3CB1"/>
    <w:rsid w:val="001C5267"/>
    <w:rsid w:val="001C6DE3"/>
    <w:rsid w:val="001C7AC5"/>
    <w:rsid w:val="001D048B"/>
    <w:rsid w:val="001D088F"/>
    <w:rsid w:val="001D15FF"/>
    <w:rsid w:val="001D2118"/>
    <w:rsid w:val="001D2CEA"/>
    <w:rsid w:val="001D74A2"/>
    <w:rsid w:val="001E1129"/>
    <w:rsid w:val="001E1DAE"/>
    <w:rsid w:val="001E1F4A"/>
    <w:rsid w:val="001E2991"/>
    <w:rsid w:val="001E3757"/>
    <w:rsid w:val="001E5024"/>
    <w:rsid w:val="001E5F54"/>
    <w:rsid w:val="001F12C8"/>
    <w:rsid w:val="001F193D"/>
    <w:rsid w:val="001F279B"/>
    <w:rsid w:val="001F3E76"/>
    <w:rsid w:val="001F47CF"/>
    <w:rsid w:val="001F6A32"/>
    <w:rsid w:val="00200646"/>
    <w:rsid w:val="00201992"/>
    <w:rsid w:val="00201B99"/>
    <w:rsid w:val="002022C4"/>
    <w:rsid w:val="00202627"/>
    <w:rsid w:val="002045AA"/>
    <w:rsid w:val="00204DB5"/>
    <w:rsid w:val="00207544"/>
    <w:rsid w:val="002121BB"/>
    <w:rsid w:val="00213C59"/>
    <w:rsid w:val="0021501E"/>
    <w:rsid w:val="00216FD9"/>
    <w:rsid w:val="0021789C"/>
    <w:rsid w:val="00217E95"/>
    <w:rsid w:val="00217F0F"/>
    <w:rsid w:val="002207C0"/>
    <w:rsid w:val="00220977"/>
    <w:rsid w:val="002219E4"/>
    <w:rsid w:val="00222BCC"/>
    <w:rsid w:val="002230D1"/>
    <w:rsid w:val="00223E84"/>
    <w:rsid w:val="0022584F"/>
    <w:rsid w:val="002318CC"/>
    <w:rsid w:val="00231D5B"/>
    <w:rsid w:val="00232918"/>
    <w:rsid w:val="00234B18"/>
    <w:rsid w:val="00234D15"/>
    <w:rsid w:val="00235AC2"/>
    <w:rsid w:val="0023603B"/>
    <w:rsid w:val="002361EE"/>
    <w:rsid w:val="00236AB2"/>
    <w:rsid w:val="00237146"/>
    <w:rsid w:val="002403A0"/>
    <w:rsid w:val="0024090D"/>
    <w:rsid w:val="0024134F"/>
    <w:rsid w:val="002421C1"/>
    <w:rsid w:val="00243137"/>
    <w:rsid w:val="002445D4"/>
    <w:rsid w:val="00244862"/>
    <w:rsid w:val="002464E3"/>
    <w:rsid w:val="002470BC"/>
    <w:rsid w:val="0025025E"/>
    <w:rsid w:val="002546CC"/>
    <w:rsid w:val="0025499E"/>
    <w:rsid w:val="00255275"/>
    <w:rsid w:val="00255EE6"/>
    <w:rsid w:val="002570C8"/>
    <w:rsid w:val="00257FB4"/>
    <w:rsid w:val="00261E78"/>
    <w:rsid w:val="0026241B"/>
    <w:rsid w:val="002633E6"/>
    <w:rsid w:val="00266088"/>
    <w:rsid w:val="002660E3"/>
    <w:rsid w:val="0026620E"/>
    <w:rsid w:val="00267FF0"/>
    <w:rsid w:val="00270AFA"/>
    <w:rsid w:val="00270FF6"/>
    <w:rsid w:val="0027109B"/>
    <w:rsid w:val="002713F1"/>
    <w:rsid w:val="0027327D"/>
    <w:rsid w:val="00273A0F"/>
    <w:rsid w:val="002742F4"/>
    <w:rsid w:val="00274A5A"/>
    <w:rsid w:val="00275F1D"/>
    <w:rsid w:val="00276C6C"/>
    <w:rsid w:val="00277614"/>
    <w:rsid w:val="00277AD7"/>
    <w:rsid w:val="00280D0B"/>
    <w:rsid w:val="00282841"/>
    <w:rsid w:val="0028363F"/>
    <w:rsid w:val="00284E5F"/>
    <w:rsid w:val="00285C94"/>
    <w:rsid w:val="002861EC"/>
    <w:rsid w:val="0028766C"/>
    <w:rsid w:val="00291EC1"/>
    <w:rsid w:val="002924B4"/>
    <w:rsid w:val="0029395A"/>
    <w:rsid w:val="00294488"/>
    <w:rsid w:val="00294BCD"/>
    <w:rsid w:val="00294FE3"/>
    <w:rsid w:val="00295FCC"/>
    <w:rsid w:val="0029636D"/>
    <w:rsid w:val="002A0D2D"/>
    <w:rsid w:val="002A0F40"/>
    <w:rsid w:val="002A241C"/>
    <w:rsid w:val="002A6B55"/>
    <w:rsid w:val="002A7088"/>
    <w:rsid w:val="002B0898"/>
    <w:rsid w:val="002B0E37"/>
    <w:rsid w:val="002B1E93"/>
    <w:rsid w:val="002B3193"/>
    <w:rsid w:val="002B4A43"/>
    <w:rsid w:val="002B53B1"/>
    <w:rsid w:val="002C2142"/>
    <w:rsid w:val="002C22D5"/>
    <w:rsid w:val="002C28A5"/>
    <w:rsid w:val="002C2EE4"/>
    <w:rsid w:val="002C34EB"/>
    <w:rsid w:val="002C3EBB"/>
    <w:rsid w:val="002C51EB"/>
    <w:rsid w:val="002C57CA"/>
    <w:rsid w:val="002C67B4"/>
    <w:rsid w:val="002C6B7C"/>
    <w:rsid w:val="002D3767"/>
    <w:rsid w:val="002D5587"/>
    <w:rsid w:val="002D7895"/>
    <w:rsid w:val="002D7F4A"/>
    <w:rsid w:val="002E022E"/>
    <w:rsid w:val="002E3C69"/>
    <w:rsid w:val="002E654A"/>
    <w:rsid w:val="002E786E"/>
    <w:rsid w:val="002F11E4"/>
    <w:rsid w:val="002F1718"/>
    <w:rsid w:val="002F19E1"/>
    <w:rsid w:val="002F537C"/>
    <w:rsid w:val="002F56D0"/>
    <w:rsid w:val="002F5A2D"/>
    <w:rsid w:val="002F6D6F"/>
    <w:rsid w:val="002F6DE9"/>
    <w:rsid w:val="00301197"/>
    <w:rsid w:val="003015BF"/>
    <w:rsid w:val="00301B96"/>
    <w:rsid w:val="00301FE9"/>
    <w:rsid w:val="003024DF"/>
    <w:rsid w:val="003044F9"/>
    <w:rsid w:val="003045D6"/>
    <w:rsid w:val="00305150"/>
    <w:rsid w:val="00306AEF"/>
    <w:rsid w:val="00307DCA"/>
    <w:rsid w:val="00311CD6"/>
    <w:rsid w:val="0031276F"/>
    <w:rsid w:val="00316C73"/>
    <w:rsid w:val="00317B96"/>
    <w:rsid w:val="00320F2E"/>
    <w:rsid w:val="00321B83"/>
    <w:rsid w:val="00321CF3"/>
    <w:rsid w:val="00322885"/>
    <w:rsid w:val="003235D9"/>
    <w:rsid w:val="00326525"/>
    <w:rsid w:val="003276FD"/>
    <w:rsid w:val="00327FEF"/>
    <w:rsid w:val="00330E33"/>
    <w:rsid w:val="00333A79"/>
    <w:rsid w:val="003349DC"/>
    <w:rsid w:val="00335D9A"/>
    <w:rsid w:val="00340B9A"/>
    <w:rsid w:val="0034119D"/>
    <w:rsid w:val="003422FA"/>
    <w:rsid w:val="00342896"/>
    <w:rsid w:val="003431C2"/>
    <w:rsid w:val="00344346"/>
    <w:rsid w:val="003444F2"/>
    <w:rsid w:val="00346AF6"/>
    <w:rsid w:val="00347BAE"/>
    <w:rsid w:val="00350003"/>
    <w:rsid w:val="003504AF"/>
    <w:rsid w:val="00350BCE"/>
    <w:rsid w:val="00350DBA"/>
    <w:rsid w:val="003540D6"/>
    <w:rsid w:val="00354643"/>
    <w:rsid w:val="003556E4"/>
    <w:rsid w:val="00357A49"/>
    <w:rsid w:val="00357D24"/>
    <w:rsid w:val="00360079"/>
    <w:rsid w:val="003607C3"/>
    <w:rsid w:val="00366416"/>
    <w:rsid w:val="00366FE0"/>
    <w:rsid w:val="0037005E"/>
    <w:rsid w:val="003701D9"/>
    <w:rsid w:val="003703EA"/>
    <w:rsid w:val="003708E1"/>
    <w:rsid w:val="00370AE9"/>
    <w:rsid w:val="00370EC9"/>
    <w:rsid w:val="003715D7"/>
    <w:rsid w:val="00372748"/>
    <w:rsid w:val="003740BD"/>
    <w:rsid w:val="00376291"/>
    <w:rsid w:val="00376FFE"/>
    <w:rsid w:val="003802F1"/>
    <w:rsid w:val="0038101A"/>
    <w:rsid w:val="00381F08"/>
    <w:rsid w:val="003825E0"/>
    <w:rsid w:val="00382CA1"/>
    <w:rsid w:val="003846B7"/>
    <w:rsid w:val="00384D88"/>
    <w:rsid w:val="003854D3"/>
    <w:rsid w:val="0038550E"/>
    <w:rsid w:val="00391FD6"/>
    <w:rsid w:val="003927F2"/>
    <w:rsid w:val="00393111"/>
    <w:rsid w:val="00393E0F"/>
    <w:rsid w:val="00395BD1"/>
    <w:rsid w:val="0039668E"/>
    <w:rsid w:val="00396B79"/>
    <w:rsid w:val="003978DC"/>
    <w:rsid w:val="00397B02"/>
    <w:rsid w:val="00397D0E"/>
    <w:rsid w:val="00397E4B"/>
    <w:rsid w:val="003A0590"/>
    <w:rsid w:val="003A1821"/>
    <w:rsid w:val="003A4E16"/>
    <w:rsid w:val="003A58CE"/>
    <w:rsid w:val="003A7386"/>
    <w:rsid w:val="003A7442"/>
    <w:rsid w:val="003A7CFB"/>
    <w:rsid w:val="003B1E6A"/>
    <w:rsid w:val="003B21BB"/>
    <w:rsid w:val="003B2DF4"/>
    <w:rsid w:val="003B6284"/>
    <w:rsid w:val="003B6997"/>
    <w:rsid w:val="003B7124"/>
    <w:rsid w:val="003B7136"/>
    <w:rsid w:val="003C1534"/>
    <w:rsid w:val="003C3081"/>
    <w:rsid w:val="003C4940"/>
    <w:rsid w:val="003C4A04"/>
    <w:rsid w:val="003C4C63"/>
    <w:rsid w:val="003C6BC3"/>
    <w:rsid w:val="003C7028"/>
    <w:rsid w:val="003D020D"/>
    <w:rsid w:val="003D24A9"/>
    <w:rsid w:val="003D2694"/>
    <w:rsid w:val="003D4F51"/>
    <w:rsid w:val="003D56DB"/>
    <w:rsid w:val="003D7056"/>
    <w:rsid w:val="003D79A2"/>
    <w:rsid w:val="003D7ADF"/>
    <w:rsid w:val="003D7E6C"/>
    <w:rsid w:val="003E005B"/>
    <w:rsid w:val="003E06AA"/>
    <w:rsid w:val="003E07D0"/>
    <w:rsid w:val="003E3D88"/>
    <w:rsid w:val="003E6619"/>
    <w:rsid w:val="003E6DB4"/>
    <w:rsid w:val="003E6E92"/>
    <w:rsid w:val="003F219E"/>
    <w:rsid w:val="003F4443"/>
    <w:rsid w:val="003F4F5E"/>
    <w:rsid w:val="003F56E8"/>
    <w:rsid w:val="003F5E7B"/>
    <w:rsid w:val="003F625A"/>
    <w:rsid w:val="003F6E48"/>
    <w:rsid w:val="003F7C9A"/>
    <w:rsid w:val="0040179A"/>
    <w:rsid w:val="004029D2"/>
    <w:rsid w:val="0040317B"/>
    <w:rsid w:val="00403261"/>
    <w:rsid w:val="00403464"/>
    <w:rsid w:val="00403D9B"/>
    <w:rsid w:val="004052B6"/>
    <w:rsid w:val="00406AA7"/>
    <w:rsid w:val="00406CD1"/>
    <w:rsid w:val="00410642"/>
    <w:rsid w:val="00410969"/>
    <w:rsid w:val="00411511"/>
    <w:rsid w:val="00412B51"/>
    <w:rsid w:val="00413655"/>
    <w:rsid w:val="004164DA"/>
    <w:rsid w:val="00416AFC"/>
    <w:rsid w:val="00416EED"/>
    <w:rsid w:val="00417164"/>
    <w:rsid w:val="004179A3"/>
    <w:rsid w:val="00420C3F"/>
    <w:rsid w:val="00421798"/>
    <w:rsid w:val="00421D46"/>
    <w:rsid w:val="00425308"/>
    <w:rsid w:val="00425A25"/>
    <w:rsid w:val="00427563"/>
    <w:rsid w:val="00430514"/>
    <w:rsid w:val="00431396"/>
    <w:rsid w:val="00437177"/>
    <w:rsid w:val="0043741D"/>
    <w:rsid w:val="00437707"/>
    <w:rsid w:val="004377BA"/>
    <w:rsid w:val="00441441"/>
    <w:rsid w:val="00443DF1"/>
    <w:rsid w:val="004458D2"/>
    <w:rsid w:val="0045183C"/>
    <w:rsid w:val="0045243A"/>
    <w:rsid w:val="00452F6C"/>
    <w:rsid w:val="004545C3"/>
    <w:rsid w:val="00454BB4"/>
    <w:rsid w:val="00454C97"/>
    <w:rsid w:val="00454CC1"/>
    <w:rsid w:val="00460728"/>
    <w:rsid w:val="0046232F"/>
    <w:rsid w:val="00462D51"/>
    <w:rsid w:val="00462D72"/>
    <w:rsid w:val="004650E5"/>
    <w:rsid w:val="00467518"/>
    <w:rsid w:val="00467C31"/>
    <w:rsid w:val="004715C9"/>
    <w:rsid w:val="00471B74"/>
    <w:rsid w:val="00472D91"/>
    <w:rsid w:val="00473D7D"/>
    <w:rsid w:val="00474586"/>
    <w:rsid w:val="0047601B"/>
    <w:rsid w:val="0047618B"/>
    <w:rsid w:val="0047674B"/>
    <w:rsid w:val="00476BE1"/>
    <w:rsid w:val="00480E84"/>
    <w:rsid w:val="00483096"/>
    <w:rsid w:val="004834B8"/>
    <w:rsid w:val="004842F5"/>
    <w:rsid w:val="004861AC"/>
    <w:rsid w:val="00493C11"/>
    <w:rsid w:val="00494876"/>
    <w:rsid w:val="00495D36"/>
    <w:rsid w:val="0049615A"/>
    <w:rsid w:val="00496782"/>
    <w:rsid w:val="004A09B9"/>
    <w:rsid w:val="004A0B77"/>
    <w:rsid w:val="004A204E"/>
    <w:rsid w:val="004A227B"/>
    <w:rsid w:val="004A2C7F"/>
    <w:rsid w:val="004A494E"/>
    <w:rsid w:val="004A54A9"/>
    <w:rsid w:val="004A62C0"/>
    <w:rsid w:val="004A63FA"/>
    <w:rsid w:val="004A6F28"/>
    <w:rsid w:val="004B0BAF"/>
    <w:rsid w:val="004B169B"/>
    <w:rsid w:val="004B445F"/>
    <w:rsid w:val="004B4B85"/>
    <w:rsid w:val="004B5544"/>
    <w:rsid w:val="004B5E34"/>
    <w:rsid w:val="004B61C0"/>
    <w:rsid w:val="004B6BC7"/>
    <w:rsid w:val="004B78A4"/>
    <w:rsid w:val="004B78D0"/>
    <w:rsid w:val="004C0071"/>
    <w:rsid w:val="004C03D6"/>
    <w:rsid w:val="004C1963"/>
    <w:rsid w:val="004C34E8"/>
    <w:rsid w:val="004C40F5"/>
    <w:rsid w:val="004C45A8"/>
    <w:rsid w:val="004C4E65"/>
    <w:rsid w:val="004C54C4"/>
    <w:rsid w:val="004C6E75"/>
    <w:rsid w:val="004C7C39"/>
    <w:rsid w:val="004D0155"/>
    <w:rsid w:val="004D07A3"/>
    <w:rsid w:val="004D0F2C"/>
    <w:rsid w:val="004D1BE2"/>
    <w:rsid w:val="004D1EBA"/>
    <w:rsid w:val="004D210B"/>
    <w:rsid w:val="004D2313"/>
    <w:rsid w:val="004D2929"/>
    <w:rsid w:val="004D37F9"/>
    <w:rsid w:val="004D551D"/>
    <w:rsid w:val="004D6E2E"/>
    <w:rsid w:val="004D7F00"/>
    <w:rsid w:val="004E0324"/>
    <w:rsid w:val="004E03D1"/>
    <w:rsid w:val="004E1282"/>
    <w:rsid w:val="004E2A55"/>
    <w:rsid w:val="004E5610"/>
    <w:rsid w:val="004E56F8"/>
    <w:rsid w:val="004F141F"/>
    <w:rsid w:val="004F1F82"/>
    <w:rsid w:val="004F79F8"/>
    <w:rsid w:val="004F7D2E"/>
    <w:rsid w:val="005003C0"/>
    <w:rsid w:val="0050186C"/>
    <w:rsid w:val="00501F78"/>
    <w:rsid w:val="0050232E"/>
    <w:rsid w:val="00502855"/>
    <w:rsid w:val="005033A1"/>
    <w:rsid w:val="00503CE9"/>
    <w:rsid w:val="00506A29"/>
    <w:rsid w:val="00507DD6"/>
    <w:rsid w:val="00514562"/>
    <w:rsid w:val="00515E50"/>
    <w:rsid w:val="00516372"/>
    <w:rsid w:val="00520088"/>
    <w:rsid w:val="00520F94"/>
    <w:rsid w:val="005230AE"/>
    <w:rsid w:val="005257F1"/>
    <w:rsid w:val="005259A0"/>
    <w:rsid w:val="0052770B"/>
    <w:rsid w:val="005307CA"/>
    <w:rsid w:val="00530F87"/>
    <w:rsid w:val="00531AE1"/>
    <w:rsid w:val="00532622"/>
    <w:rsid w:val="00534BE3"/>
    <w:rsid w:val="00534C67"/>
    <w:rsid w:val="00535587"/>
    <w:rsid w:val="005367C5"/>
    <w:rsid w:val="00536ABA"/>
    <w:rsid w:val="00537D44"/>
    <w:rsid w:val="00540CB8"/>
    <w:rsid w:val="005415A0"/>
    <w:rsid w:val="00543D72"/>
    <w:rsid w:val="00543E58"/>
    <w:rsid w:val="00544291"/>
    <w:rsid w:val="00546853"/>
    <w:rsid w:val="00547FCA"/>
    <w:rsid w:val="0055159E"/>
    <w:rsid w:val="00552B7E"/>
    <w:rsid w:val="00554646"/>
    <w:rsid w:val="00554C63"/>
    <w:rsid w:val="005550EB"/>
    <w:rsid w:val="00556AB8"/>
    <w:rsid w:val="005571F7"/>
    <w:rsid w:val="0055747A"/>
    <w:rsid w:val="00561FD4"/>
    <w:rsid w:val="00565080"/>
    <w:rsid w:val="00566BC3"/>
    <w:rsid w:val="00567694"/>
    <w:rsid w:val="00576F2D"/>
    <w:rsid w:val="005817E7"/>
    <w:rsid w:val="00581BE3"/>
    <w:rsid w:val="0058552C"/>
    <w:rsid w:val="005865D9"/>
    <w:rsid w:val="00587AFC"/>
    <w:rsid w:val="005900B7"/>
    <w:rsid w:val="00591E9A"/>
    <w:rsid w:val="00595948"/>
    <w:rsid w:val="005A0FEB"/>
    <w:rsid w:val="005A2115"/>
    <w:rsid w:val="005A2A69"/>
    <w:rsid w:val="005A2BA1"/>
    <w:rsid w:val="005A3825"/>
    <w:rsid w:val="005A495E"/>
    <w:rsid w:val="005A4B0C"/>
    <w:rsid w:val="005A604D"/>
    <w:rsid w:val="005A615C"/>
    <w:rsid w:val="005A61C5"/>
    <w:rsid w:val="005A7974"/>
    <w:rsid w:val="005A7B1E"/>
    <w:rsid w:val="005A7EB8"/>
    <w:rsid w:val="005B2030"/>
    <w:rsid w:val="005B2CD3"/>
    <w:rsid w:val="005B364C"/>
    <w:rsid w:val="005B4EBC"/>
    <w:rsid w:val="005B589A"/>
    <w:rsid w:val="005B67D0"/>
    <w:rsid w:val="005B6C02"/>
    <w:rsid w:val="005B7807"/>
    <w:rsid w:val="005B7AAE"/>
    <w:rsid w:val="005C0257"/>
    <w:rsid w:val="005C19D7"/>
    <w:rsid w:val="005C3749"/>
    <w:rsid w:val="005C3DCA"/>
    <w:rsid w:val="005C564A"/>
    <w:rsid w:val="005C5E52"/>
    <w:rsid w:val="005C69A2"/>
    <w:rsid w:val="005C6B03"/>
    <w:rsid w:val="005C79D2"/>
    <w:rsid w:val="005C79F8"/>
    <w:rsid w:val="005D13BE"/>
    <w:rsid w:val="005D209E"/>
    <w:rsid w:val="005D3580"/>
    <w:rsid w:val="005D3825"/>
    <w:rsid w:val="005D3C0E"/>
    <w:rsid w:val="005D4875"/>
    <w:rsid w:val="005D48B0"/>
    <w:rsid w:val="005D4E81"/>
    <w:rsid w:val="005D72B8"/>
    <w:rsid w:val="005E0B30"/>
    <w:rsid w:val="005E0FC4"/>
    <w:rsid w:val="005E3462"/>
    <w:rsid w:val="005E4523"/>
    <w:rsid w:val="005E5207"/>
    <w:rsid w:val="005E58A7"/>
    <w:rsid w:val="005E7C0C"/>
    <w:rsid w:val="005F3857"/>
    <w:rsid w:val="005F546A"/>
    <w:rsid w:val="005F71E0"/>
    <w:rsid w:val="00601BCE"/>
    <w:rsid w:val="00602946"/>
    <w:rsid w:val="00603723"/>
    <w:rsid w:val="00605102"/>
    <w:rsid w:val="0060533E"/>
    <w:rsid w:val="006065E6"/>
    <w:rsid w:val="00606AB5"/>
    <w:rsid w:val="0061334C"/>
    <w:rsid w:val="00614799"/>
    <w:rsid w:val="00614D94"/>
    <w:rsid w:val="00615C3D"/>
    <w:rsid w:val="006167EE"/>
    <w:rsid w:val="0061763B"/>
    <w:rsid w:val="00617FEE"/>
    <w:rsid w:val="0062477E"/>
    <w:rsid w:val="00625F09"/>
    <w:rsid w:val="00630FAF"/>
    <w:rsid w:val="006310EB"/>
    <w:rsid w:val="00631E79"/>
    <w:rsid w:val="006345AC"/>
    <w:rsid w:val="00635DCA"/>
    <w:rsid w:val="0063600C"/>
    <w:rsid w:val="006363AA"/>
    <w:rsid w:val="006363B0"/>
    <w:rsid w:val="0063674E"/>
    <w:rsid w:val="0063748D"/>
    <w:rsid w:val="00640465"/>
    <w:rsid w:val="00642FBB"/>
    <w:rsid w:val="00643355"/>
    <w:rsid w:val="00644035"/>
    <w:rsid w:val="0064450A"/>
    <w:rsid w:val="006446BD"/>
    <w:rsid w:val="00646A62"/>
    <w:rsid w:val="00646A70"/>
    <w:rsid w:val="00647699"/>
    <w:rsid w:val="00647D2F"/>
    <w:rsid w:val="00651C7C"/>
    <w:rsid w:val="00652374"/>
    <w:rsid w:val="00653DB2"/>
    <w:rsid w:val="00654FEB"/>
    <w:rsid w:val="0065545A"/>
    <w:rsid w:val="00656236"/>
    <w:rsid w:val="0065662C"/>
    <w:rsid w:val="006567C1"/>
    <w:rsid w:val="006579C7"/>
    <w:rsid w:val="00657BA2"/>
    <w:rsid w:val="0066022B"/>
    <w:rsid w:val="00662BD6"/>
    <w:rsid w:val="00662DFF"/>
    <w:rsid w:val="00663126"/>
    <w:rsid w:val="006635E2"/>
    <w:rsid w:val="006635F3"/>
    <w:rsid w:val="00663EA7"/>
    <w:rsid w:val="006674C0"/>
    <w:rsid w:val="0066799A"/>
    <w:rsid w:val="00670F97"/>
    <w:rsid w:val="006722AF"/>
    <w:rsid w:val="006729EB"/>
    <w:rsid w:val="00673927"/>
    <w:rsid w:val="00675117"/>
    <w:rsid w:val="006752AF"/>
    <w:rsid w:val="00675E74"/>
    <w:rsid w:val="0067771C"/>
    <w:rsid w:val="00677AB6"/>
    <w:rsid w:val="00677D26"/>
    <w:rsid w:val="00680A29"/>
    <w:rsid w:val="006818A9"/>
    <w:rsid w:val="00681A00"/>
    <w:rsid w:val="00681EF5"/>
    <w:rsid w:val="00682855"/>
    <w:rsid w:val="00682DF2"/>
    <w:rsid w:val="0068626E"/>
    <w:rsid w:val="006869F1"/>
    <w:rsid w:val="00687283"/>
    <w:rsid w:val="00691E7D"/>
    <w:rsid w:val="006939DE"/>
    <w:rsid w:val="00695421"/>
    <w:rsid w:val="00696272"/>
    <w:rsid w:val="00697744"/>
    <w:rsid w:val="00697D33"/>
    <w:rsid w:val="006A037F"/>
    <w:rsid w:val="006A199E"/>
    <w:rsid w:val="006A2A4B"/>
    <w:rsid w:val="006A5287"/>
    <w:rsid w:val="006A77E3"/>
    <w:rsid w:val="006A7CF5"/>
    <w:rsid w:val="006A7D14"/>
    <w:rsid w:val="006B0427"/>
    <w:rsid w:val="006B21C1"/>
    <w:rsid w:val="006B3DBA"/>
    <w:rsid w:val="006B433A"/>
    <w:rsid w:val="006B5576"/>
    <w:rsid w:val="006B6044"/>
    <w:rsid w:val="006C5F9F"/>
    <w:rsid w:val="006C6A16"/>
    <w:rsid w:val="006C6F9A"/>
    <w:rsid w:val="006C7CF4"/>
    <w:rsid w:val="006D2BEA"/>
    <w:rsid w:val="006D36CD"/>
    <w:rsid w:val="006D3A4D"/>
    <w:rsid w:val="006D5018"/>
    <w:rsid w:val="006D6291"/>
    <w:rsid w:val="006D633B"/>
    <w:rsid w:val="006D6415"/>
    <w:rsid w:val="006D6BA0"/>
    <w:rsid w:val="006D6D00"/>
    <w:rsid w:val="006D7215"/>
    <w:rsid w:val="006E05C8"/>
    <w:rsid w:val="006E4332"/>
    <w:rsid w:val="006E4369"/>
    <w:rsid w:val="006E56A4"/>
    <w:rsid w:val="006E6358"/>
    <w:rsid w:val="006E6B13"/>
    <w:rsid w:val="006F0933"/>
    <w:rsid w:val="006F0DAF"/>
    <w:rsid w:val="006F108F"/>
    <w:rsid w:val="006F3F7A"/>
    <w:rsid w:val="006F4409"/>
    <w:rsid w:val="006F49A6"/>
    <w:rsid w:val="006F53BE"/>
    <w:rsid w:val="006F5C4B"/>
    <w:rsid w:val="006F61D3"/>
    <w:rsid w:val="006F7C8C"/>
    <w:rsid w:val="0070060E"/>
    <w:rsid w:val="0070233A"/>
    <w:rsid w:val="00703FAB"/>
    <w:rsid w:val="007044A0"/>
    <w:rsid w:val="007053F1"/>
    <w:rsid w:val="00705FB9"/>
    <w:rsid w:val="007061E2"/>
    <w:rsid w:val="007065AC"/>
    <w:rsid w:val="007073F6"/>
    <w:rsid w:val="007103D7"/>
    <w:rsid w:val="00710402"/>
    <w:rsid w:val="0071178F"/>
    <w:rsid w:val="00711F9F"/>
    <w:rsid w:val="00713DD3"/>
    <w:rsid w:val="00715803"/>
    <w:rsid w:val="0071665B"/>
    <w:rsid w:val="0071775B"/>
    <w:rsid w:val="007202E9"/>
    <w:rsid w:val="00720BDE"/>
    <w:rsid w:val="00720D00"/>
    <w:rsid w:val="00721558"/>
    <w:rsid w:val="00722E0B"/>
    <w:rsid w:val="007239B9"/>
    <w:rsid w:val="00726040"/>
    <w:rsid w:val="007263A7"/>
    <w:rsid w:val="0072672E"/>
    <w:rsid w:val="00726F0B"/>
    <w:rsid w:val="00730D18"/>
    <w:rsid w:val="007317A0"/>
    <w:rsid w:val="00732606"/>
    <w:rsid w:val="00732B1E"/>
    <w:rsid w:val="00734442"/>
    <w:rsid w:val="00734C2E"/>
    <w:rsid w:val="00736B83"/>
    <w:rsid w:val="0073786E"/>
    <w:rsid w:val="007378E0"/>
    <w:rsid w:val="00737BFD"/>
    <w:rsid w:val="007407B0"/>
    <w:rsid w:val="00740B5B"/>
    <w:rsid w:val="00740F1C"/>
    <w:rsid w:val="00741025"/>
    <w:rsid w:val="00741397"/>
    <w:rsid w:val="00742761"/>
    <w:rsid w:val="00742E89"/>
    <w:rsid w:val="007442AD"/>
    <w:rsid w:val="00745332"/>
    <w:rsid w:val="007459A9"/>
    <w:rsid w:val="00747EA6"/>
    <w:rsid w:val="0075157A"/>
    <w:rsid w:val="00752E19"/>
    <w:rsid w:val="007538C6"/>
    <w:rsid w:val="007545EF"/>
    <w:rsid w:val="00755025"/>
    <w:rsid w:val="0075565A"/>
    <w:rsid w:val="00755FA7"/>
    <w:rsid w:val="007563DF"/>
    <w:rsid w:val="0075676A"/>
    <w:rsid w:val="007571A4"/>
    <w:rsid w:val="007608E1"/>
    <w:rsid w:val="00761039"/>
    <w:rsid w:val="00762CCB"/>
    <w:rsid w:val="00763410"/>
    <w:rsid w:val="00763FAC"/>
    <w:rsid w:val="00764602"/>
    <w:rsid w:val="00764916"/>
    <w:rsid w:val="00764F49"/>
    <w:rsid w:val="00770722"/>
    <w:rsid w:val="007707B3"/>
    <w:rsid w:val="00772C5B"/>
    <w:rsid w:val="00774373"/>
    <w:rsid w:val="00774F89"/>
    <w:rsid w:val="007760B3"/>
    <w:rsid w:val="007776EA"/>
    <w:rsid w:val="007776F3"/>
    <w:rsid w:val="007800CB"/>
    <w:rsid w:val="00781B4A"/>
    <w:rsid w:val="0078445D"/>
    <w:rsid w:val="00785FEF"/>
    <w:rsid w:val="0078693D"/>
    <w:rsid w:val="007870D2"/>
    <w:rsid w:val="007871EC"/>
    <w:rsid w:val="007879A3"/>
    <w:rsid w:val="007901F4"/>
    <w:rsid w:val="0079523B"/>
    <w:rsid w:val="00795F15"/>
    <w:rsid w:val="007979FA"/>
    <w:rsid w:val="007A1247"/>
    <w:rsid w:val="007A2AFA"/>
    <w:rsid w:val="007A37BC"/>
    <w:rsid w:val="007A3CA3"/>
    <w:rsid w:val="007A4DE6"/>
    <w:rsid w:val="007A5C7F"/>
    <w:rsid w:val="007A671D"/>
    <w:rsid w:val="007A7072"/>
    <w:rsid w:val="007B013C"/>
    <w:rsid w:val="007B0DA6"/>
    <w:rsid w:val="007B174C"/>
    <w:rsid w:val="007B21EF"/>
    <w:rsid w:val="007B2336"/>
    <w:rsid w:val="007B3297"/>
    <w:rsid w:val="007B332F"/>
    <w:rsid w:val="007B345A"/>
    <w:rsid w:val="007B44A2"/>
    <w:rsid w:val="007B5EDC"/>
    <w:rsid w:val="007B67D5"/>
    <w:rsid w:val="007B6802"/>
    <w:rsid w:val="007B7EA2"/>
    <w:rsid w:val="007C0F9C"/>
    <w:rsid w:val="007C1F85"/>
    <w:rsid w:val="007C45E3"/>
    <w:rsid w:val="007C4CB3"/>
    <w:rsid w:val="007C4FDA"/>
    <w:rsid w:val="007C623F"/>
    <w:rsid w:val="007C708A"/>
    <w:rsid w:val="007D01A2"/>
    <w:rsid w:val="007D065B"/>
    <w:rsid w:val="007D3B01"/>
    <w:rsid w:val="007D56E3"/>
    <w:rsid w:val="007D6401"/>
    <w:rsid w:val="007D677F"/>
    <w:rsid w:val="007D6DCC"/>
    <w:rsid w:val="007D78ED"/>
    <w:rsid w:val="007D7BB2"/>
    <w:rsid w:val="007E0E12"/>
    <w:rsid w:val="007E601C"/>
    <w:rsid w:val="007E679C"/>
    <w:rsid w:val="007E68C1"/>
    <w:rsid w:val="007E70F0"/>
    <w:rsid w:val="007E72B9"/>
    <w:rsid w:val="007E768C"/>
    <w:rsid w:val="007E7759"/>
    <w:rsid w:val="007E7AFD"/>
    <w:rsid w:val="007F084E"/>
    <w:rsid w:val="007F0AB1"/>
    <w:rsid w:val="007F0DAB"/>
    <w:rsid w:val="007F0E4A"/>
    <w:rsid w:val="007F1F1C"/>
    <w:rsid w:val="007F273C"/>
    <w:rsid w:val="007F2F90"/>
    <w:rsid w:val="007F4024"/>
    <w:rsid w:val="007F700F"/>
    <w:rsid w:val="00802E21"/>
    <w:rsid w:val="0080363A"/>
    <w:rsid w:val="00803713"/>
    <w:rsid w:val="00803A3A"/>
    <w:rsid w:val="008054BA"/>
    <w:rsid w:val="0081014B"/>
    <w:rsid w:val="008119AF"/>
    <w:rsid w:val="00814703"/>
    <w:rsid w:val="00814E2D"/>
    <w:rsid w:val="0081532F"/>
    <w:rsid w:val="00815617"/>
    <w:rsid w:val="00816D9E"/>
    <w:rsid w:val="00816EDD"/>
    <w:rsid w:val="0082169F"/>
    <w:rsid w:val="008226D7"/>
    <w:rsid w:val="00822A96"/>
    <w:rsid w:val="00823443"/>
    <w:rsid w:val="00824343"/>
    <w:rsid w:val="008257DD"/>
    <w:rsid w:val="00826EA7"/>
    <w:rsid w:val="00830905"/>
    <w:rsid w:val="00833015"/>
    <w:rsid w:val="00834570"/>
    <w:rsid w:val="0083604D"/>
    <w:rsid w:val="0083671A"/>
    <w:rsid w:val="00836B0F"/>
    <w:rsid w:val="00837697"/>
    <w:rsid w:val="00842493"/>
    <w:rsid w:val="008430A7"/>
    <w:rsid w:val="00843CBA"/>
    <w:rsid w:val="00844AAC"/>
    <w:rsid w:val="00844CD5"/>
    <w:rsid w:val="00846036"/>
    <w:rsid w:val="00846425"/>
    <w:rsid w:val="00847730"/>
    <w:rsid w:val="00847FD0"/>
    <w:rsid w:val="00850250"/>
    <w:rsid w:val="00850EBE"/>
    <w:rsid w:val="00851010"/>
    <w:rsid w:val="0085109C"/>
    <w:rsid w:val="00851355"/>
    <w:rsid w:val="00851DE9"/>
    <w:rsid w:val="008523C0"/>
    <w:rsid w:val="00852F6B"/>
    <w:rsid w:val="00853043"/>
    <w:rsid w:val="008535D7"/>
    <w:rsid w:val="008542B7"/>
    <w:rsid w:val="0085582F"/>
    <w:rsid w:val="008560A6"/>
    <w:rsid w:val="00856787"/>
    <w:rsid w:val="008601BA"/>
    <w:rsid w:val="00861395"/>
    <w:rsid w:val="00861E03"/>
    <w:rsid w:val="00861FD2"/>
    <w:rsid w:val="00862F37"/>
    <w:rsid w:val="00863F91"/>
    <w:rsid w:val="00864BFF"/>
    <w:rsid w:val="00865909"/>
    <w:rsid w:val="008667AB"/>
    <w:rsid w:val="008678C8"/>
    <w:rsid w:val="008708AB"/>
    <w:rsid w:val="00870AAB"/>
    <w:rsid w:val="00870F05"/>
    <w:rsid w:val="0087268E"/>
    <w:rsid w:val="00872B8D"/>
    <w:rsid w:val="00872C77"/>
    <w:rsid w:val="0087302E"/>
    <w:rsid w:val="008733E5"/>
    <w:rsid w:val="00874B52"/>
    <w:rsid w:val="00874E6E"/>
    <w:rsid w:val="008750BA"/>
    <w:rsid w:val="00875831"/>
    <w:rsid w:val="00875A80"/>
    <w:rsid w:val="008766D6"/>
    <w:rsid w:val="00880B89"/>
    <w:rsid w:val="008823DA"/>
    <w:rsid w:val="00882FA0"/>
    <w:rsid w:val="0088340C"/>
    <w:rsid w:val="008846BF"/>
    <w:rsid w:val="0088493E"/>
    <w:rsid w:val="00885818"/>
    <w:rsid w:val="00885D05"/>
    <w:rsid w:val="00886624"/>
    <w:rsid w:val="0088797A"/>
    <w:rsid w:val="00892591"/>
    <w:rsid w:val="0089469C"/>
    <w:rsid w:val="00895363"/>
    <w:rsid w:val="00896779"/>
    <w:rsid w:val="00897C0F"/>
    <w:rsid w:val="008A0FBF"/>
    <w:rsid w:val="008A1BA5"/>
    <w:rsid w:val="008A3099"/>
    <w:rsid w:val="008A6234"/>
    <w:rsid w:val="008A69ED"/>
    <w:rsid w:val="008A7EF8"/>
    <w:rsid w:val="008B1B5B"/>
    <w:rsid w:val="008B3E44"/>
    <w:rsid w:val="008B4588"/>
    <w:rsid w:val="008B473A"/>
    <w:rsid w:val="008B47E0"/>
    <w:rsid w:val="008B5420"/>
    <w:rsid w:val="008B64C3"/>
    <w:rsid w:val="008B7088"/>
    <w:rsid w:val="008C0135"/>
    <w:rsid w:val="008C194B"/>
    <w:rsid w:val="008C20DE"/>
    <w:rsid w:val="008C2EEA"/>
    <w:rsid w:val="008C3A15"/>
    <w:rsid w:val="008C3B7D"/>
    <w:rsid w:val="008C4A2E"/>
    <w:rsid w:val="008C5158"/>
    <w:rsid w:val="008C54A5"/>
    <w:rsid w:val="008C582E"/>
    <w:rsid w:val="008C586C"/>
    <w:rsid w:val="008C6A27"/>
    <w:rsid w:val="008D2871"/>
    <w:rsid w:val="008D560B"/>
    <w:rsid w:val="008D5B65"/>
    <w:rsid w:val="008D72AD"/>
    <w:rsid w:val="008D775C"/>
    <w:rsid w:val="008E055E"/>
    <w:rsid w:val="008E0DDC"/>
    <w:rsid w:val="008E1162"/>
    <w:rsid w:val="008E1287"/>
    <w:rsid w:val="008E1C3A"/>
    <w:rsid w:val="008E2097"/>
    <w:rsid w:val="008E22A6"/>
    <w:rsid w:val="008E2843"/>
    <w:rsid w:val="008E4CA0"/>
    <w:rsid w:val="008E5873"/>
    <w:rsid w:val="008E76B2"/>
    <w:rsid w:val="008F0266"/>
    <w:rsid w:val="008F1376"/>
    <w:rsid w:val="008F2168"/>
    <w:rsid w:val="008F283A"/>
    <w:rsid w:val="008F2876"/>
    <w:rsid w:val="008F2B5B"/>
    <w:rsid w:val="008F2F21"/>
    <w:rsid w:val="008F37BC"/>
    <w:rsid w:val="008F3AF8"/>
    <w:rsid w:val="008F6C01"/>
    <w:rsid w:val="008F7652"/>
    <w:rsid w:val="008F77C6"/>
    <w:rsid w:val="009007DD"/>
    <w:rsid w:val="00901990"/>
    <w:rsid w:val="00905B5B"/>
    <w:rsid w:val="009069D2"/>
    <w:rsid w:val="00907C4A"/>
    <w:rsid w:val="00907C76"/>
    <w:rsid w:val="0091142E"/>
    <w:rsid w:val="009122E8"/>
    <w:rsid w:val="00912E33"/>
    <w:rsid w:val="00913A95"/>
    <w:rsid w:val="00914060"/>
    <w:rsid w:val="009145AA"/>
    <w:rsid w:val="00915E08"/>
    <w:rsid w:val="00916216"/>
    <w:rsid w:val="00916521"/>
    <w:rsid w:val="0091783B"/>
    <w:rsid w:val="00925D72"/>
    <w:rsid w:val="00926DF5"/>
    <w:rsid w:val="00927083"/>
    <w:rsid w:val="00927896"/>
    <w:rsid w:val="00927899"/>
    <w:rsid w:val="00927EDA"/>
    <w:rsid w:val="00931F0E"/>
    <w:rsid w:val="00933A50"/>
    <w:rsid w:val="00933CDB"/>
    <w:rsid w:val="00933CFF"/>
    <w:rsid w:val="0094003F"/>
    <w:rsid w:val="00942C63"/>
    <w:rsid w:val="00942E6C"/>
    <w:rsid w:val="0094462D"/>
    <w:rsid w:val="009448B9"/>
    <w:rsid w:val="00945232"/>
    <w:rsid w:val="009459C7"/>
    <w:rsid w:val="00945A5E"/>
    <w:rsid w:val="00946562"/>
    <w:rsid w:val="00946F98"/>
    <w:rsid w:val="00947A84"/>
    <w:rsid w:val="009517FE"/>
    <w:rsid w:val="009518F9"/>
    <w:rsid w:val="00951BCB"/>
    <w:rsid w:val="009525E0"/>
    <w:rsid w:val="0095299E"/>
    <w:rsid w:val="009536E8"/>
    <w:rsid w:val="00955244"/>
    <w:rsid w:val="009558B6"/>
    <w:rsid w:val="009578C3"/>
    <w:rsid w:val="00960564"/>
    <w:rsid w:val="00960AD1"/>
    <w:rsid w:val="00960B2C"/>
    <w:rsid w:val="0096173C"/>
    <w:rsid w:val="00962131"/>
    <w:rsid w:val="00962E86"/>
    <w:rsid w:val="0096401B"/>
    <w:rsid w:val="00964454"/>
    <w:rsid w:val="0096479D"/>
    <w:rsid w:val="00965E35"/>
    <w:rsid w:val="009669E9"/>
    <w:rsid w:val="00966E9B"/>
    <w:rsid w:val="009676BA"/>
    <w:rsid w:val="00970896"/>
    <w:rsid w:val="00970C5B"/>
    <w:rsid w:val="009726FC"/>
    <w:rsid w:val="00972DCF"/>
    <w:rsid w:val="00975202"/>
    <w:rsid w:val="0097659E"/>
    <w:rsid w:val="009776F2"/>
    <w:rsid w:val="00977F07"/>
    <w:rsid w:val="00981C47"/>
    <w:rsid w:val="00983B70"/>
    <w:rsid w:val="0098448B"/>
    <w:rsid w:val="00984651"/>
    <w:rsid w:val="009934C0"/>
    <w:rsid w:val="00993787"/>
    <w:rsid w:val="00994078"/>
    <w:rsid w:val="00994D95"/>
    <w:rsid w:val="00994F98"/>
    <w:rsid w:val="00996062"/>
    <w:rsid w:val="009A158E"/>
    <w:rsid w:val="009A1927"/>
    <w:rsid w:val="009A2006"/>
    <w:rsid w:val="009A2CB4"/>
    <w:rsid w:val="009A391A"/>
    <w:rsid w:val="009A3FCC"/>
    <w:rsid w:val="009A48B3"/>
    <w:rsid w:val="009A5CF2"/>
    <w:rsid w:val="009A60AE"/>
    <w:rsid w:val="009A659C"/>
    <w:rsid w:val="009A6DC0"/>
    <w:rsid w:val="009A779D"/>
    <w:rsid w:val="009A77B9"/>
    <w:rsid w:val="009B3422"/>
    <w:rsid w:val="009B435E"/>
    <w:rsid w:val="009B4FA9"/>
    <w:rsid w:val="009B680B"/>
    <w:rsid w:val="009B700C"/>
    <w:rsid w:val="009B737B"/>
    <w:rsid w:val="009B799C"/>
    <w:rsid w:val="009C14DA"/>
    <w:rsid w:val="009C16C1"/>
    <w:rsid w:val="009C37E3"/>
    <w:rsid w:val="009C3C2D"/>
    <w:rsid w:val="009C3F6D"/>
    <w:rsid w:val="009C5C24"/>
    <w:rsid w:val="009C604C"/>
    <w:rsid w:val="009C60A6"/>
    <w:rsid w:val="009D007A"/>
    <w:rsid w:val="009D1AEC"/>
    <w:rsid w:val="009D1E8A"/>
    <w:rsid w:val="009D3530"/>
    <w:rsid w:val="009D402E"/>
    <w:rsid w:val="009D72F4"/>
    <w:rsid w:val="009D7432"/>
    <w:rsid w:val="009D7AAF"/>
    <w:rsid w:val="009E0386"/>
    <w:rsid w:val="009E09CA"/>
    <w:rsid w:val="009E1E52"/>
    <w:rsid w:val="009E1EA7"/>
    <w:rsid w:val="009E2E67"/>
    <w:rsid w:val="009E4620"/>
    <w:rsid w:val="009E5EB4"/>
    <w:rsid w:val="009E69A2"/>
    <w:rsid w:val="009E7598"/>
    <w:rsid w:val="009E772C"/>
    <w:rsid w:val="009E78CA"/>
    <w:rsid w:val="009F106E"/>
    <w:rsid w:val="009F130E"/>
    <w:rsid w:val="009F1A16"/>
    <w:rsid w:val="009F2441"/>
    <w:rsid w:val="009F266D"/>
    <w:rsid w:val="009F325D"/>
    <w:rsid w:val="009F34FB"/>
    <w:rsid w:val="009F4184"/>
    <w:rsid w:val="00A00846"/>
    <w:rsid w:val="00A0103E"/>
    <w:rsid w:val="00A016E3"/>
    <w:rsid w:val="00A02E58"/>
    <w:rsid w:val="00A04AA6"/>
    <w:rsid w:val="00A0535D"/>
    <w:rsid w:val="00A064DE"/>
    <w:rsid w:val="00A07BC5"/>
    <w:rsid w:val="00A101A9"/>
    <w:rsid w:val="00A104EB"/>
    <w:rsid w:val="00A12322"/>
    <w:rsid w:val="00A12513"/>
    <w:rsid w:val="00A16CB8"/>
    <w:rsid w:val="00A1750E"/>
    <w:rsid w:val="00A17C63"/>
    <w:rsid w:val="00A17FD8"/>
    <w:rsid w:val="00A20DBC"/>
    <w:rsid w:val="00A211A2"/>
    <w:rsid w:val="00A2189A"/>
    <w:rsid w:val="00A21F4E"/>
    <w:rsid w:val="00A22A0A"/>
    <w:rsid w:val="00A23755"/>
    <w:rsid w:val="00A242C7"/>
    <w:rsid w:val="00A24E9F"/>
    <w:rsid w:val="00A25A96"/>
    <w:rsid w:val="00A2658C"/>
    <w:rsid w:val="00A26E10"/>
    <w:rsid w:val="00A26F82"/>
    <w:rsid w:val="00A301EB"/>
    <w:rsid w:val="00A324D1"/>
    <w:rsid w:val="00A33B38"/>
    <w:rsid w:val="00A33E6A"/>
    <w:rsid w:val="00A369E7"/>
    <w:rsid w:val="00A36ADF"/>
    <w:rsid w:val="00A36D1E"/>
    <w:rsid w:val="00A40FE6"/>
    <w:rsid w:val="00A42B19"/>
    <w:rsid w:val="00A43BAE"/>
    <w:rsid w:val="00A4598E"/>
    <w:rsid w:val="00A464EC"/>
    <w:rsid w:val="00A470F5"/>
    <w:rsid w:val="00A505DD"/>
    <w:rsid w:val="00A51542"/>
    <w:rsid w:val="00A518B7"/>
    <w:rsid w:val="00A52276"/>
    <w:rsid w:val="00A52B32"/>
    <w:rsid w:val="00A532D3"/>
    <w:rsid w:val="00A53EA4"/>
    <w:rsid w:val="00A54824"/>
    <w:rsid w:val="00A55C48"/>
    <w:rsid w:val="00A56472"/>
    <w:rsid w:val="00A56A77"/>
    <w:rsid w:val="00A56CC7"/>
    <w:rsid w:val="00A57038"/>
    <w:rsid w:val="00A573E6"/>
    <w:rsid w:val="00A60B3F"/>
    <w:rsid w:val="00A6254D"/>
    <w:rsid w:val="00A636DD"/>
    <w:rsid w:val="00A63C1E"/>
    <w:rsid w:val="00A64128"/>
    <w:rsid w:val="00A70692"/>
    <w:rsid w:val="00A727C4"/>
    <w:rsid w:val="00A75328"/>
    <w:rsid w:val="00A76127"/>
    <w:rsid w:val="00A766A5"/>
    <w:rsid w:val="00A77AC7"/>
    <w:rsid w:val="00A77F08"/>
    <w:rsid w:val="00A80BFA"/>
    <w:rsid w:val="00A80F1B"/>
    <w:rsid w:val="00A811EE"/>
    <w:rsid w:val="00A81770"/>
    <w:rsid w:val="00A8222A"/>
    <w:rsid w:val="00A862D9"/>
    <w:rsid w:val="00A865F0"/>
    <w:rsid w:val="00A869B0"/>
    <w:rsid w:val="00A877A6"/>
    <w:rsid w:val="00A90193"/>
    <w:rsid w:val="00A9034E"/>
    <w:rsid w:val="00A9060C"/>
    <w:rsid w:val="00A90DA5"/>
    <w:rsid w:val="00A912DF"/>
    <w:rsid w:val="00A9192D"/>
    <w:rsid w:val="00A922AA"/>
    <w:rsid w:val="00A92F95"/>
    <w:rsid w:val="00A94C97"/>
    <w:rsid w:val="00A94E89"/>
    <w:rsid w:val="00A96106"/>
    <w:rsid w:val="00A967B9"/>
    <w:rsid w:val="00A97E24"/>
    <w:rsid w:val="00AA070E"/>
    <w:rsid w:val="00AA0BED"/>
    <w:rsid w:val="00AA0DE4"/>
    <w:rsid w:val="00AA26E5"/>
    <w:rsid w:val="00AA3BB2"/>
    <w:rsid w:val="00AA62CF"/>
    <w:rsid w:val="00AA6A96"/>
    <w:rsid w:val="00AA797A"/>
    <w:rsid w:val="00AB269A"/>
    <w:rsid w:val="00AB2B7A"/>
    <w:rsid w:val="00AB3BD4"/>
    <w:rsid w:val="00AB3C2F"/>
    <w:rsid w:val="00AB492C"/>
    <w:rsid w:val="00AB5758"/>
    <w:rsid w:val="00AB59F7"/>
    <w:rsid w:val="00AB7C23"/>
    <w:rsid w:val="00AC093E"/>
    <w:rsid w:val="00AC1022"/>
    <w:rsid w:val="00AC1C87"/>
    <w:rsid w:val="00AC210B"/>
    <w:rsid w:val="00AC320D"/>
    <w:rsid w:val="00AC3BDD"/>
    <w:rsid w:val="00AC4B0D"/>
    <w:rsid w:val="00AC4C30"/>
    <w:rsid w:val="00AC7080"/>
    <w:rsid w:val="00AC7EDA"/>
    <w:rsid w:val="00AD0C53"/>
    <w:rsid w:val="00AD116A"/>
    <w:rsid w:val="00AD18C8"/>
    <w:rsid w:val="00AD2A6A"/>
    <w:rsid w:val="00AD2E01"/>
    <w:rsid w:val="00AD3BBB"/>
    <w:rsid w:val="00AD43EB"/>
    <w:rsid w:val="00AD65AB"/>
    <w:rsid w:val="00AD778E"/>
    <w:rsid w:val="00AD785C"/>
    <w:rsid w:val="00AD7D05"/>
    <w:rsid w:val="00AE026F"/>
    <w:rsid w:val="00AE0F34"/>
    <w:rsid w:val="00AE12B4"/>
    <w:rsid w:val="00AE3733"/>
    <w:rsid w:val="00AE3C61"/>
    <w:rsid w:val="00AE3F20"/>
    <w:rsid w:val="00AE4A07"/>
    <w:rsid w:val="00AF0DED"/>
    <w:rsid w:val="00AF178B"/>
    <w:rsid w:val="00AF1C86"/>
    <w:rsid w:val="00AF21FC"/>
    <w:rsid w:val="00AF2867"/>
    <w:rsid w:val="00AF312C"/>
    <w:rsid w:val="00AF3AA2"/>
    <w:rsid w:val="00AF43B9"/>
    <w:rsid w:val="00AF4C35"/>
    <w:rsid w:val="00AF4FBC"/>
    <w:rsid w:val="00AF54A9"/>
    <w:rsid w:val="00AF5B5E"/>
    <w:rsid w:val="00AF5DD0"/>
    <w:rsid w:val="00AF61DD"/>
    <w:rsid w:val="00B052B9"/>
    <w:rsid w:val="00B0539C"/>
    <w:rsid w:val="00B0564A"/>
    <w:rsid w:val="00B057DF"/>
    <w:rsid w:val="00B1050E"/>
    <w:rsid w:val="00B105D1"/>
    <w:rsid w:val="00B10D41"/>
    <w:rsid w:val="00B14083"/>
    <w:rsid w:val="00B142BA"/>
    <w:rsid w:val="00B14C4A"/>
    <w:rsid w:val="00B156C0"/>
    <w:rsid w:val="00B16BF9"/>
    <w:rsid w:val="00B17A25"/>
    <w:rsid w:val="00B2004A"/>
    <w:rsid w:val="00B20702"/>
    <w:rsid w:val="00B21ED0"/>
    <w:rsid w:val="00B23551"/>
    <w:rsid w:val="00B23C55"/>
    <w:rsid w:val="00B243F6"/>
    <w:rsid w:val="00B26252"/>
    <w:rsid w:val="00B2633F"/>
    <w:rsid w:val="00B26CD1"/>
    <w:rsid w:val="00B26F56"/>
    <w:rsid w:val="00B31131"/>
    <w:rsid w:val="00B31D1B"/>
    <w:rsid w:val="00B3207A"/>
    <w:rsid w:val="00B32751"/>
    <w:rsid w:val="00B3307C"/>
    <w:rsid w:val="00B3324C"/>
    <w:rsid w:val="00B335FA"/>
    <w:rsid w:val="00B342FA"/>
    <w:rsid w:val="00B36A88"/>
    <w:rsid w:val="00B422AF"/>
    <w:rsid w:val="00B4323D"/>
    <w:rsid w:val="00B432B7"/>
    <w:rsid w:val="00B4385C"/>
    <w:rsid w:val="00B43949"/>
    <w:rsid w:val="00B441C7"/>
    <w:rsid w:val="00B44AEB"/>
    <w:rsid w:val="00B45E21"/>
    <w:rsid w:val="00B46FDA"/>
    <w:rsid w:val="00B47FB0"/>
    <w:rsid w:val="00B50E79"/>
    <w:rsid w:val="00B51ACD"/>
    <w:rsid w:val="00B535B2"/>
    <w:rsid w:val="00B54CA0"/>
    <w:rsid w:val="00B562B1"/>
    <w:rsid w:val="00B5676E"/>
    <w:rsid w:val="00B56C98"/>
    <w:rsid w:val="00B57770"/>
    <w:rsid w:val="00B57A85"/>
    <w:rsid w:val="00B60BEB"/>
    <w:rsid w:val="00B6217A"/>
    <w:rsid w:val="00B621A6"/>
    <w:rsid w:val="00B62255"/>
    <w:rsid w:val="00B62F4F"/>
    <w:rsid w:val="00B659BA"/>
    <w:rsid w:val="00B65B7D"/>
    <w:rsid w:val="00B6783C"/>
    <w:rsid w:val="00B7004D"/>
    <w:rsid w:val="00B7292B"/>
    <w:rsid w:val="00B75548"/>
    <w:rsid w:val="00B75DD8"/>
    <w:rsid w:val="00B76507"/>
    <w:rsid w:val="00B8055E"/>
    <w:rsid w:val="00B8299B"/>
    <w:rsid w:val="00B8673C"/>
    <w:rsid w:val="00B87188"/>
    <w:rsid w:val="00B8789F"/>
    <w:rsid w:val="00B87DED"/>
    <w:rsid w:val="00B94604"/>
    <w:rsid w:val="00B95C8D"/>
    <w:rsid w:val="00B9667E"/>
    <w:rsid w:val="00B968B0"/>
    <w:rsid w:val="00B97381"/>
    <w:rsid w:val="00B97734"/>
    <w:rsid w:val="00BA2483"/>
    <w:rsid w:val="00BA3E72"/>
    <w:rsid w:val="00BA4446"/>
    <w:rsid w:val="00BA66D1"/>
    <w:rsid w:val="00BA7CE2"/>
    <w:rsid w:val="00BB1145"/>
    <w:rsid w:val="00BB11CC"/>
    <w:rsid w:val="00BB190F"/>
    <w:rsid w:val="00BB444B"/>
    <w:rsid w:val="00BC0472"/>
    <w:rsid w:val="00BC054D"/>
    <w:rsid w:val="00BC09D1"/>
    <w:rsid w:val="00BC1D77"/>
    <w:rsid w:val="00BC1E7D"/>
    <w:rsid w:val="00BC2884"/>
    <w:rsid w:val="00BC2B54"/>
    <w:rsid w:val="00BC2D90"/>
    <w:rsid w:val="00BC3305"/>
    <w:rsid w:val="00BC552D"/>
    <w:rsid w:val="00BC553B"/>
    <w:rsid w:val="00BD016B"/>
    <w:rsid w:val="00BD19EC"/>
    <w:rsid w:val="00BD2200"/>
    <w:rsid w:val="00BD2E56"/>
    <w:rsid w:val="00BD30A4"/>
    <w:rsid w:val="00BD36A3"/>
    <w:rsid w:val="00BD460E"/>
    <w:rsid w:val="00BD5236"/>
    <w:rsid w:val="00BD5CF0"/>
    <w:rsid w:val="00BD6A37"/>
    <w:rsid w:val="00BE2569"/>
    <w:rsid w:val="00BE2FBB"/>
    <w:rsid w:val="00BE4BC3"/>
    <w:rsid w:val="00BE65A0"/>
    <w:rsid w:val="00BE6F75"/>
    <w:rsid w:val="00BE790C"/>
    <w:rsid w:val="00BE7AFD"/>
    <w:rsid w:val="00BE7DA0"/>
    <w:rsid w:val="00BF083D"/>
    <w:rsid w:val="00BF1696"/>
    <w:rsid w:val="00BF40E4"/>
    <w:rsid w:val="00BF575A"/>
    <w:rsid w:val="00C02181"/>
    <w:rsid w:val="00C02B79"/>
    <w:rsid w:val="00C0408B"/>
    <w:rsid w:val="00C06590"/>
    <w:rsid w:val="00C069FF"/>
    <w:rsid w:val="00C06BCD"/>
    <w:rsid w:val="00C07F01"/>
    <w:rsid w:val="00C10899"/>
    <w:rsid w:val="00C11F35"/>
    <w:rsid w:val="00C12E1F"/>
    <w:rsid w:val="00C14912"/>
    <w:rsid w:val="00C14F95"/>
    <w:rsid w:val="00C153F1"/>
    <w:rsid w:val="00C155E4"/>
    <w:rsid w:val="00C16069"/>
    <w:rsid w:val="00C16A0C"/>
    <w:rsid w:val="00C17F00"/>
    <w:rsid w:val="00C20B16"/>
    <w:rsid w:val="00C20FFA"/>
    <w:rsid w:val="00C227DE"/>
    <w:rsid w:val="00C237E7"/>
    <w:rsid w:val="00C24805"/>
    <w:rsid w:val="00C24B9A"/>
    <w:rsid w:val="00C24E66"/>
    <w:rsid w:val="00C27AA9"/>
    <w:rsid w:val="00C27ECB"/>
    <w:rsid w:val="00C313CB"/>
    <w:rsid w:val="00C328B8"/>
    <w:rsid w:val="00C33E42"/>
    <w:rsid w:val="00C3546D"/>
    <w:rsid w:val="00C35B8A"/>
    <w:rsid w:val="00C364CE"/>
    <w:rsid w:val="00C36AAC"/>
    <w:rsid w:val="00C419CB"/>
    <w:rsid w:val="00C41F85"/>
    <w:rsid w:val="00C420CC"/>
    <w:rsid w:val="00C4375E"/>
    <w:rsid w:val="00C443C8"/>
    <w:rsid w:val="00C445DF"/>
    <w:rsid w:val="00C446DB"/>
    <w:rsid w:val="00C45B16"/>
    <w:rsid w:val="00C46581"/>
    <w:rsid w:val="00C47835"/>
    <w:rsid w:val="00C51DD1"/>
    <w:rsid w:val="00C51E16"/>
    <w:rsid w:val="00C52466"/>
    <w:rsid w:val="00C52585"/>
    <w:rsid w:val="00C53A1A"/>
    <w:rsid w:val="00C62A44"/>
    <w:rsid w:val="00C62FBE"/>
    <w:rsid w:val="00C637B9"/>
    <w:rsid w:val="00C642B7"/>
    <w:rsid w:val="00C645D6"/>
    <w:rsid w:val="00C64E2C"/>
    <w:rsid w:val="00C663E5"/>
    <w:rsid w:val="00C67134"/>
    <w:rsid w:val="00C7174B"/>
    <w:rsid w:val="00C727AB"/>
    <w:rsid w:val="00C72C45"/>
    <w:rsid w:val="00C73E1C"/>
    <w:rsid w:val="00C745B1"/>
    <w:rsid w:val="00C772F7"/>
    <w:rsid w:val="00C809C0"/>
    <w:rsid w:val="00C818B1"/>
    <w:rsid w:val="00C844CA"/>
    <w:rsid w:val="00C8581D"/>
    <w:rsid w:val="00C858E5"/>
    <w:rsid w:val="00C86E4A"/>
    <w:rsid w:val="00C87B57"/>
    <w:rsid w:val="00C9137B"/>
    <w:rsid w:val="00C91C65"/>
    <w:rsid w:val="00C92789"/>
    <w:rsid w:val="00C97112"/>
    <w:rsid w:val="00C97CCB"/>
    <w:rsid w:val="00CA00A0"/>
    <w:rsid w:val="00CA09B6"/>
    <w:rsid w:val="00CA0F8A"/>
    <w:rsid w:val="00CA1C5C"/>
    <w:rsid w:val="00CA2766"/>
    <w:rsid w:val="00CA3235"/>
    <w:rsid w:val="00CA53DC"/>
    <w:rsid w:val="00CA6B75"/>
    <w:rsid w:val="00CA706E"/>
    <w:rsid w:val="00CA7384"/>
    <w:rsid w:val="00CB0104"/>
    <w:rsid w:val="00CB0E95"/>
    <w:rsid w:val="00CB15C2"/>
    <w:rsid w:val="00CB2339"/>
    <w:rsid w:val="00CB255F"/>
    <w:rsid w:val="00CB2849"/>
    <w:rsid w:val="00CB2F17"/>
    <w:rsid w:val="00CB4131"/>
    <w:rsid w:val="00CB4270"/>
    <w:rsid w:val="00CB4EEC"/>
    <w:rsid w:val="00CB67E7"/>
    <w:rsid w:val="00CB7B75"/>
    <w:rsid w:val="00CC0616"/>
    <w:rsid w:val="00CC11FB"/>
    <w:rsid w:val="00CC1715"/>
    <w:rsid w:val="00CC1A16"/>
    <w:rsid w:val="00CC1E73"/>
    <w:rsid w:val="00CC20C2"/>
    <w:rsid w:val="00CC231A"/>
    <w:rsid w:val="00CC2634"/>
    <w:rsid w:val="00CC2657"/>
    <w:rsid w:val="00CC2D62"/>
    <w:rsid w:val="00CC30D2"/>
    <w:rsid w:val="00CC3A33"/>
    <w:rsid w:val="00CC3BC0"/>
    <w:rsid w:val="00CC3FEA"/>
    <w:rsid w:val="00CC47D9"/>
    <w:rsid w:val="00CC496B"/>
    <w:rsid w:val="00CD0827"/>
    <w:rsid w:val="00CD189E"/>
    <w:rsid w:val="00CD1D96"/>
    <w:rsid w:val="00CD1E51"/>
    <w:rsid w:val="00CD1FD0"/>
    <w:rsid w:val="00CD22F3"/>
    <w:rsid w:val="00CD26AD"/>
    <w:rsid w:val="00CD33EF"/>
    <w:rsid w:val="00CD453B"/>
    <w:rsid w:val="00CD489D"/>
    <w:rsid w:val="00CD5510"/>
    <w:rsid w:val="00CD62F0"/>
    <w:rsid w:val="00CD6658"/>
    <w:rsid w:val="00CD6E18"/>
    <w:rsid w:val="00CE0011"/>
    <w:rsid w:val="00CE086F"/>
    <w:rsid w:val="00CE23B9"/>
    <w:rsid w:val="00CE2BA8"/>
    <w:rsid w:val="00CE2BE9"/>
    <w:rsid w:val="00CE30B0"/>
    <w:rsid w:val="00CE36C5"/>
    <w:rsid w:val="00CE3E99"/>
    <w:rsid w:val="00CE4CF8"/>
    <w:rsid w:val="00CE5B1A"/>
    <w:rsid w:val="00CE70D1"/>
    <w:rsid w:val="00CE7AE3"/>
    <w:rsid w:val="00CF1745"/>
    <w:rsid w:val="00CF2D5B"/>
    <w:rsid w:val="00CF3839"/>
    <w:rsid w:val="00CF4B4F"/>
    <w:rsid w:val="00CF5553"/>
    <w:rsid w:val="00CF6B91"/>
    <w:rsid w:val="00CF733A"/>
    <w:rsid w:val="00D00FCD"/>
    <w:rsid w:val="00D0101F"/>
    <w:rsid w:val="00D015B8"/>
    <w:rsid w:val="00D02975"/>
    <w:rsid w:val="00D02F58"/>
    <w:rsid w:val="00D03362"/>
    <w:rsid w:val="00D03EBC"/>
    <w:rsid w:val="00D06D97"/>
    <w:rsid w:val="00D07B62"/>
    <w:rsid w:val="00D112AF"/>
    <w:rsid w:val="00D11355"/>
    <w:rsid w:val="00D12956"/>
    <w:rsid w:val="00D13797"/>
    <w:rsid w:val="00D16105"/>
    <w:rsid w:val="00D17E48"/>
    <w:rsid w:val="00D2032C"/>
    <w:rsid w:val="00D211CD"/>
    <w:rsid w:val="00D2126F"/>
    <w:rsid w:val="00D21CB0"/>
    <w:rsid w:val="00D22174"/>
    <w:rsid w:val="00D247D6"/>
    <w:rsid w:val="00D254AD"/>
    <w:rsid w:val="00D25D3A"/>
    <w:rsid w:val="00D2706A"/>
    <w:rsid w:val="00D316CE"/>
    <w:rsid w:val="00D321B6"/>
    <w:rsid w:val="00D32F86"/>
    <w:rsid w:val="00D33726"/>
    <w:rsid w:val="00D3399A"/>
    <w:rsid w:val="00D33A01"/>
    <w:rsid w:val="00D34645"/>
    <w:rsid w:val="00D362E3"/>
    <w:rsid w:val="00D37C73"/>
    <w:rsid w:val="00D37E2E"/>
    <w:rsid w:val="00D4081B"/>
    <w:rsid w:val="00D42AE9"/>
    <w:rsid w:val="00D42B16"/>
    <w:rsid w:val="00D42BBB"/>
    <w:rsid w:val="00D471AE"/>
    <w:rsid w:val="00D47455"/>
    <w:rsid w:val="00D47948"/>
    <w:rsid w:val="00D515A7"/>
    <w:rsid w:val="00D5220D"/>
    <w:rsid w:val="00D532DC"/>
    <w:rsid w:val="00D533A2"/>
    <w:rsid w:val="00D53C1C"/>
    <w:rsid w:val="00D55455"/>
    <w:rsid w:val="00D5584A"/>
    <w:rsid w:val="00D5591C"/>
    <w:rsid w:val="00D56799"/>
    <w:rsid w:val="00D570F8"/>
    <w:rsid w:val="00D5714C"/>
    <w:rsid w:val="00D574F5"/>
    <w:rsid w:val="00D601C3"/>
    <w:rsid w:val="00D60428"/>
    <w:rsid w:val="00D620B7"/>
    <w:rsid w:val="00D641F5"/>
    <w:rsid w:val="00D66903"/>
    <w:rsid w:val="00D6701D"/>
    <w:rsid w:val="00D67479"/>
    <w:rsid w:val="00D67E78"/>
    <w:rsid w:val="00D70A5D"/>
    <w:rsid w:val="00D7130D"/>
    <w:rsid w:val="00D7208D"/>
    <w:rsid w:val="00D7210B"/>
    <w:rsid w:val="00D72E2F"/>
    <w:rsid w:val="00D74BD6"/>
    <w:rsid w:val="00D74D47"/>
    <w:rsid w:val="00D75872"/>
    <w:rsid w:val="00D75AE6"/>
    <w:rsid w:val="00D76076"/>
    <w:rsid w:val="00D76876"/>
    <w:rsid w:val="00D77DF5"/>
    <w:rsid w:val="00D809FA"/>
    <w:rsid w:val="00D8118B"/>
    <w:rsid w:val="00D81357"/>
    <w:rsid w:val="00D83B71"/>
    <w:rsid w:val="00D846D7"/>
    <w:rsid w:val="00D8492A"/>
    <w:rsid w:val="00D84CD7"/>
    <w:rsid w:val="00D86BE4"/>
    <w:rsid w:val="00D909EF"/>
    <w:rsid w:val="00D90A4A"/>
    <w:rsid w:val="00D90B81"/>
    <w:rsid w:val="00D920FC"/>
    <w:rsid w:val="00D93B44"/>
    <w:rsid w:val="00D93BF0"/>
    <w:rsid w:val="00D93F5B"/>
    <w:rsid w:val="00D94944"/>
    <w:rsid w:val="00D96A3F"/>
    <w:rsid w:val="00D96CB5"/>
    <w:rsid w:val="00D97C48"/>
    <w:rsid w:val="00DA0AA3"/>
    <w:rsid w:val="00DA0DC8"/>
    <w:rsid w:val="00DA0E97"/>
    <w:rsid w:val="00DA237C"/>
    <w:rsid w:val="00DA2488"/>
    <w:rsid w:val="00DA254D"/>
    <w:rsid w:val="00DA3227"/>
    <w:rsid w:val="00DA361A"/>
    <w:rsid w:val="00DA424A"/>
    <w:rsid w:val="00DA43FA"/>
    <w:rsid w:val="00DA5481"/>
    <w:rsid w:val="00DA5E7C"/>
    <w:rsid w:val="00DA5F9D"/>
    <w:rsid w:val="00DA7338"/>
    <w:rsid w:val="00DB05C5"/>
    <w:rsid w:val="00DB21A1"/>
    <w:rsid w:val="00DB2D50"/>
    <w:rsid w:val="00DC0019"/>
    <w:rsid w:val="00DC0328"/>
    <w:rsid w:val="00DC0AA8"/>
    <w:rsid w:val="00DC1091"/>
    <w:rsid w:val="00DC1FE3"/>
    <w:rsid w:val="00DC2639"/>
    <w:rsid w:val="00DC43CF"/>
    <w:rsid w:val="00DC5882"/>
    <w:rsid w:val="00DD043C"/>
    <w:rsid w:val="00DD1D5A"/>
    <w:rsid w:val="00DD3A53"/>
    <w:rsid w:val="00DD41A8"/>
    <w:rsid w:val="00DD6BF5"/>
    <w:rsid w:val="00DD784A"/>
    <w:rsid w:val="00DE1265"/>
    <w:rsid w:val="00DE3652"/>
    <w:rsid w:val="00DE56E1"/>
    <w:rsid w:val="00DE5C94"/>
    <w:rsid w:val="00DE5FEC"/>
    <w:rsid w:val="00DE72D0"/>
    <w:rsid w:val="00DE7999"/>
    <w:rsid w:val="00DF0055"/>
    <w:rsid w:val="00DF16BA"/>
    <w:rsid w:val="00DF3049"/>
    <w:rsid w:val="00DF3215"/>
    <w:rsid w:val="00DF3565"/>
    <w:rsid w:val="00DF3C34"/>
    <w:rsid w:val="00DF3DA4"/>
    <w:rsid w:val="00DF40C8"/>
    <w:rsid w:val="00DF589C"/>
    <w:rsid w:val="00DF750C"/>
    <w:rsid w:val="00E00F0A"/>
    <w:rsid w:val="00E01A96"/>
    <w:rsid w:val="00E02CE5"/>
    <w:rsid w:val="00E02FCD"/>
    <w:rsid w:val="00E04AE7"/>
    <w:rsid w:val="00E05811"/>
    <w:rsid w:val="00E06C13"/>
    <w:rsid w:val="00E06E0E"/>
    <w:rsid w:val="00E079E9"/>
    <w:rsid w:val="00E07BCF"/>
    <w:rsid w:val="00E10E1A"/>
    <w:rsid w:val="00E113E6"/>
    <w:rsid w:val="00E13156"/>
    <w:rsid w:val="00E13C76"/>
    <w:rsid w:val="00E15E78"/>
    <w:rsid w:val="00E17661"/>
    <w:rsid w:val="00E17809"/>
    <w:rsid w:val="00E20743"/>
    <w:rsid w:val="00E21829"/>
    <w:rsid w:val="00E22191"/>
    <w:rsid w:val="00E24389"/>
    <w:rsid w:val="00E24B5E"/>
    <w:rsid w:val="00E25873"/>
    <w:rsid w:val="00E27548"/>
    <w:rsid w:val="00E305EC"/>
    <w:rsid w:val="00E32A63"/>
    <w:rsid w:val="00E33EA5"/>
    <w:rsid w:val="00E343CD"/>
    <w:rsid w:val="00E34690"/>
    <w:rsid w:val="00E36073"/>
    <w:rsid w:val="00E36816"/>
    <w:rsid w:val="00E3725B"/>
    <w:rsid w:val="00E376AF"/>
    <w:rsid w:val="00E37F93"/>
    <w:rsid w:val="00E402F4"/>
    <w:rsid w:val="00E40608"/>
    <w:rsid w:val="00E42353"/>
    <w:rsid w:val="00E425DE"/>
    <w:rsid w:val="00E44278"/>
    <w:rsid w:val="00E44838"/>
    <w:rsid w:val="00E44AC9"/>
    <w:rsid w:val="00E46136"/>
    <w:rsid w:val="00E46FB5"/>
    <w:rsid w:val="00E471FB"/>
    <w:rsid w:val="00E502F8"/>
    <w:rsid w:val="00E50B4D"/>
    <w:rsid w:val="00E51ABA"/>
    <w:rsid w:val="00E6333E"/>
    <w:rsid w:val="00E64851"/>
    <w:rsid w:val="00E650B9"/>
    <w:rsid w:val="00E65CDF"/>
    <w:rsid w:val="00E660A2"/>
    <w:rsid w:val="00E661D2"/>
    <w:rsid w:val="00E66B72"/>
    <w:rsid w:val="00E66F2F"/>
    <w:rsid w:val="00E6789F"/>
    <w:rsid w:val="00E7006F"/>
    <w:rsid w:val="00E71721"/>
    <w:rsid w:val="00E71EB8"/>
    <w:rsid w:val="00E72DDA"/>
    <w:rsid w:val="00E73F08"/>
    <w:rsid w:val="00E7471E"/>
    <w:rsid w:val="00E76927"/>
    <w:rsid w:val="00E77317"/>
    <w:rsid w:val="00E77897"/>
    <w:rsid w:val="00E7789E"/>
    <w:rsid w:val="00E8083C"/>
    <w:rsid w:val="00E8097E"/>
    <w:rsid w:val="00E81CED"/>
    <w:rsid w:val="00E81E1C"/>
    <w:rsid w:val="00E83583"/>
    <w:rsid w:val="00E83D63"/>
    <w:rsid w:val="00E84836"/>
    <w:rsid w:val="00E85685"/>
    <w:rsid w:val="00E86A30"/>
    <w:rsid w:val="00E93A38"/>
    <w:rsid w:val="00E93D06"/>
    <w:rsid w:val="00E93F38"/>
    <w:rsid w:val="00E93FD8"/>
    <w:rsid w:val="00E9444D"/>
    <w:rsid w:val="00E96CF4"/>
    <w:rsid w:val="00EA1B01"/>
    <w:rsid w:val="00EA2DC2"/>
    <w:rsid w:val="00EA3C36"/>
    <w:rsid w:val="00EA56C6"/>
    <w:rsid w:val="00EA60BE"/>
    <w:rsid w:val="00EA76D6"/>
    <w:rsid w:val="00EA78B9"/>
    <w:rsid w:val="00EB039A"/>
    <w:rsid w:val="00EB1204"/>
    <w:rsid w:val="00EB320D"/>
    <w:rsid w:val="00EB36D9"/>
    <w:rsid w:val="00EB42F8"/>
    <w:rsid w:val="00EB47B9"/>
    <w:rsid w:val="00EB5D46"/>
    <w:rsid w:val="00EB6E93"/>
    <w:rsid w:val="00EB6F5F"/>
    <w:rsid w:val="00EB7059"/>
    <w:rsid w:val="00EC1885"/>
    <w:rsid w:val="00EC23BF"/>
    <w:rsid w:val="00EC3BAD"/>
    <w:rsid w:val="00EC48EA"/>
    <w:rsid w:val="00EC4921"/>
    <w:rsid w:val="00EC4BC1"/>
    <w:rsid w:val="00EC5421"/>
    <w:rsid w:val="00EC61AD"/>
    <w:rsid w:val="00EC7B28"/>
    <w:rsid w:val="00ED017D"/>
    <w:rsid w:val="00ED1349"/>
    <w:rsid w:val="00ED19E2"/>
    <w:rsid w:val="00ED32D8"/>
    <w:rsid w:val="00ED37EF"/>
    <w:rsid w:val="00ED4900"/>
    <w:rsid w:val="00ED5216"/>
    <w:rsid w:val="00ED54DF"/>
    <w:rsid w:val="00ED625B"/>
    <w:rsid w:val="00ED676B"/>
    <w:rsid w:val="00ED6D71"/>
    <w:rsid w:val="00ED7F2D"/>
    <w:rsid w:val="00EE0ECF"/>
    <w:rsid w:val="00EE269B"/>
    <w:rsid w:val="00EE3F0F"/>
    <w:rsid w:val="00EE4067"/>
    <w:rsid w:val="00EE4684"/>
    <w:rsid w:val="00EE4C27"/>
    <w:rsid w:val="00EE5A61"/>
    <w:rsid w:val="00EE638D"/>
    <w:rsid w:val="00EE67AE"/>
    <w:rsid w:val="00EF0BAF"/>
    <w:rsid w:val="00EF0CAD"/>
    <w:rsid w:val="00EF159B"/>
    <w:rsid w:val="00EF1AB2"/>
    <w:rsid w:val="00EF1B13"/>
    <w:rsid w:val="00EF3EA2"/>
    <w:rsid w:val="00EF4CF5"/>
    <w:rsid w:val="00EF56DB"/>
    <w:rsid w:val="00EF5E3C"/>
    <w:rsid w:val="00EF641B"/>
    <w:rsid w:val="00EF705C"/>
    <w:rsid w:val="00EF7810"/>
    <w:rsid w:val="00F002A7"/>
    <w:rsid w:val="00F00E68"/>
    <w:rsid w:val="00F02200"/>
    <w:rsid w:val="00F023FB"/>
    <w:rsid w:val="00F02A54"/>
    <w:rsid w:val="00F03FE4"/>
    <w:rsid w:val="00F04976"/>
    <w:rsid w:val="00F059A4"/>
    <w:rsid w:val="00F05ACD"/>
    <w:rsid w:val="00F05D70"/>
    <w:rsid w:val="00F069F5"/>
    <w:rsid w:val="00F07B36"/>
    <w:rsid w:val="00F1027A"/>
    <w:rsid w:val="00F11AD3"/>
    <w:rsid w:val="00F11EF5"/>
    <w:rsid w:val="00F12135"/>
    <w:rsid w:val="00F1317E"/>
    <w:rsid w:val="00F1368C"/>
    <w:rsid w:val="00F1475D"/>
    <w:rsid w:val="00F16C4F"/>
    <w:rsid w:val="00F17172"/>
    <w:rsid w:val="00F1771C"/>
    <w:rsid w:val="00F20006"/>
    <w:rsid w:val="00F229C4"/>
    <w:rsid w:val="00F22E32"/>
    <w:rsid w:val="00F23942"/>
    <w:rsid w:val="00F26C71"/>
    <w:rsid w:val="00F30298"/>
    <w:rsid w:val="00F305E0"/>
    <w:rsid w:val="00F30829"/>
    <w:rsid w:val="00F314FD"/>
    <w:rsid w:val="00F335C0"/>
    <w:rsid w:val="00F33956"/>
    <w:rsid w:val="00F33E17"/>
    <w:rsid w:val="00F3426B"/>
    <w:rsid w:val="00F3541A"/>
    <w:rsid w:val="00F35B87"/>
    <w:rsid w:val="00F35BC3"/>
    <w:rsid w:val="00F36F61"/>
    <w:rsid w:val="00F37DB8"/>
    <w:rsid w:val="00F42CBF"/>
    <w:rsid w:val="00F42FBF"/>
    <w:rsid w:val="00F43205"/>
    <w:rsid w:val="00F4349D"/>
    <w:rsid w:val="00F44229"/>
    <w:rsid w:val="00F447A1"/>
    <w:rsid w:val="00F4488E"/>
    <w:rsid w:val="00F45C32"/>
    <w:rsid w:val="00F46591"/>
    <w:rsid w:val="00F46EA0"/>
    <w:rsid w:val="00F473BB"/>
    <w:rsid w:val="00F47AA4"/>
    <w:rsid w:val="00F50E21"/>
    <w:rsid w:val="00F52B00"/>
    <w:rsid w:val="00F52DC0"/>
    <w:rsid w:val="00F53E44"/>
    <w:rsid w:val="00F5419A"/>
    <w:rsid w:val="00F54673"/>
    <w:rsid w:val="00F57B8D"/>
    <w:rsid w:val="00F60200"/>
    <w:rsid w:val="00F6033E"/>
    <w:rsid w:val="00F61D1E"/>
    <w:rsid w:val="00F61DE9"/>
    <w:rsid w:val="00F650EA"/>
    <w:rsid w:val="00F66372"/>
    <w:rsid w:val="00F703F7"/>
    <w:rsid w:val="00F709DD"/>
    <w:rsid w:val="00F71886"/>
    <w:rsid w:val="00F72870"/>
    <w:rsid w:val="00F752D0"/>
    <w:rsid w:val="00F759B3"/>
    <w:rsid w:val="00F7630C"/>
    <w:rsid w:val="00F77632"/>
    <w:rsid w:val="00F776C8"/>
    <w:rsid w:val="00F77C30"/>
    <w:rsid w:val="00F77D19"/>
    <w:rsid w:val="00F80D3D"/>
    <w:rsid w:val="00F81023"/>
    <w:rsid w:val="00F822D4"/>
    <w:rsid w:val="00F850CB"/>
    <w:rsid w:val="00F85106"/>
    <w:rsid w:val="00F86906"/>
    <w:rsid w:val="00F86996"/>
    <w:rsid w:val="00F87756"/>
    <w:rsid w:val="00F87A47"/>
    <w:rsid w:val="00F905C3"/>
    <w:rsid w:val="00F90B06"/>
    <w:rsid w:val="00F915AE"/>
    <w:rsid w:val="00F93066"/>
    <w:rsid w:val="00F94330"/>
    <w:rsid w:val="00F96970"/>
    <w:rsid w:val="00F96A60"/>
    <w:rsid w:val="00F97001"/>
    <w:rsid w:val="00F97059"/>
    <w:rsid w:val="00F973CC"/>
    <w:rsid w:val="00FA1537"/>
    <w:rsid w:val="00FA29BD"/>
    <w:rsid w:val="00FA2BFC"/>
    <w:rsid w:val="00FA30C9"/>
    <w:rsid w:val="00FA42F4"/>
    <w:rsid w:val="00FA74C8"/>
    <w:rsid w:val="00FA788C"/>
    <w:rsid w:val="00FB0702"/>
    <w:rsid w:val="00FB09ED"/>
    <w:rsid w:val="00FB0D0C"/>
    <w:rsid w:val="00FB0FBE"/>
    <w:rsid w:val="00FB29E9"/>
    <w:rsid w:val="00FB383E"/>
    <w:rsid w:val="00FB56D5"/>
    <w:rsid w:val="00FC0B04"/>
    <w:rsid w:val="00FC1955"/>
    <w:rsid w:val="00FC1BA4"/>
    <w:rsid w:val="00FC2E0B"/>
    <w:rsid w:val="00FC32E6"/>
    <w:rsid w:val="00FC5D04"/>
    <w:rsid w:val="00FC7B0B"/>
    <w:rsid w:val="00FD00B9"/>
    <w:rsid w:val="00FD09BF"/>
    <w:rsid w:val="00FD1550"/>
    <w:rsid w:val="00FD2CD1"/>
    <w:rsid w:val="00FD54BF"/>
    <w:rsid w:val="00FD5BD3"/>
    <w:rsid w:val="00FD6693"/>
    <w:rsid w:val="00FD7010"/>
    <w:rsid w:val="00FE04CF"/>
    <w:rsid w:val="00FE14BE"/>
    <w:rsid w:val="00FE2553"/>
    <w:rsid w:val="00FE2D24"/>
    <w:rsid w:val="00FE306B"/>
    <w:rsid w:val="00FE337A"/>
    <w:rsid w:val="00FE46CB"/>
    <w:rsid w:val="00FE49F4"/>
    <w:rsid w:val="00FE74AD"/>
    <w:rsid w:val="00FF3923"/>
    <w:rsid w:val="00FF5204"/>
    <w:rsid w:val="00FF5253"/>
    <w:rsid w:val="00FF5596"/>
    <w:rsid w:val="00FF60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567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32622"/>
    <w:pPr>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uiPriority w:val="9"/>
    <w:qFormat/>
    <w:rsid w:val="0091783B"/>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CA"/>
    </w:rPr>
  </w:style>
  <w:style w:type="paragraph" w:styleId="Heading2">
    <w:name w:val="heading 2"/>
    <w:basedOn w:val="Normal"/>
    <w:next w:val="Normal"/>
    <w:link w:val="Heading2Char"/>
    <w:uiPriority w:val="9"/>
    <w:unhideWhenUsed/>
    <w:qFormat/>
    <w:rsid w:val="00016CFE"/>
    <w:pPr>
      <w:keepNext/>
      <w:keepLines/>
      <w:spacing w:before="200"/>
      <w:jc w:val="both"/>
      <w:outlineLvl w:val="1"/>
    </w:pPr>
    <w:rPr>
      <w:rFonts w:eastAsiaTheme="majorEastAsia" w:cstheme="majorBidi"/>
      <w:bCs/>
      <w: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E42"/>
    <w:pPr>
      <w:spacing w:after="160" w:line="259" w:lineRule="auto"/>
      <w:ind w:left="720"/>
      <w:contextualSpacing/>
    </w:pPr>
    <w:rPr>
      <w:rFonts w:asciiTheme="minorHAnsi" w:hAnsiTheme="minorHAnsi" w:cstheme="minorBidi"/>
      <w:sz w:val="22"/>
      <w:szCs w:val="22"/>
      <w:lang w:val="en-CA"/>
    </w:rPr>
  </w:style>
  <w:style w:type="paragraph" w:styleId="BalloonText">
    <w:name w:val="Balloon Text"/>
    <w:basedOn w:val="Normal"/>
    <w:link w:val="BalloonTextChar"/>
    <w:uiPriority w:val="99"/>
    <w:semiHidden/>
    <w:unhideWhenUsed/>
    <w:rsid w:val="00837697"/>
    <w:rPr>
      <w:sz w:val="18"/>
      <w:szCs w:val="18"/>
      <w:lang w:val="en-CA"/>
    </w:rPr>
  </w:style>
  <w:style w:type="character" w:customStyle="1" w:styleId="BalloonTextChar">
    <w:name w:val="Balloon Text Char"/>
    <w:basedOn w:val="DefaultParagraphFont"/>
    <w:link w:val="BalloonText"/>
    <w:uiPriority w:val="99"/>
    <w:semiHidden/>
    <w:rsid w:val="0083769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46562"/>
    <w:rPr>
      <w:sz w:val="18"/>
      <w:szCs w:val="18"/>
    </w:rPr>
  </w:style>
  <w:style w:type="paragraph" w:styleId="CommentText">
    <w:name w:val="annotation text"/>
    <w:basedOn w:val="Normal"/>
    <w:link w:val="CommentTextChar"/>
    <w:uiPriority w:val="99"/>
    <w:unhideWhenUsed/>
    <w:rsid w:val="00946562"/>
    <w:pPr>
      <w:spacing w:after="160"/>
    </w:pPr>
    <w:rPr>
      <w:rFonts w:asciiTheme="minorHAnsi" w:hAnsiTheme="minorHAnsi" w:cstheme="minorBidi"/>
      <w:lang w:val="en-CA"/>
    </w:rPr>
  </w:style>
  <w:style w:type="character" w:customStyle="1" w:styleId="CommentTextChar">
    <w:name w:val="Comment Text Char"/>
    <w:basedOn w:val="DefaultParagraphFont"/>
    <w:link w:val="CommentText"/>
    <w:uiPriority w:val="99"/>
    <w:rsid w:val="00946562"/>
    <w:rPr>
      <w:sz w:val="24"/>
      <w:szCs w:val="24"/>
    </w:rPr>
  </w:style>
  <w:style w:type="paragraph" w:styleId="CommentSubject">
    <w:name w:val="annotation subject"/>
    <w:basedOn w:val="CommentText"/>
    <w:next w:val="CommentText"/>
    <w:link w:val="CommentSubjectChar"/>
    <w:uiPriority w:val="99"/>
    <w:semiHidden/>
    <w:unhideWhenUsed/>
    <w:rsid w:val="00946562"/>
    <w:rPr>
      <w:b/>
      <w:bCs/>
      <w:sz w:val="20"/>
      <w:szCs w:val="20"/>
    </w:rPr>
  </w:style>
  <w:style w:type="character" w:customStyle="1" w:styleId="CommentSubjectChar">
    <w:name w:val="Comment Subject Char"/>
    <w:basedOn w:val="CommentTextChar"/>
    <w:link w:val="CommentSubject"/>
    <w:uiPriority w:val="99"/>
    <w:semiHidden/>
    <w:rsid w:val="00946562"/>
    <w:rPr>
      <w:b/>
      <w:bCs/>
      <w:sz w:val="20"/>
      <w:szCs w:val="20"/>
    </w:rPr>
  </w:style>
  <w:style w:type="paragraph" w:styleId="FootnoteText">
    <w:name w:val="footnote text"/>
    <w:basedOn w:val="Normal"/>
    <w:link w:val="FootnoteTextChar"/>
    <w:uiPriority w:val="99"/>
    <w:unhideWhenUsed/>
    <w:rsid w:val="000E3088"/>
    <w:rPr>
      <w:rFonts w:asciiTheme="minorHAnsi" w:hAnsiTheme="minorHAnsi" w:cstheme="minorBidi"/>
      <w:lang w:val="en-CA"/>
    </w:rPr>
  </w:style>
  <w:style w:type="character" w:customStyle="1" w:styleId="FootnoteTextChar">
    <w:name w:val="Footnote Text Char"/>
    <w:basedOn w:val="DefaultParagraphFont"/>
    <w:link w:val="FootnoteText"/>
    <w:uiPriority w:val="99"/>
    <w:rsid w:val="000E3088"/>
    <w:rPr>
      <w:sz w:val="24"/>
      <w:szCs w:val="24"/>
    </w:rPr>
  </w:style>
  <w:style w:type="character" w:styleId="FootnoteReference">
    <w:name w:val="footnote reference"/>
    <w:basedOn w:val="DefaultParagraphFont"/>
    <w:uiPriority w:val="99"/>
    <w:unhideWhenUsed/>
    <w:rsid w:val="000E3088"/>
    <w:rPr>
      <w:vertAlign w:val="superscript"/>
    </w:rPr>
  </w:style>
  <w:style w:type="paragraph" w:styleId="Revision">
    <w:name w:val="Revision"/>
    <w:hidden/>
    <w:uiPriority w:val="99"/>
    <w:semiHidden/>
    <w:rsid w:val="00F20006"/>
    <w:pPr>
      <w:spacing w:after="0" w:line="240" w:lineRule="auto"/>
    </w:pPr>
  </w:style>
  <w:style w:type="character" w:styleId="Hyperlink">
    <w:name w:val="Hyperlink"/>
    <w:basedOn w:val="DefaultParagraphFont"/>
    <w:uiPriority w:val="99"/>
    <w:unhideWhenUsed/>
    <w:rsid w:val="00117926"/>
    <w:rPr>
      <w:color w:val="0563C1" w:themeColor="hyperlink"/>
      <w:u w:val="single"/>
    </w:rPr>
  </w:style>
  <w:style w:type="character" w:customStyle="1" w:styleId="Heading2Char">
    <w:name w:val="Heading 2 Char"/>
    <w:basedOn w:val="DefaultParagraphFont"/>
    <w:link w:val="Heading2"/>
    <w:uiPriority w:val="9"/>
    <w:rsid w:val="00016CFE"/>
    <w:rPr>
      <w:rFonts w:ascii="Times New Roman" w:eastAsiaTheme="majorEastAsia" w:hAnsi="Times New Roman" w:cstheme="majorBidi"/>
      <w:bCs/>
      <w:i/>
      <w:sz w:val="24"/>
      <w:szCs w:val="26"/>
      <w:u w:val="single"/>
      <w:lang w:val="en-US"/>
    </w:rPr>
  </w:style>
  <w:style w:type="character" w:customStyle="1" w:styleId="Heading1Char">
    <w:name w:val="Heading 1 Char"/>
    <w:basedOn w:val="DefaultParagraphFont"/>
    <w:link w:val="Heading1"/>
    <w:uiPriority w:val="9"/>
    <w:rsid w:val="0091783B"/>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rsid w:val="002F11E4"/>
    <w:rPr>
      <w:color w:val="808080"/>
      <w:shd w:val="clear" w:color="auto" w:fill="E6E6E6"/>
    </w:rPr>
  </w:style>
  <w:style w:type="table" w:styleId="TableGrid">
    <w:name w:val="Table Grid"/>
    <w:basedOn w:val="TableNormal"/>
    <w:uiPriority w:val="39"/>
    <w:rsid w:val="002F1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BC2884"/>
    <w:rPr>
      <w:rFonts w:ascii="Helvetica" w:hAnsi="Helvetica"/>
      <w:color w:val="454545"/>
      <w:sz w:val="18"/>
      <w:szCs w:val="18"/>
    </w:rPr>
  </w:style>
  <w:style w:type="character" w:customStyle="1" w:styleId="apple-converted-space">
    <w:name w:val="apple-converted-space"/>
    <w:basedOn w:val="DefaultParagraphFont"/>
    <w:rsid w:val="00BC2884"/>
  </w:style>
  <w:style w:type="character" w:styleId="Emphasis">
    <w:name w:val="Emphasis"/>
    <w:basedOn w:val="DefaultParagraphFont"/>
    <w:uiPriority w:val="20"/>
    <w:qFormat/>
    <w:rsid w:val="00915E08"/>
    <w:rPr>
      <w:i/>
      <w:iCs/>
    </w:rPr>
  </w:style>
  <w:style w:type="character" w:customStyle="1" w:styleId="decisia-reflex2-icon">
    <w:name w:val="decisia-reflex2-icon"/>
    <w:basedOn w:val="DefaultParagraphFont"/>
    <w:rsid w:val="00322885"/>
  </w:style>
  <w:style w:type="character" w:customStyle="1" w:styleId="UnresolvedMention2">
    <w:name w:val="Unresolved Mention2"/>
    <w:basedOn w:val="DefaultParagraphFont"/>
    <w:uiPriority w:val="99"/>
    <w:rsid w:val="00AF3AA2"/>
    <w:rPr>
      <w:color w:val="808080"/>
      <w:shd w:val="clear" w:color="auto" w:fill="E6E6E6"/>
    </w:rPr>
  </w:style>
  <w:style w:type="paragraph" w:styleId="Header">
    <w:name w:val="header"/>
    <w:basedOn w:val="Normal"/>
    <w:link w:val="HeaderChar"/>
    <w:uiPriority w:val="99"/>
    <w:unhideWhenUsed/>
    <w:rsid w:val="00D33726"/>
    <w:pPr>
      <w:tabs>
        <w:tab w:val="center" w:pos="4680"/>
        <w:tab w:val="right" w:pos="9360"/>
      </w:tabs>
    </w:pPr>
  </w:style>
  <w:style w:type="character" w:customStyle="1" w:styleId="HeaderChar">
    <w:name w:val="Header Char"/>
    <w:basedOn w:val="DefaultParagraphFont"/>
    <w:link w:val="Header"/>
    <w:uiPriority w:val="99"/>
    <w:rsid w:val="00D33726"/>
    <w:rPr>
      <w:rFonts w:ascii="Times New Roman" w:hAnsi="Times New Roman" w:cs="Times New Roman"/>
      <w:sz w:val="24"/>
      <w:szCs w:val="24"/>
      <w:lang w:val="en-US"/>
    </w:rPr>
  </w:style>
  <w:style w:type="paragraph" w:styleId="Footer">
    <w:name w:val="footer"/>
    <w:basedOn w:val="Normal"/>
    <w:link w:val="FooterChar"/>
    <w:uiPriority w:val="99"/>
    <w:unhideWhenUsed/>
    <w:rsid w:val="00D33726"/>
    <w:pPr>
      <w:tabs>
        <w:tab w:val="center" w:pos="4680"/>
        <w:tab w:val="right" w:pos="9360"/>
      </w:tabs>
    </w:pPr>
  </w:style>
  <w:style w:type="character" w:customStyle="1" w:styleId="FooterChar">
    <w:name w:val="Footer Char"/>
    <w:basedOn w:val="DefaultParagraphFont"/>
    <w:link w:val="Footer"/>
    <w:uiPriority w:val="99"/>
    <w:rsid w:val="00D33726"/>
    <w:rPr>
      <w:rFonts w:ascii="Times New Roman" w:hAnsi="Times New Roman" w:cs="Times New Roman"/>
      <w:sz w:val="24"/>
      <w:szCs w:val="24"/>
      <w:lang w:val="en-US"/>
    </w:rPr>
  </w:style>
  <w:style w:type="character" w:styleId="PageNumber">
    <w:name w:val="page number"/>
    <w:basedOn w:val="DefaultParagraphFont"/>
    <w:uiPriority w:val="99"/>
    <w:semiHidden/>
    <w:unhideWhenUsed/>
    <w:rsid w:val="00D33726"/>
  </w:style>
  <w:style w:type="paragraph" w:customStyle="1" w:styleId="body-paragraph">
    <w:name w:val="body-paragraph"/>
    <w:basedOn w:val="Normal"/>
    <w:rsid w:val="00617FEE"/>
    <w:pPr>
      <w:spacing w:before="100" w:beforeAutospacing="1" w:after="100" w:afterAutospacing="1"/>
    </w:pPr>
    <w:rPr>
      <w:rFonts w:eastAsia="Times New Roman"/>
      <w:lang w:val="en-CA" w:eastAsia="en-CA"/>
    </w:rPr>
  </w:style>
  <w:style w:type="character" w:styleId="FollowedHyperlink">
    <w:name w:val="FollowedHyperlink"/>
    <w:basedOn w:val="DefaultParagraphFont"/>
    <w:uiPriority w:val="99"/>
    <w:semiHidden/>
    <w:unhideWhenUsed/>
    <w:rsid w:val="00A04AA6"/>
    <w:rPr>
      <w:color w:val="954F72" w:themeColor="followedHyperlink"/>
      <w:u w:val="single"/>
    </w:rPr>
  </w:style>
  <w:style w:type="character" w:customStyle="1" w:styleId="solext1">
    <w:name w:val="solext1"/>
    <w:basedOn w:val="DefaultParagraphFont"/>
    <w:rsid w:val="007407B0"/>
  </w:style>
  <w:style w:type="paragraph" w:styleId="NormalWeb">
    <w:name w:val="Normal (Web)"/>
    <w:basedOn w:val="Normal"/>
    <w:uiPriority w:val="99"/>
    <w:unhideWhenUsed/>
    <w:rsid w:val="00E00F0A"/>
    <w:pPr>
      <w:spacing w:before="100" w:beforeAutospacing="1" w:after="100" w:afterAutospacing="1"/>
    </w:pPr>
  </w:style>
  <w:style w:type="character" w:customStyle="1" w:styleId="UnresolvedMention3">
    <w:name w:val="Unresolved Mention3"/>
    <w:basedOn w:val="DefaultParagraphFont"/>
    <w:uiPriority w:val="99"/>
    <w:rsid w:val="006869F1"/>
    <w:rPr>
      <w:color w:val="605E5C"/>
      <w:shd w:val="clear" w:color="auto" w:fill="E1DFDD"/>
    </w:rPr>
  </w:style>
  <w:style w:type="paragraph" w:styleId="NoSpacing">
    <w:name w:val="No Spacing"/>
    <w:uiPriority w:val="1"/>
    <w:qFormat/>
    <w:rsid w:val="00F4349D"/>
    <w:pPr>
      <w:spacing w:after="0" w:line="240" w:lineRule="auto"/>
    </w:pPr>
  </w:style>
  <w:style w:type="character" w:customStyle="1" w:styleId="UnresolvedMention4">
    <w:name w:val="Unresolved Mention4"/>
    <w:basedOn w:val="DefaultParagraphFont"/>
    <w:uiPriority w:val="99"/>
    <w:rsid w:val="006065E6"/>
    <w:rPr>
      <w:color w:val="605E5C"/>
      <w:shd w:val="clear" w:color="auto" w:fill="E1DFDD"/>
    </w:rPr>
  </w:style>
  <w:style w:type="paragraph" w:styleId="DocumentMap">
    <w:name w:val="Document Map"/>
    <w:basedOn w:val="Normal"/>
    <w:link w:val="DocumentMapChar"/>
    <w:uiPriority w:val="99"/>
    <w:semiHidden/>
    <w:unhideWhenUsed/>
    <w:rsid w:val="00EA3C36"/>
  </w:style>
  <w:style w:type="character" w:customStyle="1" w:styleId="DocumentMapChar">
    <w:name w:val="Document Map Char"/>
    <w:basedOn w:val="DefaultParagraphFont"/>
    <w:link w:val="DocumentMap"/>
    <w:uiPriority w:val="99"/>
    <w:semiHidden/>
    <w:rsid w:val="00EA3C36"/>
    <w:rPr>
      <w:rFonts w:ascii="Times New Roman" w:hAnsi="Times New Roman" w:cs="Times New Roman"/>
      <w:sz w:val="24"/>
      <w:szCs w:val="24"/>
      <w:lang w:val="en-US"/>
    </w:rPr>
  </w:style>
  <w:style w:type="character" w:customStyle="1" w:styleId="UnresolvedMention5">
    <w:name w:val="Unresolved Mention5"/>
    <w:basedOn w:val="DefaultParagraphFont"/>
    <w:uiPriority w:val="99"/>
    <w:rsid w:val="00F6033E"/>
    <w:rPr>
      <w:color w:val="605E5C"/>
      <w:shd w:val="clear" w:color="auto" w:fill="E1DFDD"/>
    </w:rPr>
  </w:style>
  <w:style w:type="character" w:customStyle="1" w:styleId="UnresolvedMention6">
    <w:name w:val="Unresolved Mention6"/>
    <w:basedOn w:val="DefaultParagraphFont"/>
    <w:uiPriority w:val="99"/>
    <w:rsid w:val="00004C21"/>
    <w:rPr>
      <w:color w:val="605E5C"/>
      <w:shd w:val="clear" w:color="auto" w:fill="E1DFDD"/>
    </w:rPr>
  </w:style>
  <w:style w:type="character" w:customStyle="1" w:styleId="solexhl">
    <w:name w:val="solexhl"/>
    <w:basedOn w:val="DefaultParagraphFont"/>
    <w:rsid w:val="001A2C4F"/>
  </w:style>
  <w:style w:type="character" w:customStyle="1" w:styleId="UnresolvedMention7">
    <w:name w:val="Unresolved Mention7"/>
    <w:basedOn w:val="DefaultParagraphFont"/>
    <w:uiPriority w:val="99"/>
    <w:rsid w:val="00EE4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65836">
      <w:bodyDiv w:val="1"/>
      <w:marLeft w:val="0"/>
      <w:marRight w:val="0"/>
      <w:marTop w:val="0"/>
      <w:marBottom w:val="0"/>
      <w:divBdr>
        <w:top w:val="none" w:sz="0" w:space="0" w:color="auto"/>
        <w:left w:val="none" w:sz="0" w:space="0" w:color="auto"/>
        <w:bottom w:val="none" w:sz="0" w:space="0" w:color="auto"/>
        <w:right w:val="none" w:sz="0" w:space="0" w:color="auto"/>
      </w:divBdr>
    </w:div>
    <w:div w:id="45954986">
      <w:bodyDiv w:val="1"/>
      <w:marLeft w:val="0"/>
      <w:marRight w:val="0"/>
      <w:marTop w:val="0"/>
      <w:marBottom w:val="0"/>
      <w:divBdr>
        <w:top w:val="none" w:sz="0" w:space="0" w:color="auto"/>
        <w:left w:val="none" w:sz="0" w:space="0" w:color="auto"/>
        <w:bottom w:val="none" w:sz="0" w:space="0" w:color="auto"/>
        <w:right w:val="none" w:sz="0" w:space="0" w:color="auto"/>
      </w:divBdr>
    </w:div>
    <w:div w:id="136267335">
      <w:bodyDiv w:val="1"/>
      <w:marLeft w:val="0"/>
      <w:marRight w:val="0"/>
      <w:marTop w:val="0"/>
      <w:marBottom w:val="0"/>
      <w:divBdr>
        <w:top w:val="none" w:sz="0" w:space="0" w:color="auto"/>
        <w:left w:val="none" w:sz="0" w:space="0" w:color="auto"/>
        <w:bottom w:val="none" w:sz="0" w:space="0" w:color="auto"/>
        <w:right w:val="none" w:sz="0" w:space="0" w:color="auto"/>
      </w:divBdr>
    </w:div>
    <w:div w:id="172771065">
      <w:bodyDiv w:val="1"/>
      <w:marLeft w:val="0"/>
      <w:marRight w:val="0"/>
      <w:marTop w:val="0"/>
      <w:marBottom w:val="0"/>
      <w:divBdr>
        <w:top w:val="none" w:sz="0" w:space="0" w:color="auto"/>
        <w:left w:val="none" w:sz="0" w:space="0" w:color="auto"/>
        <w:bottom w:val="none" w:sz="0" w:space="0" w:color="auto"/>
        <w:right w:val="none" w:sz="0" w:space="0" w:color="auto"/>
      </w:divBdr>
    </w:div>
    <w:div w:id="179201870">
      <w:bodyDiv w:val="1"/>
      <w:marLeft w:val="0"/>
      <w:marRight w:val="0"/>
      <w:marTop w:val="0"/>
      <w:marBottom w:val="0"/>
      <w:divBdr>
        <w:top w:val="none" w:sz="0" w:space="0" w:color="auto"/>
        <w:left w:val="none" w:sz="0" w:space="0" w:color="auto"/>
        <w:bottom w:val="none" w:sz="0" w:space="0" w:color="auto"/>
        <w:right w:val="none" w:sz="0" w:space="0" w:color="auto"/>
      </w:divBdr>
    </w:div>
    <w:div w:id="266811752">
      <w:bodyDiv w:val="1"/>
      <w:marLeft w:val="0"/>
      <w:marRight w:val="0"/>
      <w:marTop w:val="0"/>
      <w:marBottom w:val="0"/>
      <w:divBdr>
        <w:top w:val="none" w:sz="0" w:space="0" w:color="auto"/>
        <w:left w:val="none" w:sz="0" w:space="0" w:color="auto"/>
        <w:bottom w:val="none" w:sz="0" w:space="0" w:color="auto"/>
        <w:right w:val="none" w:sz="0" w:space="0" w:color="auto"/>
      </w:divBdr>
    </w:div>
    <w:div w:id="437678736">
      <w:bodyDiv w:val="1"/>
      <w:marLeft w:val="0"/>
      <w:marRight w:val="0"/>
      <w:marTop w:val="0"/>
      <w:marBottom w:val="0"/>
      <w:divBdr>
        <w:top w:val="none" w:sz="0" w:space="0" w:color="auto"/>
        <w:left w:val="none" w:sz="0" w:space="0" w:color="auto"/>
        <w:bottom w:val="none" w:sz="0" w:space="0" w:color="auto"/>
        <w:right w:val="none" w:sz="0" w:space="0" w:color="auto"/>
      </w:divBdr>
    </w:div>
    <w:div w:id="458570850">
      <w:bodyDiv w:val="1"/>
      <w:marLeft w:val="0"/>
      <w:marRight w:val="0"/>
      <w:marTop w:val="0"/>
      <w:marBottom w:val="0"/>
      <w:divBdr>
        <w:top w:val="none" w:sz="0" w:space="0" w:color="auto"/>
        <w:left w:val="none" w:sz="0" w:space="0" w:color="auto"/>
        <w:bottom w:val="none" w:sz="0" w:space="0" w:color="auto"/>
        <w:right w:val="none" w:sz="0" w:space="0" w:color="auto"/>
      </w:divBdr>
      <w:divsChild>
        <w:div w:id="876772698">
          <w:marLeft w:val="288"/>
          <w:marRight w:val="0"/>
          <w:marTop w:val="280"/>
          <w:marBottom w:val="40"/>
          <w:divBdr>
            <w:top w:val="none" w:sz="0" w:space="0" w:color="auto"/>
            <w:left w:val="none" w:sz="0" w:space="0" w:color="auto"/>
            <w:bottom w:val="none" w:sz="0" w:space="0" w:color="auto"/>
            <w:right w:val="none" w:sz="0" w:space="0" w:color="auto"/>
          </w:divBdr>
        </w:div>
        <w:div w:id="1501042181">
          <w:marLeft w:val="288"/>
          <w:marRight w:val="0"/>
          <w:marTop w:val="280"/>
          <w:marBottom w:val="40"/>
          <w:divBdr>
            <w:top w:val="none" w:sz="0" w:space="0" w:color="auto"/>
            <w:left w:val="none" w:sz="0" w:space="0" w:color="auto"/>
            <w:bottom w:val="none" w:sz="0" w:space="0" w:color="auto"/>
            <w:right w:val="none" w:sz="0" w:space="0" w:color="auto"/>
          </w:divBdr>
        </w:div>
        <w:div w:id="1558055042">
          <w:marLeft w:val="288"/>
          <w:marRight w:val="0"/>
          <w:marTop w:val="280"/>
          <w:marBottom w:val="40"/>
          <w:divBdr>
            <w:top w:val="none" w:sz="0" w:space="0" w:color="auto"/>
            <w:left w:val="none" w:sz="0" w:space="0" w:color="auto"/>
            <w:bottom w:val="none" w:sz="0" w:space="0" w:color="auto"/>
            <w:right w:val="none" w:sz="0" w:space="0" w:color="auto"/>
          </w:divBdr>
        </w:div>
        <w:div w:id="1690637037">
          <w:marLeft w:val="288"/>
          <w:marRight w:val="0"/>
          <w:marTop w:val="280"/>
          <w:marBottom w:val="40"/>
          <w:divBdr>
            <w:top w:val="none" w:sz="0" w:space="0" w:color="auto"/>
            <w:left w:val="none" w:sz="0" w:space="0" w:color="auto"/>
            <w:bottom w:val="none" w:sz="0" w:space="0" w:color="auto"/>
            <w:right w:val="none" w:sz="0" w:space="0" w:color="auto"/>
          </w:divBdr>
        </w:div>
        <w:div w:id="2106144203">
          <w:marLeft w:val="288"/>
          <w:marRight w:val="0"/>
          <w:marTop w:val="280"/>
          <w:marBottom w:val="40"/>
          <w:divBdr>
            <w:top w:val="none" w:sz="0" w:space="0" w:color="auto"/>
            <w:left w:val="none" w:sz="0" w:space="0" w:color="auto"/>
            <w:bottom w:val="none" w:sz="0" w:space="0" w:color="auto"/>
            <w:right w:val="none" w:sz="0" w:space="0" w:color="auto"/>
          </w:divBdr>
        </w:div>
      </w:divsChild>
    </w:div>
    <w:div w:id="460002119">
      <w:bodyDiv w:val="1"/>
      <w:marLeft w:val="0"/>
      <w:marRight w:val="0"/>
      <w:marTop w:val="0"/>
      <w:marBottom w:val="0"/>
      <w:divBdr>
        <w:top w:val="none" w:sz="0" w:space="0" w:color="auto"/>
        <w:left w:val="none" w:sz="0" w:space="0" w:color="auto"/>
        <w:bottom w:val="none" w:sz="0" w:space="0" w:color="auto"/>
        <w:right w:val="none" w:sz="0" w:space="0" w:color="auto"/>
      </w:divBdr>
    </w:div>
    <w:div w:id="591166052">
      <w:bodyDiv w:val="1"/>
      <w:marLeft w:val="0"/>
      <w:marRight w:val="0"/>
      <w:marTop w:val="0"/>
      <w:marBottom w:val="0"/>
      <w:divBdr>
        <w:top w:val="none" w:sz="0" w:space="0" w:color="auto"/>
        <w:left w:val="none" w:sz="0" w:space="0" w:color="auto"/>
        <w:bottom w:val="none" w:sz="0" w:space="0" w:color="auto"/>
        <w:right w:val="none" w:sz="0" w:space="0" w:color="auto"/>
      </w:divBdr>
    </w:div>
    <w:div w:id="611085893">
      <w:bodyDiv w:val="1"/>
      <w:marLeft w:val="0"/>
      <w:marRight w:val="0"/>
      <w:marTop w:val="0"/>
      <w:marBottom w:val="0"/>
      <w:divBdr>
        <w:top w:val="none" w:sz="0" w:space="0" w:color="auto"/>
        <w:left w:val="none" w:sz="0" w:space="0" w:color="auto"/>
        <w:bottom w:val="none" w:sz="0" w:space="0" w:color="auto"/>
        <w:right w:val="none" w:sz="0" w:space="0" w:color="auto"/>
      </w:divBdr>
    </w:div>
    <w:div w:id="611859461">
      <w:bodyDiv w:val="1"/>
      <w:marLeft w:val="0"/>
      <w:marRight w:val="0"/>
      <w:marTop w:val="0"/>
      <w:marBottom w:val="0"/>
      <w:divBdr>
        <w:top w:val="none" w:sz="0" w:space="0" w:color="auto"/>
        <w:left w:val="none" w:sz="0" w:space="0" w:color="auto"/>
        <w:bottom w:val="none" w:sz="0" w:space="0" w:color="auto"/>
        <w:right w:val="none" w:sz="0" w:space="0" w:color="auto"/>
      </w:divBdr>
      <w:divsChild>
        <w:div w:id="1217165184">
          <w:marLeft w:val="0"/>
          <w:marRight w:val="0"/>
          <w:marTop w:val="0"/>
          <w:marBottom w:val="0"/>
          <w:divBdr>
            <w:top w:val="none" w:sz="0" w:space="0" w:color="auto"/>
            <w:left w:val="none" w:sz="0" w:space="0" w:color="auto"/>
            <w:bottom w:val="none" w:sz="0" w:space="0" w:color="auto"/>
            <w:right w:val="none" w:sz="0" w:space="0" w:color="auto"/>
          </w:divBdr>
          <w:divsChild>
            <w:div w:id="502746309">
              <w:marLeft w:val="0"/>
              <w:marRight w:val="0"/>
              <w:marTop w:val="0"/>
              <w:marBottom w:val="0"/>
              <w:divBdr>
                <w:top w:val="none" w:sz="0" w:space="0" w:color="auto"/>
                <w:left w:val="none" w:sz="0" w:space="0" w:color="auto"/>
                <w:bottom w:val="none" w:sz="0" w:space="0" w:color="auto"/>
                <w:right w:val="none" w:sz="0" w:space="0" w:color="auto"/>
              </w:divBdr>
              <w:divsChild>
                <w:div w:id="9256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22001">
      <w:bodyDiv w:val="1"/>
      <w:marLeft w:val="0"/>
      <w:marRight w:val="0"/>
      <w:marTop w:val="0"/>
      <w:marBottom w:val="0"/>
      <w:divBdr>
        <w:top w:val="none" w:sz="0" w:space="0" w:color="auto"/>
        <w:left w:val="none" w:sz="0" w:space="0" w:color="auto"/>
        <w:bottom w:val="none" w:sz="0" w:space="0" w:color="auto"/>
        <w:right w:val="none" w:sz="0" w:space="0" w:color="auto"/>
      </w:divBdr>
    </w:div>
    <w:div w:id="902563496">
      <w:bodyDiv w:val="1"/>
      <w:marLeft w:val="0"/>
      <w:marRight w:val="0"/>
      <w:marTop w:val="0"/>
      <w:marBottom w:val="0"/>
      <w:divBdr>
        <w:top w:val="none" w:sz="0" w:space="0" w:color="auto"/>
        <w:left w:val="none" w:sz="0" w:space="0" w:color="auto"/>
        <w:bottom w:val="none" w:sz="0" w:space="0" w:color="auto"/>
        <w:right w:val="none" w:sz="0" w:space="0" w:color="auto"/>
      </w:divBdr>
    </w:div>
    <w:div w:id="943269325">
      <w:bodyDiv w:val="1"/>
      <w:marLeft w:val="0"/>
      <w:marRight w:val="0"/>
      <w:marTop w:val="0"/>
      <w:marBottom w:val="0"/>
      <w:divBdr>
        <w:top w:val="none" w:sz="0" w:space="0" w:color="auto"/>
        <w:left w:val="none" w:sz="0" w:space="0" w:color="auto"/>
        <w:bottom w:val="none" w:sz="0" w:space="0" w:color="auto"/>
        <w:right w:val="none" w:sz="0" w:space="0" w:color="auto"/>
      </w:divBdr>
    </w:div>
    <w:div w:id="994802204">
      <w:bodyDiv w:val="1"/>
      <w:marLeft w:val="0"/>
      <w:marRight w:val="0"/>
      <w:marTop w:val="0"/>
      <w:marBottom w:val="0"/>
      <w:divBdr>
        <w:top w:val="none" w:sz="0" w:space="0" w:color="auto"/>
        <w:left w:val="none" w:sz="0" w:space="0" w:color="auto"/>
        <w:bottom w:val="none" w:sz="0" w:space="0" w:color="auto"/>
        <w:right w:val="none" w:sz="0" w:space="0" w:color="auto"/>
      </w:divBdr>
    </w:div>
    <w:div w:id="1177304172">
      <w:bodyDiv w:val="1"/>
      <w:marLeft w:val="0"/>
      <w:marRight w:val="0"/>
      <w:marTop w:val="0"/>
      <w:marBottom w:val="0"/>
      <w:divBdr>
        <w:top w:val="none" w:sz="0" w:space="0" w:color="auto"/>
        <w:left w:val="none" w:sz="0" w:space="0" w:color="auto"/>
        <w:bottom w:val="none" w:sz="0" w:space="0" w:color="auto"/>
        <w:right w:val="none" w:sz="0" w:space="0" w:color="auto"/>
      </w:divBdr>
    </w:div>
    <w:div w:id="1256943013">
      <w:bodyDiv w:val="1"/>
      <w:marLeft w:val="0"/>
      <w:marRight w:val="0"/>
      <w:marTop w:val="0"/>
      <w:marBottom w:val="0"/>
      <w:divBdr>
        <w:top w:val="none" w:sz="0" w:space="0" w:color="auto"/>
        <w:left w:val="none" w:sz="0" w:space="0" w:color="auto"/>
        <w:bottom w:val="none" w:sz="0" w:space="0" w:color="auto"/>
        <w:right w:val="none" w:sz="0" w:space="0" w:color="auto"/>
      </w:divBdr>
    </w:div>
    <w:div w:id="1269048448">
      <w:bodyDiv w:val="1"/>
      <w:marLeft w:val="0"/>
      <w:marRight w:val="0"/>
      <w:marTop w:val="0"/>
      <w:marBottom w:val="0"/>
      <w:divBdr>
        <w:top w:val="none" w:sz="0" w:space="0" w:color="auto"/>
        <w:left w:val="none" w:sz="0" w:space="0" w:color="auto"/>
        <w:bottom w:val="none" w:sz="0" w:space="0" w:color="auto"/>
        <w:right w:val="none" w:sz="0" w:space="0" w:color="auto"/>
      </w:divBdr>
    </w:div>
    <w:div w:id="1270159087">
      <w:bodyDiv w:val="1"/>
      <w:marLeft w:val="0"/>
      <w:marRight w:val="0"/>
      <w:marTop w:val="0"/>
      <w:marBottom w:val="0"/>
      <w:divBdr>
        <w:top w:val="none" w:sz="0" w:space="0" w:color="auto"/>
        <w:left w:val="none" w:sz="0" w:space="0" w:color="auto"/>
        <w:bottom w:val="none" w:sz="0" w:space="0" w:color="auto"/>
        <w:right w:val="none" w:sz="0" w:space="0" w:color="auto"/>
      </w:divBdr>
    </w:div>
    <w:div w:id="1305089182">
      <w:bodyDiv w:val="1"/>
      <w:marLeft w:val="0"/>
      <w:marRight w:val="0"/>
      <w:marTop w:val="0"/>
      <w:marBottom w:val="0"/>
      <w:divBdr>
        <w:top w:val="none" w:sz="0" w:space="0" w:color="auto"/>
        <w:left w:val="none" w:sz="0" w:space="0" w:color="auto"/>
        <w:bottom w:val="none" w:sz="0" w:space="0" w:color="auto"/>
        <w:right w:val="none" w:sz="0" w:space="0" w:color="auto"/>
      </w:divBdr>
    </w:div>
    <w:div w:id="1319916860">
      <w:bodyDiv w:val="1"/>
      <w:marLeft w:val="0"/>
      <w:marRight w:val="0"/>
      <w:marTop w:val="0"/>
      <w:marBottom w:val="0"/>
      <w:divBdr>
        <w:top w:val="none" w:sz="0" w:space="0" w:color="auto"/>
        <w:left w:val="none" w:sz="0" w:space="0" w:color="auto"/>
        <w:bottom w:val="none" w:sz="0" w:space="0" w:color="auto"/>
        <w:right w:val="none" w:sz="0" w:space="0" w:color="auto"/>
      </w:divBdr>
    </w:div>
    <w:div w:id="1413546299">
      <w:bodyDiv w:val="1"/>
      <w:marLeft w:val="0"/>
      <w:marRight w:val="0"/>
      <w:marTop w:val="0"/>
      <w:marBottom w:val="0"/>
      <w:divBdr>
        <w:top w:val="none" w:sz="0" w:space="0" w:color="auto"/>
        <w:left w:val="none" w:sz="0" w:space="0" w:color="auto"/>
        <w:bottom w:val="none" w:sz="0" w:space="0" w:color="auto"/>
        <w:right w:val="none" w:sz="0" w:space="0" w:color="auto"/>
      </w:divBdr>
    </w:div>
    <w:div w:id="1430542249">
      <w:bodyDiv w:val="1"/>
      <w:marLeft w:val="0"/>
      <w:marRight w:val="0"/>
      <w:marTop w:val="0"/>
      <w:marBottom w:val="0"/>
      <w:divBdr>
        <w:top w:val="none" w:sz="0" w:space="0" w:color="auto"/>
        <w:left w:val="none" w:sz="0" w:space="0" w:color="auto"/>
        <w:bottom w:val="none" w:sz="0" w:space="0" w:color="auto"/>
        <w:right w:val="none" w:sz="0" w:space="0" w:color="auto"/>
      </w:divBdr>
    </w:div>
    <w:div w:id="1448162110">
      <w:bodyDiv w:val="1"/>
      <w:marLeft w:val="0"/>
      <w:marRight w:val="0"/>
      <w:marTop w:val="0"/>
      <w:marBottom w:val="0"/>
      <w:divBdr>
        <w:top w:val="none" w:sz="0" w:space="0" w:color="auto"/>
        <w:left w:val="none" w:sz="0" w:space="0" w:color="auto"/>
        <w:bottom w:val="none" w:sz="0" w:space="0" w:color="auto"/>
        <w:right w:val="none" w:sz="0" w:space="0" w:color="auto"/>
      </w:divBdr>
    </w:div>
    <w:div w:id="1549873217">
      <w:bodyDiv w:val="1"/>
      <w:marLeft w:val="0"/>
      <w:marRight w:val="0"/>
      <w:marTop w:val="0"/>
      <w:marBottom w:val="0"/>
      <w:divBdr>
        <w:top w:val="none" w:sz="0" w:space="0" w:color="auto"/>
        <w:left w:val="none" w:sz="0" w:space="0" w:color="auto"/>
        <w:bottom w:val="none" w:sz="0" w:space="0" w:color="auto"/>
        <w:right w:val="none" w:sz="0" w:space="0" w:color="auto"/>
      </w:divBdr>
    </w:div>
    <w:div w:id="1617062537">
      <w:bodyDiv w:val="1"/>
      <w:marLeft w:val="0"/>
      <w:marRight w:val="0"/>
      <w:marTop w:val="0"/>
      <w:marBottom w:val="0"/>
      <w:divBdr>
        <w:top w:val="none" w:sz="0" w:space="0" w:color="auto"/>
        <w:left w:val="none" w:sz="0" w:space="0" w:color="auto"/>
        <w:bottom w:val="none" w:sz="0" w:space="0" w:color="auto"/>
        <w:right w:val="none" w:sz="0" w:space="0" w:color="auto"/>
      </w:divBdr>
      <w:divsChild>
        <w:div w:id="1255282249">
          <w:marLeft w:val="0"/>
          <w:marRight w:val="0"/>
          <w:marTop w:val="0"/>
          <w:marBottom w:val="0"/>
          <w:divBdr>
            <w:top w:val="none" w:sz="0" w:space="0" w:color="auto"/>
            <w:left w:val="none" w:sz="0" w:space="0" w:color="auto"/>
            <w:bottom w:val="none" w:sz="0" w:space="0" w:color="auto"/>
            <w:right w:val="none" w:sz="0" w:space="0" w:color="auto"/>
          </w:divBdr>
        </w:div>
        <w:div w:id="5913973">
          <w:marLeft w:val="0"/>
          <w:marRight w:val="0"/>
          <w:marTop w:val="0"/>
          <w:marBottom w:val="0"/>
          <w:divBdr>
            <w:top w:val="none" w:sz="0" w:space="0" w:color="auto"/>
            <w:left w:val="none" w:sz="0" w:space="0" w:color="auto"/>
            <w:bottom w:val="none" w:sz="0" w:space="0" w:color="auto"/>
            <w:right w:val="none" w:sz="0" w:space="0" w:color="auto"/>
          </w:divBdr>
        </w:div>
        <w:div w:id="1213688602">
          <w:marLeft w:val="0"/>
          <w:marRight w:val="0"/>
          <w:marTop w:val="0"/>
          <w:marBottom w:val="0"/>
          <w:divBdr>
            <w:top w:val="none" w:sz="0" w:space="0" w:color="auto"/>
            <w:left w:val="none" w:sz="0" w:space="0" w:color="auto"/>
            <w:bottom w:val="none" w:sz="0" w:space="0" w:color="auto"/>
            <w:right w:val="none" w:sz="0" w:space="0" w:color="auto"/>
          </w:divBdr>
        </w:div>
      </w:divsChild>
    </w:div>
    <w:div w:id="1759248842">
      <w:bodyDiv w:val="1"/>
      <w:marLeft w:val="0"/>
      <w:marRight w:val="0"/>
      <w:marTop w:val="0"/>
      <w:marBottom w:val="0"/>
      <w:divBdr>
        <w:top w:val="none" w:sz="0" w:space="0" w:color="auto"/>
        <w:left w:val="none" w:sz="0" w:space="0" w:color="auto"/>
        <w:bottom w:val="none" w:sz="0" w:space="0" w:color="auto"/>
        <w:right w:val="none" w:sz="0" w:space="0" w:color="auto"/>
      </w:divBdr>
    </w:div>
    <w:div w:id="1823154218">
      <w:bodyDiv w:val="1"/>
      <w:marLeft w:val="0"/>
      <w:marRight w:val="0"/>
      <w:marTop w:val="0"/>
      <w:marBottom w:val="0"/>
      <w:divBdr>
        <w:top w:val="none" w:sz="0" w:space="0" w:color="auto"/>
        <w:left w:val="none" w:sz="0" w:space="0" w:color="auto"/>
        <w:bottom w:val="none" w:sz="0" w:space="0" w:color="auto"/>
        <w:right w:val="none" w:sz="0" w:space="0" w:color="auto"/>
      </w:divBdr>
      <w:divsChild>
        <w:div w:id="2136631846">
          <w:marLeft w:val="0"/>
          <w:marRight w:val="0"/>
          <w:marTop w:val="0"/>
          <w:marBottom w:val="0"/>
          <w:divBdr>
            <w:top w:val="none" w:sz="0" w:space="0" w:color="auto"/>
            <w:left w:val="none" w:sz="0" w:space="0" w:color="auto"/>
            <w:bottom w:val="none" w:sz="0" w:space="0" w:color="auto"/>
            <w:right w:val="none" w:sz="0" w:space="0" w:color="auto"/>
          </w:divBdr>
          <w:divsChild>
            <w:div w:id="1273124570">
              <w:marLeft w:val="0"/>
              <w:marRight w:val="0"/>
              <w:marTop w:val="0"/>
              <w:marBottom w:val="0"/>
              <w:divBdr>
                <w:top w:val="none" w:sz="0" w:space="0" w:color="auto"/>
                <w:left w:val="none" w:sz="0" w:space="0" w:color="auto"/>
                <w:bottom w:val="none" w:sz="0" w:space="0" w:color="auto"/>
                <w:right w:val="none" w:sz="0" w:space="0" w:color="auto"/>
              </w:divBdr>
              <w:divsChild>
                <w:div w:id="4722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00707">
      <w:bodyDiv w:val="1"/>
      <w:marLeft w:val="0"/>
      <w:marRight w:val="0"/>
      <w:marTop w:val="0"/>
      <w:marBottom w:val="0"/>
      <w:divBdr>
        <w:top w:val="none" w:sz="0" w:space="0" w:color="auto"/>
        <w:left w:val="none" w:sz="0" w:space="0" w:color="auto"/>
        <w:bottom w:val="none" w:sz="0" w:space="0" w:color="auto"/>
        <w:right w:val="none" w:sz="0" w:space="0" w:color="auto"/>
      </w:divBdr>
    </w:div>
    <w:div w:id="1963223757">
      <w:bodyDiv w:val="1"/>
      <w:marLeft w:val="0"/>
      <w:marRight w:val="0"/>
      <w:marTop w:val="0"/>
      <w:marBottom w:val="0"/>
      <w:divBdr>
        <w:top w:val="none" w:sz="0" w:space="0" w:color="auto"/>
        <w:left w:val="none" w:sz="0" w:space="0" w:color="auto"/>
        <w:bottom w:val="none" w:sz="0" w:space="0" w:color="auto"/>
        <w:right w:val="none" w:sz="0" w:space="0" w:color="auto"/>
      </w:divBdr>
    </w:div>
    <w:div w:id="1969892604">
      <w:bodyDiv w:val="1"/>
      <w:marLeft w:val="0"/>
      <w:marRight w:val="0"/>
      <w:marTop w:val="0"/>
      <w:marBottom w:val="0"/>
      <w:divBdr>
        <w:top w:val="none" w:sz="0" w:space="0" w:color="auto"/>
        <w:left w:val="none" w:sz="0" w:space="0" w:color="auto"/>
        <w:bottom w:val="none" w:sz="0" w:space="0" w:color="auto"/>
        <w:right w:val="none" w:sz="0" w:space="0" w:color="auto"/>
      </w:divBdr>
      <w:divsChild>
        <w:div w:id="1947225033">
          <w:marLeft w:val="0"/>
          <w:marRight w:val="0"/>
          <w:marTop w:val="0"/>
          <w:marBottom w:val="0"/>
          <w:divBdr>
            <w:top w:val="none" w:sz="0" w:space="0" w:color="auto"/>
            <w:left w:val="none" w:sz="0" w:space="0" w:color="auto"/>
            <w:bottom w:val="none" w:sz="0" w:space="0" w:color="auto"/>
            <w:right w:val="none" w:sz="0" w:space="0" w:color="auto"/>
          </w:divBdr>
        </w:div>
      </w:divsChild>
    </w:div>
    <w:div w:id="2008434550">
      <w:bodyDiv w:val="1"/>
      <w:marLeft w:val="0"/>
      <w:marRight w:val="0"/>
      <w:marTop w:val="0"/>
      <w:marBottom w:val="0"/>
      <w:divBdr>
        <w:top w:val="none" w:sz="0" w:space="0" w:color="auto"/>
        <w:left w:val="none" w:sz="0" w:space="0" w:color="auto"/>
        <w:bottom w:val="none" w:sz="0" w:space="0" w:color="auto"/>
        <w:right w:val="none" w:sz="0" w:space="0" w:color="auto"/>
      </w:divBdr>
    </w:div>
    <w:div w:id="2044281096">
      <w:bodyDiv w:val="1"/>
      <w:marLeft w:val="0"/>
      <w:marRight w:val="0"/>
      <w:marTop w:val="0"/>
      <w:marBottom w:val="0"/>
      <w:divBdr>
        <w:top w:val="none" w:sz="0" w:space="0" w:color="auto"/>
        <w:left w:val="none" w:sz="0" w:space="0" w:color="auto"/>
        <w:bottom w:val="none" w:sz="0" w:space="0" w:color="auto"/>
        <w:right w:val="none" w:sz="0" w:space="0" w:color="auto"/>
      </w:divBdr>
    </w:div>
    <w:div w:id="2086685859">
      <w:bodyDiv w:val="1"/>
      <w:marLeft w:val="0"/>
      <w:marRight w:val="0"/>
      <w:marTop w:val="0"/>
      <w:marBottom w:val="0"/>
      <w:divBdr>
        <w:top w:val="none" w:sz="0" w:space="0" w:color="auto"/>
        <w:left w:val="none" w:sz="0" w:space="0" w:color="auto"/>
        <w:bottom w:val="none" w:sz="0" w:space="0" w:color="auto"/>
        <w:right w:val="none" w:sz="0" w:space="0" w:color="auto"/>
      </w:divBdr>
    </w:div>
    <w:div w:id="2094814201">
      <w:bodyDiv w:val="1"/>
      <w:marLeft w:val="0"/>
      <w:marRight w:val="0"/>
      <w:marTop w:val="0"/>
      <w:marBottom w:val="0"/>
      <w:divBdr>
        <w:top w:val="none" w:sz="0" w:space="0" w:color="auto"/>
        <w:left w:val="none" w:sz="0" w:space="0" w:color="auto"/>
        <w:bottom w:val="none" w:sz="0" w:space="0" w:color="auto"/>
        <w:right w:val="none" w:sz="0" w:space="0" w:color="auto"/>
      </w:divBdr>
    </w:div>
    <w:div w:id="2131363399">
      <w:bodyDiv w:val="1"/>
      <w:marLeft w:val="0"/>
      <w:marRight w:val="0"/>
      <w:marTop w:val="0"/>
      <w:marBottom w:val="0"/>
      <w:divBdr>
        <w:top w:val="none" w:sz="0" w:space="0" w:color="auto"/>
        <w:left w:val="none" w:sz="0" w:space="0" w:color="auto"/>
        <w:bottom w:val="none" w:sz="0" w:space="0" w:color="auto"/>
        <w:right w:val="none" w:sz="0" w:space="0" w:color="auto"/>
      </w:divBdr>
      <w:divsChild>
        <w:div w:id="122425695">
          <w:marLeft w:val="547"/>
          <w:marRight w:val="0"/>
          <w:marTop w:val="0"/>
          <w:marBottom w:val="0"/>
          <w:divBdr>
            <w:top w:val="none" w:sz="0" w:space="0" w:color="auto"/>
            <w:left w:val="none" w:sz="0" w:space="0" w:color="auto"/>
            <w:bottom w:val="none" w:sz="0" w:space="0" w:color="auto"/>
            <w:right w:val="none" w:sz="0" w:space="0" w:color="auto"/>
          </w:divBdr>
        </w:div>
        <w:div w:id="178495457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proxy.lib.sfu.ca/10.1057/cpcs.2009.23" TargetMode="Externa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https://doi-"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35ECFB-48FC-CF46-A70F-B435901E28EF}" type="doc">
      <dgm:prSet loTypeId="urn:microsoft.com/office/officeart/2005/8/layout/orgChart1" loCatId="" qsTypeId="urn:microsoft.com/office/officeart/2005/8/quickstyle/simple1" qsCatId="simple" csTypeId="urn:microsoft.com/office/officeart/2005/8/colors/accent0_1" csCatId="mainScheme" phldr="1"/>
      <dgm:spPr/>
      <dgm:t>
        <a:bodyPr/>
        <a:lstStyle/>
        <a:p>
          <a:endParaRPr lang="en-US"/>
        </a:p>
      </dgm:t>
    </dgm:pt>
    <dgm:pt modelId="{42F4F20C-DFC6-0743-8F83-CCF933F4DDA2}">
      <dgm:prSet phldrT="[Text]" custT="1"/>
      <dgm:spPr/>
      <dgm:t>
        <a:bodyPr/>
        <a:lstStyle/>
        <a:p>
          <a:r>
            <a:rPr lang="en-US" sz="1200">
              <a:latin typeface="Times New Roman" charset="0"/>
              <a:ea typeface="Times New Roman" charset="0"/>
              <a:cs typeface="Times New Roman" charset="0"/>
            </a:rPr>
            <a:t>Total Cases</a:t>
          </a:r>
        </a:p>
        <a:p>
          <a:r>
            <a:rPr lang="en-US" sz="1200">
              <a:latin typeface="Times New Roman" charset="0"/>
              <a:ea typeface="Times New Roman" charset="0"/>
              <a:cs typeface="Times New Roman" charset="0"/>
            </a:rPr>
            <a:t>(</a:t>
          </a:r>
          <a:r>
            <a:rPr lang="en-US" sz="1200" i="1">
              <a:latin typeface="Times New Roman" charset="0"/>
              <a:ea typeface="Times New Roman" charset="0"/>
              <a:cs typeface="Times New Roman" charset="0"/>
            </a:rPr>
            <a:t>N </a:t>
          </a:r>
          <a:r>
            <a:rPr lang="en-US" sz="1200">
              <a:latin typeface="Times New Roman" charset="0"/>
              <a:ea typeface="Times New Roman" charset="0"/>
              <a:cs typeface="Times New Roman" charset="0"/>
            </a:rPr>
            <a:t>= 214)</a:t>
          </a:r>
        </a:p>
      </dgm:t>
    </dgm:pt>
    <dgm:pt modelId="{9633CAD2-0D08-0C42-AEF8-DEF4E5213858}" type="parTrans" cxnId="{31C001DF-16FD-694D-A58F-665E804F1A6C}">
      <dgm:prSet/>
      <dgm:spPr/>
      <dgm:t>
        <a:bodyPr/>
        <a:lstStyle/>
        <a:p>
          <a:endParaRPr lang="en-US" sz="1200"/>
        </a:p>
      </dgm:t>
    </dgm:pt>
    <dgm:pt modelId="{7F525FFF-8A3C-DE4E-8F30-6C643BEBE10D}" type="sibTrans" cxnId="{31C001DF-16FD-694D-A58F-665E804F1A6C}">
      <dgm:prSet/>
      <dgm:spPr/>
      <dgm:t>
        <a:bodyPr/>
        <a:lstStyle/>
        <a:p>
          <a:endParaRPr lang="en-US" sz="1200"/>
        </a:p>
      </dgm:t>
    </dgm:pt>
    <dgm:pt modelId="{2547E1FD-6D2C-A943-9A1A-34E130C6DC37}">
      <dgm:prSet phldrT="[Text]" custT="1"/>
      <dgm:spPr/>
      <dgm:t>
        <a:bodyPr/>
        <a:lstStyle/>
        <a:p>
          <a:r>
            <a:rPr lang="en-US" sz="1200">
              <a:latin typeface="Times New Roman" charset="0"/>
              <a:ea typeface="Times New Roman" charset="0"/>
              <a:cs typeface="Times New Roman" charset="0"/>
            </a:rPr>
            <a:t>Culture Considered</a:t>
          </a:r>
        </a:p>
        <a:p>
          <a:r>
            <a:rPr lang="en-US" sz="1200">
              <a:latin typeface="Times New Roman" charset="0"/>
              <a:ea typeface="Times New Roman" charset="0"/>
              <a:cs typeface="Times New Roman" charset="0"/>
            </a:rPr>
            <a:t>(</a:t>
          </a:r>
          <a:r>
            <a:rPr lang="en-US" sz="1200" i="1">
              <a:latin typeface="Times New Roman" charset="0"/>
              <a:ea typeface="Times New Roman" charset="0"/>
              <a:cs typeface="Times New Roman" charset="0"/>
            </a:rPr>
            <a:t>n</a:t>
          </a:r>
          <a:r>
            <a:rPr lang="en-US" sz="1200">
              <a:latin typeface="Times New Roman" charset="0"/>
              <a:ea typeface="Times New Roman" charset="0"/>
              <a:cs typeface="Times New Roman" charset="0"/>
            </a:rPr>
            <a:t> = 93; 43%)</a:t>
          </a:r>
        </a:p>
      </dgm:t>
    </dgm:pt>
    <dgm:pt modelId="{C2C86C45-A7F4-CF4A-BDB5-EAB583ACC475}" type="parTrans" cxnId="{39E5F9FB-EA5A-9048-B06C-A422281DD3E7}">
      <dgm:prSet/>
      <dgm:spPr/>
      <dgm:t>
        <a:bodyPr/>
        <a:lstStyle/>
        <a:p>
          <a:endParaRPr lang="en-US" sz="1200"/>
        </a:p>
      </dgm:t>
    </dgm:pt>
    <dgm:pt modelId="{BB6BE306-23F8-AD43-9E54-867A09A1A157}" type="sibTrans" cxnId="{39E5F9FB-EA5A-9048-B06C-A422281DD3E7}">
      <dgm:prSet/>
      <dgm:spPr/>
      <dgm:t>
        <a:bodyPr/>
        <a:lstStyle/>
        <a:p>
          <a:endParaRPr lang="en-US" sz="1200"/>
        </a:p>
      </dgm:t>
    </dgm:pt>
    <dgm:pt modelId="{96372291-F9BF-E44B-9BDB-8EE71F8BB51A}">
      <dgm:prSet phldrT="[Text]" custT="1"/>
      <dgm:spPr/>
      <dgm:t>
        <a:bodyPr/>
        <a:lstStyle/>
        <a:p>
          <a:r>
            <a:rPr lang="en-US" sz="1200">
              <a:latin typeface="Times New Roman" charset="0"/>
              <a:ea typeface="Times New Roman" charset="0"/>
              <a:cs typeface="Times New Roman" charset="0"/>
            </a:rPr>
            <a:t>Culture Not Considered</a:t>
          </a:r>
        </a:p>
        <a:p>
          <a:r>
            <a:rPr lang="en-US" sz="1200">
              <a:latin typeface="Times New Roman" charset="0"/>
              <a:ea typeface="Times New Roman" charset="0"/>
              <a:cs typeface="Times New Roman" charset="0"/>
            </a:rPr>
            <a:t>(</a:t>
          </a:r>
          <a:r>
            <a:rPr lang="en-US" sz="1200" i="1">
              <a:latin typeface="Times New Roman" charset="0"/>
              <a:ea typeface="Times New Roman" charset="0"/>
              <a:cs typeface="Times New Roman" charset="0"/>
            </a:rPr>
            <a:t>n</a:t>
          </a:r>
          <a:r>
            <a:rPr lang="en-US" sz="1200">
              <a:latin typeface="Times New Roman" charset="0"/>
              <a:ea typeface="Times New Roman" charset="0"/>
              <a:cs typeface="Times New Roman" charset="0"/>
            </a:rPr>
            <a:t> = 121; 57%)</a:t>
          </a:r>
        </a:p>
      </dgm:t>
    </dgm:pt>
    <dgm:pt modelId="{48A48408-476F-944C-B8E5-CA4D68B96D76}" type="parTrans" cxnId="{4E4C2ECD-1F98-474B-9CDD-94EC848F8DC3}">
      <dgm:prSet/>
      <dgm:spPr/>
      <dgm:t>
        <a:bodyPr/>
        <a:lstStyle/>
        <a:p>
          <a:endParaRPr lang="en-US" sz="1200"/>
        </a:p>
      </dgm:t>
    </dgm:pt>
    <dgm:pt modelId="{1A3E5276-8370-CB4E-AB62-80224D7811AB}" type="sibTrans" cxnId="{4E4C2ECD-1F98-474B-9CDD-94EC848F8DC3}">
      <dgm:prSet/>
      <dgm:spPr/>
      <dgm:t>
        <a:bodyPr/>
        <a:lstStyle/>
        <a:p>
          <a:endParaRPr lang="en-US" sz="1200"/>
        </a:p>
      </dgm:t>
    </dgm:pt>
    <dgm:pt modelId="{8ED8E93B-3653-AA41-AC86-854413EEB373}">
      <dgm:prSet phldrT="[Text]" custT="1"/>
      <dgm:spPr/>
      <dgm:t>
        <a:bodyPr/>
        <a:lstStyle/>
        <a:p>
          <a:r>
            <a:rPr lang="en-US" sz="1200">
              <a:latin typeface="Times New Roman" charset="0"/>
              <a:ea typeface="Times New Roman" charset="0"/>
              <a:cs typeface="Times New Roman" charset="0"/>
            </a:rPr>
            <a:t>Indigenous Cases</a:t>
          </a:r>
        </a:p>
        <a:p>
          <a:r>
            <a:rPr lang="en-US" sz="1200">
              <a:latin typeface="Times New Roman" charset="0"/>
              <a:ea typeface="Times New Roman" charset="0"/>
              <a:cs typeface="Times New Roman" charset="0"/>
            </a:rPr>
            <a:t>(</a:t>
          </a:r>
          <a:r>
            <a:rPr lang="en-US" sz="1200" i="1">
              <a:latin typeface="Times New Roman" charset="0"/>
              <a:ea typeface="Times New Roman" charset="0"/>
              <a:cs typeface="Times New Roman" charset="0"/>
            </a:rPr>
            <a:t>n</a:t>
          </a:r>
          <a:r>
            <a:rPr lang="en-US" sz="1200">
              <a:latin typeface="Times New Roman" charset="0"/>
              <a:ea typeface="Times New Roman" charset="0"/>
              <a:cs typeface="Times New Roman" charset="0"/>
            </a:rPr>
            <a:t> = 84; 90%)</a:t>
          </a:r>
        </a:p>
      </dgm:t>
    </dgm:pt>
    <dgm:pt modelId="{37B59FE1-9DC1-0A41-A55B-8575D6D6CADD}" type="parTrans" cxnId="{4C3FEC50-0F0A-3344-88CD-2936F9F39E04}">
      <dgm:prSet/>
      <dgm:spPr/>
      <dgm:t>
        <a:bodyPr/>
        <a:lstStyle/>
        <a:p>
          <a:endParaRPr lang="en-US" sz="1200"/>
        </a:p>
      </dgm:t>
    </dgm:pt>
    <dgm:pt modelId="{6DE676F9-B1EC-4047-959D-BB4625FF6821}" type="sibTrans" cxnId="{4C3FEC50-0F0A-3344-88CD-2936F9F39E04}">
      <dgm:prSet/>
      <dgm:spPr/>
      <dgm:t>
        <a:bodyPr/>
        <a:lstStyle/>
        <a:p>
          <a:endParaRPr lang="en-US" sz="1200"/>
        </a:p>
      </dgm:t>
    </dgm:pt>
    <dgm:pt modelId="{2DB38197-4CFD-C741-A5EE-6A8EBD695F75}">
      <dgm:prSet phldrT="[Text]" custT="1"/>
      <dgm:spPr/>
      <dgm:t>
        <a:bodyPr/>
        <a:lstStyle/>
        <a:p>
          <a:r>
            <a:rPr lang="en-US" sz="1200">
              <a:latin typeface="Times New Roman" charset="0"/>
              <a:ea typeface="Times New Roman" charset="0"/>
              <a:cs typeface="Times New Roman" charset="0"/>
            </a:rPr>
            <a:t>Non-Indigenous Cases</a:t>
          </a:r>
        </a:p>
        <a:p>
          <a:r>
            <a:rPr lang="en-US" sz="1200">
              <a:latin typeface="Times New Roman" charset="0"/>
              <a:ea typeface="Times New Roman" charset="0"/>
              <a:cs typeface="Times New Roman" charset="0"/>
            </a:rPr>
            <a:t>(</a:t>
          </a:r>
          <a:r>
            <a:rPr lang="en-US" sz="1200" i="1">
              <a:latin typeface="Times New Roman" charset="0"/>
              <a:ea typeface="Times New Roman" charset="0"/>
              <a:cs typeface="Times New Roman" charset="0"/>
            </a:rPr>
            <a:t>n</a:t>
          </a:r>
          <a:r>
            <a:rPr lang="en-US" sz="1200">
              <a:latin typeface="Times New Roman" charset="0"/>
              <a:ea typeface="Times New Roman" charset="0"/>
              <a:cs typeface="Times New Roman" charset="0"/>
            </a:rPr>
            <a:t> = 9; 10%)</a:t>
          </a:r>
        </a:p>
      </dgm:t>
    </dgm:pt>
    <dgm:pt modelId="{67F77D12-9DBB-384D-9EA0-BC8B4013BFFE}" type="parTrans" cxnId="{C96A0C6E-76DC-814E-8E10-C95EBB2405C8}">
      <dgm:prSet/>
      <dgm:spPr/>
      <dgm:t>
        <a:bodyPr/>
        <a:lstStyle/>
        <a:p>
          <a:endParaRPr lang="en-US" sz="1200"/>
        </a:p>
      </dgm:t>
    </dgm:pt>
    <dgm:pt modelId="{4F0938D6-CDE2-0A4E-92F3-7D4BC795F0FB}" type="sibTrans" cxnId="{C96A0C6E-76DC-814E-8E10-C95EBB2405C8}">
      <dgm:prSet/>
      <dgm:spPr/>
      <dgm:t>
        <a:bodyPr/>
        <a:lstStyle/>
        <a:p>
          <a:endParaRPr lang="en-US" sz="1200"/>
        </a:p>
      </dgm:t>
    </dgm:pt>
    <dgm:pt modelId="{6A819688-8057-EB45-9FED-FC62447665F4}">
      <dgm:prSet phldrT="[Text]" custT="1"/>
      <dgm:spPr/>
      <dgm:t>
        <a:bodyPr/>
        <a:lstStyle/>
        <a:p>
          <a:r>
            <a:rPr lang="en-US" sz="1200">
              <a:latin typeface="Times New Roman" charset="0"/>
              <a:ea typeface="Times New Roman" charset="0"/>
              <a:cs typeface="Times New Roman" charset="0"/>
            </a:rPr>
            <a:t>Superficial</a:t>
          </a:r>
        </a:p>
        <a:p>
          <a:r>
            <a:rPr lang="en-US" sz="1200">
              <a:latin typeface="Times New Roman" charset="0"/>
              <a:ea typeface="Times New Roman" charset="0"/>
              <a:cs typeface="Times New Roman" charset="0"/>
            </a:rPr>
            <a:t>(</a:t>
          </a:r>
          <a:r>
            <a:rPr lang="en-US" sz="1200" i="1">
              <a:latin typeface="Times New Roman" charset="0"/>
              <a:ea typeface="Times New Roman" charset="0"/>
              <a:cs typeface="Times New Roman" charset="0"/>
            </a:rPr>
            <a:t>n</a:t>
          </a:r>
          <a:r>
            <a:rPr lang="en-US" sz="1200">
              <a:latin typeface="Times New Roman" charset="0"/>
              <a:ea typeface="Times New Roman" charset="0"/>
              <a:cs typeface="Times New Roman" charset="0"/>
            </a:rPr>
            <a:t> = 30; 36%)</a:t>
          </a:r>
        </a:p>
      </dgm:t>
    </dgm:pt>
    <dgm:pt modelId="{8FD217F9-4F74-AF4D-8044-2F5D6264ABF9}" type="parTrans" cxnId="{1CDA10CE-6E26-A540-9E19-25318EB5052A}">
      <dgm:prSet/>
      <dgm:spPr/>
      <dgm:t>
        <a:bodyPr/>
        <a:lstStyle/>
        <a:p>
          <a:endParaRPr lang="en-US" sz="1200"/>
        </a:p>
      </dgm:t>
    </dgm:pt>
    <dgm:pt modelId="{A0685922-0CBF-1C4E-8739-B45A156A161B}" type="sibTrans" cxnId="{1CDA10CE-6E26-A540-9E19-25318EB5052A}">
      <dgm:prSet/>
      <dgm:spPr/>
      <dgm:t>
        <a:bodyPr/>
        <a:lstStyle/>
        <a:p>
          <a:endParaRPr lang="en-US" sz="1200"/>
        </a:p>
      </dgm:t>
    </dgm:pt>
    <dgm:pt modelId="{A7A02958-7435-5B4F-998A-730A0A20769B}">
      <dgm:prSet phldrT="[Text]" custT="1"/>
      <dgm:spPr/>
      <dgm:t>
        <a:bodyPr/>
        <a:lstStyle/>
        <a:p>
          <a:r>
            <a:rPr lang="en-US" sz="1200">
              <a:latin typeface="Times New Roman" charset="0"/>
              <a:ea typeface="Times New Roman" charset="0"/>
              <a:cs typeface="Times New Roman" charset="0"/>
            </a:rPr>
            <a:t>Meaningful</a:t>
          </a:r>
        </a:p>
        <a:p>
          <a:r>
            <a:rPr lang="en-US" sz="1200">
              <a:latin typeface="Times New Roman" charset="0"/>
              <a:ea typeface="Times New Roman" charset="0"/>
              <a:cs typeface="Times New Roman" charset="0"/>
            </a:rPr>
            <a:t>(</a:t>
          </a:r>
          <a:r>
            <a:rPr lang="en-US" sz="1200" i="1">
              <a:latin typeface="Times New Roman" charset="0"/>
              <a:ea typeface="Times New Roman" charset="0"/>
              <a:cs typeface="Times New Roman" charset="0"/>
            </a:rPr>
            <a:t>n</a:t>
          </a:r>
          <a:r>
            <a:rPr lang="en-US" sz="1200">
              <a:latin typeface="Times New Roman" charset="0"/>
              <a:ea typeface="Times New Roman" charset="0"/>
              <a:cs typeface="Times New Roman" charset="0"/>
            </a:rPr>
            <a:t> = 54; 64%)</a:t>
          </a:r>
        </a:p>
      </dgm:t>
    </dgm:pt>
    <dgm:pt modelId="{68E32CB0-4798-D24C-9BBC-6713821363E8}" type="parTrans" cxnId="{4C7BB0DE-C333-9E44-B511-FEF9A17BB40E}">
      <dgm:prSet/>
      <dgm:spPr/>
      <dgm:t>
        <a:bodyPr/>
        <a:lstStyle/>
        <a:p>
          <a:endParaRPr lang="en-US" sz="1200"/>
        </a:p>
      </dgm:t>
    </dgm:pt>
    <dgm:pt modelId="{22DABAA7-B21B-BE40-ACF7-1F461F9A85A4}" type="sibTrans" cxnId="{4C7BB0DE-C333-9E44-B511-FEF9A17BB40E}">
      <dgm:prSet/>
      <dgm:spPr/>
      <dgm:t>
        <a:bodyPr/>
        <a:lstStyle/>
        <a:p>
          <a:endParaRPr lang="en-US" sz="1200"/>
        </a:p>
      </dgm:t>
    </dgm:pt>
    <dgm:pt modelId="{B64D3847-C321-784D-AC8C-DDFD2215B424}">
      <dgm:prSet phldrT="[Text]" custT="1"/>
      <dgm:spPr/>
      <dgm:t>
        <a:bodyPr/>
        <a:lstStyle/>
        <a:p>
          <a:r>
            <a:rPr lang="en-US" sz="1200">
              <a:latin typeface="Times New Roman" charset="0"/>
              <a:ea typeface="Times New Roman" charset="0"/>
              <a:cs typeface="Times New Roman" charset="0"/>
            </a:rPr>
            <a:t>Superficial</a:t>
          </a:r>
        </a:p>
        <a:p>
          <a:r>
            <a:rPr lang="en-US" sz="1200">
              <a:latin typeface="Times New Roman" charset="0"/>
              <a:ea typeface="Times New Roman" charset="0"/>
              <a:cs typeface="Times New Roman" charset="0"/>
            </a:rPr>
            <a:t>(</a:t>
          </a:r>
          <a:r>
            <a:rPr lang="en-US" sz="1200" i="1">
              <a:latin typeface="Times New Roman" charset="0"/>
              <a:ea typeface="Times New Roman" charset="0"/>
              <a:cs typeface="Times New Roman" charset="0"/>
            </a:rPr>
            <a:t>n</a:t>
          </a:r>
          <a:r>
            <a:rPr lang="en-US" sz="1200">
              <a:latin typeface="Times New Roman" charset="0"/>
              <a:ea typeface="Times New Roman" charset="0"/>
              <a:cs typeface="Times New Roman" charset="0"/>
            </a:rPr>
            <a:t> = 9; 100%)</a:t>
          </a:r>
        </a:p>
      </dgm:t>
    </dgm:pt>
    <dgm:pt modelId="{6AC8B709-618E-4F41-A368-2B46D48FC363}" type="parTrans" cxnId="{91D665DF-E078-734E-AD64-BB7F8A1F298E}">
      <dgm:prSet/>
      <dgm:spPr/>
      <dgm:t>
        <a:bodyPr/>
        <a:lstStyle/>
        <a:p>
          <a:endParaRPr lang="en-US" sz="1200"/>
        </a:p>
      </dgm:t>
    </dgm:pt>
    <dgm:pt modelId="{2908F1C6-202D-B84B-97C2-5A53ED155CA5}" type="sibTrans" cxnId="{91D665DF-E078-734E-AD64-BB7F8A1F298E}">
      <dgm:prSet/>
      <dgm:spPr/>
      <dgm:t>
        <a:bodyPr/>
        <a:lstStyle/>
        <a:p>
          <a:endParaRPr lang="en-US" sz="1200"/>
        </a:p>
      </dgm:t>
    </dgm:pt>
    <dgm:pt modelId="{27B0CC17-72D0-E642-A4A7-C1F52158A231}">
      <dgm:prSet phldrT="[Text]" custT="1"/>
      <dgm:spPr/>
      <dgm:t>
        <a:bodyPr/>
        <a:lstStyle/>
        <a:p>
          <a:r>
            <a:rPr lang="en-US" sz="1200">
              <a:latin typeface="Times New Roman" charset="0"/>
              <a:ea typeface="Times New Roman" charset="0"/>
              <a:cs typeface="Times New Roman" charset="0"/>
            </a:rPr>
            <a:t>Meaningful</a:t>
          </a:r>
        </a:p>
        <a:p>
          <a:r>
            <a:rPr lang="en-US" sz="1200">
              <a:latin typeface="Times New Roman" charset="0"/>
              <a:ea typeface="Times New Roman" charset="0"/>
              <a:cs typeface="Times New Roman" charset="0"/>
            </a:rPr>
            <a:t>(</a:t>
          </a:r>
          <a:r>
            <a:rPr lang="en-US" sz="1200" i="1">
              <a:latin typeface="Times New Roman" charset="0"/>
              <a:ea typeface="Times New Roman" charset="0"/>
              <a:cs typeface="Times New Roman" charset="0"/>
            </a:rPr>
            <a:t>n</a:t>
          </a:r>
          <a:r>
            <a:rPr lang="en-US" sz="1200">
              <a:latin typeface="Times New Roman" charset="0"/>
              <a:ea typeface="Times New Roman" charset="0"/>
              <a:cs typeface="Times New Roman" charset="0"/>
            </a:rPr>
            <a:t> = 0; 0%)</a:t>
          </a:r>
        </a:p>
      </dgm:t>
    </dgm:pt>
    <dgm:pt modelId="{6BA2F678-8FA1-8643-9EED-715CC7E83AF5}" type="parTrans" cxnId="{7EB1A119-C2BD-4B48-B8F2-EED72B3A20E2}">
      <dgm:prSet/>
      <dgm:spPr/>
      <dgm:t>
        <a:bodyPr/>
        <a:lstStyle/>
        <a:p>
          <a:endParaRPr lang="en-US" sz="1200"/>
        </a:p>
      </dgm:t>
    </dgm:pt>
    <dgm:pt modelId="{E8B7748F-5F63-DF41-B10F-51549C08E9CF}" type="sibTrans" cxnId="{7EB1A119-C2BD-4B48-B8F2-EED72B3A20E2}">
      <dgm:prSet/>
      <dgm:spPr/>
      <dgm:t>
        <a:bodyPr/>
        <a:lstStyle/>
        <a:p>
          <a:endParaRPr lang="en-US" sz="1200"/>
        </a:p>
      </dgm:t>
    </dgm:pt>
    <dgm:pt modelId="{882BB31D-1DCF-F34C-8E19-166498E90254}" type="pres">
      <dgm:prSet presAssocID="{D435ECFB-48FC-CF46-A70F-B435901E28EF}" presName="hierChild1" presStyleCnt="0">
        <dgm:presLayoutVars>
          <dgm:orgChart val="1"/>
          <dgm:chPref val="1"/>
          <dgm:dir/>
          <dgm:animOne val="branch"/>
          <dgm:animLvl val="lvl"/>
          <dgm:resizeHandles/>
        </dgm:presLayoutVars>
      </dgm:prSet>
      <dgm:spPr/>
    </dgm:pt>
    <dgm:pt modelId="{CE224598-B060-4D46-AB42-9F5417D9DEB1}" type="pres">
      <dgm:prSet presAssocID="{42F4F20C-DFC6-0743-8F83-CCF933F4DDA2}" presName="hierRoot1" presStyleCnt="0">
        <dgm:presLayoutVars>
          <dgm:hierBranch val="init"/>
        </dgm:presLayoutVars>
      </dgm:prSet>
      <dgm:spPr/>
    </dgm:pt>
    <dgm:pt modelId="{03DB7B7C-3AF9-BC46-904C-7C7B0CB19177}" type="pres">
      <dgm:prSet presAssocID="{42F4F20C-DFC6-0743-8F83-CCF933F4DDA2}" presName="rootComposite1" presStyleCnt="0"/>
      <dgm:spPr/>
    </dgm:pt>
    <dgm:pt modelId="{841EDB06-AC2A-F541-8813-404185D5289F}" type="pres">
      <dgm:prSet presAssocID="{42F4F20C-DFC6-0743-8F83-CCF933F4DDA2}" presName="rootText1" presStyleLbl="node0" presStyleIdx="0" presStyleCnt="1">
        <dgm:presLayoutVars>
          <dgm:chPref val="3"/>
        </dgm:presLayoutVars>
      </dgm:prSet>
      <dgm:spPr/>
    </dgm:pt>
    <dgm:pt modelId="{3A7AC0AE-F9DC-A743-87DE-576C4CDA9504}" type="pres">
      <dgm:prSet presAssocID="{42F4F20C-DFC6-0743-8F83-CCF933F4DDA2}" presName="rootConnector1" presStyleLbl="node1" presStyleIdx="0" presStyleCnt="0"/>
      <dgm:spPr/>
    </dgm:pt>
    <dgm:pt modelId="{354216EA-52CE-F349-8A54-87F0C618D10E}" type="pres">
      <dgm:prSet presAssocID="{42F4F20C-DFC6-0743-8F83-CCF933F4DDA2}" presName="hierChild2" presStyleCnt="0"/>
      <dgm:spPr/>
    </dgm:pt>
    <dgm:pt modelId="{B0EA0B6B-1175-9347-BC5E-DE9D4AE45D57}" type="pres">
      <dgm:prSet presAssocID="{C2C86C45-A7F4-CF4A-BDB5-EAB583ACC475}" presName="Name37" presStyleLbl="parChTrans1D2" presStyleIdx="0" presStyleCnt="2"/>
      <dgm:spPr/>
    </dgm:pt>
    <dgm:pt modelId="{6FE3ECF1-59AD-DC4F-A653-C29A6D0B0968}" type="pres">
      <dgm:prSet presAssocID="{2547E1FD-6D2C-A943-9A1A-34E130C6DC37}" presName="hierRoot2" presStyleCnt="0">
        <dgm:presLayoutVars>
          <dgm:hierBranch val="init"/>
        </dgm:presLayoutVars>
      </dgm:prSet>
      <dgm:spPr/>
    </dgm:pt>
    <dgm:pt modelId="{9430AA18-06A7-9644-B7F2-7DD910C6BA7D}" type="pres">
      <dgm:prSet presAssocID="{2547E1FD-6D2C-A943-9A1A-34E130C6DC37}" presName="rootComposite" presStyleCnt="0"/>
      <dgm:spPr/>
    </dgm:pt>
    <dgm:pt modelId="{DDEEA144-18F7-F547-8A65-65E9A8B26B26}" type="pres">
      <dgm:prSet presAssocID="{2547E1FD-6D2C-A943-9A1A-34E130C6DC37}" presName="rootText" presStyleLbl="node2" presStyleIdx="0" presStyleCnt="2" custScaleX="143409">
        <dgm:presLayoutVars>
          <dgm:chPref val="3"/>
        </dgm:presLayoutVars>
      </dgm:prSet>
      <dgm:spPr/>
    </dgm:pt>
    <dgm:pt modelId="{6D00BEAE-B608-B046-9560-8B3A12D90A6E}" type="pres">
      <dgm:prSet presAssocID="{2547E1FD-6D2C-A943-9A1A-34E130C6DC37}" presName="rootConnector" presStyleLbl="node2" presStyleIdx="0" presStyleCnt="2"/>
      <dgm:spPr/>
    </dgm:pt>
    <dgm:pt modelId="{6B0749F3-EA05-6240-A91D-655A41E53504}" type="pres">
      <dgm:prSet presAssocID="{2547E1FD-6D2C-A943-9A1A-34E130C6DC37}" presName="hierChild4" presStyleCnt="0"/>
      <dgm:spPr/>
    </dgm:pt>
    <dgm:pt modelId="{05CAA758-DE85-CC47-884D-E2E001609078}" type="pres">
      <dgm:prSet presAssocID="{37B59FE1-9DC1-0A41-A55B-8575D6D6CADD}" presName="Name37" presStyleLbl="parChTrans1D3" presStyleIdx="0" presStyleCnt="2"/>
      <dgm:spPr/>
    </dgm:pt>
    <dgm:pt modelId="{0C8F3BD3-4B84-854A-8D49-0E6C55220424}" type="pres">
      <dgm:prSet presAssocID="{8ED8E93B-3653-AA41-AC86-854413EEB373}" presName="hierRoot2" presStyleCnt="0">
        <dgm:presLayoutVars>
          <dgm:hierBranch val="init"/>
        </dgm:presLayoutVars>
      </dgm:prSet>
      <dgm:spPr/>
    </dgm:pt>
    <dgm:pt modelId="{42CB2707-F2D2-0E44-8959-7D0AF0640D9B}" type="pres">
      <dgm:prSet presAssocID="{8ED8E93B-3653-AA41-AC86-854413EEB373}" presName="rootComposite" presStyleCnt="0"/>
      <dgm:spPr/>
    </dgm:pt>
    <dgm:pt modelId="{07CD21AE-C588-4F45-9D68-88B29486DE2F}" type="pres">
      <dgm:prSet presAssocID="{8ED8E93B-3653-AA41-AC86-854413EEB373}" presName="rootText" presStyleLbl="node3" presStyleIdx="0" presStyleCnt="2" custScaleX="131878">
        <dgm:presLayoutVars>
          <dgm:chPref val="3"/>
        </dgm:presLayoutVars>
      </dgm:prSet>
      <dgm:spPr/>
    </dgm:pt>
    <dgm:pt modelId="{F9C2BF78-C331-9D40-9B3E-25BBF5BC724A}" type="pres">
      <dgm:prSet presAssocID="{8ED8E93B-3653-AA41-AC86-854413EEB373}" presName="rootConnector" presStyleLbl="node3" presStyleIdx="0" presStyleCnt="2"/>
      <dgm:spPr/>
    </dgm:pt>
    <dgm:pt modelId="{44A0A9A0-A303-F945-8F94-915BDC6DE348}" type="pres">
      <dgm:prSet presAssocID="{8ED8E93B-3653-AA41-AC86-854413EEB373}" presName="hierChild4" presStyleCnt="0"/>
      <dgm:spPr/>
    </dgm:pt>
    <dgm:pt modelId="{77E2DEE7-AF65-5C46-84D1-B933779154A0}" type="pres">
      <dgm:prSet presAssocID="{8FD217F9-4F74-AF4D-8044-2F5D6264ABF9}" presName="Name37" presStyleLbl="parChTrans1D4" presStyleIdx="0" presStyleCnt="4"/>
      <dgm:spPr/>
    </dgm:pt>
    <dgm:pt modelId="{D3C837B1-146F-AF42-BEB7-EABFBD15ADE6}" type="pres">
      <dgm:prSet presAssocID="{6A819688-8057-EB45-9FED-FC62447665F4}" presName="hierRoot2" presStyleCnt="0">
        <dgm:presLayoutVars>
          <dgm:hierBranch val="init"/>
        </dgm:presLayoutVars>
      </dgm:prSet>
      <dgm:spPr/>
    </dgm:pt>
    <dgm:pt modelId="{08724649-6AD2-8C44-9CFA-47B2FC0C7F10}" type="pres">
      <dgm:prSet presAssocID="{6A819688-8057-EB45-9FED-FC62447665F4}" presName="rootComposite" presStyleCnt="0"/>
      <dgm:spPr/>
    </dgm:pt>
    <dgm:pt modelId="{8C480D08-FE81-3B40-8258-18965C71DD58}" type="pres">
      <dgm:prSet presAssocID="{6A819688-8057-EB45-9FED-FC62447665F4}" presName="rootText" presStyleLbl="node4" presStyleIdx="0" presStyleCnt="4">
        <dgm:presLayoutVars>
          <dgm:chPref val="3"/>
        </dgm:presLayoutVars>
      </dgm:prSet>
      <dgm:spPr/>
    </dgm:pt>
    <dgm:pt modelId="{E653D9FE-69A0-0844-AF65-C4C1A8C56CD3}" type="pres">
      <dgm:prSet presAssocID="{6A819688-8057-EB45-9FED-FC62447665F4}" presName="rootConnector" presStyleLbl="node4" presStyleIdx="0" presStyleCnt="4"/>
      <dgm:spPr/>
    </dgm:pt>
    <dgm:pt modelId="{DE54C07F-32DE-E541-B825-14491D47B4C3}" type="pres">
      <dgm:prSet presAssocID="{6A819688-8057-EB45-9FED-FC62447665F4}" presName="hierChild4" presStyleCnt="0"/>
      <dgm:spPr/>
    </dgm:pt>
    <dgm:pt modelId="{6E56725E-8472-2C45-AF5D-5EA4F1EAA17D}" type="pres">
      <dgm:prSet presAssocID="{6A819688-8057-EB45-9FED-FC62447665F4}" presName="hierChild5" presStyleCnt="0"/>
      <dgm:spPr/>
    </dgm:pt>
    <dgm:pt modelId="{2BFEDAEF-2CCC-A14A-81E7-82B99B628050}" type="pres">
      <dgm:prSet presAssocID="{68E32CB0-4798-D24C-9BBC-6713821363E8}" presName="Name37" presStyleLbl="parChTrans1D4" presStyleIdx="1" presStyleCnt="4"/>
      <dgm:spPr/>
    </dgm:pt>
    <dgm:pt modelId="{EFB2B7E6-F7DB-0841-AB8C-58F100DB8F34}" type="pres">
      <dgm:prSet presAssocID="{A7A02958-7435-5B4F-998A-730A0A20769B}" presName="hierRoot2" presStyleCnt="0">
        <dgm:presLayoutVars>
          <dgm:hierBranch val="init"/>
        </dgm:presLayoutVars>
      </dgm:prSet>
      <dgm:spPr/>
    </dgm:pt>
    <dgm:pt modelId="{25D6789C-D23E-904F-8E23-88C6EF38AA8D}" type="pres">
      <dgm:prSet presAssocID="{A7A02958-7435-5B4F-998A-730A0A20769B}" presName="rootComposite" presStyleCnt="0"/>
      <dgm:spPr/>
    </dgm:pt>
    <dgm:pt modelId="{B1FB263F-F9C6-984D-B831-46D3014B5803}" type="pres">
      <dgm:prSet presAssocID="{A7A02958-7435-5B4F-998A-730A0A20769B}" presName="rootText" presStyleLbl="node4" presStyleIdx="1" presStyleCnt="4">
        <dgm:presLayoutVars>
          <dgm:chPref val="3"/>
        </dgm:presLayoutVars>
      </dgm:prSet>
      <dgm:spPr/>
    </dgm:pt>
    <dgm:pt modelId="{E701259F-DD2F-194B-A157-33E695753FFF}" type="pres">
      <dgm:prSet presAssocID="{A7A02958-7435-5B4F-998A-730A0A20769B}" presName="rootConnector" presStyleLbl="node4" presStyleIdx="1" presStyleCnt="4"/>
      <dgm:spPr/>
    </dgm:pt>
    <dgm:pt modelId="{1186572C-05AC-A949-B21A-6D9FD47473C9}" type="pres">
      <dgm:prSet presAssocID="{A7A02958-7435-5B4F-998A-730A0A20769B}" presName="hierChild4" presStyleCnt="0"/>
      <dgm:spPr/>
    </dgm:pt>
    <dgm:pt modelId="{C3E23A58-5372-A048-87DA-004E99135668}" type="pres">
      <dgm:prSet presAssocID="{A7A02958-7435-5B4F-998A-730A0A20769B}" presName="hierChild5" presStyleCnt="0"/>
      <dgm:spPr/>
    </dgm:pt>
    <dgm:pt modelId="{B799731E-2435-0543-ADA7-B99730DA1967}" type="pres">
      <dgm:prSet presAssocID="{8ED8E93B-3653-AA41-AC86-854413EEB373}" presName="hierChild5" presStyleCnt="0"/>
      <dgm:spPr/>
    </dgm:pt>
    <dgm:pt modelId="{0579D814-D58A-B440-80FE-96675133AD74}" type="pres">
      <dgm:prSet presAssocID="{67F77D12-9DBB-384D-9EA0-BC8B4013BFFE}" presName="Name37" presStyleLbl="parChTrans1D3" presStyleIdx="1" presStyleCnt="2"/>
      <dgm:spPr/>
    </dgm:pt>
    <dgm:pt modelId="{B4C1B6AF-E75D-674B-BDFE-58C48730DA95}" type="pres">
      <dgm:prSet presAssocID="{2DB38197-4CFD-C741-A5EE-6A8EBD695F75}" presName="hierRoot2" presStyleCnt="0">
        <dgm:presLayoutVars>
          <dgm:hierBranch val="init"/>
        </dgm:presLayoutVars>
      </dgm:prSet>
      <dgm:spPr/>
    </dgm:pt>
    <dgm:pt modelId="{36FBA18A-BD7A-A74F-A214-2D1EA60C5504}" type="pres">
      <dgm:prSet presAssocID="{2DB38197-4CFD-C741-A5EE-6A8EBD695F75}" presName="rootComposite" presStyleCnt="0"/>
      <dgm:spPr/>
    </dgm:pt>
    <dgm:pt modelId="{DD2C2EAF-A5C5-A14B-98C4-BBB1BBA66DB3}" type="pres">
      <dgm:prSet presAssocID="{2DB38197-4CFD-C741-A5EE-6A8EBD695F75}" presName="rootText" presStyleLbl="node3" presStyleIdx="1" presStyleCnt="2" custScaleX="121780">
        <dgm:presLayoutVars>
          <dgm:chPref val="3"/>
        </dgm:presLayoutVars>
      </dgm:prSet>
      <dgm:spPr/>
    </dgm:pt>
    <dgm:pt modelId="{E91DBEDC-7994-D14A-A501-4D91B7FD4686}" type="pres">
      <dgm:prSet presAssocID="{2DB38197-4CFD-C741-A5EE-6A8EBD695F75}" presName="rootConnector" presStyleLbl="node3" presStyleIdx="1" presStyleCnt="2"/>
      <dgm:spPr/>
    </dgm:pt>
    <dgm:pt modelId="{708C327E-7150-094F-AD6A-97102264ABF9}" type="pres">
      <dgm:prSet presAssocID="{2DB38197-4CFD-C741-A5EE-6A8EBD695F75}" presName="hierChild4" presStyleCnt="0"/>
      <dgm:spPr/>
    </dgm:pt>
    <dgm:pt modelId="{B822D8E5-E582-F84E-86CB-6EA2ABA3DB2E}" type="pres">
      <dgm:prSet presAssocID="{6AC8B709-618E-4F41-A368-2B46D48FC363}" presName="Name37" presStyleLbl="parChTrans1D4" presStyleIdx="2" presStyleCnt="4"/>
      <dgm:spPr/>
    </dgm:pt>
    <dgm:pt modelId="{534EFAD5-C228-2F4B-8B0D-F1DBEB6AECF7}" type="pres">
      <dgm:prSet presAssocID="{B64D3847-C321-784D-AC8C-DDFD2215B424}" presName="hierRoot2" presStyleCnt="0">
        <dgm:presLayoutVars>
          <dgm:hierBranch val="init"/>
        </dgm:presLayoutVars>
      </dgm:prSet>
      <dgm:spPr/>
    </dgm:pt>
    <dgm:pt modelId="{7E751EB5-88BF-0E4F-B66F-CC8A13E45490}" type="pres">
      <dgm:prSet presAssocID="{B64D3847-C321-784D-AC8C-DDFD2215B424}" presName="rootComposite" presStyleCnt="0"/>
      <dgm:spPr/>
    </dgm:pt>
    <dgm:pt modelId="{4D064E2E-5549-6242-90A7-5200F637EBE4}" type="pres">
      <dgm:prSet presAssocID="{B64D3847-C321-784D-AC8C-DDFD2215B424}" presName="rootText" presStyleLbl="node4" presStyleIdx="2" presStyleCnt="4">
        <dgm:presLayoutVars>
          <dgm:chPref val="3"/>
        </dgm:presLayoutVars>
      </dgm:prSet>
      <dgm:spPr/>
    </dgm:pt>
    <dgm:pt modelId="{47B5898E-D97D-D04C-A2A2-C95F083AE169}" type="pres">
      <dgm:prSet presAssocID="{B64D3847-C321-784D-AC8C-DDFD2215B424}" presName="rootConnector" presStyleLbl="node4" presStyleIdx="2" presStyleCnt="4"/>
      <dgm:spPr/>
    </dgm:pt>
    <dgm:pt modelId="{F7CDA6CD-AE09-204A-B89E-472BD7A6683B}" type="pres">
      <dgm:prSet presAssocID="{B64D3847-C321-784D-AC8C-DDFD2215B424}" presName="hierChild4" presStyleCnt="0"/>
      <dgm:spPr/>
    </dgm:pt>
    <dgm:pt modelId="{909BF52D-6C44-BB45-8DED-5B8FDD855706}" type="pres">
      <dgm:prSet presAssocID="{B64D3847-C321-784D-AC8C-DDFD2215B424}" presName="hierChild5" presStyleCnt="0"/>
      <dgm:spPr/>
    </dgm:pt>
    <dgm:pt modelId="{61BFFE34-6887-3B4F-ADFB-7DEE4ABD8D52}" type="pres">
      <dgm:prSet presAssocID="{6BA2F678-8FA1-8643-9EED-715CC7E83AF5}" presName="Name37" presStyleLbl="parChTrans1D4" presStyleIdx="3" presStyleCnt="4"/>
      <dgm:spPr/>
    </dgm:pt>
    <dgm:pt modelId="{9F3A35AE-4BEC-9443-9CB0-0C876404270A}" type="pres">
      <dgm:prSet presAssocID="{27B0CC17-72D0-E642-A4A7-C1F52158A231}" presName="hierRoot2" presStyleCnt="0">
        <dgm:presLayoutVars>
          <dgm:hierBranch val="init"/>
        </dgm:presLayoutVars>
      </dgm:prSet>
      <dgm:spPr/>
    </dgm:pt>
    <dgm:pt modelId="{55A442EB-B82E-1A4E-9AA2-340573E6536B}" type="pres">
      <dgm:prSet presAssocID="{27B0CC17-72D0-E642-A4A7-C1F52158A231}" presName="rootComposite" presStyleCnt="0"/>
      <dgm:spPr/>
    </dgm:pt>
    <dgm:pt modelId="{43064762-E02B-AD41-A98B-703D53DD1055}" type="pres">
      <dgm:prSet presAssocID="{27B0CC17-72D0-E642-A4A7-C1F52158A231}" presName="rootText" presStyleLbl="node4" presStyleIdx="3" presStyleCnt="4">
        <dgm:presLayoutVars>
          <dgm:chPref val="3"/>
        </dgm:presLayoutVars>
      </dgm:prSet>
      <dgm:spPr/>
    </dgm:pt>
    <dgm:pt modelId="{D6F8D9F4-2422-C244-9F51-20DB40A9F5D2}" type="pres">
      <dgm:prSet presAssocID="{27B0CC17-72D0-E642-A4A7-C1F52158A231}" presName="rootConnector" presStyleLbl="node4" presStyleIdx="3" presStyleCnt="4"/>
      <dgm:spPr/>
    </dgm:pt>
    <dgm:pt modelId="{4F599854-B474-1F4B-A07F-5DFF0997A9CB}" type="pres">
      <dgm:prSet presAssocID="{27B0CC17-72D0-E642-A4A7-C1F52158A231}" presName="hierChild4" presStyleCnt="0"/>
      <dgm:spPr/>
    </dgm:pt>
    <dgm:pt modelId="{BFFB534A-2099-0C43-865E-4E0B8BBAC4AD}" type="pres">
      <dgm:prSet presAssocID="{27B0CC17-72D0-E642-A4A7-C1F52158A231}" presName="hierChild5" presStyleCnt="0"/>
      <dgm:spPr/>
    </dgm:pt>
    <dgm:pt modelId="{230C2DE3-26C8-6444-99A9-8C918CB4E5DF}" type="pres">
      <dgm:prSet presAssocID="{2DB38197-4CFD-C741-A5EE-6A8EBD695F75}" presName="hierChild5" presStyleCnt="0"/>
      <dgm:spPr/>
    </dgm:pt>
    <dgm:pt modelId="{262060ED-5986-B040-903A-3828086E9C94}" type="pres">
      <dgm:prSet presAssocID="{2547E1FD-6D2C-A943-9A1A-34E130C6DC37}" presName="hierChild5" presStyleCnt="0"/>
      <dgm:spPr/>
    </dgm:pt>
    <dgm:pt modelId="{98561901-AF3A-EB4F-8BB6-D8154D8DFEAF}" type="pres">
      <dgm:prSet presAssocID="{48A48408-476F-944C-B8E5-CA4D68B96D76}" presName="Name37" presStyleLbl="parChTrans1D2" presStyleIdx="1" presStyleCnt="2"/>
      <dgm:spPr/>
    </dgm:pt>
    <dgm:pt modelId="{CD5AF252-9A95-F148-9DB7-5D662EFD7C59}" type="pres">
      <dgm:prSet presAssocID="{96372291-F9BF-E44B-9BDB-8EE71F8BB51A}" presName="hierRoot2" presStyleCnt="0">
        <dgm:presLayoutVars>
          <dgm:hierBranch val="init"/>
        </dgm:presLayoutVars>
      </dgm:prSet>
      <dgm:spPr/>
    </dgm:pt>
    <dgm:pt modelId="{C1BD4798-B707-3540-9ED8-9B1D36707376}" type="pres">
      <dgm:prSet presAssocID="{96372291-F9BF-E44B-9BDB-8EE71F8BB51A}" presName="rootComposite" presStyleCnt="0"/>
      <dgm:spPr/>
    </dgm:pt>
    <dgm:pt modelId="{73AF5705-1EB3-164A-8B89-4759F65BD2DA}" type="pres">
      <dgm:prSet presAssocID="{96372291-F9BF-E44B-9BDB-8EE71F8BB51A}" presName="rootText" presStyleLbl="node2" presStyleIdx="1" presStyleCnt="2" custScaleX="157385">
        <dgm:presLayoutVars>
          <dgm:chPref val="3"/>
        </dgm:presLayoutVars>
      </dgm:prSet>
      <dgm:spPr/>
    </dgm:pt>
    <dgm:pt modelId="{79D01616-B019-204E-B3FA-8D453E8C8126}" type="pres">
      <dgm:prSet presAssocID="{96372291-F9BF-E44B-9BDB-8EE71F8BB51A}" presName="rootConnector" presStyleLbl="node2" presStyleIdx="1" presStyleCnt="2"/>
      <dgm:spPr/>
    </dgm:pt>
    <dgm:pt modelId="{C53FDAB1-B60E-3741-818C-9E6A007DAA87}" type="pres">
      <dgm:prSet presAssocID="{96372291-F9BF-E44B-9BDB-8EE71F8BB51A}" presName="hierChild4" presStyleCnt="0"/>
      <dgm:spPr/>
    </dgm:pt>
    <dgm:pt modelId="{FC34AD34-8B94-7D4B-A12E-36D58A208D3A}" type="pres">
      <dgm:prSet presAssocID="{96372291-F9BF-E44B-9BDB-8EE71F8BB51A}" presName="hierChild5" presStyleCnt="0"/>
      <dgm:spPr/>
    </dgm:pt>
    <dgm:pt modelId="{75FF1F4E-8EE0-E448-BDA9-AAB3B5BE3BDB}" type="pres">
      <dgm:prSet presAssocID="{42F4F20C-DFC6-0743-8F83-CCF933F4DDA2}" presName="hierChild3" presStyleCnt="0"/>
      <dgm:spPr/>
    </dgm:pt>
  </dgm:ptLst>
  <dgm:cxnLst>
    <dgm:cxn modelId="{F2AEB704-19FE-1644-ACB9-809658DC2945}" type="presOf" srcId="{2547E1FD-6D2C-A943-9A1A-34E130C6DC37}" destId="{6D00BEAE-B608-B046-9560-8B3A12D90A6E}" srcOrd="1" destOrd="0" presId="urn:microsoft.com/office/officeart/2005/8/layout/orgChart1"/>
    <dgm:cxn modelId="{AEBD7609-1F55-EB46-8E13-F012AD3DF3F7}" type="presOf" srcId="{68E32CB0-4798-D24C-9BBC-6713821363E8}" destId="{2BFEDAEF-2CCC-A14A-81E7-82B99B628050}" srcOrd="0" destOrd="0" presId="urn:microsoft.com/office/officeart/2005/8/layout/orgChart1"/>
    <dgm:cxn modelId="{36559C12-2D59-FE46-B922-ABAF745A71EC}" type="presOf" srcId="{48A48408-476F-944C-B8E5-CA4D68B96D76}" destId="{98561901-AF3A-EB4F-8BB6-D8154D8DFEAF}" srcOrd="0" destOrd="0" presId="urn:microsoft.com/office/officeart/2005/8/layout/orgChart1"/>
    <dgm:cxn modelId="{BEA4D415-342A-914C-A003-2F5DA4462778}" type="presOf" srcId="{67F77D12-9DBB-384D-9EA0-BC8B4013BFFE}" destId="{0579D814-D58A-B440-80FE-96675133AD74}" srcOrd="0" destOrd="0" presId="urn:microsoft.com/office/officeart/2005/8/layout/orgChart1"/>
    <dgm:cxn modelId="{7EB1A119-C2BD-4B48-B8F2-EED72B3A20E2}" srcId="{2DB38197-4CFD-C741-A5EE-6A8EBD695F75}" destId="{27B0CC17-72D0-E642-A4A7-C1F52158A231}" srcOrd="1" destOrd="0" parTransId="{6BA2F678-8FA1-8643-9EED-715CC7E83AF5}" sibTransId="{E8B7748F-5F63-DF41-B10F-51549C08E9CF}"/>
    <dgm:cxn modelId="{C88B041D-0349-4C4F-8749-B977B50A7F3B}" type="presOf" srcId="{D435ECFB-48FC-CF46-A70F-B435901E28EF}" destId="{882BB31D-1DCF-F34C-8E19-166498E90254}" srcOrd="0" destOrd="0" presId="urn:microsoft.com/office/officeart/2005/8/layout/orgChart1"/>
    <dgm:cxn modelId="{F4DED01F-CEA6-8F45-8C6F-614586547B9F}" type="presOf" srcId="{8FD217F9-4F74-AF4D-8044-2F5D6264ABF9}" destId="{77E2DEE7-AF65-5C46-84D1-B933779154A0}" srcOrd="0" destOrd="0" presId="urn:microsoft.com/office/officeart/2005/8/layout/orgChart1"/>
    <dgm:cxn modelId="{7D3BC324-F7EC-DF4A-9997-1FA5B78B9208}" type="presOf" srcId="{6A819688-8057-EB45-9FED-FC62447665F4}" destId="{8C480D08-FE81-3B40-8258-18965C71DD58}" srcOrd="0" destOrd="0" presId="urn:microsoft.com/office/officeart/2005/8/layout/orgChart1"/>
    <dgm:cxn modelId="{956B3441-20AA-4B4A-A755-F10FFF6B6EB9}" type="presOf" srcId="{42F4F20C-DFC6-0743-8F83-CCF933F4DDA2}" destId="{841EDB06-AC2A-F541-8813-404185D5289F}" srcOrd="0" destOrd="0" presId="urn:microsoft.com/office/officeart/2005/8/layout/orgChart1"/>
    <dgm:cxn modelId="{29489761-2793-6047-90B6-DD679C7A34CB}" type="presOf" srcId="{C2C86C45-A7F4-CF4A-BDB5-EAB583ACC475}" destId="{B0EA0B6B-1175-9347-BC5E-DE9D4AE45D57}" srcOrd="0" destOrd="0" presId="urn:microsoft.com/office/officeart/2005/8/layout/orgChart1"/>
    <dgm:cxn modelId="{DA5AA863-F3C1-BA40-AE63-78A436E2B6E8}" type="presOf" srcId="{96372291-F9BF-E44B-9BDB-8EE71F8BB51A}" destId="{73AF5705-1EB3-164A-8B89-4759F65BD2DA}" srcOrd="0" destOrd="0" presId="urn:microsoft.com/office/officeart/2005/8/layout/orgChart1"/>
    <dgm:cxn modelId="{0D84F06B-6AC5-624D-A154-B1C1FD6003B8}" type="presOf" srcId="{27B0CC17-72D0-E642-A4A7-C1F52158A231}" destId="{D6F8D9F4-2422-C244-9F51-20DB40A9F5D2}" srcOrd="1" destOrd="0" presId="urn:microsoft.com/office/officeart/2005/8/layout/orgChart1"/>
    <dgm:cxn modelId="{C96A0C6E-76DC-814E-8E10-C95EBB2405C8}" srcId="{2547E1FD-6D2C-A943-9A1A-34E130C6DC37}" destId="{2DB38197-4CFD-C741-A5EE-6A8EBD695F75}" srcOrd="1" destOrd="0" parTransId="{67F77D12-9DBB-384D-9EA0-BC8B4013BFFE}" sibTransId="{4F0938D6-CDE2-0A4E-92F3-7D4BC795F0FB}"/>
    <dgm:cxn modelId="{4C3FEC50-0F0A-3344-88CD-2936F9F39E04}" srcId="{2547E1FD-6D2C-A943-9A1A-34E130C6DC37}" destId="{8ED8E93B-3653-AA41-AC86-854413EEB373}" srcOrd="0" destOrd="0" parTransId="{37B59FE1-9DC1-0A41-A55B-8575D6D6CADD}" sibTransId="{6DE676F9-B1EC-4047-959D-BB4625FF6821}"/>
    <dgm:cxn modelId="{C40D2F73-C229-564C-A6B2-CDD864E8E142}" type="presOf" srcId="{37B59FE1-9DC1-0A41-A55B-8575D6D6CADD}" destId="{05CAA758-DE85-CC47-884D-E2E001609078}" srcOrd="0" destOrd="0" presId="urn:microsoft.com/office/officeart/2005/8/layout/orgChart1"/>
    <dgm:cxn modelId="{A6CA0B74-26CF-7049-8402-1064F1E8DDD1}" type="presOf" srcId="{A7A02958-7435-5B4F-998A-730A0A20769B}" destId="{E701259F-DD2F-194B-A157-33E695753FFF}" srcOrd="1" destOrd="0" presId="urn:microsoft.com/office/officeart/2005/8/layout/orgChart1"/>
    <dgm:cxn modelId="{3DA65A77-D5C8-C041-BBB3-9C5E7EC1D991}" type="presOf" srcId="{2547E1FD-6D2C-A943-9A1A-34E130C6DC37}" destId="{DDEEA144-18F7-F547-8A65-65E9A8B26B26}" srcOrd="0" destOrd="0" presId="urn:microsoft.com/office/officeart/2005/8/layout/orgChart1"/>
    <dgm:cxn modelId="{8440CC78-B3C7-8F46-8F83-79A17CC23041}" type="presOf" srcId="{2DB38197-4CFD-C741-A5EE-6A8EBD695F75}" destId="{DD2C2EAF-A5C5-A14B-98C4-BBB1BBA66DB3}" srcOrd="0" destOrd="0" presId="urn:microsoft.com/office/officeart/2005/8/layout/orgChart1"/>
    <dgm:cxn modelId="{63F02C7D-38CF-0B4F-8C2E-18D509F8C467}" type="presOf" srcId="{27B0CC17-72D0-E642-A4A7-C1F52158A231}" destId="{43064762-E02B-AD41-A98B-703D53DD1055}" srcOrd="0" destOrd="0" presId="urn:microsoft.com/office/officeart/2005/8/layout/orgChart1"/>
    <dgm:cxn modelId="{833E0F94-BAA3-6746-8667-8D054725EB70}" type="presOf" srcId="{6A819688-8057-EB45-9FED-FC62447665F4}" destId="{E653D9FE-69A0-0844-AF65-C4C1A8C56CD3}" srcOrd="1" destOrd="0" presId="urn:microsoft.com/office/officeart/2005/8/layout/orgChart1"/>
    <dgm:cxn modelId="{A8AB7995-C082-FB4A-B6F2-A6202EFE3772}" type="presOf" srcId="{A7A02958-7435-5B4F-998A-730A0A20769B}" destId="{B1FB263F-F9C6-984D-B831-46D3014B5803}" srcOrd="0" destOrd="0" presId="urn:microsoft.com/office/officeart/2005/8/layout/orgChart1"/>
    <dgm:cxn modelId="{EAA8E0A0-D21B-CC4D-8610-A90A12003912}" type="presOf" srcId="{6BA2F678-8FA1-8643-9EED-715CC7E83AF5}" destId="{61BFFE34-6887-3B4F-ADFB-7DEE4ABD8D52}" srcOrd="0" destOrd="0" presId="urn:microsoft.com/office/officeart/2005/8/layout/orgChart1"/>
    <dgm:cxn modelId="{515DAAA4-720A-3B49-B2FF-B86AA079F2DB}" type="presOf" srcId="{6AC8B709-618E-4F41-A368-2B46D48FC363}" destId="{B822D8E5-E582-F84E-86CB-6EA2ABA3DB2E}" srcOrd="0" destOrd="0" presId="urn:microsoft.com/office/officeart/2005/8/layout/orgChart1"/>
    <dgm:cxn modelId="{375DEEA5-34F3-164B-82F7-3AC2535F5930}" type="presOf" srcId="{2DB38197-4CFD-C741-A5EE-6A8EBD695F75}" destId="{E91DBEDC-7994-D14A-A501-4D91B7FD4686}" srcOrd="1" destOrd="0" presId="urn:microsoft.com/office/officeart/2005/8/layout/orgChart1"/>
    <dgm:cxn modelId="{1C1B78BA-BBE6-874E-812A-9BCE82EF461A}" type="presOf" srcId="{B64D3847-C321-784D-AC8C-DDFD2215B424}" destId="{4D064E2E-5549-6242-90A7-5200F637EBE4}" srcOrd="0" destOrd="0" presId="urn:microsoft.com/office/officeart/2005/8/layout/orgChart1"/>
    <dgm:cxn modelId="{50428DC6-07A3-D74E-94E2-700B7E0B8F3F}" type="presOf" srcId="{42F4F20C-DFC6-0743-8F83-CCF933F4DDA2}" destId="{3A7AC0AE-F9DC-A743-87DE-576C4CDA9504}" srcOrd="1" destOrd="0" presId="urn:microsoft.com/office/officeart/2005/8/layout/orgChart1"/>
    <dgm:cxn modelId="{4E4C2ECD-1F98-474B-9CDD-94EC848F8DC3}" srcId="{42F4F20C-DFC6-0743-8F83-CCF933F4DDA2}" destId="{96372291-F9BF-E44B-9BDB-8EE71F8BB51A}" srcOrd="1" destOrd="0" parTransId="{48A48408-476F-944C-B8E5-CA4D68B96D76}" sibTransId="{1A3E5276-8370-CB4E-AB62-80224D7811AB}"/>
    <dgm:cxn modelId="{1CDA10CE-6E26-A540-9E19-25318EB5052A}" srcId="{8ED8E93B-3653-AA41-AC86-854413EEB373}" destId="{6A819688-8057-EB45-9FED-FC62447665F4}" srcOrd="0" destOrd="0" parTransId="{8FD217F9-4F74-AF4D-8044-2F5D6264ABF9}" sibTransId="{A0685922-0CBF-1C4E-8739-B45A156A161B}"/>
    <dgm:cxn modelId="{4C7BB0DE-C333-9E44-B511-FEF9A17BB40E}" srcId="{8ED8E93B-3653-AA41-AC86-854413EEB373}" destId="{A7A02958-7435-5B4F-998A-730A0A20769B}" srcOrd="1" destOrd="0" parTransId="{68E32CB0-4798-D24C-9BBC-6713821363E8}" sibTransId="{22DABAA7-B21B-BE40-ACF7-1F461F9A85A4}"/>
    <dgm:cxn modelId="{31C001DF-16FD-694D-A58F-665E804F1A6C}" srcId="{D435ECFB-48FC-CF46-A70F-B435901E28EF}" destId="{42F4F20C-DFC6-0743-8F83-CCF933F4DDA2}" srcOrd="0" destOrd="0" parTransId="{9633CAD2-0D08-0C42-AEF8-DEF4E5213858}" sibTransId="{7F525FFF-8A3C-DE4E-8F30-6C643BEBE10D}"/>
    <dgm:cxn modelId="{91D665DF-E078-734E-AD64-BB7F8A1F298E}" srcId="{2DB38197-4CFD-C741-A5EE-6A8EBD695F75}" destId="{B64D3847-C321-784D-AC8C-DDFD2215B424}" srcOrd="0" destOrd="0" parTransId="{6AC8B709-618E-4F41-A368-2B46D48FC363}" sibTransId="{2908F1C6-202D-B84B-97C2-5A53ED155CA5}"/>
    <dgm:cxn modelId="{59814AE5-958F-3743-A983-36775D993777}" type="presOf" srcId="{96372291-F9BF-E44B-9BDB-8EE71F8BB51A}" destId="{79D01616-B019-204E-B3FA-8D453E8C8126}" srcOrd="1" destOrd="0" presId="urn:microsoft.com/office/officeart/2005/8/layout/orgChart1"/>
    <dgm:cxn modelId="{B1B71CEA-5AC9-404B-83AB-176B3FAE5A31}" type="presOf" srcId="{8ED8E93B-3653-AA41-AC86-854413EEB373}" destId="{07CD21AE-C588-4F45-9D68-88B29486DE2F}" srcOrd="0" destOrd="0" presId="urn:microsoft.com/office/officeart/2005/8/layout/orgChart1"/>
    <dgm:cxn modelId="{906E7EED-406F-5E4C-9F75-FC73ED99DDF4}" type="presOf" srcId="{8ED8E93B-3653-AA41-AC86-854413EEB373}" destId="{F9C2BF78-C331-9D40-9B3E-25BBF5BC724A}" srcOrd="1" destOrd="0" presId="urn:microsoft.com/office/officeart/2005/8/layout/orgChart1"/>
    <dgm:cxn modelId="{56A32AF3-6238-3243-9119-5DD3D1718F73}" type="presOf" srcId="{B64D3847-C321-784D-AC8C-DDFD2215B424}" destId="{47B5898E-D97D-D04C-A2A2-C95F083AE169}" srcOrd="1" destOrd="0" presId="urn:microsoft.com/office/officeart/2005/8/layout/orgChart1"/>
    <dgm:cxn modelId="{39E5F9FB-EA5A-9048-B06C-A422281DD3E7}" srcId="{42F4F20C-DFC6-0743-8F83-CCF933F4DDA2}" destId="{2547E1FD-6D2C-A943-9A1A-34E130C6DC37}" srcOrd="0" destOrd="0" parTransId="{C2C86C45-A7F4-CF4A-BDB5-EAB583ACC475}" sibTransId="{BB6BE306-23F8-AD43-9E54-867A09A1A157}"/>
    <dgm:cxn modelId="{AA6CC853-9201-0545-B626-52E4F07C3E22}" type="presParOf" srcId="{882BB31D-1DCF-F34C-8E19-166498E90254}" destId="{CE224598-B060-4D46-AB42-9F5417D9DEB1}" srcOrd="0" destOrd="0" presId="urn:microsoft.com/office/officeart/2005/8/layout/orgChart1"/>
    <dgm:cxn modelId="{18822C84-587C-D44E-BF4B-8C8ABED23E13}" type="presParOf" srcId="{CE224598-B060-4D46-AB42-9F5417D9DEB1}" destId="{03DB7B7C-3AF9-BC46-904C-7C7B0CB19177}" srcOrd="0" destOrd="0" presId="urn:microsoft.com/office/officeart/2005/8/layout/orgChart1"/>
    <dgm:cxn modelId="{2FE7F585-D833-BE4C-BB4C-5C432631CFA3}" type="presParOf" srcId="{03DB7B7C-3AF9-BC46-904C-7C7B0CB19177}" destId="{841EDB06-AC2A-F541-8813-404185D5289F}" srcOrd="0" destOrd="0" presId="urn:microsoft.com/office/officeart/2005/8/layout/orgChart1"/>
    <dgm:cxn modelId="{8B7D6AD4-1CC5-D440-9CCF-01B80CFFD789}" type="presParOf" srcId="{03DB7B7C-3AF9-BC46-904C-7C7B0CB19177}" destId="{3A7AC0AE-F9DC-A743-87DE-576C4CDA9504}" srcOrd="1" destOrd="0" presId="urn:microsoft.com/office/officeart/2005/8/layout/orgChart1"/>
    <dgm:cxn modelId="{9DBC9712-9CB0-6D40-BF62-B7D3951C2304}" type="presParOf" srcId="{CE224598-B060-4D46-AB42-9F5417D9DEB1}" destId="{354216EA-52CE-F349-8A54-87F0C618D10E}" srcOrd="1" destOrd="0" presId="urn:microsoft.com/office/officeart/2005/8/layout/orgChart1"/>
    <dgm:cxn modelId="{2F225A71-E78F-8642-863A-9338C59B3D8B}" type="presParOf" srcId="{354216EA-52CE-F349-8A54-87F0C618D10E}" destId="{B0EA0B6B-1175-9347-BC5E-DE9D4AE45D57}" srcOrd="0" destOrd="0" presId="urn:microsoft.com/office/officeart/2005/8/layout/orgChart1"/>
    <dgm:cxn modelId="{DBBA46FE-A4A5-EB43-9DFD-FA294A562377}" type="presParOf" srcId="{354216EA-52CE-F349-8A54-87F0C618D10E}" destId="{6FE3ECF1-59AD-DC4F-A653-C29A6D0B0968}" srcOrd="1" destOrd="0" presId="urn:microsoft.com/office/officeart/2005/8/layout/orgChart1"/>
    <dgm:cxn modelId="{FD98D427-9EBD-A049-8D27-93E4EF225800}" type="presParOf" srcId="{6FE3ECF1-59AD-DC4F-A653-C29A6D0B0968}" destId="{9430AA18-06A7-9644-B7F2-7DD910C6BA7D}" srcOrd="0" destOrd="0" presId="urn:microsoft.com/office/officeart/2005/8/layout/orgChart1"/>
    <dgm:cxn modelId="{ACAB8883-5BB0-0148-A9AB-A01F44891E9D}" type="presParOf" srcId="{9430AA18-06A7-9644-B7F2-7DD910C6BA7D}" destId="{DDEEA144-18F7-F547-8A65-65E9A8B26B26}" srcOrd="0" destOrd="0" presId="urn:microsoft.com/office/officeart/2005/8/layout/orgChart1"/>
    <dgm:cxn modelId="{B7D31240-8E80-2E4E-843D-6DE93FB04291}" type="presParOf" srcId="{9430AA18-06A7-9644-B7F2-7DD910C6BA7D}" destId="{6D00BEAE-B608-B046-9560-8B3A12D90A6E}" srcOrd="1" destOrd="0" presId="urn:microsoft.com/office/officeart/2005/8/layout/orgChart1"/>
    <dgm:cxn modelId="{F1512932-80FB-B54D-9929-D8C4A17EF081}" type="presParOf" srcId="{6FE3ECF1-59AD-DC4F-A653-C29A6D0B0968}" destId="{6B0749F3-EA05-6240-A91D-655A41E53504}" srcOrd="1" destOrd="0" presId="urn:microsoft.com/office/officeart/2005/8/layout/orgChart1"/>
    <dgm:cxn modelId="{AE6DA7CC-5AC5-8C4E-9AB9-C0BCF704447A}" type="presParOf" srcId="{6B0749F3-EA05-6240-A91D-655A41E53504}" destId="{05CAA758-DE85-CC47-884D-E2E001609078}" srcOrd="0" destOrd="0" presId="urn:microsoft.com/office/officeart/2005/8/layout/orgChart1"/>
    <dgm:cxn modelId="{C0C61DF0-911B-8D43-9CCE-FED64BBF7822}" type="presParOf" srcId="{6B0749F3-EA05-6240-A91D-655A41E53504}" destId="{0C8F3BD3-4B84-854A-8D49-0E6C55220424}" srcOrd="1" destOrd="0" presId="urn:microsoft.com/office/officeart/2005/8/layout/orgChart1"/>
    <dgm:cxn modelId="{1488CAF2-298C-EC40-8335-CCB8DBB101C5}" type="presParOf" srcId="{0C8F3BD3-4B84-854A-8D49-0E6C55220424}" destId="{42CB2707-F2D2-0E44-8959-7D0AF0640D9B}" srcOrd="0" destOrd="0" presId="urn:microsoft.com/office/officeart/2005/8/layout/orgChart1"/>
    <dgm:cxn modelId="{1562E403-29F1-F446-A046-6444EE162F8F}" type="presParOf" srcId="{42CB2707-F2D2-0E44-8959-7D0AF0640D9B}" destId="{07CD21AE-C588-4F45-9D68-88B29486DE2F}" srcOrd="0" destOrd="0" presId="urn:microsoft.com/office/officeart/2005/8/layout/orgChart1"/>
    <dgm:cxn modelId="{3F241B76-E9BC-3440-BBEB-3F15EE29A81A}" type="presParOf" srcId="{42CB2707-F2D2-0E44-8959-7D0AF0640D9B}" destId="{F9C2BF78-C331-9D40-9B3E-25BBF5BC724A}" srcOrd="1" destOrd="0" presId="urn:microsoft.com/office/officeart/2005/8/layout/orgChart1"/>
    <dgm:cxn modelId="{0AB624F0-52D8-F240-9AFD-ABD130787CB6}" type="presParOf" srcId="{0C8F3BD3-4B84-854A-8D49-0E6C55220424}" destId="{44A0A9A0-A303-F945-8F94-915BDC6DE348}" srcOrd="1" destOrd="0" presId="urn:microsoft.com/office/officeart/2005/8/layout/orgChart1"/>
    <dgm:cxn modelId="{8442D70A-D324-0447-9290-B33CB5D070B0}" type="presParOf" srcId="{44A0A9A0-A303-F945-8F94-915BDC6DE348}" destId="{77E2DEE7-AF65-5C46-84D1-B933779154A0}" srcOrd="0" destOrd="0" presId="urn:microsoft.com/office/officeart/2005/8/layout/orgChart1"/>
    <dgm:cxn modelId="{10CEA961-967D-1944-AB83-E62F2378BC56}" type="presParOf" srcId="{44A0A9A0-A303-F945-8F94-915BDC6DE348}" destId="{D3C837B1-146F-AF42-BEB7-EABFBD15ADE6}" srcOrd="1" destOrd="0" presId="urn:microsoft.com/office/officeart/2005/8/layout/orgChart1"/>
    <dgm:cxn modelId="{638FD912-0146-E14E-A983-47035E515C8F}" type="presParOf" srcId="{D3C837B1-146F-AF42-BEB7-EABFBD15ADE6}" destId="{08724649-6AD2-8C44-9CFA-47B2FC0C7F10}" srcOrd="0" destOrd="0" presId="urn:microsoft.com/office/officeart/2005/8/layout/orgChart1"/>
    <dgm:cxn modelId="{8807F4DC-E88B-0847-A1B1-F7313168F2CA}" type="presParOf" srcId="{08724649-6AD2-8C44-9CFA-47B2FC0C7F10}" destId="{8C480D08-FE81-3B40-8258-18965C71DD58}" srcOrd="0" destOrd="0" presId="urn:microsoft.com/office/officeart/2005/8/layout/orgChart1"/>
    <dgm:cxn modelId="{A8E109AA-8202-FA49-B7A0-17BFC7412A21}" type="presParOf" srcId="{08724649-6AD2-8C44-9CFA-47B2FC0C7F10}" destId="{E653D9FE-69A0-0844-AF65-C4C1A8C56CD3}" srcOrd="1" destOrd="0" presId="urn:microsoft.com/office/officeart/2005/8/layout/orgChart1"/>
    <dgm:cxn modelId="{E3CC3C04-84C4-6A40-B8B2-8EE79BA48AF7}" type="presParOf" srcId="{D3C837B1-146F-AF42-BEB7-EABFBD15ADE6}" destId="{DE54C07F-32DE-E541-B825-14491D47B4C3}" srcOrd="1" destOrd="0" presId="urn:microsoft.com/office/officeart/2005/8/layout/orgChart1"/>
    <dgm:cxn modelId="{F0F413B0-43A0-C24E-AEF8-8E7A6B84DF49}" type="presParOf" srcId="{D3C837B1-146F-AF42-BEB7-EABFBD15ADE6}" destId="{6E56725E-8472-2C45-AF5D-5EA4F1EAA17D}" srcOrd="2" destOrd="0" presId="urn:microsoft.com/office/officeart/2005/8/layout/orgChart1"/>
    <dgm:cxn modelId="{1D4969D4-9393-F441-A909-E355E77834E2}" type="presParOf" srcId="{44A0A9A0-A303-F945-8F94-915BDC6DE348}" destId="{2BFEDAEF-2CCC-A14A-81E7-82B99B628050}" srcOrd="2" destOrd="0" presId="urn:microsoft.com/office/officeart/2005/8/layout/orgChart1"/>
    <dgm:cxn modelId="{B22EE7A1-C0CB-8A43-A2E9-1D474D111BFE}" type="presParOf" srcId="{44A0A9A0-A303-F945-8F94-915BDC6DE348}" destId="{EFB2B7E6-F7DB-0841-AB8C-58F100DB8F34}" srcOrd="3" destOrd="0" presId="urn:microsoft.com/office/officeart/2005/8/layout/orgChart1"/>
    <dgm:cxn modelId="{660EB0E3-5CB7-4541-B488-8466E4FBB4BE}" type="presParOf" srcId="{EFB2B7E6-F7DB-0841-AB8C-58F100DB8F34}" destId="{25D6789C-D23E-904F-8E23-88C6EF38AA8D}" srcOrd="0" destOrd="0" presId="urn:microsoft.com/office/officeart/2005/8/layout/orgChart1"/>
    <dgm:cxn modelId="{AB40E099-FADD-A445-9D94-21BBB8AA37C0}" type="presParOf" srcId="{25D6789C-D23E-904F-8E23-88C6EF38AA8D}" destId="{B1FB263F-F9C6-984D-B831-46D3014B5803}" srcOrd="0" destOrd="0" presId="urn:microsoft.com/office/officeart/2005/8/layout/orgChart1"/>
    <dgm:cxn modelId="{513A7E74-A949-3041-A375-92261828B7B9}" type="presParOf" srcId="{25D6789C-D23E-904F-8E23-88C6EF38AA8D}" destId="{E701259F-DD2F-194B-A157-33E695753FFF}" srcOrd="1" destOrd="0" presId="urn:microsoft.com/office/officeart/2005/8/layout/orgChart1"/>
    <dgm:cxn modelId="{276674DB-D259-1A4E-A332-553940AE537F}" type="presParOf" srcId="{EFB2B7E6-F7DB-0841-AB8C-58F100DB8F34}" destId="{1186572C-05AC-A949-B21A-6D9FD47473C9}" srcOrd="1" destOrd="0" presId="urn:microsoft.com/office/officeart/2005/8/layout/orgChart1"/>
    <dgm:cxn modelId="{9035B7A3-5C42-5546-8C29-B88024063569}" type="presParOf" srcId="{EFB2B7E6-F7DB-0841-AB8C-58F100DB8F34}" destId="{C3E23A58-5372-A048-87DA-004E99135668}" srcOrd="2" destOrd="0" presId="urn:microsoft.com/office/officeart/2005/8/layout/orgChart1"/>
    <dgm:cxn modelId="{4E4F13FD-2EE9-EA44-9149-954ADF241147}" type="presParOf" srcId="{0C8F3BD3-4B84-854A-8D49-0E6C55220424}" destId="{B799731E-2435-0543-ADA7-B99730DA1967}" srcOrd="2" destOrd="0" presId="urn:microsoft.com/office/officeart/2005/8/layout/orgChart1"/>
    <dgm:cxn modelId="{284583DB-4786-E148-8F24-F95A2C6C894B}" type="presParOf" srcId="{6B0749F3-EA05-6240-A91D-655A41E53504}" destId="{0579D814-D58A-B440-80FE-96675133AD74}" srcOrd="2" destOrd="0" presId="urn:microsoft.com/office/officeart/2005/8/layout/orgChart1"/>
    <dgm:cxn modelId="{E8DACA06-BF4D-D046-9431-C287B43235D6}" type="presParOf" srcId="{6B0749F3-EA05-6240-A91D-655A41E53504}" destId="{B4C1B6AF-E75D-674B-BDFE-58C48730DA95}" srcOrd="3" destOrd="0" presId="urn:microsoft.com/office/officeart/2005/8/layout/orgChart1"/>
    <dgm:cxn modelId="{3A57026A-87C1-9D42-8426-C6B32B325632}" type="presParOf" srcId="{B4C1B6AF-E75D-674B-BDFE-58C48730DA95}" destId="{36FBA18A-BD7A-A74F-A214-2D1EA60C5504}" srcOrd="0" destOrd="0" presId="urn:microsoft.com/office/officeart/2005/8/layout/orgChart1"/>
    <dgm:cxn modelId="{2B9BC2F4-6BDB-2441-B6EC-850E86714D4B}" type="presParOf" srcId="{36FBA18A-BD7A-A74F-A214-2D1EA60C5504}" destId="{DD2C2EAF-A5C5-A14B-98C4-BBB1BBA66DB3}" srcOrd="0" destOrd="0" presId="urn:microsoft.com/office/officeart/2005/8/layout/orgChart1"/>
    <dgm:cxn modelId="{7AE4C615-CB3B-9B4E-9367-621F4FA79B05}" type="presParOf" srcId="{36FBA18A-BD7A-A74F-A214-2D1EA60C5504}" destId="{E91DBEDC-7994-D14A-A501-4D91B7FD4686}" srcOrd="1" destOrd="0" presId="urn:microsoft.com/office/officeart/2005/8/layout/orgChart1"/>
    <dgm:cxn modelId="{6BDD78A6-A105-2545-8B7A-38656C698E4A}" type="presParOf" srcId="{B4C1B6AF-E75D-674B-BDFE-58C48730DA95}" destId="{708C327E-7150-094F-AD6A-97102264ABF9}" srcOrd="1" destOrd="0" presId="urn:microsoft.com/office/officeart/2005/8/layout/orgChart1"/>
    <dgm:cxn modelId="{29FA9609-B816-9348-B6F5-83F4C551D9AE}" type="presParOf" srcId="{708C327E-7150-094F-AD6A-97102264ABF9}" destId="{B822D8E5-E582-F84E-86CB-6EA2ABA3DB2E}" srcOrd="0" destOrd="0" presId="urn:microsoft.com/office/officeart/2005/8/layout/orgChart1"/>
    <dgm:cxn modelId="{B95F3797-E948-7E4C-BE03-61AD0E58EA0B}" type="presParOf" srcId="{708C327E-7150-094F-AD6A-97102264ABF9}" destId="{534EFAD5-C228-2F4B-8B0D-F1DBEB6AECF7}" srcOrd="1" destOrd="0" presId="urn:microsoft.com/office/officeart/2005/8/layout/orgChart1"/>
    <dgm:cxn modelId="{15BEC054-EECA-2D4A-94BD-20524CAF555C}" type="presParOf" srcId="{534EFAD5-C228-2F4B-8B0D-F1DBEB6AECF7}" destId="{7E751EB5-88BF-0E4F-B66F-CC8A13E45490}" srcOrd="0" destOrd="0" presId="urn:microsoft.com/office/officeart/2005/8/layout/orgChart1"/>
    <dgm:cxn modelId="{DEA8F5E6-37D7-7B4B-86D0-E18919158137}" type="presParOf" srcId="{7E751EB5-88BF-0E4F-B66F-CC8A13E45490}" destId="{4D064E2E-5549-6242-90A7-5200F637EBE4}" srcOrd="0" destOrd="0" presId="urn:microsoft.com/office/officeart/2005/8/layout/orgChart1"/>
    <dgm:cxn modelId="{075E57D8-76CB-9A43-9F72-46315FA1D175}" type="presParOf" srcId="{7E751EB5-88BF-0E4F-B66F-CC8A13E45490}" destId="{47B5898E-D97D-D04C-A2A2-C95F083AE169}" srcOrd="1" destOrd="0" presId="urn:microsoft.com/office/officeart/2005/8/layout/orgChart1"/>
    <dgm:cxn modelId="{2DD1A314-28CB-4948-8D6F-30B28160CC09}" type="presParOf" srcId="{534EFAD5-C228-2F4B-8B0D-F1DBEB6AECF7}" destId="{F7CDA6CD-AE09-204A-B89E-472BD7A6683B}" srcOrd="1" destOrd="0" presId="urn:microsoft.com/office/officeart/2005/8/layout/orgChart1"/>
    <dgm:cxn modelId="{C3E46598-E749-A34F-90A3-EA619C4F323B}" type="presParOf" srcId="{534EFAD5-C228-2F4B-8B0D-F1DBEB6AECF7}" destId="{909BF52D-6C44-BB45-8DED-5B8FDD855706}" srcOrd="2" destOrd="0" presId="urn:microsoft.com/office/officeart/2005/8/layout/orgChart1"/>
    <dgm:cxn modelId="{EF030B2A-2073-3841-AD97-1C25C12265A4}" type="presParOf" srcId="{708C327E-7150-094F-AD6A-97102264ABF9}" destId="{61BFFE34-6887-3B4F-ADFB-7DEE4ABD8D52}" srcOrd="2" destOrd="0" presId="urn:microsoft.com/office/officeart/2005/8/layout/orgChart1"/>
    <dgm:cxn modelId="{43A0FCE7-0474-724C-B9AF-1A044B53CF21}" type="presParOf" srcId="{708C327E-7150-094F-AD6A-97102264ABF9}" destId="{9F3A35AE-4BEC-9443-9CB0-0C876404270A}" srcOrd="3" destOrd="0" presId="urn:microsoft.com/office/officeart/2005/8/layout/orgChart1"/>
    <dgm:cxn modelId="{4D14C964-B78F-6548-8415-25EF274555C8}" type="presParOf" srcId="{9F3A35AE-4BEC-9443-9CB0-0C876404270A}" destId="{55A442EB-B82E-1A4E-9AA2-340573E6536B}" srcOrd="0" destOrd="0" presId="urn:microsoft.com/office/officeart/2005/8/layout/orgChart1"/>
    <dgm:cxn modelId="{ECF99A8D-89B7-DD41-BC1A-3AC9EF1D0AE4}" type="presParOf" srcId="{55A442EB-B82E-1A4E-9AA2-340573E6536B}" destId="{43064762-E02B-AD41-A98B-703D53DD1055}" srcOrd="0" destOrd="0" presId="urn:microsoft.com/office/officeart/2005/8/layout/orgChart1"/>
    <dgm:cxn modelId="{46165E8A-64C7-5D4E-939A-A303D71CE9BB}" type="presParOf" srcId="{55A442EB-B82E-1A4E-9AA2-340573E6536B}" destId="{D6F8D9F4-2422-C244-9F51-20DB40A9F5D2}" srcOrd="1" destOrd="0" presId="urn:microsoft.com/office/officeart/2005/8/layout/orgChart1"/>
    <dgm:cxn modelId="{F192CD89-3251-924E-8D68-E6039B361373}" type="presParOf" srcId="{9F3A35AE-4BEC-9443-9CB0-0C876404270A}" destId="{4F599854-B474-1F4B-A07F-5DFF0997A9CB}" srcOrd="1" destOrd="0" presId="urn:microsoft.com/office/officeart/2005/8/layout/orgChart1"/>
    <dgm:cxn modelId="{86507601-06B1-BE41-86A7-859A375AA5FA}" type="presParOf" srcId="{9F3A35AE-4BEC-9443-9CB0-0C876404270A}" destId="{BFFB534A-2099-0C43-865E-4E0B8BBAC4AD}" srcOrd="2" destOrd="0" presId="urn:microsoft.com/office/officeart/2005/8/layout/orgChart1"/>
    <dgm:cxn modelId="{F1D704C5-46EB-D944-B0C1-1597B4FFC82F}" type="presParOf" srcId="{B4C1B6AF-E75D-674B-BDFE-58C48730DA95}" destId="{230C2DE3-26C8-6444-99A9-8C918CB4E5DF}" srcOrd="2" destOrd="0" presId="urn:microsoft.com/office/officeart/2005/8/layout/orgChart1"/>
    <dgm:cxn modelId="{4839FB4B-F260-324D-84A6-A1DF816127B5}" type="presParOf" srcId="{6FE3ECF1-59AD-DC4F-A653-C29A6D0B0968}" destId="{262060ED-5986-B040-903A-3828086E9C94}" srcOrd="2" destOrd="0" presId="urn:microsoft.com/office/officeart/2005/8/layout/orgChart1"/>
    <dgm:cxn modelId="{FDE0363E-B65E-354A-8694-F57F49372C46}" type="presParOf" srcId="{354216EA-52CE-F349-8A54-87F0C618D10E}" destId="{98561901-AF3A-EB4F-8BB6-D8154D8DFEAF}" srcOrd="2" destOrd="0" presId="urn:microsoft.com/office/officeart/2005/8/layout/orgChart1"/>
    <dgm:cxn modelId="{C3F3A349-C7BA-8042-A5FB-B2B820E58F87}" type="presParOf" srcId="{354216EA-52CE-F349-8A54-87F0C618D10E}" destId="{CD5AF252-9A95-F148-9DB7-5D662EFD7C59}" srcOrd="3" destOrd="0" presId="urn:microsoft.com/office/officeart/2005/8/layout/orgChart1"/>
    <dgm:cxn modelId="{5F84E242-FFF9-9E41-8D52-E78F220F9FDE}" type="presParOf" srcId="{CD5AF252-9A95-F148-9DB7-5D662EFD7C59}" destId="{C1BD4798-B707-3540-9ED8-9B1D36707376}" srcOrd="0" destOrd="0" presId="urn:microsoft.com/office/officeart/2005/8/layout/orgChart1"/>
    <dgm:cxn modelId="{9CCEA93C-AF1F-A24C-8F9D-B1776DEF952D}" type="presParOf" srcId="{C1BD4798-B707-3540-9ED8-9B1D36707376}" destId="{73AF5705-1EB3-164A-8B89-4759F65BD2DA}" srcOrd="0" destOrd="0" presId="urn:microsoft.com/office/officeart/2005/8/layout/orgChart1"/>
    <dgm:cxn modelId="{E7B45D85-129B-CB48-A26E-8CCABF582D60}" type="presParOf" srcId="{C1BD4798-B707-3540-9ED8-9B1D36707376}" destId="{79D01616-B019-204E-B3FA-8D453E8C8126}" srcOrd="1" destOrd="0" presId="urn:microsoft.com/office/officeart/2005/8/layout/orgChart1"/>
    <dgm:cxn modelId="{976D84C6-394C-6743-AFB2-62AE08ED7786}" type="presParOf" srcId="{CD5AF252-9A95-F148-9DB7-5D662EFD7C59}" destId="{C53FDAB1-B60E-3741-818C-9E6A007DAA87}" srcOrd="1" destOrd="0" presId="urn:microsoft.com/office/officeart/2005/8/layout/orgChart1"/>
    <dgm:cxn modelId="{9DEFEFCF-6857-7943-B024-E23B40460561}" type="presParOf" srcId="{CD5AF252-9A95-F148-9DB7-5D662EFD7C59}" destId="{FC34AD34-8B94-7D4B-A12E-36D58A208D3A}" srcOrd="2" destOrd="0" presId="urn:microsoft.com/office/officeart/2005/8/layout/orgChart1"/>
    <dgm:cxn modelId="{FD8C2E95-0947-B140-A602-204DA9FAC7F8}" type="presParOf" srcId="{CE224598-B060-4D46-AB42-9F5417D9DEB1}" destId="{75FF1F4E-8EE0-E448-BDA9-AAB3B5BE3BDB}"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561901-AF3A-EB4F-8BB6-D8154D8DFEAF}">
      <dsp:nvSpPr>
        <dsp:cNvPr id="0" name=""/>
        <dsp:cNvSpPr/>
      </dsp:nvSpPr>
      <dsp:spPr>
        <a:xfrm>
          <a:off x="3023320" y="533183"/>
          <a:ext cx="875984" cy="223779"/>
        </a:xfrm>
        <a:custGeom>
          <a:avLst/>
          <a:gdLst/>
          <a:ahLst/>
          <a:cxnLst/>
          <a:rect l="0" t="0" r="0" b="0"/>
          <a:pathLst>
            <a:path>
              <a:moveTo>
                <a:pt x="0" y="0"/>
              </a:moveTo>
              <a:lnTo>
                <a:pt x="0" y="111889"/>
              </a:lnTo>
              <a:lnTo>
                <a:pt x="875984" y="111889"/>
              </a:lnTo>
              <a:lnTo>
                <a:pt x="875984" y="22377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BFFE34-6887-3B4F-ADFB-7DEE4ABD8D52}">
      <dsp:nvSpPr>
        <dsp:cNvPr id="0" name=""/>
        <dsp:cNvSpPr/>
      </dsp:nvSpPr>
      <dsp:spPr>
        <a:xfrm>
          <a:off x="2368333" y="2046357"/>
          <a:ext cx="194656" cy="1246770"/>
        </a:xfrm>
        <a:custGeom>
          <a:avLst/>
          <a:gdLst/>
          <a:ahLst/>
          <a:cxnLst/>
          <a:rect l="0" t="0" r="0" b="0"/>
          <a:pathLst>
            <a:path>
              <a:moveTo>
                <a:pt x="0" y="0"/>
              </a:moveTo>
              <a:lnTo>
                <a:pt x="0" y="1246770"/>
              </a:lnTo>
              <a:lnTo>
                <a:pt x="194656" y="12467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22D8E5-E582-F84E-86CB-6EA2ABA3DB2E}">
      <dsp:nvSpPr>
        <dsp:cNvPr id="0" name=""/>
        <dsp:cNvSpPr/>
      </dsp:nvSpPr>
      <dsp:spPr>
        <a:xfrm>
          <a:off x="2368333" y="2046357"/>
          <a:ext cx="194656" cy="490183"/>
        </a:xfrm>
        <a:custGeom>
          <a:avLst/>
          <a:gdLst/>
          <a:ahLst/>
          <a:cxnLst/>
          <a:rect l="0" t="0" r="0" b="0"/>
          <a:pathLst>
            <a:path>
              <a:moveTo>
                <a:pt x="0" y="0"/>
              </a:moveTo>
              <a:lnTo>
                <a:pt x="0" y="490183"/>
              </a:lnTo>
              <a:lnTo>
                <a:pt x="194656" y="49018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79D814-D58A-B440-80FE-96675133AD74}">
      <dsp:nvSpPr>
        <dsp:cNvPr id="0" name=""/>
        <dsp:cNvSpPr/>
      </dsp:nvSpPr>
      <dsp:spPr>
        <a:xfrm>
          <a:off x="2072870" y="1289770"/>
          <a:ext cx="814546" cy="223779"/>
        </a:xfrm>
        <a:custGeom>
          <a:avLst/>
          <a:gdLst/>
          <a:ahLst/>
          <a:cxnLst/>
          <a:rect l="0" t="0" r="0" b="0"/>
          <a:pathLst>
            <a:path>
              <a:moveTo>
                <a:pt x="0" y="0"/>
              </a:moveTo>
              <a:lnTo>
                <a:pt x="0" y="111889"/>
              </a:lnTo>
              <a:lnTo>
                <a:pt x="814546" y="111889"/>
              </a:lnTo>
              <a:lnTo>
                <a:pt x="814546" y="22377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FEDAEF-2CCC-A14A-81E7-82B99B628050}">
      <dsp:nvSpPr>
        <dsp:cNvPr id="0" name=""/>
        <dsp:cNvSpPr/>
      </dsp:nvSpPr>
      <dsp:spPr>
        <a:xfrm>
          <a:off x="750002" y="2046357"/>
          <a:ext cx="210796" cy="1246770"/>
        </a:xfrm>
        <a:custGeom>
          <a:avLst/>
          <a:gdLst/>
          <a:ahLst/>
          <a:cxnLst/>
          <a:rect l="0" t="0" r="0" b="0"/>
          <a:pathLst>
            <a:path>
              <a:moveTo>
                <a:pt x="0" y="0"/>
              </a:moveTo>
              <a:lnTo>
                <a:pt x="0" y="1246770"/>
              </a:lnTo>
              <a:lnTo>
                <a:pt x="210796" y="12467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E2DEE7-AF65-5C46-84D1-B933779154A0}">
      <dsp:nvSpPr>
        <dsp:cNvPr id="0" name=""/>
        <dsp:cNvSpPr/>
      </dsp:nvSpPr>
      <dsp:spPr>
        <a:xfrm>
          <a:off x="750002" y="2046357"/>
          <a:ext cx="210796" cy="490183"/>
        </a:xfrm>
        <a:custGeom>
          <a:avLst/>
          <a:gdLst/>
          <a:ahLst/>
          <a:cxnLst/>
          <a:rect l="0" t="0" r="0" b="0"/>
          <a:pathLst>
            <a:path>
              <a:moveTo>
                <a:pt x="0" y="0"/>
              </a:moveTo>
              <a:lnTo>
                <a:pt x="0" y="490183"/>
              </a:lnTo>
              <a:lnTo>
                <a:pt x="210796" y="49018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CAA758-DE85-CC47-884D-E2E001609078}">
      <dsp:nvSpPr>
        <dsp:cNvPr id="0" name=""/>
        <dsp:cNvSpPr/>
      </dsp:nvSpPr>
      <dsp:spPr>
        <a:xfrm>
          <a:off x="1312127" y="1289770"/>
          <a:ext cx="760743" cy="223779"/>
        </a:xfrm>
        <a:custGeom>
          <a:avLst/>
          <a:gdLst/>
          <a:ahLst/>
          <a:cxnLst/>
          <a:rect l="0" t="0" r="0" b="0"/>
          <a:pathLst>
            <a:path>
              <a:moveTo>
                <a:pt x="760743" y="0"/>
              </a:moveTo>
              <a:lnTo>
                <a:pt x="760743" y="111889"/>
              </a:lnTo>
              <a:lnTo>
                <a:pt x="0" y="111889"/>
              </a:lnTo>
              <a:lnTo>
                <a:pt x="0" y="22377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EA0B6B-1175-9347-BC5E-DE9D4AE45D57}">
      <dsp:nvSpPr>
        <dsp:cNvPr id="0" name=""/>
        <dsp:cNvSpPr/>
      </dsp:nvSpPr>
      <dsp:spPr>
        <a:xfrm>
          <a:off x="2072870" y="533183"/>
          <a:ext cx="950449" cy="223779"/>
        </a:xfrm>
        <a:custGeom>
          <a:avLst/>
          <a:gdLst/>
          <a:ahLst/>
          <a:cxnLst/>
          <a:rect l="0" t="0" r="0" b="0"/>
          <a:pathLst>
            <a:path>
              <a:moveTo>
                <a:pt x="950449" y="0"/>
              </a:moveTo>
              <a:lnTo>
                <a:pt x="950449" y="111889"/>
              </a:lnTo>
              <a:lnTo>
                <a:pt x="0" y="111889"/>
              </a:lnTo>
              <a:lnTo>
                <a:pt x="0" y="22377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1EDB06-AC2A-F541-8813-404185D5289F}">
      <dsp:nvSpPr>
        <dsp:cNvPr id="0" name=""/>
        <dsp:cNvSpPr/>
      </dsp:nvSpPr>
      <dsp:spPr>
        <a:xfrm>
          <a:off x="2490512" y="375"/>
          <a:ext cx="1065615" cy="53280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charset="0"/>
              <a:ea typeface="Times New Roman" charset="0"/>
              <a:cs typeface="Times New Roman" charset="0"/>
            </a:rPr>
            <a:t>Total Cases</a:t>
          </a:r>
        </a:p>
        <a:p>
          <a:pPr marL="0" lvl="0" indent="0" algn="ctr" defTabSz="533400">
            <a:lnSpc>
              <a:spcPct val="90000"/>
            </a:lnSpc>
            <a:spcBef>
              <a:spcPct val="0"/>
            </a:spcBef>
            <a:spcAft>
              <a:spcPct val="35000"/>
            </a:spcAft>
            <a:buNone/>
          </a:pPr>
          <a:r>
            <a:rPr lang="en-US" sz="1200" kern="1200">
              <a:latin typeface="Times New Roman" charset="0"/>
              <a:ea typeface="Times New Roman" charset="0"/>
              <a:cs typeface="Times New Roman" charset="0"/>
            </a:rPr>
            <a:t>(</a:t>
          </a:r>
          <a:r>
            <a:rPr lang="en-US" sz="1200" i="1" kern="1200">
              <a:latin typeface="Times New Roman" charset="0"/>
              <a:ea typeface="Times New Roman" charset="0"/>
              <a:cs typeface="Times New Roman" charset="0"/>
            </a:rPr>
            <a:t>N </a:t>
          </a:r>
          <a:r>
            <a:rPr lang="en-US" sz="1200" kern="1200">
              <a:latin typeface="Times New Roman" charset="0"/>
              <a:ea typeface="Times New Roman" charset="0"/>
              <a:cs typeface="Times New Roman" charset="0"/>
            </a:rPr>
            <a:t>= 214)</a:t>
          </a:r>
        </a:p>
      </dsp:txBody>
      <dsp:txXfrm>
        <a:off x="2490512" y="375"/>
        <a:ext cx="1065615" cy="532807"/>
      </dsp:txXfrm>
    </dsp:sp>
    <dsp:sp modelId="{DDEEA144-18F7-F547-8A65-65E9A8B26B26}">
      <dsp:nvSpPr>
        <dsp:cNvPr id="0" name=""/>
        <dsp:cNvSpPr/>
      </dsp:nvSpPr>
      <dsp:spPr>
        <a:xfrm>
          <a:off x="1308776" y="756962"/>
          <a:ext cx="1528188" cy="53280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charset="0"/>
              <a:ea typeface="Times New Roman" charset="0"/>
              <a:cs typeface="Times New Roman" charset="0"/>
            </a:rPr>
            <a:t>Culture Considered</a:t>
          </a:r>
        </a:p>
        <a:p>
          <a:pPr marL="0" lvl="0" indent="0" algn="ctr" defTabSz="533400">
            <a:lnSpc>
              <a:spcPct val="90000"/>
            </a:lnSpc>
            <a:spcBef>
              <a:spcPct val="0"/>
            </a:spcBef>
            <a:spcAft>
              <a:spcPct val="35000"/>
            </a:spcAft>
            <a:buNone/>
          </a:pPr>
          <a:r>
            <a:rPr lang="en-US" sz="1200" kern="1200">
              <a:latin typeface="Times New Roman" charset="0"/>
              <a:ea typeface="Times New Roman" charset="0"/>
              <a:cs typeface="Times New Roman" charset="0"/>
            </a:rPr>
            <a:t>(</a:t>
          </a:r>
          <a:r>
            <a:rPr lang="en-US" sz="1200" i="1" kern="1200">
              <a:latin typeface="Times New Roman" charset="0"/>
              <a:ea typeface="Times New Roman" charset="0"/>
              <a:cs typeface="Times New Roman" charset="0"/>
            </a:rPr>
            <a:t>n</a:t>
          </a:r>
          <a:r>
            <a:rPr lang="en-US" sz="1200" kern="1200">
              <a:latin typeface="Times New Roman" charset="0"/>
              <a:ea typeface="Times New Roman" charset="0"/>
              <a:cs typeface="Times New Roman" charset="0"/>
            </a:rPr>
            <a:t> = 93; 43%)</a:t>
          </a:r>
        </a:p>
      </dsp:txBody>
      <dsp:txXfrm>
        <a:off x="1308776" y="756962"/>
        <a:ext cx="1528188" cy="532807"/>
      </dsp:txXfrm>
    </dsp:sp>
    <dsp:sp modelId="{07CD21AE-C588-4F45-9D68-88B29486DE2F}">
      <dsp:nvSpPr>
        <dsp:cNvPr id="0" name=""/>
        <dsp:cNvSpPr/>
      </dsp:nvSpPr>
      <dsp:spPr>
        <a:xfrm>
          <a:off x="609471" y="1513550"/>
          <a:ext cx="1405312" cy="53280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charset="0"/>
              <a:ea typeface="Times New Roman" charset="0"/>
              <a:cs typeface="Times New Roman" charset="0"/>
            </a:rPr>
            <a:t>Indigenous Cases</a:t>
          </a:r>
        </a:p>
        <a:p>
          <a:pPr marL="0" lvl="0" indent="0" algn="ctr" defTabSz="533400">
            <a:lnSpc>
              <a:spcPct val="90000"/>
            </a:lnSpc>
            <a:spcBef>
              <a:spcPct val="0"/>
            </a:spcBef>
            <a:spcAft>
              <a:spcPct val="35000"/>
            </a:spcAft>
            <a:buNone/>
          </a:pPr>
          <a:r>
            <a:rPr lang="en-US" sz="1200" kern="1200">
              <a:latin typeface="Times New Roman" charset="0"/>
              <a:ea typeface="Times New Roman" charset="0"/>
              <a:cs typeface="Times New Roman" charset="0"/>
            </a:rPr>
            <a:t>(</a:t>
          </a:r>
          <a:r>
            <a:rPr lang="en-US" sz="1200" i="1" kern="1200">
              <a:latin typeface="Times New Roman" charset="0"/>
              <a:ea typeface="Times New Roman" charset="0"/>
              <a:cs typeface="Times New Roman" charset="0"/>
            </a:rPr>
            <a:t>n</a:t>
          </a:r>
          <a:r>
            <a:rPr lang="en-US" sz="1200" kern="1200">
              <a:latin typeface="Times New Roman" charset="0"/>
              <a:ea typeface="Times New Roman" charset="0"/>
              <a:cs typeface="Times New Roman" charset="0"/>
            </a:rPr>
            <a:t> = 84; 90%)</a:t>
          </a:r>
        </a:p>
      </dsp:txBody>
      <dsp:txXfrm>
        <a:off x="609471" y="1513550"/>
        <a:ext cx="1405312" cy="532807"/>
      </dsp:txXfrm>
    </dsp:sp>
    <dsp:sp modelId="{8C480D08-FE81-3B40-8258-18965C71DD58}">
      <dsp:nvSpPr>
        <dsp:cNvPr id="0" name=""/>
        <dsp:cNvSpPr/>
      </dsp:nvSpPr>
      <dsp:spPr>
        <a:xfrm>
          <a:off x="960799" y="2270137"/>
          <a:ext cx="1065615" cy="53280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charset="0"/>
              <a:ea typeface="Times New Roman" charset="0"/>
              <a:cs typeface="Times New Roman" charset="0"/>
            </a:rPr>
            <a:t>Superficial</a:t>
          </a:r>
        </a:p>
        <a:p>
          <a:pPr marL="0" lvl="0" indent="0" algn="ctr" defTabSz="533400">
            <a:lnSpc>
              <a:spcPct val="90000"/>
            </a:lnSpc>
            <a:spcBef>
              <a:spcPct val="0"/>
            </a:spcBef>
            <a:spcAft>
              <a:spcPct val="35000"/>
            </a:spcAft>
            <a:buNone/>
          </a:pPr>
          <a:r>
            <a:rPr lang="en-US" sz="1200" kern="1200">
              <a:latin typeface="Times New Roman" charset="0"/>
              <a:ea typeface="Times New Roman" charset="0"/>
              <a:cs typeface="Times New Roman" charset="0"/>
            </a:rPr>
            <a:t>(</a:t>
          </a:r>
          <a:r>
            <a:rPr lang="en-US" sz="1200" i="1" kern="1200">
              <a:latin typeface="Times New Roman" charset="0"/>
              <a:ea typeface="Times New Roman" charset="0"/>
              <a:cs typeface="Times New Roman" charset="0"/>
            </a:rPr>
            <a:t>n</a:t>
          </a:r>
          <a:r>
            <a:rPr lang="en-US" sz="1200" kern="1200">
              <a:latin typeface="Times New Roman" charset="0"/>
              <a:ea typeface="Times New Roman" charset="0"/>
              <a:cs typeface="Times New Roman" charset="0"/>
            </a:rPr>
            <a:t> = 30; 36%)</a:t>
          </a:r>
        </a:p>
      </dsp:txBody>
      <dsp:txXfrm>
        <a:off x="960799" y="2270137"/>
        <a:ext cx="1065615" cy="532807"/>
      </dsp:txXfrm>
    </dsp:sp>
    <dsp:sp modelId="{B1FB263F-F9C6-984D-B831-46D3014B5803}">
      <dsp:nvSpPr>
        <dsp:cNvPr id="0" name=""/>
        <dsp:cNvSpPr/>
      </dsp:nvSpPr>
      <dsp:spPr>
        <a:xfrm>
          <a:off x="960799" y="3026724"/>
          <a:ext cx="1065615" cy="53280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charset="0"/>
              <a:ea typeface="Times New Roman" charset="0"/>
              <a:cs typeface="Times New Roman" charset="0"/>
            </a:rPr>
            <a:t>Meaningful</a:t>
          </a:r>
        </a:p>
        <a:p>
          <a:pPr marL="0" lvl="0" indent="0" algn="ctr" defTabSz="533400">
            <a:lnSpc>
              <a:spcPct val="90000"/>
            </a:lnSpc>
            <a:spcBef>
              <a:spcPct val="0"/>
            </a:spcBef>
            <a:spcAft>
              <a:spcPct val="35000"/>
            </a:spcAft>
            <a:buNone/>
          </a:pPr>
          <a:r>
            <a:rPr lang="en-US" sz="1200" kern="1200">
              <a:latin typeface="Times New Roman" charset="0"/>
              <a:ea typeface="Times New Roman" charset="0"/>
              <a:cs typeface="Times New Roman" charset="0"/>
            </a:rPr>
            <a:t>(</a:t>
          </a:r>
          <a:r>
            <a:rPr lang="en-US" sz="1200" i="1" kern="1200">
              <a:latin typeface="Times New Roman" charset="0"/>
              <a:ea typeface="Times New Roman" charset="0"/>
              <a:cs typeface="Times New Roman" charset="0"/>
            </a:rPr>
            <a:t>n</a:t>
          </a:r>
          <a:r>
            <a:rPr lang="en-US" sz="1200" kern="1200">
              <a:latin typeface="Times New Roman" charset="0"/>
              <a:ea typeface="Times New Roman" charset="0"/>
              <a:cs typeface="Times New Roman" charset="0"/>
            </a:rPr>
            <a:t> = 54; 64%)</a:t>
          </a:r>
        </a:p>
      </dsp:txBody>
      <dsp:txXfrm>
        <a:off x="960799" y="3026724"/>
        <a:ext cx="1065615" cy="532807"/>
      </dsp:txXfrm>
    </dsp:sp>
    <dsp:sp modelId="{DD2C2EAF-A5C5-A14B-98C4-BBB1BBA66DB3}">
      <dsp:nvSpPr>
        <dsp:cNvPr id="0" name=""/>
        <dsp:cNvSpPr/>
      </dsp:nvSpPr>
      <dsp:spPr>
        <a:xfrm>
          <a:off x="2238563" y="1513550"/>
          <a:ext cx="1297706" cy="53280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charset="0"/>
              <a:ea typeface="Times New Roman" charset="0"/>
              <a:cs typeface="Times New Roman" charset="0"/>
            </a:rPr>
            <a:t>Non-Indigenous Cases</a:t>
          </a:r>
        </a:p>
        <a:p>
          <a:pPr marL="0" lvl="0" indent="0" algn="ctr" defTabSz="533400">
            <a:lnSpc>
              <a:spcPct val="90000"/>
            </a:lnSpc>
            <a:spcBef>
              <a:spcPct val="0"/>
            </a:spcBef>
            <a:spcAft>
              <a:spcPct val="35000"/>
            </a:spcAft>
            <a:buNone/>
          </a:pPr>
          <a:r>
            <a:rPr lang="en-US" sz="1200" kern="1200">
              <a:latin typeface="Times New Roman" charset="0"/>
              <a:ea typeface="Times New Roman" charset="0"/>
              <a:cs typeface="Times New Roman" charset="0"/>
            </a:rPr>
            <a:t>(</a:t>
          </a:r>
          <a:r>
            <a:rPr lang="en-US" sz="1200" i="1" kern="1200">
              <a:latin typeface="Times New Roman" charset="0"/>
              <a:ea typeface="Times New Roman" charset="0"/>
              <a:cs typeface="Times New Roman" charset="0"/>
            </a:rPr>
            <a:t>n</a:t>
          </a:r>
          <a:r>
            <a:rPr lang="en-US" sz="1200" kern="1200">
              <a:latin typeface="Times New Roman" charset="0"/>
              <a:ea typeface="Times New Roman" charset="0"/>
              <a:cs typeface="Times New Roman" charset="0"/>
            </a:rPr>
            <a:t> = 9; 10%)</a:t>
          </a:r>
        </a:p>
      </dsp:txBody>
      <dsp:txXfrm>
        <a:off x="2238563" y="1513550"/>
        <a:ext cx="1297706" cy="532807"/>
      </dsp:txXfrm>
    </dsp:sp>
    <dsp:sp modelId="{4D064E2E-5549-6242-90A7-5200F637EBE4}">
      <dsp:nvSpPr>
        <dsp:cNvPr id="0" name=""/>
        <dsp:cNvSpPr/>
      </dsp:nvSpPr>
      <dsp:spPr>
        <a:xfrm>
          <a:off x="2562989" y="2270137"/>
          <a:ext cx="1065615" cy="53280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charset="0"/>
              <a:ea typeface="Times New Roman" charset="0"/>
              <a:cs typeface="Times New Roman" charset="0"/>
            </a:rPr>
            <a:t>Superficial</a:t>
          </a:r>
        </a:p>
        <a:p>
          <a:pPr marL="0" lvl="0" indent="0" algn="ctr" defTabSz="533400">
            <a:lnSpc>
              <a:spcPct val="90000"/>
            </a:lnSpc>
            <a:spcBef>
              <a:spcPct val="0"/>
            </a:spcBef>
            <a:spcAft>
              <a:spcPct val="35000"/>
            </a:spcAft>
            <a:buNone/>
          </a:pPr>
          <a:r>
            <a:rPr lang="en-US" sz="1200" kern="1200">
              <a:latin typeface="Times New Roman" charset="0"/>
              <a:ea typeface="Times New Roman" charset="0"/>
              <a:cs typeface="Times New Roman" charset="0"/>
            </a:rPr>
            <a:t>(</a:t>
          </a:r>
          <a:r>
            <a:rPr lang="en-US" sz="1200" i="1" kern="1200">
              <a:latin typeface="Times New Roman" charset="0"/>
              <a:ea typeface="Times New Roman" charset="0"/>
              <a:cs typeface="Times New Roman" charset="0"/>
            </a:rPr>
            <a:t>n</a:t>
          </a:r>
          <a:r>
            <a:rPr lang="en-US" sz="1200" kern="1200">
              <a:latin typeface="Times New Roman" charset="0"/>
              <a:ea typeface="Times New Roman" charset="0"/>
              <a:cs typeface="Times New Roman" charset="0"/>
            </a:rPr>
            <a:t> = 9; 100%)</a:t>
          </a:r>
        </a:p>
      </dsp:txBody>
      <dsp:txXfrm>
        <a:off x="2562989" y="2270137"/>
        <a:ext cx="1065615" cy="532807"/>
      </dsp:txXfrm>
    </dsp:sp>
    <dsp:sp modelId="{43064762-E02B-AD41-A98B-703D53DD1055}">
      <dsp:nvSpPr>
        <dsp:cNvPr id="0" name=""/>
        <dsp:cNvSpPr/>
      </dsp:nvSpPr>
      <dsp:spPr>
        <a:xfrm>
          <a:off x="2562989" y="3026724"/>
          <a:ext cx="1065615" cy="53280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charset="0"/>
              <a:ea typeface="Times New Roman" charset="0"/>
              <a:cs typeface="Times New Roman" charset="0"/>
            </a:rPr>
            <a:t>Meaningful</a:t>
          </a:r>
        </a:p>
        <a:p>
          <a:pPr marL="0" lvl="0" indent="0" algn="ctr" defTabSz="533400">
            <a:lnSpc>
              <a:spcPct val="90000"/>
            </a:lnSpc>
            <a:spcBef>
              <a:spcPct val="0"/>
            </a:spcBef>
            <a:spcAft>
              <a:spcPct val="35000"/>
            </a:spcAft>
            <a:buNone/>
          </a:pPr>
          <a:r>
            <a:rPr lang="en-US" sz="1200" kern="1200">
              <a:latin typeface="Times New Roman" charset="0"/>
              <a:ea typeface="Times New Roman" charset="0"/>
              <a:cs typeface="Times New Roman" charset="0"/>
            </a:rPr>
            <a:t>(</a:t>
          </a:r>
          <a:r>
            <a:rPr lang="en-US" sz="1200" i="1" kern="1200">
              <a:latin typeface="Times New Roman" charset="0"/>
              <a:ea typeface="Times New Roman" charset="0"/>
              <a:cs typeface="Times New Roman" charset="0"/>
            </a:rPr>
            <a:t>n</a:t>
          </a:r>
          <a:r>
            <a:rPr lang="en-US" sz="1200" kern="1200">
              <a:latin typeface="Times New Roman" charset="0"/>
              <a:ea typeface="Times New Roman" charset="0"/>
              <a:cs typeface="Times New Roman" charset="0"/>
            </a:rPr>
            <a:t> = 0; 0%)</a:t>
          </a:r>
        </a:p>
      </dsp:txBody>
      <dsp:txXfrm>
        <a:off x="2562989" y="3026724"/>
        <a:ext cx="1065615" cy="532807"/>
      </dsp:txXfrm>
    </dsp:sp>
    <dsp:sp modelId="{73AF5705-1EB3-164A-8B89-4759F65BD2DA}">
      <dsp:nvSpPr>
        <dsp:cNvPr id="0" name=""/>
        <dsp:cNvSpPr/>
      </dsp:nvSpPr>
      <dsp:spPr>
        <a:xfrm>
          <a:off x="3060744" y="756962"/>
          <a:ext cx="1677119" cy="53280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charset="0"/>
              <a:ea typeface="Times New Roman" charset="0"/>
              <a:cs typeface="Times New Roman" charset="0"/>
            </a:rPr>
            <a:t>Culture Not Considered</a:t>
          </a:r>
        </a:p>
        <a:p>
          <a:pPr marL="0" lvl="0" indent="0" algn="ctr" defTabSz="533400">
            <a:lnSpc>
              <a:spcPct val="90000"/>
            </a:lnSpc>
            <a:spcBef>
              <a:spcPct val="0"/>
            </a:spcBef>
            <a:spcAft>
              <a:spcPct val="35000"/>
            </a:spcAft>
            <a:buNone/>
          </a:pPr>
          <a:r>
            <a:rPr lang="en-US" sz="1200" kern="1200">
              <a:latin typeface="Times New Roman" charset="0"/>
              <a:ea typeface="Times New Roman" charset="0"/>
              <a:cs typeface="Times New Roman" charset="0"/>
            </a:rPr>
            <a:t>(</a:t>
          </a:r>
          <a:r>
            <a:rPr lang="en-US" sz="1200" i="1" kern="1200">
              <a:latin typeface="Times New Roman" charset="0"/>
              <a:ea typeface="Times New Roman" charset="0"/>
              <a:cs typeface="Times New Roman" charset="0"/>
            </a:rPr>
            <a:t>n</a:t>
          </a:r>
          <a:r>
            <a:rPr lang="en-US" sz="1200" kern="1200">
              <a:latin typeface="Times New Roman" charset="0"/>
              <a:ea typeface="Times New Roman" charset="0"/>
              <a:cs typeface="Times New Roman" charset="0"/>
            </a:rPr>
            <a:t> = 121; 57%)</a:t>
          </a:r>
        </a:p>
      </dsp:txBody>
      <dsp:txXfrm>
        <a:off x="3060744" y="756962"/>
        <a:ext cx="1677119" cy="53280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855D6-6E4A-A640-B837-323BC2DA6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40</Pages>
  <Words>10304</Words>
  <Characters>58739</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Health Shared Services BC</Company>
  <LinksUpToDate>false</LinksUpToDate>
  <CharactersWithSpaces>68906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 Edge</dc:creator>
  <cp:lastModifiedBy>Madison Edge</cp:lastModifiedBy>
  <cp:revision>30</cp:revision>
  <dcterms:created xsi:type="dcterms:W3CDTF">2020-10-05T19:58:00Z</dcterms:created>
  <dcterms:modified xsi:type="dcterms:W3CDTF">2020-10-07T03:43:00Z</dcterms:modified>
</cp:coreProperties>
</file>