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922" w:rsidRPr="00284922" w:rsidRDefault="00284922" w:rsidP="00284922">
      <w:pPr>
        <w:spacing w:before="150" w:after="100" w:afterAutospacing="1" w:line="240" w:lineRule="auto"/>
        <w:outlineLvl w:val="3"/>
        <w:rPr>
          <w:rFonts w:ascii="Times New Roman" w:eastAsia="Times New Roman" w:hAnsi="Times New Roman" w:cs="Times New Roman"/>
          <w:b/>
          <w:bCs/>
          <w:color w:val="000000"/>
          <w:sz w:val="24"/>
          <w:szCs w:val="24"/>
          <w:lang w:eastAsia="en-GB"/>
        </w:rPr>
      </w:pPr>
      <w:r w:rsidRPr="00284922">
        <w:rPr>
          <w:rFonts w:ascii="Times New Roman" w:eastAsia="Times New Roman" w:hAnsi="Times New Roman" w:cs="Times New Roman"/>
          <w:b/>
          <w:bCs/>
          <w:color w:val="000000"/>
          <w:sz w:val="24"/>
          <w:szCs w:val="24"/>
          <w:lang w:eastAsia="en-GB"/>
        </w:rPr>
        <w:t>The 88th Annual Meeting of the American Association of Physical Anthropologists (2019)</w:t>
      </w:r>
    </w:p>
    <w:p w:rsidR="00284922" w:rsidRPr="00284922" w:rsidRDefault="00284922" w:rsidP="00284922">
      <w:pPr>
        <w:spacing w:after="0" w:line="240" w:lineRule="auto"/>
        <w:rPr>
          <w:rFonts w:ascii="Times New Roman" w:eastAsia="Times New Roman" w:hAnsi="Times New Roman" w:cs="Times New Roman"/>
          <w:sz w:val="24"/>
          <w:szCs w:val="24"/>
          <w:lang w:eastAsia="en-GB"/>
        </w:rPr>
      </w:pPr>
      <w:r w:rsidRPr="00284922">
        <w:rPr>
          <w:rFonts w:ascii="Times New Roman" w:eastAsia="Times New Roman" w:hAnsi="Times New Roman" w:cs="Times New Roman"/>
          <w:sz w:val="24"/>
          <w:szCs w:val="24"/>
          <w:lang w:eastAsia="en-GB"/>
        </w:rPr>
        <w:pict>
          <v:rect id="_x0000_i1025" style="width:0;height:1.5pt" o:hralign="center" o:hrstd="t" o:hrnoshade="t" o:hr="t" fillcolor="black" stroked="f"/>
        </w:pict>
      </w:r>
    </w:p>
    <w:p w:rsidR="00284922" w:rsidRPr="00284922" w:rsidRDefault="00284922" w:rsidP="00284922">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en-GB"/>
        </w:rPr>
      </w:pPr>
      <w:r w:rsidRPr="00284922">
        <w:rPr>
          <w:rFonts w:ascii="Times New Roman" w:eastAsia="Times New Roman" w:hAnsi="Times New Roman" w:cs="Times New Roman"/>
          <w:b/>
          <w:bCs/>
          <w:color w:val="000000"/>
          <w:sz w:val="27"/>
          <w:szCs w:val="27"/>
          <w:lang w:eastAsia="en-GB"/>
        </w:rPr>
        <w:t>The application of histomorphometry to puberty in the archaeological record</w:t>
      </w:r>
    </w:p>
    <w:p w:rsidR="00284922" w:rsidRPr="00284922" w:rsidRDefault="00284922" w:rsidP="00284922">
      <w:pPr>
        <w:spacing w:after="0" w:line="240" w:lineRule="auto"/>
        <w:rPr>
          <w:rFonts w:ascii="Times New Roman" w:eastAsia="Times New Roman" w:hAnsi="Times New Roman" w:cs="Times New Roman"/>
          <w:sz w:val="24"/>
          <w:szCs w:val="24"/>
          <w:lang w:eastAsia="en-GB"/>
        </w:rPr>
      </w:pPr>
      <w:r w:rsidRPr="00284922">
        <w:rPr>
          <w:rFonts w:ascii="Times New Roman" w:eastAsia="Times New Roman" w:hAnsi="Times New Roman" w:cs="Times New Roman"/>
          <w:color w:val="000000"/>
          <w:sz w:val="27"/>
          <w:szCs w:val="27"/>
          <w:lang w:eastAsia="en-GB"/>
        </w:rPr>
        <w:t>JESSICA AM. DOLDING-SMITH, ROSIE PITFIELD, CHRIS DETER and PATRICK MAHONEY.</w:t>
      </w:r>
    </w:p>
    <w:p w:rsidR="00284922" w:rsidRPr="00284922" w:rsidRDefault="00284922" w:rsidP="0028492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84922">
        <w:rPr>
          <w:rFonts w:ascii="Times New Roman" w:eastAsia="Times New Roman" w:hAnsi="Times New Roman" w:cs="Times New Roman"/>
          <w:color w:val="000000"/>
          <w:sz w:val="27"/>
          <w:szCs w:val="27"/>
          <w:lang w:eastAsia="en-GB"/>
        </w:rPr>
        <w:t>Human Osteology Lab, Skeletal Biology Research Centre, School of Anthropology &amp; Conservation, University of Kent</w:t>
      </w:r>
    </w:p>
    <w:p w:rsidR="00284922" w:rsidRPr="00284922" w:rsidRDefault="00284922" w:rsidP="0028492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84922">
        <w:rPr>
          <w:rFonts w:ascii="Times New Roman" w:eastAsia="Times New Roman" w:hAnsi="Times New Roman" w:cs="Times New Roman"/>
          <w:color w:val="000000"/>
          <w:sz w:val="27"/>
          <w:szCs w:val="27"/>
          <w:lang w:eastAsia="en-GB"/>
        </w:rPr>
        <w:t>March 30, 2019 , </w:t>
      </w:r>
      <w:bookmarkStart w:id="0" w:name="_GoBack"/>
      <w:bookmarkEnd w:id="0"/>
    </w:p>
    <w:p w:rsidR="00284922" w:rsidRPr="00284922" w:rsidRDefault="00284922" w:rsidP="0028492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84922">
        <w:rPr>
          <w:rFonts w:ascii="Times New Roman" w:eastAsia="Times New Roman" w:hAnsi="Times New Roman" w:cs="Times New Roman"/>
          <w:color w:val="000000"/>
          <w:sz w:val="27"/>
          <w:szCs w:val="27"/>
          <w:lang w:eastAsia="en-GB"/>
        </w:rPr>
        <w:t>Adolescence is marked by the onset of puberty whereby hormonal changes cause the body to mature into its reproductive capacity, adult body size, and behavioural maturity. Specific bony secondary sexual characteristics develop during the six stages of puberty: initiation, acceleration, peak height velocity, deceleration, maturity, and completion. Macroscopic skeletal indicators of puberty provide one way to estimate the stage of puberty attained at the time of death.</w:t>
      </w:r>
    </w:p>
    <w:p w:rsidR="00284922" w:rsidRPr="00284922" w:rsidRDefault="00284922" w:rsidP="0028492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84922">
        <w:rPr>
          <w:rFonts w:ascii="Times New Roman" w:eastAsia="Times New Roman" w:hAnsi="Times New Roman" w:cs="Times New Roman"/>
          <w:color w:val="000000"/>
          <w:sz w:val="27"/>
          <w:szCs w:val="27"/>
          <w:lang w:eastAsia="en-GB"/>
        </w:rPr>
        <w:t>This study determines if underlying microscopic changes in bone growth are linked to the macroscopic skeletal stages of puberty. Age-at-death was reconstructed from dental formation for 40 juvenile skeletons from Blackgate, Newcastle (</w:t>
      </w:r>
      <w:r w:rsidRPr="00284922">
        <w:rPr>
          <w:rFonts w:ascii="Times New Roman" w:eastAsia="Times New Roman" w:hAnsi="Times New Roman" w:cs="Times New Roman"/>
          <w:i/>
          <w:iCs/>
          <w:color w:val="000000"/>
          <w:sz w:val="27"/>
          <w:szCs w:val="27"/>
          <w:lang w:eastAsia="en-GB"/>
        </w:rPr>
        <w:t>n</w:t>
      </w:r>
      <w:r w:rsidRPr="00284922">
        <w:rPr>
          <w:rFonts w:ascii="Times New Roman" w:eastAsia="Times New Roman" w:hAnsi="Times New Roman" w:cs="Times New Roman"/>
          <w:color w:val="000000"/>
          <w:sz w:val="27"/>
          <w:szCs w:val="27"/>
          <w:lang w:eastAsia="en-GB"/>
        </w:rPr>
        <w:t>=17), Fishergate Barbican, York (</w:t>
      </w:r>
      <w:r w:rsidRPr="00284922">
        <w:rPr>
          <w:rFonts w:ascii="Times New Roman" w:eastAsia="Times New Roman" w:hAnsi="Times New Roman" w:cs="Times New Roman"/>
          <w:i/>
          <w:iCs/>
          <w:color w:val="000000"/>
          <w:sz w:val="27"/>
          <w:szCs w:val="27"/>
          <w:lang w:eastAsia="en-GB"/>
        </w:rPr>
        <w:t>n</w:t>
      </w:r>
      <w:r w:rsidRPr="00284922">
        <w:rPr>
          <w:rFonts w:ascii="Times New Roman" w:eastAsia="Times New Roman" w:hAnsi="Times New Roman" w:cs="Times New Roman"/>
          <w:color w:val="000000"/>
          <w:sz w:val="27"/>
          <w:szCs w:val="27"/>
          <w:lang w:eastAsia="en-GB"/>
        </w:rPr>
        <w:t>=13), and St Gregory’s Priory, Canterbury (</w:t>
      </w:r>
      <w:r w:rsidRPr="00284922">
        <w:rPr>
          <w:rFonts w:ascii="Times New Roman" w:eastAsia="Times New Roman" w:hAnsi="Times New Roman" w:cs="Times New Roman"/>
          <w:i/>
          <w:iCs/>
          <w:color w:val="000000"/>
          <w:sz w:val="27"/>
          <w:szCs w:val="27"/>
          <w:lang w:eastAsia="en-GB"/>
        </w:rPr>
        <w:t>n</w:t>
      </w:r>
      <w:r w:rsidRPr="00284922">
        <w:rPr>
          <w:rFonts w:ascii="Times New Roman" w:eastAsia="Times New Roman" w:hAnsi="Times New Roman" w:cs="Times New Roman"/>
          <w:color w:val="000000"/>
          <w:sz w:val="27"/>
          <w:szCs w:val="27"/>
          <w:lang w:eastAsia="en-GB"/>
        </w:rPr>
        <w:t>=10). Pubertal stage was estimated from the hamate hook, distal hand phalanges, distal radius, proximal ulna, iliac crest, cervical vertebrae, and mandibular canine root. Microscopic features of bone remodelling were measured from previously produced histological thin-sections of the anterior humerus mid-shaft (</w:t>
      </w:r>
      <w:r w:rsidRPr="00284922">
        <w:rPr>
          <w:rFonts w:ascii="Times New Roman" w:eastAsia="Times New Roman" w:hAnsi="Times New Roman" w:cs="Times New Roman"/>
          <w:i/>
          <w:iCs/>
          <w:color w:val="000000"/>
          <w:sz w:val="27"/>
          <w:szCs w:val="27"/>
          <w:lang w:eastAsia="en-GB"/>
        </w:rPr>
        <w:t>n</w:t>
      </w:r>
      <w:r w:rsidRPr="00284922">
        <w:rPr>
          <w:rFonts w:ascii="Times New Roman" w:eastAsia="Times New Roman" w:hAnsi="Times New Roman" w:cs="Times New Roman"/>
          <w:color w:val="000000"/>
          <w:sz w:val="27"/>
          <w:szCs w:val="27"/>
          <w:lang w:eastAsia="en-GB"/>
        </w:rPr>
        <w:t>=40) using CellSens analysis software. Secondary osteon density, size, and shape parameters were measured.</w:t>
      </w:r>
    </w:p>
    <w:p w:rsidR="00284922" w:rsidRPr="00284922" w:rsidRDefault="00284922" w:rsidP="0028492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84922">
        <w:rPr>
          <w:rFonts w:ascii="Times New Roman" w:eastAsia="Times New Roman" w:hAnsi="Times New Roman" w:cs="Times New Roman"/>
          <w:color w:val="000000"/>
          <w:sz w:val="27"/>
          <w:szCs w:val="27"/>
          <w:lang w:eastAsia="en-GB"/>
        </w:rPr>
        <w:t>Analyses revealed a curvilinear relationship between puberty stage and bone remodelling. Osteon population density increases during the acceleration phase of puberty and then tapers off throughout subsequent puberty stages. This indicates that pubertal stage relates to bone remodelling, with the fastest remodelling being associated with the most rapid puberty stage. This is the first study to explore the possible link between puberty and microstructural bone growth.</w:t>
      </w:r>
    </w:p>
    <w:p w:rsidR="00284922" w:rsidRPr="00284922" w:rsidRDefault="00284922" w:rsidP="00284922">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284922">
        <w:rPr>
          <w:rFonts w:ascii="Times New Roman" w:eastAsia="Times New Roman" w:hAnsi="Times New Roman" w:cs="Times New Roman"/>
          <w:color w:val="000000"/>
          <w:sz w:val="27"/>
          <w:szCs w:val="27"/>
          <w:lang w:eastAsia="en-GB"/>
        </w:rPr>
        <w:t>This research was funded by the University of Kent Vice Chancellor's Research Scholarship and the Dora Harvey Memorial Research Scholarship.</w:t>
      </w:r>
    </w:p>
    <w:p w:rsidR="00D81AD3" w:rsidRDefault="00D81AD3"/>
    <w:sectPr w:rsidR="00D81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22"/>
    <w:rsid w:val="00284922"/>
    <w:rsid w:val="00D81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962A2-B52E-41D0-B9FB-6CA1514D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8492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4922"/>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284922"/>
    <w:rPr>
      <w:color w:val="0000FF"/>
      <w:u w:val="single"/>
    </w:rPr>
  </w:style>
  <w:style w:type="paragraph" w:styleId="NormalWeb">
    <w:name w:val="Normal (Web)"/>
    <w:basedOn w:val="Normal"/>
    <w:uiPriority w:val="99"/>
    <w:semiHidden/>
    <w:unhideWhenUsed/>
    <w:rsid w:val="002849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bstract">
    <w:name w:val="abstract"/>
    <w:basedOn w:val="Normal"/>
    <w:rsid w:val="002849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849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15056">
      <w:bodyDiv w:val="1"/>
      <w:marLeft w:val="0"/>
      <w:marRight w:val="0"/>
      <w:marTop w:val="0"/>
      <w:marBottom w:val="0"/>
      <w:divBdr>
        <w:top w:val="none" w:sz="0" w:space="0" w:color="auto"/>
        <w:left w:val="none" w:sz="0" w:space="0" w:color="auto"/>
        <w:bottom w:val="none" w:sz="0" w:space="0" w:color="auto"/>
        <w:right w:val="none" w:sz="0" w:space="0" w:color="auto"/>
      </w:divBdr>
      <w:divsChild>
        <w:div w:id="1969896214">
          <w:marLeft w:val="0"/>
          <w:marRight w:val="0"/>
          <w:marTop w:val="0"/>
          <w:marBottom w:val="0"/>
          <w:divBdr>
            <w:top w:val="none" w:sz="0" w:space="0" w:color="auto"/>
            <w:left w:val="none" w:sz="0" w:space="0" w:color="auto"/>
            <w:bottom w:val="none" w:sz="0" w:space="0" w:color="auto"/>
            <w:right w:val="none" w:sz="0" w:space="0" w:color="auto"/>
          </w:divBdr>
          <w:divsChild>
            <w:div w:id="1195385124">
              <w:marLeft w:val="0"/>
              <w:marRight w:val="0"/>
              <w:marTop w:val="75"/>
              <w:marBottom w:val="0"/>
              <w:divBdr>
                <w:top w:val="none" w:sz="0" w:space="0" w:color="auto"/>
                <w:left w:val="none" w:sz="0" w:space="0" w:color="auto"/>
                <w:bottom w:val="none" w:sz="0" w:space="0" w:color="auto"/>
                <w:right w:val="none" w:sz="0" w:space="0" w:color="auto"/>
              </w:divBdr>
            </w:div>
          </w:divsChild>
        </w:div>
        <w:div w:id="1109197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Company>University of Kent</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Mahoney</dc:creator>
  <cp:keywords/>
  <dc:description/>
  <cp:lastModifiedBy>Patrick Mahoney</cp:lastModifiedBy>
  <cp:revision>1</cp:revision>
  <dcterms:created xsi:type="dcterms:W3CDTF">2019-09-05T13:42:00Z</dcterms:created>
  <dcterms:modified xsi:type="dcterms:W3CDTF">2019-09-05T13:43:00Z</dcterms:modified>
</cp:coreProperties>
</file>